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ind w:left="8"/>
        <w:spacing w:after="0"/>
        <w:rPr>
          <w:rFonts w:ascii="Arial" w:cs="Arial" w:eastAsia="Arial" w:hAnsi="Arial"/>
          <w:sz w:val="12"/>
          <w:szCs w:val="12"/>
          <w:b w:val="1"/>
          <w:bCs w:val="1"/>
          <w:u w:val="single" w:color="auto"/>
          <w:color w:val="0000EE"/>
        </w:rPr>
      </w:pPr>
      <w:hyperlink w:anchor="page4">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7"/>
        <w:spacing w:after="0"/>
        <w:rPr>
          <w:sz w:val="20"/>
          <w:szCs w:val="20"/>
          <w:color w:val="auto"/>
        </w:rPr>
      </w:pPr>
      <w:r>
        <w:rPr>
          <w:rFonts w:ascii="Arial" w:cs="Arial" w:eastAsia="Arial" w:hAnsi="Arial"/>
          <w:sz w:val="17"/>
          <w:szCs w:val="17"/>
          <w:b w:val="1"/>
          <w:bCs w:val="1"/>
          <w:color w:val="auto"/>
        </w:rPr>
        <w:t>UNITED STATES</w:t>
      </w:r>
    </w:p>
    <w:p>
      <w:pPr>
        <w:spacing w:after="0" w:line="18" w:lineRule="exact"/>
        <w:rPr>
          <w:sz w:val="20"/>
          <w:szCs w:val="20"/>
          <w:color w:val="auto"/>
        </w:rPr>
      </w:pPr>
    </w:p>
    <w:p>
      <w:pPr>
        <w:jc w:val="center"/>
        <w:ind w:right="-7"/>
        <w:spacing w:after="0"/>
        <w:rPr>
          <w:sz w:val="20"/>
          <w:szCs w:val="20"/>
          <w:color w:val="auto"/>
        </w:rPr>
      </w:pPr>
      <w:r>
        <w:rPr>
          <w:rFonts w:ascii="Arial" w:cs="Arial" w:eastAsia="Arial" w:hAnsi="Arial"/>
          <w:sz w:val="17"/>
          <w:szCs w:val="17"/>
          <w:b w:val="1"/>
          <w:bCs w:val="1"/>
          <w:color w:val="auto"/>
        </w:rPr>
        <w:t>SECURITIES AND EXCHANGE COMMISSION</w:t>
      </w:r>
    </w:p>
    <w:p>
      <w:pPr>
        <w:jc w:val="center"/>
        <w:ind w:right="-7"/>
        <w:spacing w:after="0"/>
        <w:rPr>
          <w:sz w:val="20"/>
          <w:szCs w:val="20"/>
          <w:color w:val="auto"/>
        </w:rPr>
      </w:pPr>
      <w:r>
        <w:rPr>
          <w:rFonts w:ascii="Arial" w:cs="Arial" w:eastAsia="Arial" w:hAnsi="Arial"/>
          <w:sz w:val="14"/>
          <w:szCs w:val="14"/>
          <w:b w:val="1"/>
          <w:bCs w:val="1"/>
          <w:color w:val="auto"/>
        </w:rPr>
        <w:t>Washington, D.C. 20549</w:t>
      </w:r>
    </w:p>
    <w:p>
      <w:pPr>
        <w:spacing w:after="0" w:line="192" w:lineRule="exact"/>
        <w:rPr>
          <w:sz w:val="20"/>
          <w:szCs w:val="20"/>
          <w:color w:val="auto"/>
        </w:rPr>
      </w:pPr>
    </w:p>
    <w:p>
      <w:pPr>
        <w:jc w:val="center"/>
        <w:ind w:right="-7"/>
        <w:spacing w:after="0"/>
        <w:rPr>
          <w:sz w:val="20"/>
          <w:szCs w:val="20"/>
          <w:color w:val="auto"/>
        </w:rPr>
      </w:pPr>
      <w:r>
        <w:rPr>
          <w:rFonts w:ascii="Arial" w:cs="Arial" w:eastAsia="Arial" w:hAnsi="Arial"/>
          <w:sz w:val="22"/>
          <w:szCs w:val="22"/>
          <w:b w:val="1"/>
          <w:bCs w:val="1"/>
          <w:color w:val="auto"/>
        </w:rPr>
        <w:t>SCHEDULE 14A</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(Rule 14a-101)</w:t>
      </w:r>
    </w:p>
    <w:p>
      <w:pPr>
        <w:spacing w:after="0" w:line="131" w:lineRule="exact"/>
        <w:rPr>
          <w:sz w:val="20"/>
          <w:szCs w:val="20"/>
          <w:color w:val="auto"/>
        </w:rPr>
      </w:pPr>
    </w:p>
    <w:p>
      <w:pPr>
        <w:jc w:val="center"/>
        <w:ind w:right="-7"/>
        <w:spacing w:after="0"/>
        <w:rPr>
          <w:sz w:val="20"/>
          <w:szCs w:val="20"/>
          <w:color w:val="auto"/>
        </w:rPr>
      </w:pPr>
      <w:r>
        <w:rPr>
          <w:rFonts w:ascii="Arial" w:cs="Arial" w:eastAsia="Arial" w:hAnsi="Arial"/>
          <w:sz w:val="14"/>
          <w:szCs w:val="14"/>
          <w:b w:val="1"/>
          <w:bCs w:val="1"/>
          <w:color w:val="auto"/>
        </w:rPr>
        <w:t>INFORMATION REQUIRED IN PROXY STATEMENT</w:t>
      </w:r>
    </w:p>
    <w:p>
      <w:pPr>
        <w:spacing w:after="0" w:line="17" w:lineRule="exact"/>
        <w:rPr>
          <w:sz w:val="20"/>
          <w:szCs w:val="20"/>
          <w:color w:val="auto"/>
        </w:rPr>
      </w:pPr>
    </w:p>
    <w:p>
      <w:pPr>
        <w:jc w:val="center"/>
        <w:ind w:right="-7"/>
        <w:spacing w:after="0"/>
        <w:rPr>
          <w:sz w:val="20"/>
          <w:szCs w:val="20"/>
          <w:color w:val="auto"/>
        </w:rPr>
      </w:pPr>
      <w:r>
        <w:rPr>
          <w:rFonts w:ascii="Arial" w:cs="Arial" w:eastAsia="Arial" w:hAnsi="Arial"/>
          <w:sz w:val="14"/>
          <w:szCs w:val="14"/>
          <w:b w:val="1"/>
          <w:bCs w:val="1"/>
          <w:color w:val="auto"/>
        </w:rPr>
        <w:t>SCHEDULE 14A INFORMATION</w:t>
      </w:r>
    </w:p>
    <w:p>
      <w:pPr>
        <w:spacing w:after="0" w:line="129" w:lineRule="exact"/>
        <w:rPr>
          <w:sz w:val="20"/>
          <w:szCs w:val="20"/>
          <w:color w:val="auto"/>
        </w:rPr>
      </w:pPr>
    </w:p>
    <w:p>
      <w:pPr>
        <w:jc w:val="center"/>
        <w:ind w:right="-7"/>
        <w:spacing w:after="0"/>
        <w:rPr>
          <w:sz w:val="20"/>
          <w:szCs w:val="20"/>
          <w:color w:val="auto"/>
        </w:rPr>
      </w:pPr>
      <w:r>
        <w:rPr>
          <w:rFonts w:ascii="Arial" w:cs="Arial" w:eastAsia="Arial" w:hAnsi="Arial"/>
          <w:sz w:val="14"/>
          <w:szCs w:val="14"/>
          <w:b w:val="1"/>
          <w:bCs w:val="1"/>
          <w:color w:val="auto"/>
        </w:rPr>
        <w:t>Proxy Statement Pursuant to Section 14(a) of the Securities</w:t>
      </w:r>
    </w:p>
    <w:p>
      <w:pPr>
        <w:spacing w:after="0" w:line="17" w:lineRule="exact"/>
        <w:rPr>
          <w:sz w:val="20"/>
          <w:szCs w:val="20"/>
          <w:color w:val="auto"/>
        </w:rPr>
      </w:pPr>
    </w:p>
    <w:p>
      <w:pPr>
        <w:jc w:val="center"/>
        <w:ind w:right="-7"/>
        <w:spacing w:after="0"/>
        <w:tabs>
          <w:tab w:leader="none" w:pos="160" w:val="left"/>
        </w:tabs>
        <w:rPr>
          <w:sz w:val="20"/>
          <w:szCs w:val="20"/>
          <w:color w:val="auto"/>
        </w:rPr>
      </w:pPr>
      <w:r>
        <w:rPr>
          <w:rFonts w:ascii="Arial" w:cs="Arial" w:eastAsia="Arial" w:hAnsi="Arial"/>
          <w:sz w:val="14"/>
          <w:szCs w:val="14"/>
          <w:b w:val="1"/>
          <w:bCs w:val="1"/>
          <w:color w:val="auto"/>
        </w:rPr>
        <w:t>Exchange Act of 1934 (Amendment No.</w:t>
      </w:r>
      <w:r>
        <w:rPr>
          <w:sz w:val="20"/>
          <w:szCs w:val="20"/>
          <w:color w:val="auto"/>
        </w:rPr>
        <w:tab/>
      </w:r>
      <w:r>
        <w:rPr>
          <w:rFonts w:ascii="Arial" w:cs="Arial" w:eastAsia="Arial" w:hAnsi="Arial"/>
          <w:sz w:val="12"/>
          <w:szCs w:val="12"/>
          <w:b w:val="1"/>
          <w:bCs w:val="1"/>
          <w:color w:val="auto"/>
        </w:rPr>
        <w:t>)</w:t>
      </w:r>
    </w:p>
    <w:p>
      <w:pPr>
        <w:spacing w:after="0" w:line="44" w:lineRule="exact"/>
        <w:rPr>
          <w:sz w:val="20"/>
          <w:szCs w:val="20"/>
          <w:color w:val="auto"/>
        </w:rPr>
      </w:pPr>
    </w:p>
    <w:p>
      <w:pPr>
        <w:ind w:left="8"/>
        <w:spacing w:after="0" w:line="138" w:lineRule="exact"/>
        <w:rPr>
          <w:sz w:val="20"/>
          <w:szCs w:val="20"/>
          <w:color w:val="auto"/>
        </w:rPr>
      </w:pPr>
      <w:r>
        <w:rPr>
          <w:rFonts w:ascii="Arial" w:cs="Arial" w:eastAsia="Arial" w:hAnsi="Arial"/>
          <w:sz w:val="12"/>
          <w:szCs w:val="12"/>
          <w:color w:val="auto"/>
        </w:rPr>
        <w:t xml:space="preserve">Filed by the Registrant </w:t>
      </w:r>
      <w:r>
        <w:rPr>
          <w:rFonts w:ascii="MS PGothic" w:cs="MS PGothic" w:eastAsia="MS PGothic" w:hAnsi="MS PGothic"/>
          <w:sz w:val="12"/>
          <w:szCs w:val="12"/>
          <w:color w:val="auto"/>
        </w:rPr>
        <w:t>☑</w:t>
      </w:r>
    </w:p>
    <w:p>
      <w:pPr>
        <w:spacing w:after="0" w:line="101" w:lineRule="exact"/>
        <w:rPr>
          <w:sz w:val="20"/>
          <w:szCs w:val="20"/>
          <w:color w:val="auto"/>
        </w:rPr>
      </w:pPr>
    </w:p>
    <w:p>
      <w:pPr>
        <w:ind w:left="8"/>
        <w:spacing w:after="0"/>
        <w:rPr>
          <w:sz w:val="20"/>
          <w:szCs w:val="20"/>
          <w:color w:val="auto"/>
        </w:rPr>
      </w:pPr>
      <w:r>
        <w:rPr>
          <w:rFonts w:ascii="Arial" w:cs="Arial" w:eastAsia="Arial" w:hAnsi="Arial"/>
          <w:sz w:val="12"/>
          <w:szCs w:val="12"/>
          <w:color w:val="auto"/>
        </w:rPr>
        <w:t>Filed by a Party other than the Registrant o</w:t>
      </w:r>
    </w:p>
    <w:p>
      <w:pPr>
        <w:spacing w:after="0" w:line="78" w:lineRule="exact"/>
        <w:rPr>
          <w:sz w:val="20"/>
          <w:szCs w:val="20"/>
          <w:color w:val="auto"/>
        </w:rPr>
      </w:pPr>
    </w:p>
    <w:p>
      <w:pPr>
        <w:ind w:left="8"/>
        <w:spacing w:after="0"/>
        <w:rPr>
          <w:sz w:val="20"/>
          <w:szCs w:val="20"/>
          <w:color w:val="auto"/>
        </w:rPr>
      </w:pPr>
      <w:r>
        <w:rPr>
          <w:rFonts w:ascii="Arial" w:cs="Arial" w:eastAsia="Arial" w:hAnsi="Arial"/>
          <w:sz w:val="12"/>
          <w:szCs w:val="12"/>
          <w:color w:val="auto"/>
        </w:rPr>
        <w:t>Check the appropriate box:</w:t>
      </w:r>
    </w:p>
    <w:p>
      <w:pPr>
        <w:spacing w:after="0" w:line="78" w:lineRule="exact"/>
        <w:rPr>
          <w:sz w:val="20"/>
          <w:szCs w:val="20"/>
          <w:color w:val="auto"/>
        </w:rPr>
      </w:pPr>
    </w:p>
    <w:p>
      <w:pPr>
        <w:ind w:left="208" w:hanging="208"/>
        <w:spacing w:after="0"/>
        <w:tabs>
          <w:tab w:leader="none" w:pos="208" w:val="left"/>
        </w:tabs>
        <w:numPr>
          <w:ilvl w:val="0"/>
          <w:numId w:val="1"/>
        </w:numPr>
        <w:rPr>
          <w:rFonts w:ascii="Arial" w:cs="Arial" w:eastAsia="Arial" w:hAnsi="Arial"/>
          <w:sz w:val="12"/>
          <w:szCs w:val="12"/>
          <w:color w:val="auto"/>
        </w:rPr>
      </w:pPr>
      <w:r>
        <w:rPr>
          <w:rFonts w:ascii="Arial" w:cs="Arial" w:eastAsia="Arial" w:hAnsi="Arial"/>
          <w:sz w:val="12"/>
          <w:szCs w:val="12"/>
          <w:color w:val="auto"/>
        </w:rPr>
        <w:t>Preliminary Proxy Statement</w:t>
      </w:r>
    </w:p>
    <w:p>
      <w:pPr>
        <w:spacing w:after="0" w:line="74" w:lineRule="exact"/>
        <w:rPr>
          <w:rFonts w:ascii="Arial" w:cs="Arial" w:eastAsia="Arial" w:hAnsi="Arial"/>
          <w:sz w:val="12"/>
          <w:szCs w:val="12"/>
          <w:color w:val="auto"/>
        </w:rPr>
      </w:pPr>
    </w:p>
    <w:p>
      <w:pPr>
        <w:ind w:left="248" w:hanging="248"/>
        <w:spacing w:after="0"/>
        <w:tabs>
          <w:tab w:leader="none" w:pos="248" w:val="left"/>
        </w:tabs>
        <w:numPr>
          <w:ilvl w:val="0"/>
          <w:numId w:val="1"/>
        </w:numPr>
        <w:rPr>
          <w:rFonts w:ascii="Arial" w:cs="Arial" w:eastAsia="Arial" w:hAnsi="Arial"/>
          <w:sz w:val="12"/>
          <w:szCs w:val="12"/>
          <w:color w:val="auto"/>
        </w:rPr>
      </w:pPr>
      <w:r>
        <w:rPr>
          <w:rFonts w:ascii="Arial" w:cs="Arial" w:eastAsia="Arial" w:hAnsi="Arial"/>
          <w:sz w:val="12"/>
          <w:szCs w:val="12"/>
          <w:b w:val="1"/>
          <w:bCs w:val="1"/>
          <w:color w:val="auto"/>
        </w:rPr>
        <w:t>Confidential, For Use of the Commission Only (as permitted by Rule 14a-6(e)(2))</w:t>
      </w:r>
    </w:p>
    <w:p>
      <w:pPr>
        <w:spacing w:after="0" w:line="82" w:lineRule="exact"/>
        <w:rPr>
          <w:sz w:val="20"/>
          <w:szCs w:val="20"/>
          <w:color w:val="auto"/>
        </w:rPr>
      </w:pPr>
    </w:p>
    <w:p>
      <w:pPr>
        <w:ind w:left="268" w:hanging="268"/>
        <w:spacing w:after="0"/>
        <w:tabs>
          <w:tab w:leader="none" w:pos="268" w:val="left"/>
        </w:tabs>
        <w:numPr>
          <w:ilvl w:val="0"/>
          <w:numId w:val="2"/>
        </w:numPr>
        <w:rPr>
          <w:rFonts w:ascii="MS PGothic" w:cs="MS PGothic" w:eastAsia="MS PGothic" w:hAnsi="MS PGothic"/>
          <w:sz w:val="12"/>
          <w:szCs w:val="12"/>
          <w:color w:val="auto"/>
        </w:rPr>
      </w:pPr>
      <w:r>
        <w:rPr>
          <w:rFonts w:ascii="Arial" w:cs="Arial" w:eastAsia="Arial" w:hAnsi="Arial"/>
          <w:sz w:val="12"/>
          <w:szCs w:val="12"/>
          <w:color w:val="auto"/>
        </w:rPr>
        <w:t>Definitive Proxy Statement</w:t>
      </w:r>
    </w:p>
    <w:p>
      <w:pPr>
        <w:spacing w:after="0" w:line="78" w:lineRule="exact"/>
        <w:rPr>
          <w:sz w:val="20"/>
          <w:szCs w:val="20"/>
          <w:color w:val="auto"/>
        </w:rPr>
      </w:pPr>
    </w:p>
    <w:p>
      <w:pPr>
        <w:ind w:left="208" w:hanging="208"/>
        <w:spacing w:after="0"/>
        <w:tabs>
          <w:tab w:leader="none" w:pos="208" w:val="left"/>
        </w:tabs>
        <w:numPr>
          <w:ilvl w:val="0"/>
          <w:numId w:val="3"/>
        </w:numPr>
        <w:rPr>
          <w:rFonts w:ascii="Arial" w:cs="Arial" w:eastAsia="Arial" w:hAnsi="Arial"/>
          <w:sz w:val="12"/>
          <w:szCs w:val="12"/>
          <w:color w:val="auto"/>
        </w:rPr>
      </w:pPr>
      <w:r>
        <w:rPr>
          <w:rFonts w:ascii="Arial" w:cs="Arial" w:eastAsia="Arial" w:hAnsi="Arial"/>
          <w:sz w:val="12"/>
          <w:szCs w:val="12"/>
          <w:color w:val="auto"/>
        </w:rPr>
        <w:t>Definitive Additional Materials</w:t>
      </w:r>
    </w:p>
    <w:p>
      <w:pPr>
        <w:spacing w:after="0" w:line="78" w:lineRule="exact"/>
        <w:rPr>
          <w:rFonts w:ascii="Arial" w:cs="Arial" w:eastAsia="Arial" w:hAnsi="Arial"/>
          <w:sz w:val="12"/>
          <w:szCs w:val="12"/>
          <w:color w:val="auto"/>
        </w:rPr>
      </w:pPr>
    </w:p>
    <w:p>
      <w:pPr>
        <w:ind w:left="208" w:hanging="208"/>
        <w:spacing w:after="0"/>
        <w:tabs>
          <w:tab w:leader="none" w:pos="208" w:val="left"/>
        </w:tabs>
        <w:numPr>
          <w:ilvl w:val="0"/>
          <w:numId w:val="3"/>
        </w:numPr>
        <w:rPr>
          <w:rFonts w:ascii="Arial" w:cs="Arial" w:eastAsia="Arial" w:hAnsi="Arial"/>
          <w:sz w:val="12"/>
          <w:szCs w:val="12"/>
          <w:color w:val="auto"/>
        </w:rPr>
      </w:pPr>
      <w:r>
        <w:rPr>
          <w:rFonts w:ascii="Arial" w:cs="Arial" w:eastAsia="Arial" w:hAnsi="Arial"/>
          <w:sz w:val="12"/>
          <w:szCs w:val="12"/>
          <w:color w:val="auto"/>
        </w:rPr>
        <w:t>Soliciting Material Pursuant to § 240.14a-12</w:t>
      </w:r>
    </w:p>
    <w:p>
      <w:pPr>
        <w:spacing w:after="0" w:line="172" w:lineRule="exact"/>
        <w:rPr>
          <w:sz w:val="20"/>
          <w:szCs w:val="20"/>
          <w:color w:val="auto"/>
        </w:rPr>
      </w:pPr>
    </w:p>
    <w:p>
      <w:pPr>
        <w:jc w:val="center"/>
        <w:ind w:right="-7"/>
        <w:spacing w:after="0"/>
        <w:rPr>
          <w:sz w:val="20"/>
          <w:szCs w:val="20"/>
          <w:color w:val="auto"/>
        </w:rPr>
      </w:pPr>
      <w:r>
        <w:rPr>
          <w:rFonts w:ascii="Arial" w:cs="Arial" w:eastAsia="Arial" w:hAnsi="Arial"/>
          <w:sz w:val="17"/>
          <w:szCs w:val="17"/>
          <w:b w:val="1"/>
          <w:bCs w:val="1"/>
          <w:color w:val="auto"/>
        </w:rPr>
        <w:t>COMCAST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923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226695</wp:posOffset>
            </wp:positionV>
            <wp:extent cx="72923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(Name of Person(s) Filing Proxy Statement, if Other Than the Registrant)</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Payment of Filing Fee (Check the appropriate box):</w:t>
      </w:r>
    </w:p>
    <w:p>
      <w:pPr>
        <w:spacing w:after="0" w:line="150" w:lineRule="exact"/>
        <w:rPr>
          <w:sz w:val="20"/>
          <w:szCs w:val="20"/>
          <w:color w:val="auto"/>
        </w:rPr>
      </w:pPr>
    </w:p>
    <w:p>
      <w:pPr>
        <w:ind w:left="348" w:hanging="348"/>
        <w:spacing w:after="0"/>
        <w:tabs>
          <w:tab w:leader="none" w:pos="348" w:val="left"/>
        </w:tabs>
        <w:numPr>
          <w:ilvl w:val="0"/>
          <w:numId w:val="4"/>
        </w:numPr>
        <w:rPr>
          <w:rFonts w:ascii="MS PGothic" w:cs="MS PGothic" w:eastAsia="MS PGothic" w:hAnsi="MS PGothic"/>
          <w:sz w:val="12"/>
          <w:szCs w:val="12"/>
          <w:color w:val="auto"/>
        </w:rPr>
      </w:pPr>
      <w:r>
        <w:rPr>
          <w:rFonts w:ascii="Arial" w:cs="Arial" w:eastAsia="Arial" w:hAnsi="Arial"/>
          <w:sz w:val="12"/>
          <w:szCs w:val="12"/>
          <w:color w:val="auto"/>
        </w:rPr>
        <w:t>No fee required.</w:t>
      </w:r>
    </w:p>
    <w:p>
      <w:pPr>
        <w:spacing w:after="0" w:line="150" w:lineRule="exact"/>
        <w:rPr>
          <w:sz w:val="20"/>
          <w:szCs w:val="20"/>
          <w:color w:val="auto"/>
        </w:rPr>
      </w:pPr>
    </w:p>
    <w:p>
      <w:pPr>
        <w:ind w:left="348" w:hanging="348"/>
        <w:spacing w:after="0"/>
        <w:tabs>
          <w:tab w:leader="none" w:pos="348" w:val="left"/>
        </w:tabs>
        <w:numPr>
          <w:ilvl w:val="0"/>
          <w:numId w:val="5"/>
        </w:numPr>
        <w:rPr>
          <w:rFonts w:ascii="Arial" w:cs="Arial" w:eastAsia="Arial" w:hAnsi="Arial"/>
          <w:sz w:val="12"/>
          <w:szCs w:val="12"/>
          <w:color w:val="auto"/>
        </w:rPr>
      </w:pPr>
      <w:r>
        <w:rPr>
          <w:rFonts w:ascii="Arial" w:cs="Arial" w:eastAsia="Arial" w:hAnsi="Arial"/>
          <w:sz w:val="12"/>
          <w:szCs w:val="12"/>
          <w:color w:val="auto"/>
        </w:rPr>
        <w:t>Fee computed on table below per Exchange Act Rules 14a-6(i)(1) and 0-11.</w:t>
      </w:r>
    </w:p>
    <w:p>
      <w:pPr>
        <w:spacing w:after="0" w:line="150" w:lineRule="exact"/>
        <w:rPr>
          <w:rFonts w:ascii="Arial" w:cs="Arial" w:eastAsia="Arial" w:hAnsi="Arial"/>
          <w:sz w:val="12"/>
          <w:szCs w:val="12"/>
          <w:color w:val="auto"/>
        </w:rPr>
      </w:pPr>
    </w:p>
    <w:p>
      <w:pPr>
        <w:ind w:left="688" w:hanging="251"/>
        <w:spacing w:after="0"/>
        <w:tabs>
          <w:tab w:leader="none" w:pos="688" w:val="left"/>
        </w:tabs>
        <w:numPr>
          <w:ilvl w:val="1"/>
          <w:numId w:val="5"/>
        </w:numPr>
        <w:rPr>
          <w:rFonts w:ascii="Arial" w:cs="Arial" w:eastAsia="Arial" w:hAnsi="Arial"/>
          <w:sz w:val="12"/>
          <w:szCs w:val="12"/>
          <w:color w:val="auto"/>
        </w:rPr>
      </w:pPr>
      <w:r>
        <w:rPr>
          <w:rFonts w:ascii="Arial" w:cs="Arial" w:eastAsia="Arial" w:hAnsi="Arial"/>
          <w:sz w:val="12"/>
          <w:szCs w:val="12"/>
          <w:color w:val="auto"/>
        </w:rPr>
        <w:t>Title of each class of securities to which transaction applies:</w:t>
      </w:r>
    </w:p>
    <w:p>
      <w:pPr>
        <w:spacing w:after="0" w:line="168" w:lineRule="exact"/>
        <w:rPr>
          <w:rFonts w:ascii="Arial" w:cs="Arial" w:eastAsia="Arial" w:hAnsi="Arial"/>
          <w:sz w:val="12"/>
          <w:szCs w:val="12"/>
          <w:color w:val="auto"/>
        </w:rPr>
      </w:pPr>
    </w:p>
    <w:p>
      <w:pPr>
        <w:ind w:left="688" w:hanging="251"/>
        <w:spacing w:after="0"/>
        <w:tabs>
          <w:tab w:leader="none" w:pos="688" w:val="left"/>
        </w:tabs>
        <w:numPr>
          <w:ilvl w:val="1"/>
          <w:numId w:val="5"/>
        </w:numPr>
        <w:rPr>
          <w:rFonts w:ascii="Arial" w:cs="Arial" w:eastAsia="Arial" w:hAnsi="Arial"/>
          <w:sz w:val="12"/>
          <w:szCs w:val="12"/>
          <w:color w:val="auto"/>
        </w:rPr>
      </w:pPr>
      <w:r>
        <w:rPr>
          <w:rFonts w:ascii="Arial" w:cs="Arial" w:eastAsia="Arial" w:hAnsi="Arial"/>
          <w:sz w:val="12"/>
          <w:szCs w:val="12"/>
          <w:color w:val="auto"/>
        </w:rPr>
        <w:t>Aggregate number of securities to which transaction applies:</w:t>
      </w:r>
    </w:p>
    <w:p>
      <w:pPr>
        <w:spacing w:after="0" w:line="168" w:lineRule="exact"/>
        <w:rPr>
          <w:rFonts w:ascii="Arial" w:cs="Arial" w:eastAsia="Arial" w:hAnsi="Arial"/>
          <w:sz w:val="12"/>
          <w:szCs w:val="12"/>
          <w:color w:val="auto"/>
        </w:rPr>
      </w:pPr>
    </w:p>
    <w:p>
      <w:pPr>
        <w:ind w:left="688" w:hanging="251"/>
        <w:spacing w:after="0"/>
        <w:tabs>
          <w:tab w:leader="none" w:pos="688" w:val="left"/>
        </w:tabs>
        <w:numPr>
          <w:ilvl w:val="1"/>
          <w:numId w:val="5"/>
        </w:numPr>
        <w:rPr>
          <w:rFonts w:ascii="Arial" w:cs="Arial" w:eastAsia="Arial" w:hAnsi="Arial"/>
          <w:sz w:val="12"/>
          <w:szCs w:val="12"/>
          <w:color w:val="auto"/>
        </w:rPr>
      </w:pPr>
      <w:r>
        <w:rPr>
          <w:rFonts w:ascii="Arial" w:cs="Arial" w:eastAsia="Arial" w:hAnsi="Arial"/>
          <w:sz w:val="12"/>
          <w:szCs w:val="12"/>
          <w:color w:val="auto"/>
        </w:rPr>
        <w:t>Per unit price or other underlying value of transaction computed pursuant to Exchange Act Rule 0-11 (set forth the amount on which the filing fee is calculated and state how it was determined):</w:t>
      </w:r>
    </w:p>
    <w:p>
      <w:pPr>
        <w:spacing w:after="0" w:line="168" w:lineRule="exact"/>
        <w:rPr>
          <w:rFonts w:ascii="Arial" w:cs="Arial" w:eastAsia="Arial" w:hAnsi="Arial"/>
          <w:sz w:val="12"/>
          <w:szCs w:val="12"/>
          <w:color w:val="auto"/>
        </w:rPr>
      </w:pPr>
    </w:p>
    <w:p>
      <w:pPr>
        <w:ind w:left="688" w:hanging="251"/>
        <w:spacing w:after="0"/>
        <w:tabs>
          <w:tab w:leader="none" w:pos="688" w:val="left"/>
        </w:tabs>
        <w:numPr>
          <w:ilvl w:val="1"/>
          <w:numId w:val="5"/>
        </w:numPr>
        <w:rPr>
          <w:rFonts w:ascii="Arial" w:cs="Arial" w:eastAsia="Arial" w:hAnsi="Arial"/>
          <w:sz w:val="12"/>
          <w:szCs w:val="12"/>
          <w:color w:val="auto"/>
        </w:rPr>
      </w:pPr>
      <w:r>
        <w:rPr>
          <w:rFonts w:ascii="Arial" w:cs="Arial" w:eastAsia="Arial" w:hAnsi="Arial"/>
          <w:sz w:val="12"/>
          <w:szCs w:val="12"/>
          <w:color w:val="auto"/>
        </w:rPr>
        <w:t>Proposed maximum aggregate value of transaction:</w:t>
      </w:r>
    </w:p>
    <w:p>
      <w:pPr>
        <w:spacing w:after="0" w:line="168" w:lineRule="exact"/>
        <w:rPr>
          <w:rFonts w:ascii="Arial" w:cs="Arial" w:eastAsia="Arial" w:hAnsi="Arial"/>
          <w:sz w:val="12"/>
          <w:szCs w:val="12"/>
          <w:color w:val="auto"/>
        </w:rPr>
      </w:pPr>
    </w:p>
    <w:p>
      <w:pPr>
        <w:ind w:left="688" w:hanging="251"/>
        <w:spacing w:after="0"/>
        <w:tabs>
          <w:tab w:leader="none" w:pos="688" w:val="left"/>
        </w:tabs>
        <w:numPr>
          <w:ilvl w:val="1"/>
          <w:numId w:val="5"/>
        </w:numPr>
        <w:rPr>
          <w:rFonts w:ascii="Arial" w:cs="Arial" w:eastAsia="Arial" w:hAnsi="Arial"/>
          <w:sz w:val="12"/>
          <w:szCs w:val="12"/>
          <w:color w:val="auto"/>
        </w:rPr>
      </w:pPr>
      <w:r>
        <w:rPr>
          <w:rFonts w:ascii="Arial" w:cs="Arial" w:eastAsia="Arial" w:hAnsi="Arial"/>
          <w:sz w:val="12"/>
          <w:szCs w:val="12"/>
          <w:color w:val="auto"/>
        </w:rPr>
        <w:t>Total fee paid:</w:t>
      </w:r>
    </w:p>
    <w:p>
      <w:pPr>
        <w:spacing w:after="0" w:line="312" w:lineRule="exact"/>
        <w:rPr>
          <w:rFonts w:ascii="Arial" w:cs="Arial" w:eastAsia="Arial" w:hAnsi="Arial"/>
          <w:sz w:val="12"/>
          <w:szCs w:val="12"/>
          <w:color w:val="auto"/>
        </w:rPr>
      </w:pPr>
    </w:p>
    <w:p>
      <w:pPr>
        <w:ind w:left="348" w:hanging="348"/>
        <w:spacing w:after="0"/>
        <w:tabs>
          <w:tab w:leader="none" w:pos="348" w:val="left"/>
        </w:tabs>
        <w:numPr>
          <w:ilvl w:val="0"/>
          <w:numId w:val="5"/>
        </w:numPr>
        <w:rPr>
          <w:rFonts w:ascii="Arial" w:cs="Arial" w:eastAsia="Arial" w:hAnsi="Arial"/>
          <w:sz w:val="12"/>
          <w:szCs w:val="12"/>
          <w:color w:val="auto"/>
        </w:rPr>
      </w:pPr>
      <w:r>
        <w:rPr>
          <w:rFonts w:ascii="Arial" w:cs="Arial" w:eastAsia="Arial" w:hAnsi="Arial"/>
          <w:sz w:val="12"/>
          <w:szCs w:val="12"/>
          <w:color w:val="auto"/>
        </w:rPr>
        <w:t>Fee paid previously with preliminary materials.</w:t>
      </w:r>
    </w:p>
    <w:p>
      <w:pPr>
        <w:spacing w:after="0" w:line="168" w:lineRule="exact"/>
        <w:rPr>
          <w:rFonts w:ascii="Arial" w:cs="Arial" w:eastAsia="Arial" w:hAnsi="Arial"/>
          <w:sz w:val="12"/>
          <w:szCs w:val="12"/>
          <w:color w:val="auto"/>
        </w:rPr>
      </w:pPr>
    </w:p>
    <w:p>
      <w:pPr>
        <w:ind w:left="348" w:hanging="348"/>
        <w:spacing w:after="0" w:line="276" w:lineRule="auto"/>
        <w:tabs>
          <w:tab w:leader="none" w:pos="348" w:val="left"/>
        </w:tabs>
        <w:numPr>
          <w:ilvl w:val="0"/>
          <w:numId w:val="5"/>
        </w:numPr>
        <w:rPr>
          <w:rFonts w:ascii="Arial" w:cs="Arial" w:eastAsia="Arial" w:hAnsi="Arial"/>
          <w:sz w:val="12"/>
          <w:szCs w:val="12"/>
          <w:color w:val="auto"/>
        </w:rPr>
      </w:pPr>
      <w:r>
        <w:rPr>
          <w:rFonts w:ascii="Arial" w:cs="Arial" w:eastAsia="Arial" w:hAnsi="Arial"/>
          <w:sz w:val="12"/>
          <w:szCs w:val="12"/>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14" w:lineRule="exact"/>
        <w:rPr>
          <w:rFonts w:ascii="Arial" w:cs="Arial" w:eastAsia="Arial" w:hAnsi="Arial"/>
          <w:sz w:val="12"/>
          <w:szCs w:val="12"/>
          <w:color w:val="auto"/>
        </w:rPr>
      </w:pPr>
    </w:p>
    <w:p>
      <w:pPr>
        <w:ind w:left="688" w:hanging="251"/>
        <w:spacing w:after="0"/>
        <w:tabs>
          <w:tab w:leader="none" w:pos="688" w:val="left"/>
        </w:tabs>
        <w:numPr>
          <w:ilvl w:val="1"/>
          <w:numId w:val="5"/>
        </w:numPr>
        <w:rPr>
          <w:rFonts w:ascii="Arial" w:cs="Arial" w:eastAsia="Arial" w:hAnsi="Arial"/>
          <w:sz w:val="12"/>
          <w:szCs w:val="12"/>
          <w:color w:val="auto"/>
        </w:rPr>
      </w:pPr>
      <w:r>
        <w:rPr>
          <w:rFonts w:ascii="Arial" w:cs="Arial" w:eastAsia="Arial" w:hAnsi="Arial"/>
          <w:sz w:val="12"/>
          <w:szCs w:val="12"/>
          <w:color w:val="auto"/>
        </w:rPr>
        <w:t>Amount previously paid:</w:t>
      </w:r>
    </w:p>
    <w:p>
      <w:pPr>
        <w:spacing w:after="0" w:line="168" w:lineRule="exact"/>
        <w:rPr>
          <w:rFonts w:ascii="Arial" w:cs="Arial" w:eastAsia="Arial" w:hAnsi="Arial"/>
          <w:sz w:val="12"/>
          <w:szCs w:val="12"/>
          <w:color w:val="auto"/>
        </w:rPr>
      </w:pPr>
    </w:p>
    <w:p>
      <w:pPr>
        <w:ind w:left="688" w:hanging="251"/>
        <w:spacing w:after="0"/>
        <w:tabs>
          <w:tab w:leader="none" w:pos="688" w:val="left"/>
        </w:tabs>
        <w:numPr>
          <w:ilvl w:val="1"/>
          <w:numId w:val="5"/>
        </w:numPr>
        <w:rPr>
          <w:rFonts w:ascii="Arial" w:cs="Arial" w:eastAsia="Arial" w:hAnsi="Arial"/>
          <w:sz w:val="12"/>
          <w:szCs w:val="12"/>
          <w:color w:val="auto"/>
        </w:rPr>
      </w:pPr>
      <w:r>
        <w:rPr>
          <w:rFonts w:ascii="Arial" w:cs="Arial" w:eastAsia="Arial" w:hAnsi="Arial"/>
          <w:sz w:val="12"/>
          <w:szCs w:val="12"/>
          <w:color w:val="auto"/>
        </w:rPr>
        <w:t>Form, Schedule or Registration Statement No.:</w:t>
      </w:r>
    </w:p>
    <w:p>
      <w:pPr>
        <w:spacing w:after="0" w:line="168" w:lineRule="exact"/>
        <w:rPr>
          <w:rFonts w:ascii="Arial" w:cs="Arial" w:eastAsia="Arial" w:hAnsi="Arial"/>
          <w:sz w:val="12"/>
          <w:szCs w:val="12"/>
          <w:color w:val="auto"/>
        </w:rPr>
      </w:pPr>
    </w:p>
    <w:p>
      <w:pPr>
        <w:ind w:left="688" w:hanging="251"/>
        <w:spacing w:after="0"/>
        <w:tabs>
          <w:tab w:leader="none" w:pos="688" w:val="left"/>
        </w:tabs>
        <w:numPr>
          <w:ilvl w:val="1"/>
          <w:numId w:val="5"/>
        </w:numPr>
        <w:rPr>
          <w:rFonts w:ascii="Arial" w:cs="Arial" w:eastAsia="Arial" w:hAnsi="Arial"/>
          <w:sz w:val="12"/>
          <w:szCs w:val="12"/>
          <w:color w:val="auto"/>
        </w:rPr>
      </w:pPr>
      <w:r>
        <w:rPr>
          <w:rFonts w:ascii="Arial" w:cs="Arial" w:eastAsia="Arial" w:hAnsi="Arial"/>
          <w:sz w:val="12"/>
          <w:szCs w:val="12"/>
          <w:color w:val="auto"/>
        </w:rPr>
        <w:t>Filing Party:</w:t>
      </w:r>
    </w:p>
    <w:p>
      <w:pPr>
        <w:spacing w:after="0" w:line="168" w:lineRule="exact"/>
        <w:rPr>
          <w:rFonts w:ascii="Arial" w:cs="Arial" w:eastAsia="Arial" w:hAnsi="Arial"/>
          <w:sz w:val="12"/>
          <w:szCs w:val="12"/>
          <w:color w:val="auto"/>
        </w:rPr>
      </w:pPr>
    </w:p>
    <w:p>
      <w:pPr>
        <w:ind w:left="688" w:hanging="251"/>
        <w:spacing w:after="0"/>
        <w:tabs>
          <w:tab w:leader="none" w:pos="688" w:val="left"/>
        </w:tabs>
        <w:numPr>
          <w:ilvl w:val="1"/>
          <w:numId w:val="5"/>
        </w:numPr>
        <w:rPr>
          <w:rFonts w:ascii="Arial" w:cs="Arial" w:eastAsia="Arial" w:hAnsi="Arial"/>
          <w:sz w:val="12"/>
          <w:szCs w:val="12"/>
          <w:color w:val="auto"/>
        </w:rPr>
      </w:pPr>
      <w:r>
        <w:rPr>
          <w:rFonts w:ascii="Arial" w:cs="Arial" w:eastAsia="Arial" w:hAnsi="Arial"/>
          <w:sz w:val="12"/>
          <w:szCs w:val="12"/>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-2014220</wp:posOffset>
            </wp:positionV>
            <wp:extent cx="685736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57365" cy="5715"/>
                    </a:xfrm>
                    <a:prstGeom prst="rect">
                      <a:avLst/>
                    </a:prstGeom>
                    <a:noFill/>
                  </pic:spPr>
                </pic:pic>
              </a:graphicData>
            </a:graphic>
          </wp:anchor>
        </w:drawing>
        <w:drawing>
          <wp:anchor simplePos="0" relativeHeight="251657728" behindDoc="1" locked="0" layoutInCell="0" allowOverlap="1">
            <wp:simplePos x="0" y="0"/>
            <wp:positionH relativeFrom="column">
              <wp:posOffset>434975</wp:posOffset>
            </wp:positionH>
            <wp:positionV relativeFrom="paragraph">
              <wp:posOffset>-1819910</wp:posOffset>
            </wp:positionV>
            <wp:extent cx="685736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7365" cy="5715"/>
                    </a:xfrm>
                    <a:prstGeom prst="rect">
                      <a:avLst/>
                    </a:prstGeom>
                    <a:noFill/>
                  </pic:spPr>
                </pic:pic>
              </a:graphicData>
            </a:graphic>
          </wp:anchor>
        </w:drawing>
        <w:drawing>
          <wp:anchor simplePos="0" relativeHeight="251657728" behindDoc="1" locked="0" layoutInCell="0" allowOverlap="1">
            <wp:simplePos x="0" y="0"/>
            <wp:positionH relativeFrom="column">
              <wp:posOffset>434975</wp:posOffset>
            </wp:positionH>
            <wp:positionV relativeFrom="paragraph">
              <wp:posOffset>-1625600</wp:posOffset>
            </wp:positionV>
            <wp:extent cx="685736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7365" cy="5715"/>
                    </a:xfrm>
                    <a:prstGeom prst="rect">
                      <a:avLst/>
                    </a:prstGeom>
                    <a:noFill/>
                  </pic:spPr>
                </pic:pic>
              </a:graphicData>
            </a:graphic>
          </wp:anchor>
        </w:drawing>
        <w:drawing>
          <wp:anchor simplePos="0" relativeHeight="251657728" behindDoc="1" locked="0" layoutInCell="0" allowOverlap="1">
            <wp:simplePos x="0" y="0"/>
            <wp:positionH relativeFrom="column">
              <wp:posOffset>434975</wp:posOffset>
            </wp:positionH>
            <wp:positionV relativeFrom="paragraph">
              <wp:posOffset>-1431290</wp:posOffset>
            </wp:positionV>
            <wp:extent cx="685736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7365" cy="5715"/>
                    </a:xfrm>
                    <a:prstGeom prst="rect">
                      <a:avLst/>
                    </a:prstGeom>
                    <a:noFill/>
                  </pic:spPr>
                </pic:pic>
              </a:graphicData>
            </a:graphic>
          </wp:anchor>
        </w:drawing>
        <w:drawing>
          <wp:anchor simplePos="0" relativeHeight="251657728" behindDoc="1" locked="0" layoutInCell="0" allowOverlap="1">
            <wp:simplePos x="0" y="0"/>
            <wp:positionH relativeFrom="column">
              <wp:posOffset>434975</wp:posOffset>
            </wp:positionH>
            <wp:positionV relativeFrom="paragraph">
              <wp:posOffset>-1236980</wp:posOffset>
            </wp:positionV>
            <wp:extent cx="685736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7365" cy="571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-1042035</wp:posOffset>
            </wp:positionV>
            <wp:extent cx="450088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500880" cy="5715"/>
                    </a:xfrm>
                    <a:prstGeom prst="rect">
                      <a:avLst/>
                    </a:prstGeom>
                    <a:noFill/>
                  </pic:spPr>
                </pic:pic>
              </a:graphicData>
            </a:graphic>
          </wp:anchor>
        </w:drawing>
        <w:drawing>
          <wp:anchor simplePos="0" relativeHeight="251657728" behindDoc="1" locked="0" layoutInCell="0" allowOverlap="1">
            <wp:simplePos x="0" y="0"/>
            <wp:positionH relativeFrom="column">
              <wp:posOffset>434975</wp:posOffset>
            </wp:positionH>
            <wp:positionV relativeFrom="paragraph">
              <wp:posOffset>-481965</wp:posOffset>
            </wp:positionV>
            <wp:extent cx="685736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7365" cy="5715"/>
                    </a:xfrm>
                    <a:prstGeom prst="rect">
                      <a:avLst/>
                    </a:prstGeom>
                    <a:noFill/>
                  </pic:spPr>
                </pic:pic>
              </a:graphicData>
            </a:graphic>
          </wp:anchor>
        </w:drawing>
        <w:drawing>
          <wp:anchor simplePos="0" relativeHeight="251657728" behindDoc="1" locked="0" layoutInCell="0" allowOverlap="1">
            <wp:simplePos x="0" y="0"/>
            <wp:positionH relativeFrom="column">
              <wp:posOffset>434975</wp:posOffset>
            </wp:positionH>
            <wp:positionV relativeFrom="paragraph">
              <wp:posOffset>-287020</wp:posOffset>
            </wp:positionV>
            <wp:extent cx="6857365"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7365" cy="5715"/>
                    </a:xfrm>
                    <a:prstGeom prst="rect">
                      <a:avLst/>
                    </a:prstGeom>
                    <a:noFill/>
                  </pic:spPr>
                </pic:pic>
              </a:graphicData>
            </a:graphic>
          </wp:anchor>
        </w:drawing>
        <w:drawing>
          <wp:anchor simplePos="0" relativeHeight="251657728" behindDoc="1" locked="0" layoutInCell="0" allowOverlap="1">
            <wp:simplePos x="0" y="0"/>
            <wp:positionH relativeFrom="column">
              <wp:posOffset>434975</wp:posOffset>
            </wp:positionH>
            <wp:positionV relativeFrom="paragraph">
              <wp:posOffset>-92710</wp:posOffset>
            </wp:positionV>
            <wp:extent cx="6857365"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7365" cy="5715"/>
                    </a:xfrm>
                    <a:prstGeom prst="rect">
                      <a:avLst/>
                    </a:prstGeom>
                    <a:noFill/>
                  </pic:spPr>
                </pic:pic>
              </a:graphicData>
            </a:graphic>
          </wp:anchor>
        </w:drawing>
        <w:drawing>
          <wp:anchor simplePos="0" relativeHeight="251657728" behindDoc="1" locked="0" layoutInCell="0" allowOverlap="1">
            <wp:simplePos x="0" y="0"/>
            <wp:positionH relativeFrom="column">
              <wp:posOffset>434975</wp:posOffset>
            </wp:positionH>
            <wp:positionV relativeFrom="paragraph">
              <wp:posOffset>100965</wp:posOffset>
            </wp:positionV>
            <wp:extent cx="685736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7365"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200660</wp:posOffset>
            </wp:positionV>
            <wp:extent cx="7299325" cy="18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8"/>
          </w:cols>
          <w:pgMar w:left="212" w:top="129" w:right="219" w:bottom="1440" w:gutter="0" w:footer="0" w:header="0"/>
        </w:sectPr>
      </w:pPr>
    </w:p>
    <w:bookmarkStart w:id="2" w:name="page3"/>
    <w:bookmarkEnd w:id="2"/>
    <w:p>
      <w:pPr>
        <w:spacing w:after="0"/>
        <w:rPr>
          <w:rFonts w:ascii="Arial" w:cs="Arial" w:eastAsia="Arial" w:hAnsi="Arial"/>
          <w:sz w:val="12"/>
          <w:szCs w:val="12"/>
          <w:b w:val="1"/>
          <w:bCs w:val="1"/>
          <w:u w:val="single" w:color="auto"/>
          <w:color w:val="0000EE"/>
        </w:rPr>
      </w:pPr>
      <w:hyperlink w:anchor="page4">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3094990</wp:posOffset>
            </wp:positionH>
            <wp:positionV relativeFrom="paragraph">
              <wp:posOffset>136525</wp:posOffset>
            </wp:positionV>
            <wp:extent cx="1023620" cy="262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23620" cy="262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80" w:type="dxa"/>
            <w:vAlign w:val="bottom"/>
          </w:tcPr>
          <w:p>
            <w:pPr>
              <w:ind w:left="1180"/>
              <w:spacing w:after="0"/>
              <w:rPr>
                <w:sz w:val="20"/>
                <w:szCs w:val="20"/>
                <w:color w:val="auto"/>
              </w:rPr>
            </w:pPr>
            <w:r>
              <w:rPr>
                <w:rFonts w:ascii="Arial" w:cs="Arial" w:eastAsia="Arial" w:hAnsi="Arial"/>
                <w:sz w:val="12"/>
                <w:szCs w:val="12"/>
                <w:b w:val="1"/>
                <w:bCs w:val="1"/>
                <w:color w:val="auto"/>
                <w:w w:val="89"/>
              </w:rPr>
              <w:t>Notice of 2010 Annual Meeting of Shareholders of Comcast Corporation</w:t>
            </w:r>
          </w:p>
        </w:tc>
      </w:tr>
      <w:tr>
        <w:trPr>
          <w:trHeight w:val="234"/>
        </w:trPr>
        <w:tc>
          <w:tcPr>
            <w:tcW w:w="780" w:type="dxa"/>
            <w:vAlign w:val="bottom"/>
          </w:tcPr>
          <w:p>
            <w:pPr>
              <w:spacing w:after="0"/>
              <w:rPr>
                <w:sz w:val="20"/>
                <w:szCs w:val="20"/>
                <w:color w:val="auto"/>
              </w:rPr>
            </w:pPr>
            <w:r>
              <w:rPr>
                <w:rFonts w:ascii="Arial" w:cs="Arial" w:eastAsia="Arial" w:hAnsi="Arial"/>
                <w:sz w:val="12"/>
                <w:szCs w:val="12"/>
                <w:color w:val="auto"/>
              </w:rPr>
              <w:t>Date:</w:t>
            </w:r>
          </w:p>
        </w:tc>
        <w:tc>
          <w:tcPr>
            <w:tcW w:w="1180" w:type="dxa"/>
            <w:vAlign w:val="bottom"/>
            <w:gridSpan w:val="2"/>
          </w:tcPr>
          <w:p>
            <w:pPr>
              <w:ind w:left="340"/>
              <w:spacing w:after="0"/>
              <w:rPr>
                <w:sz w:val="20"/>
                <w:szCs w:val="20"/>
                <w:color w:val="auto"/>
              </w:rPr>
            </w:pPr>
            <w:r>
              <w:rPr>
                <w:rFonts w:ascii="Arial" w:cs="Arial" w:eastAsia="Arial" w:hAnsi="Arial"/>
                <w:sz w:val="12"/>
                <w:szCs w:val="12"/>
                <w:color w:val="auto"/>
              </w:rPr>
              <w:t>May 20, 2010</w:t>
            </w:r>
          </w:p>
        </w:tc>
        <w:tc>
          <w:tcPr>
            <w:tcW w:w="4880" w:type="dxa"/>
            <w:vAlign w:val="bottom"/>
          </w:tcPr>
          <w:p>
            <w:pPr>
              <w:spacing w:after="0"/>
              <w:rPr>
                <w:sz w:val="20"/>
                <w:szCs w:val="20"/>
                <w:color w:val="auto"/>
              </w:rPr>
            </w:pPr>
          </w:p>
        </w:tc>
      </w:tr>
      <w:tr>
        <w:trPr>
          <w:trHeight w:val="207"/>
        </w:trPr>
        <w:tc>
          <w:tcPr>
            <w:tcW w:w="780" w:type="dxa"/>
            <w:vAlign w:val="bottom"/>
          </w:tcPr>
          <w:p>
            <w:pPr>
              <w:spacing w:after="0"/>
              <w:rPr>
                <w:sz w:val="20"/>
                <w:szCs w:val="20"/>
                <w:color w:val="auto"/>
              </w:rPr>
            </w:pPr>
            <w:r>
              <w:rPr>
                <w:rFonts w:ascii="Arial" w:cs="Arial" w:eastAsia="Arial" w:hAnsi="Arial"/>
                <w:sz w:val="12"/>
                <w:szCs w:val="12"/>
                <w:color w:val="auto"/>
              </w:rPr>
              <w:t>Time:</w:t>
            </w:r>
          </w:p>
        </w:tc>
        <w:tc>
          <w:tcPr>
            <w:tcW w:w="1180" w:type="dxa"/>
            <w:vAlign w:val="bottom"/>
            <w:gridSpan w:val="2"/>
          </w:tcPr>
          <w:p>
            <w:pPr>
              <w:ind w:left="340"/>
              <w:spacing w:after="0"/>
              <w:rPr>
                <w:sz w:val="20"/>
                <w:szCs w:val="20"/>
                <w:color w:val="auto"/>
              </w:rPr>
            </w:pPr>
            <w:r>
              <w:rPr>
                <w:rFonts w:ascii="Arial" w:cs="Arial" w:eastAsia="Arial" w:hAnsi="Arial"/>
                <w:sz w:val="12"/>
                <w:szCs w:val="12"/>
                <w:color w:val="auto"/>
              </w:rPr>
              <w:t>Doors open:</w:t>
            </w:r>
          </w:p>
        </w:tc>
        <w:tc>
          <w:tcPr>
            <w:tcW w:w="4880" w:type="dxa"/>
            <w:vAlign w:val="bottom"/>
          </w:tcPr>
          <w:p>
            <w:pPr>
              <w:ind w:left="40"/>
              <w:spacing w:after="0"/>
              <w:rPr>
                <w:sz w:val="20"/>
                <w:szCs w:val="20"/>
                <w:color w:val="auto"/>
              </w:rPr>
            </w:pPr>
            <w:r>
              <w:rPr>
                <w:rFonts w:ascii="Arial" w:cs="Arial" w:eastAsia="Arial" w:hAnsi="Arial"/>
                <w:sz w:val="12"/>
                <w:szCs w:val="12"/>
                <w:color w:val="auto"/>
              </w:rPr>
              <w:t>8:00 a.m. Eastern Daylight Time</w:t>
            </w:r>
          </w:p>
        </w:tc>
      </w:tr>
      <w:tr>
        <w:trPr>
          <w:trHeight w:val="153"/>
        </w:trPr>
        <w:tc>
          <w:tcPr>
            <w:tcW w:w="780" w:type="dxa"/>
            <w:vAlign w:val="bottom"/>
          </w:tcPr>
          <w:p>
            <w:pPr>
              <w:spacing w:after="0"/>
              <w:rPr>
                <w:sz w:val="13"/>
                <w:szCs w:val="13"/>
                <w:color w:val="auto"/>
              </w:rPr>
            </w:pPr>
          </w:p>
        </w:tc>
        <w:tc>
          <w:tcPr>
            <w:tcW w:w="6060" w:type="dxa"/>
            <w:vAlign w:val="bottom"/>
            <w:gridSpan w:val="3"/>
          </w:tcPr>
          <w:p>
            <w:pPr>
              <w:ind w:left="340"/>
              <w:spacing w:after="0"/>
              <w:rPr>
                <w:sz w:val="20"/>
                <w:szCs w:val="20"/>
                <w:color w:val="auto"/>
              </w:rPr>
            </w:pPr>
            <w:r>
              <w:rPr>
                <w:rFonts w:ascii="Arial" w:cs="Arial" w:eastAsia="Arial" w:hAnsi="Arial"/>
                <w:sz w:val="12"/>
                <w:szCs w:val="12"/>
                <w:color w:val="auto"/>
              </w:rPr>
              <w:t>Meeting begins:  9:00 a.m. Eastern Daylight Time</w:t>
            </w:r>
          </w:p>
        </w:tc>
      </w:tr>
      <w:tr>
        <w:trPr>
          <w:trHeight w:val="207"/>
        </w:trPr>
        <w:tc>
          <w:tcPr>
            <w:tcW w:w="780" w:type="dxa"/>
            <w:vAlign w:val="bottom"/>
          </w:tcPr>
          <w:p>
            <w:pPr>
              <w:spacing w:after="0"/>
              <w:rPr>
                <w:sz w:val="20"/>
                <w:szCs w:val="20"/>
                <w:color w:val="auto"/>
              </w:rPr>
            </w:pPr>
            <w:r>
              <w:rPr>
                <w:rFonts w:ascii="Arial" w:cs="Arial" w:eastAsia="Arial" w:hAnsi="Arial"/>
                <w:sz w:val="12"/>
                <w:szCs w:val="12"/>
                <w:color w:val="auto"/>
              </w:rPr>
              <w:t>Place:</w:t>
            </w:r>
          </w:p>
        </w:tc>
        <w:tc>
          <w:tcPr>
            <w:tcW w:w="6060" w:type="dxa"/>
            <w:vAlign w:val="bottom"/>
            <w:gridSpan w:val="3"/>
          </w:tcPr>
          <w:p>
            <w:pPr>
              <w:ind w:left="340"/>
              <w:spacing w:after="0"/>
              <w:rPr>
                <w:sz w:val="20"/>
                <w:szCs w:val="20"/>
                <w:color w:val="auto"/>
              </w:rPr>
            </w:pPr>
            <w:r>
              <w:rPr>
                <w:rFonts w:ascii="Arial" w:cs="Arial" w:eastAsia="Arial" w:hAnsi="Arial"/>
                <w:sz w:val="12"/>
                <w:szCs w:val="12"/>
                <w:color w:val="auto"/>
              </w:rPr>
              <w:t>Pennsylvania Convention Center</w:t>
            </w:r>
          </w:p>
        </w:tc>
      </w:tr>
      <w:tr>
        <w:trPr>
          <w:trHeight w:val="144"/>
        </w:trPr>
        <w:tc>
          <w:tcPr>
            <w:tcW w:w="780" w:type="dxa"/>
            <w:vAlign w:val="bottom"/>
          </w:tcPr>
          <w:p>
            <w:pPr>
              <w:spacing w:after="0"/>
              <w:rPr>
                <w:sz w:val="12"/>
                <w:szCs w:val="12"/>
                <w:color w:val="auto"/>
              </w:rPr>
            </w:pPr>
          </w:p>
        </w:tc>
        <w:tc>
          <w:tcPr>
            <w:tcW w:w="6060" w:type="dxa"/>
            <w:vAlign w:val="bottom"/>
            <w:gridSpan w:val="3"/>
          </w:tcPr>
          <w:p>
            <w:pPr>
              <w:ind w:left="340"/>
              <w:spacing w:after="0"/>
              <w:rPr>
                <w:sz w:val="20"/>
                <w:szCs w:val="20"/>
                <w:color w:val="auto"/>
              </w:rPr>
            </w:pPr>
            <w:r>
              <w:rPr>
                <w:rFonts w:ascii="Arial" w:cs="Arial" w:eastAsia="Arial" w:hAnsi="Arial"/>
                <w:sz w:val="12"/>
                <w:szCs w:val="12"/>
                <w:color w:val="auto"/>
              </w:rPr>
              <w:t>One Convention Center Place</w:t>
            </w:r>
          </w:p>
        </w:tc>
      </w:tr>
      <w:tr>
        <w:trPr>
          <w:trHeight w:val="153"/>
        </w:trPr>
        <w:tc>
          <w:tcPr>
            <w:tcW w:w="780" w:type="dxa"/>
            <w:vAlign w:val="bottom"/>
          </w:tcPr>
          <w:p>
            <w:pPr>
              <w:spacing w:after="0"/>
              <w:rPr>
                <w:sz w:val="13"/>
                <w:szCs w:val="13"/>
                <w:color w:val="auto"/>
              </w:rPr>
            </w:pPr>
          </w:p>
        </w:tc>
        <w:tc>
          <w:tcPr>
            <w:tcW w:w="6060" w:type="dxa"/>
            <w:vAlign w:val="bottom"/>
            <w:gridSpan w:val="3"/>
          </w:tcPr>
          <w:p>
            <w:pPr>
              <w:ind w:left="340"/>
              <w:spacing w:after="0"/>
              <w:rPr>
                <w:sz w:val="20"/>
                <w:szCs w:val="20"/>
                <w:color w:val="auto"/>
              </w:rPr>
            </w:pPr>
            <w:r>
              <w:rPr>
                <w:rFonts w:ascii="Arial" w:cs="Arial" w:eastAsia="Arial" w:hAnsi="Arial"/>
                <w:sz w:val="12"/>
                <w:szCs w:val="12"/>
                <w:color w:val="auto"/>
              </w:rPr>
              <w:t>Philadelphia, Pennsylvania 19107</w:t>
            </w:r>
          </w:p>
        </w:tc>
      </w:tr>
      <w:tr>
        <w:trPr>
          <w:trHeight w:val="207"/>
        </w:trPr>
        <w:tc>
          <w:tcPr>
            <w:tcW w:w="780" w:type="dxa"/>
            <w:vAlign w:val="bottom"/>
          </w:tcPr>
          <w:p>
            <w:pPr>
              <w:spacing w:after="0"/>
              <w:rPr>
                <w:sz w:val="20"/>
                <w:szCs w:val="20"/>
                <w:color w:val="auto"/>
              </w:rPr>
            </w:pPr>
            <w:r>
              <w:rPr>
                <w:rFonts w:ascii="Arial" w:cs="Arial" w:eastAsia="Arial" w:hAnsi="Arial"/>
                <w:sz w:val="12"/>
                <w:szCs w:val="12"/>
                <w:color w:val="auto"/>
              </w:rPr>
              <w:t>Purposes:</w:t>
            </w:r>
          </w:p>
        </w:tc>
        <w:tc>
          <w:tcPr>
            <w:tcW w:w="400" w:type="dxa"/>
            <w:vAlign w:val="bottom"/>
          </w:tcPr>
          <w:p>
            <w:pPr>
              <w:ind w:left="340"/>
              <w:spacing w:after="0"/>
              <w:rPr>
                <w:sz w:val="20"/>
                <w:szCs w:val="20"/>
                <w:color w:val="auto"/>
              </w:rPr>
            </w:pPr>
            <w:r>
              <w:rPr>
                <w:rFonts w:ascii="Arial" w:cs="Arial" w:eastAsia="Arial" w:hAnsi="Arial"/>
                <w:sz w:val="12"/>
                <w:szCs w:val="12"/>
                <w:color w:val="auto"/>
                <w:w w:val="94"/>
              </w:rPr>
              <w:t>•</w:t>
            </w:r>
          </w:p>
        </w:tc>
        <w:tc>
          <w:tcPr>
            <w:tcW w:w="780" w:type="dxa"/>
            <w:vAlign w:val="bottom"/>
          </w:tcPr>
          <w:p>
            <w:pPr>
              <w:ind w:left="40"/>
              <w:spacing w:after="0"/>
              <w:rPr>
                <w:sz w:val="20"/>
                <w:szCs w:val="20"/>
                <w:color w:val="auto"/>
              </w:rPr>
            </w:pPr>
            <w:r>
              <w:rPr>
                <w:rFonts w:ascii="Arial" w:cs="Arial" w:eastAsia="Arial" w:hAnsi="Arial"/>
                <w:sz w:val="12"/>
                <w:szCs w:val="12"/>
                <w:color w:val="auto"/>
                <w:w w:val="94"/>
              </w:rPr>
              <w:t>Elect directors</w:t>
            </w:r>
          </w:p>
        </w:tc>
        <w:tc>
          <w:tcPr>
            <w:tcW w:w="4880" w:type="dxa"/>
            <w:vAlign w:val="bottom"/>
          </w:tcPr>
          <w:p>
            <w:pPr>
              <w:spacing w:after="0"/>
              <w:rPr>
                <w:sz w:val="18"/>
                <w:szCs w:val="18"/>
                <w:color w:val="auto"/>
              </w:rPr>
            </w:pPr>
          </w:p>
        </w:tc>
      </w:tr>
      <w:tr>
        <w:trPr>
          <w:trHeight w:val="144"/>
        </w:trPr>
        <w:tc>
          <w:tcPr>
            <w:tcW w:w="780" w:type="dxa"/>
            <w:vAlign w:val="bottom"/>
          </w:tcPr>
          <w:p>
            <w:pPr>
              <w:spacing w:after="0"/>
              <w:rPr>
                <w:sz w:val="12"/>
                <w:szCs w:val="12"/>
                <w:color w:val="auto"/>
              </w:rPr>
            </w:pPr>
          </w:p>
        </w:tc>
        <w:tc>
          <w:tcPr>
            <w:tcW w:w="400" w:type="dxa"/>
            <w:vAlign w:val="bottom"/>
          </w:tcPr>
          <w:p>
            <w:pPr>
              <w:ind w:left="340"/>
              <w:spacing w:after="0"/>
              <w:rPr>
                <w:sz w:val="20"/>
                <w:szCs w:val="20"/>
                <w:color w:val="auto"/>
              </w:rPr>
            </w:pPr>
            <w:r>
              <w:rPr>
                <w:rFonts w:ascii="Arial" w:cs="Arial" w:eastAsia="Arial" w:hAnsi="Arial"/>
                <w:sz w:val="12"/>
                <w:szCs w:val="12"/>
                <w:color w:val="auto"/>
                <w:w w:val="94"/>
              </w:rPr>
              <w:t>•</w:t>
            </w:r>
          </w:p>
        </w:tc>
        <w:tc>
          <w:tcPr>
            <w:tcW w:w="5660" w:type="dxa"/>
            <w:vAlign w:val="bottom"/>
            <w:gridSpan w:val="2"/>
          </w:tcPr>
          <w:p>
            <w:pPr>
              <w:ind w:left="40"/>
              <w:spacing w:after="0"/>
              <w:rPr>
                <w:sz w:val="20"/>
                <w:szCs w:val="20"/>
                <w:color w:val="auto"/>
              </w:rPr>
            </w:pPr>
            <w:r>
              <w:rPr>
                <w:rFonts w:ascii="Arial" w:cs="Arial" w:eastAsia="Arial" w:hAnsi="Arial"/>
                <w:sz w:val="12"/>
                <w:szCs w:val="12"/>
                <w:color w:val="auto"/>
              </w:rPr>
              <w:t>Ratify the appointment of our independent auditors</w:t>
            </w:r>
          </w:p>
        </w:tc>
      </w:tr>
      <w:tr>
        <w:trPr>
          <w:trHeight w:val="144"/>
        </w:trPr>
        <w:tc>
          <w:tcPr>
            <w:tcW w:w="780" w:type="dxa"/>
            <w:vAlign w:val="bottom"/>
          </w:tcPr>
          <w:p>
            <w:pPr>
              <w:spacing w:after="0"/>
              <w:rPr>
                <w:sz w:val="12"/>
                <w:szCs w:val="12"/>
                <w:color w:val="auto"/>
              </w:rPr>
            </w:pPr>
          </w:p>
        </w:tc>
        <w:tc>
          <w:tcPr>
            <w:tcW w:w="6060" w:type="dxa"/>
            <w:vAlign w:val="bottom"/>
            <w:gridSpan w:val="3"/>
          </w:tcPr>
          <w:p>
            <w:pPr>
              <w:ind w:left="340"/>
              <w:spacing w:after="0"/>
              <w:rPr>
                <w:sz w:val="20"/>
                <w:szCs w:val="20"/>
                <w:color w:val="auto"/>
              </w:rPr>
            </w:pPr>
            <w:r>
              <w:rPr>
                <w:rFonts w:ascii="Arial" w:cs="Arial" w:eastAsia="Arial" w:hAnsi="Arial"/>
                <w:sz w:val="12"/>
                <w:szCs w:val="12"/>
                <w:color w:val="auto"/>
              </w:rPr>
              <w:t>• Approve our 2006 Cash Bonus Plan</w:t>
            </w:r>
          </w:p>
        </w:tc>
      </w:tr>
      <w:tr>
        <w:trPr>
          <w:trHeight w:val="144"/>
        </w:trPr>
        <w:tc>
          <w:tcPr>
            <w:tcW w:w="780" w:type="dxa"/>
            <w:vAlign w:val="bottom"/>
          </w:tcPr>
          <w:p>
            <w:pPr>
              <w:spacing w:after="0"/>
              <w:rPr>
                <w:sz w:val="12"/>
                <w:szCs w:val="12"/>
                <w:color w:val="auto"/>
              </w:rPr>
            </w:pPr>
          </w:p>
        </w:tc>
        <w:tc>
          <w:tcPr>
            <w:tcW w:w="400" w:type="dxa"/>
            <w:vAlign w:val="bottom"/>
          </w:tcPr>
          <w:p>
            <w:pPr>
              <w:ind w:left="340"/>
              <w:spacing w:after="0"/>
              <w:rPr>
                <w:sz w:val="20"/>
                <w:szCs w:val="20"/>
                <w:color w:val="auto"/>
              </w:rPr>
            </w:pPr>
            <w:r>
              <w:rPr>
                <w:rFonts w:ascii="Arial" w:cs="Arial" w:eastAsia="Arial" w:hAnsi="Arial"/>
                <w:sz w:val="12"/>
                <w:szCs w:val="12"/>
                <w:color w:val="auto"/>
                <w:w w:val="94"/>
              </w:rPr>
              <w:t>•</w:t>
            </w:r>
          </w:p>
        </w:tc>
        <w:tc>
          <w:tcPr>
            <w:tcW w:w="5660" w:type="dxa"/>
            <w:vAlign w:val="bottom"/>
            <w:gridSpan w:val="2"/>
          </w:tcPr>
          <w:p>
            <w:pPr>
              <w:ind w:left="40"/>
              <w:spacing w:after="0"/>
              <w:rPr>
                <w:sz w:val="20"/>
                <w:szCs w:val="20"/>
                <w:color w:val="auto"/>
              </w:rPr>
            </w:pPr>
            <w:r>
              <w:rPr>
                <w:rFonts w:ascii="Arial" w:cs="Arial" w:eastAsia="Arial" w:hAnsi="Arial"/>
                <w:sz w:val="12"/>
                <w:szCs w:val="12"/>
                <w:color w:val="auto"/>
              </w:rPr>
              <w:t>Vote on three shareholder proposals</w:t>
            </w:r>
          </w:p>
        </w:tc>
      </w:tr>
      <w:tr>
        <w:trPr>
          <w:trHeight w:val="153"/>
        </w:trPr>
        <w:tc>
          <w:tcPr>
            <w:tcW w:w="780" w:type="dxa"/>
            <w:vAlign w:val="bottom"/>
          </w:tcPr>
          <w:p>
            <w:pPr>
              <w:spacing w:after="0"/>
              <w:rPr>
                <w:sz w:val="13"/>
                <w:szCs w:val="13"/>
                <w:color w:val="auto"/>
              </w:rPr>
            </w:pPr>
          </w:p>
        </w:tc>
        <w:tc>
          <w:tcPr>
            <w:tcW w:w="400" w:type="dxa"/>
            <w:vAlign w:val="bottom"/>
          </w:tcPr>
          <w:p>
            <w:pPr>
              <w:ind w:left="340"/>
              <w:spacing w:after="0"/>
              <w:rPr>
                <w:sz w:val="20"/>
                <w:szCs w:val="20"/>
                <w:color w:val="auto"/>
              </w:rPr>
            </w:pPr>
            <w:r>
              <w:rPr>
                <w:rFonts w:ascii="Arial" w:cs="Arial" w:eastAsia="Arial" w:hAnsi="Arial"/>
                <w:sz w:val="12"/>
                <w:szCs w:val="12"/>
                <w:color w:val="auto"/>
                <w:w w:val="94"/>
              </w:rPr>
              <w:t>•</w:t>
            </w:r>
          </w:p>
        </w:tc>
        <w:tc>
          <w:tcPr>
            <w:tcW w:w="5660" w:type="dxa"/>
            <w:vAlign w:val="bottom"/>
            <w:gridSpan w:val="2"/>
          </w:tcPr>
          <w:p>
            <w:pPr>
              <w:ind w:left="40"/>
              <w:spacing w:after="0"/>
              <w:rPr>
                <w:sz w:val="20"/>
                <w:szCs w:val="20"/>
                <w:color w:val="auto"/>
              </w:rPr>
            </w:pPr>
            <w:r>
              <w:rPr>
                <w:rFonts w:ascii="Arial" w:cs="Arial" w:eastAsia="Arial" w:hAnsi="Arial"/>
                <w:sz w:val="12"/>
                <w:szCs w:val="12"/>
                <w:color w:val="auto"/>
              </w:rPr>
              <w:t>Conduct other business if properly raised</w:t>
            </w:r>
          </w:p>
        </w:tc>
      </w:tr>
    </w:tbl>
    <w:p>
      <w:pPr>
        <w:spacing w:after="0" w:line="72" w:lineRule="exact"/>
        <w:rPr>
          <w:sz w:val="20"/>
          <w:szCs w:val="20"/>
          <w:color w:val="auto"/>
        </w:rPr>
      </w:pPr>
    </w:p>
    <w:p>
      <w:pPr>
        <w:ind w:left="680" w:right="280"/>
        <w:spacing w:after="0" w:line="276" w:lineRule="auto"/>
        <w:rPr>
          <w:sz w:val="20"/>
          <w:szCs w:val="20"/>
          <w:color w:val="auto"/>
        </w:rPr>
      </w:pPr>
      <w:r>
        <w:rPr>
          <w:rFonts w:ascii="Arial" w:cs="Arial" w:eastAsia="Arial" w:hAnsi="Arial"/>
          <w:sz w:val="12"/>
          <w:szCs w:val="12"/>
          <w:color w:val="auto"/>
        </w:rPr>
        <w:t>All shareholders are cordially invited to attend the meeting. Travel directions can be found on page 62 of the attached proxy statement. At the meeting, you will hear a report on our business and have an opportunity to meet our directors and executive officers.</w:t>
      </w:r>
    </w:p>
    <w:p>
      <w:pPr>
        <w:spacing w:after="0" w:line="52" w:lineRule="exact"/>
        <w:rPr>
          <w:sz w:val="20"/>
          <w:szCs w:val="20"/>
          <w:color w:val="auto"/>
        </w:rPr>
      </w:pPr>
    </w:p>
    <w:p>
      <w:pPr>
        <w:ind w:left="680"/>
        <w:spacing w:after="0" w:line="263" w:lineRule="auto"/>
        <w:rPr>
          <w:sz w:val="20"/>
          <w:szCs w:val="20"/>
          <w:color w:val="auto"/>
        </w:rPr>
      </w:pPr>
      <w:r>
        <w:rPr>
          <w:rFonts w:ascii="Arial" w:cs="Arial" w:eastAsia="Arial" w:hAnsi="Arial"/>
          <w:sz w:val="12"/>
          <w:szCs w:val="12"/>
          <w:color w:val="auto"/>
        </w:rPr>
        <w:t>Only shareholders of record on March 11, 2010 may vote at the meeting. Attendance at the meeting is limited to shareholders of record and one guest per shareholder. If the meeting is adjourned because a quorum is not present, those shareholders who attend the reconvened adjourned meeting shall constitute a quorum for the purpose of acting upon the matters presented at the adjourned meeting pursuant to the rules described in “Voting Securities and Principal Holders — Outstanding Shares and Voting Rights” in the attached proxy statement.</w:t>
      </w:r>
    </w:p>
    <w:p>
      <w:pPr>
        <w:spacing w:after="0" w:line="60" w:lineRule="exact"/>
        <w:rPr>
          <w:sz w:val="20"/>
          <w:szCs w:val="20"/>
          <w:color w:val="auto"/>
        </w:rPr>
      </w:pPr>
    </w:p>
    <w:p>
      <w:pPr>
        <w:ind w:left="680"/>
        <w:spacing w:after="0" w:line="286" w:lineRule="auto"/>
        <w:rPr>
          <w:sz w:val="20"/>
          <w:szCs w:val="20"/>
          <w:color w:val="auto"/>
        </w:rPr>
      </w:pPr>
      <w:r>
        <w:rPr>
          <w:rFonts w:ascii="Arial" w:cs="Arial" w:eastAsia="Arial" w:hAnsi="Arial"/>
          <w:sz w:val="11"/>
          <w:szCs w:val="11"/>
          <w:color w:val="auto"/>
        </w:rPr>
        <w:t>We are pleased to take advantage of the Securities and Exchange Commission rule allowing companies to furnish proxy materials to their shareholders via the Internet. We believe that the e-proxy process expedites shareholders’ receipt of proxy materials and lowers the cost and reduces the environmental impact of our annual meeting of shareholders. Accordingly, we have mailed to our shareholders of record and beneficial owners a Notice of Internet Availability of Proxy Materials containing instructions on how to access the attached proxy statement and our Annual Report on Form 10-K via the Internet and how to vote online. The Notice of Internet Availability of Proxy Materials and the attached proxy statement also contain instructions on how you can receive a paper copy of the proxy materials. If you elect to receive a paper copy of our proxy materials, our 2009 Annual Report on Form 10-K will be mailed to you along with this proxy statement.</w:t>
      </w:r>
    </w:p>
    <w:p>
      <w:pPr>
        <w:spacing w:after="0" w:line="48" w:lineRule="exact"/>
        <w:rPr>
          <w:sz w:val="20"/>
          <w:szCs w:val="20"/>
          <w:color w:val="auto"/>
        </w:rPr>
      </w:pPr>
    </w:p>
    <w:p>
      <w:pPr>
        <w:ind w:left="680" w:right="320"/>
        <w:spacing w:after="0" w:line="276" w:lineRule="auto"/>
        <w:rPr>
          <w:sz w:val="20"/>
          <w:szCs w:val="20"/>
          <w:color w:val="auto"/>
        </w:rPr>
      </w:pPr>
      <w:r>
        <w:rPr>
          <w:rFonts w:ascii="Arial" w:cs="Arial" w:eastAsia="Arial" w:hAnsi="Arial"/>
          <w:sz w:val="12"/>
          <w:szCs w:val="12"/>
          <w:color w:val="auto"/>
        </w:rPr>
        <w:t>The Notice of Internet Availability of Proxy Materials is being mailed to our shareholders beginning on or about April 9, 2010. The attached proxy statement is being made available to our shareholders beginning on or about April 9, 2010.</w:t>
      </w:r>
    </w:p>
    <w:p>
      <w:pPr>
        <w:spacing w:after="0" w:line="48" w:lineRule="exact"/>
        <w:rPr>
          <w:sz w:val="20"/>
          <w:szCs w:val="20"/>
          <w:color w:val="auto"/>
        </w:rPr>
      </w:pPr>
    </w:p>
    <w:p>
      <w:pPr>
        <w:ind w:left="680"/>
        <w:spacing w:after="0" w:line="267" w:lineRule="auto"/>
        <w:rPr>
          <w:sz w:val="20"/>
          <w:szCs w:val="20"/>
          <w:color w:val="auto"/>
        </w:rPr>
      </w:pPr>
      <w:r>
        <w:rPr>
          <w:rFonts w:ascii="Arial" w:cs="Arial" w:eastAsia="Arial" w:hAnsi="Arial"/>
          <w:sz w:val="12"/>
          <w:szCs w:val="12"/>
          <w:b w:val="1"/>
          <w:bCs w:val="1"/>
          <w:color w:val="auto"/>
        </w:rPr>
        <w:t>Your vote is important. Please vote your shares promptly. To vote your shares, you can use the Internet as described in the Notice of Internet Availability of Proxy Materials in the attached proxy statement and on your proxy card; call the toll-free telephone number as described in the attached proxy statement and on your proxy card; or complete, sign and date your proxy card and return your proxy card 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3540760</wp:posOffset>
            </wp:positionH>
            <wp:positionV relativeFrom="paragraph">
              <wp:posOffset>87630</wp:posOffset>
            </wp:positionV>
            <wp:extent cx="737870" cy="2171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7870" cy="21717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ARTHUR R. BLOCK</w:t>
      </w:r>
    </w:p>
    <w:p>
      <w:pPr>
        <w:spacing w:after="0" w:line="15" w:lineRule="exact"/>
        <w:rPr>
          <w:sz w:val="20"/>
          <w:szCs w:val="20"/>
          <w:color w:val="auto"/>
        </w:rPr>
      </w:pPr>
    </w:p>
    <w:p>
      <w:pPr>
        <w:ind w:left="5580"/>
        <w:spacing w:after="0"/>
        <w:rPr>
          <w:sz w:val="20"/>
          <w:szCs w:val="20"/>
          <w:color w:val="auto"/>
        </w:rPr>
      </w:pPr>
      <w:r>
        <w:rPr>
          <w:rFonts w:ascii="Arial" w:cs="Arial" w:eastAsia="Arial" w:hAnsi="Arial"/>
          <w:sz w:val="12"/>
          <w:szCs w:val="12"/>
          <w:i w:val="1"/>
          <w:iCs w:val="1"/>
          <w:color w:val="auto"/>
        </w:rPr>
        <w:t>Secretary</w:t>
      </w:r>
    </w:p>
    <w:p>
      <w:pPr>
        <w:spacing w:after="0" w:line="7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April 9,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97790</wp:posOffset>
            </wp:positionV>
            <wp:extent cx="7299325" cy="18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660"/>
          </w:cols>
          <w:pgMar w:left="220" w:top="327" w:right="10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38"/>
        </w:trPr>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60" w:type="dxa"/>
            <w:vAlign w:val="bottom"/>
            <w:gridSpan w:val="2"/>
          </w:tcPr>
          <w:p>
            <w:pPr>
              <w:jc w:val="right"/>
              <w:ind w:right="4326"/>
              <w:spacing w:after="0"/>
              <w:rPr>
                <w:sz w:val="20"/>
                <w:szCs w:val="20"/>
                <w:color w:val="auto"/>
              </w:rPr>
            </w:pPr>
            <w:r>
              <w:rPr>
                <w:rFonts w:ascii="Arial" w:cs="Arial" w:eastAsia="Arial" w:hAnsi="Arial"/>
                <w:sz w:val="12"/>
                <w:szCs w:val="12"/>
                <w:b w:val="1"/>
                <w:bCs w:val="1"/>
                <w:color w:val="auto"/>
                <w:w w:val="97"/>
              </w:rPr>
              <w:t>TABLE OF CONTENTS</w:t>
            </w:r>
          </w:p>
        </w:tc>
      </w:tr>
      <w:tr>
        <w:trPr>
          <w:trHeight w:val="278"/>
        </w:trPr>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4380" w:type="dxa"/>
            <w:vAlign w:val="bottom"/>
          </w:tcPr>
          <w:p>
            <w:pPr>
              <w:jc w:val="right"/>
              <w:spacing w:after="0"/>
              <w:rPr>
                <w:sz w:val="20"/>
                <w:szCs w:val="20"/>
                <w:color w:val="auto"/>
              </w:rPr>
            </w:pPr>
            <w:r>
              <w:rPr>
                <w:rFonts w:ascii="Arial" w:cs="Arial" w:eastAsia="Arial" w:hAnsi="Arial"/>
                <w:sz w:val="10"/>
                <w:szCs w:val="10"/>
                <w:b w:val="1"/>
                <w:bCs w:val="1"/>
                <w:color w:val="auto"/>
              </w:rPr>
              <w:t>Page</w:t>
            </w:r>
          </w:p>
        </w:tc>
      </w:tr>
      <w:tr>
        <w:trPr>
          <w:trHeight w:val="161"/>
        </w:trPr>
        <w:tc>
          <w:tcPr>
            <w:tcW w:w="4360" w:type="dxa"/>
            <w:vAlign w:val="bottom"/>
            <w:gridSpan w:val="27"/>
          </w:tcPr>
          <w:p>
            <w:pPr>
              <w:spacing w:after="0"/>
              <w:rPr>
                <w:rFonts w:ascii="Arial" w:cs="Arial" w:eastAsia="Arial" w:hAnsi="Arial"/>
                <w:sz w:val="12"/>
                <w:szCs w:val="12"/>
                <w:color w:val="0000EE"/>
              </w:rPr>
            </w:pPr>
            <w:hyperlink w:anchor="page5">
              <w:r>
                <w:rPr>
                  <w:rFonts w:ascii="Arial" w:cs="Arial" w:eastAsia="Arial" w:hAnsi="Arial"/>
                  <w:sz w:val="12"/>
                  <w:szCs w:val="12"/>
                  <w:color w:val="0000EE"/>
                </w:rPr>
                <w:t>General Information</w:t>
              </w:r>
            </w:hyperlink>
          </w:p>
        </w:tc>
        <w:tc>
          <w:tcPr>
            <w:tcW w:w="5660" w:type="dxa"/>
            <w:vAlign w:val="bottom"/>
            <w:gridSpan w:val="2"/>
          </w:tcPr>
          <w:p>
            <w:pPr>
              <w:jc w:val="right"/>
              <w:ind w:right="6"/>
              <w:spacing w:after="0"/>
              <w:rPr>
                <w:sz w:val="20"/>
                <w:szCs w:val="20"/>
                <w:color w:val="auto"/>
              </w:rPr>
            </w:pPr>
            <w:r>
              <w:rPr>
                <w:rFonts w:ascii="Arial" w:cs="Arial" w:eastAsia="Arial" w:hAnsi="Arial"/>
                <w:sz w:val="12"/>
                <w:szCs w:val="12"/>
                <w:color w:val="auto"/>
              </w:rPr>
              <w:t>1</w:t>
            </w:r>
          </w:p>
        </w:tc>
      </w:tr>
      <w:tr>
        <w:trPr>
          <w:trHeight w:val="20"/>
        </w:trPr>
        <w:tc>
          <w:tcPr>
            <w:tcW w:w="1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60" w:type="dxa"/>
            <w:vAlign w:val="bottom"/>
            <w:gridSpan w:val="2"/>
          </w:tcPr>
          <w:p>
            <w:pPr>
              <w:spacing w:after="0" w:line="20" w:lineRule="exact"/>
              <w:rPr>
                <w:sz w:val="1"/>
                <w:szCs w:val="1"/>
                <w:color w:val="auto"/>
              </w:rPr>
            </w:pPr>
          </w:p>
        </w:tc>
      </w:tr>
      <w:tr>
        <w:trPr>
          <w:trHeight w:val="124"/>
        </w:trPr>
        <w:tc>
          <w:tcPr>
            <w:tcW w:w="1920" w:type="dxa"/>
            <w:vAlign w:val="bottom"/>
            <w:tcBorders>
              <w:bottom w:val="single" w:sz="8" w:color="0000EE"/>
            </w:tcBorders>
            <w:gridSpan w:val="10"/>
          </w:tcPr>
          <w:p>
            <w:pPr>
              <w:spacing w:after="0" w:line="124" w:lineRule="exact"/>
              <w:rPr>
                <w:rFonts w:ascii="Arial" w:cs="Arial" w:eastAsia="Arial" w:hAnsi="Arial"/>
                <w:sz w:val="12"/>
                <w:szCs w:val="12"/>
                <w:color w:val="0000EE"/>
                <w:w w:val="91"/>
              </w:rPr>
            </w:pPr>
            <w:hyperlink w:anchor="page8">
              <w:r>
                <w:rPr>
                  <w:rFonts w:ascii="Arial" w:cs="Arial" w:eastAsia="Arial" w:hAnsi="Arial"/>
                  <w:sz w:val="12"/>
                  <w:szCs w:val="12"/>
                  <w:color w:val="0000EE"/>
                  <w:w w:val="91"/>
                </w:rPr>
                <w:t>Voting Securities and Principal Holders</w:t>
              </w:r>
            </w:hyperlink>
          </w:p>
        </w:tc>
        <w:tc>
          <w:tcPr>
            <w:tcW w:w="2440" w:type="dxa"/>
            <w:vAlign w:val="bottom"/>
            <w:gridSpan w:val="17"/>
          </w:tcPr>
          <w:p>
            <w:pPr>
              <w:spacing w:after="0"/>
              <w:rPr>
                <w:sz w:val="10"/>
                <w:szCs w:val="10"/>
                <w:color w:val="auto"/>
              </w:rPr>
            </w:pPr>
          </w:p>
        </w:tc>
        <w:tc>
          <w:tcPr>
            <w:tcW w:w="5660" w:type="dxa"/>
            <w:vAlign w:val="bottom"/>
            <w:gridSpan w:val="2"/>
          </w:tcPr>
          <w:p>
            <w:pPr>
              <w:jc w:val="right"/>
              <w:ind w:right="6"/>
              <w:spacing w:after="0" w:line="124" w:lineRule="exact"/>
              <w:rPr>
                <w:sz w:val="20"/>
                <w:szCs w:val="20"/>
                <w:color w:val="auto"/>
              </w:rPr>
            </w:pPr>
            <w:r>
              <w:rPr>
                <w:rFonts w:ascii="Arial" w:cs="Arial" w:eastAsia="Arial" w:hAnsi="Arial"/>
                <w:sz w:val="12"/>
                <w:szCs w:val="12"/>
                <w:color w:val="auto"/>
              </w:rPr>
              <w:t>4</w:t>
            </w:r>
          </w:p>
        </w:tc>
      </w:tr>
      <w:tr>
        <w:trPr>
          <w:trHeight w:val="124"/>
        </w:trPr>
        <w:tc>
          <w:tcPr>
            <w:tcW w:w="4360" w:type="dxa"/>
            <w:vAlign w:val="bottom"/>
            <w:gridSpan w:val="27"/>
          </w:tcPr>
          <w:p>
            <w:pPr>
              <w:spacing w:after="0" w:line="124" w:lineRule="exact"/>
              <w:rPr>
                <w:rFonts w:ascii="Arial" w:cs="Arial" w:eastAsia="Arial" w:hAnsi="Arial"/>
                <w:sz w:val="12"/>
                <w:szCs w:val="12"/>
                <w:color w:val="0000EE"/>
              </w:rPr>
            </w:pPr>
            <w:hyperlink w:anchor="page12">
              <w:r>
                <w:rPr>
                  <w:rFonts w:ascii="Arial" w:cs="Arial" w:eastAsia="Arial" w:hAnsi="Arial"/>
                  <w:sz w:val="12"/>
                  <w:szCs w:val="12"/>
                  <w:color w:val="0000EE"/>
                </w:rPr>
                <w:t>Proposal 1: Election of Directors</w:t>
              </w:r>
            </w:hyperlink>
          </w:p>
        </w:tc>
        <w:tc>
          <w:tcPr>
            <w:tcW w:w="5660" w:type="dxa"/>
            <w:vAlign w:val="bottom"/>
            <w:gridSpan w:val="2"/>
          </w:tcPr>
          <w:p>
            <w:pPr>
              <w:jc w:val="right"/>
              <w:ind w:right="6"/>
              <w:spacing w:after="0" w:line="124" w:lineRule="exact"/>
              <w:rPr>
                <w:sz w:val="20"/>
                <w:szCs w:val="20"/>
                <w:color w:val="auto"/>
              </w:rPr>
            </w:pPr>
            <w:r>
              <w:rPr>
                <w:rFonts w:ascii="Arial" w:cs="Arial" w:eastAsia="Arial" w:hAnsi="Arial"/>
                <w:sz w:val="12"/>
                <w:szCs w:val="12"/>
                <w:color w:val="auto"/>
              </w:rPr>
              <w:t>8</w:t>
            </w:r>
          </w:p>
        </w:tc>
      </w:tr>
      <w:tr>
        <w:trPr>
          <w:trHeight w:val="20"/>
        </w:trPr>
        <w:tc>
          <w:tcPr>
            <w:tcW w:w="12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60" w:type="dxa"/>
            <w:vAlign w:val="bottom"/>
            <w:gridSpan w:val="2"/>
          </w:tcPr>
          <w:p>
            <w:pPr>
              <w:spacing w:after="0" w:line="20" w:lineRule="exact"/>
              <w:rPr>
                <w:sz w:val="1"/>
                <w:szCs w:val="1"/>
                <w:color w:val="auto"/>
              </w:rPr>
            </w:pPr>
          </w:p>
        </w:tc>
      </w:tr>
      <w:tr>
        <w:trPr>
          <w:trHeight w:val="124"/>
        </w:trPr>
        <w:tc>
          <w:tcPr>
            <w:tcW w:w="3540" w:type="dxa"/>
            <w:vAlign w:val="bottom"/>
            <w:tcBorders>
              <w:bottom w:val="single" w:sz="8" w:color="0000EE"/>
            </w:tcBorders>
            <w:gridSpan w:val="25"/>
          </w:tcPr>
          <w:p>
            <w:pPr>
              <w:spacing w:after="0" w:line="124" w:lineRule="exact"/>
              <w:rPr>
                <w:rFonts w:ascii="Arial" w:cs="Arial" w:eastAsia="Arial" w:hAnsi="Arial"/>
                <w:sz w:val="12"/>
                <w:szCs w:val="12"/>
                <w:color w:val="0000EE"/>
                <w:w w:val="92"/>
              </w:rPr>
            </w:pPr>
            <w:hyperlink w:anchor="page21">
              <w:r>
                <w:rPr>
                  <w:rFonts w:ascii="Arial" w:cs="Arial" w:eastAsia="Arial" w:hAnsi="Arial"/>
                  <w:sz w:val="12"/>
                  <w:szCs w:val="12"/>
                  <w:color w:val="0000EE"/>
                  <w:w w:val="92"/>
                </w:rPr>
                <w:t>Proposal 2: Ratification of the Appointment of Our Independent Auditors</w:t>
              </w:r>
            </w:hyperlink>
          </w:p>
        </w:tc>
        <w:tc>
          <w:tcPr>
            <w:tcW w:w="820" w:type="dxa"/>
            <w:vAlign w:val="bottom"/>
            <w:gridSpan w:val="2"/>
          </w:tcPr>
          <w:p>
            <w:pPr>
              <w:spacing w:after="0"/>
              <w:rPr>
                <w:sz w:val="10"/>
                <w:szCs w:val="10"/>
                <w:color w:val="auto"/>
              </w:rPr>
            </w:pPr>
          </w:p>
        </w:tc>
        <w:tc>
          <w:tcPr>
            <w:tcW w:w="5660" w:type="dxa"/>
            <w:vAlign w:val="bottom"/>
            <w:gridSpan w:val="2"/>
          </w:tcPr>
          <w:p>
            <w:pPr>
              <w:jc w:val="right"/>
              <w:ind w:right="6"/>
              <w:spacing w:after="0" w:line="124" w:lineRule="exact"/>
              <w:rPr>
                <w:sz w:val="20"/>
                <w:szCs w:val="20"/>
                <w:color w:val="auto"/>
              </w:rPr>
            </w:pPr>
            <w:r>
              <w:rPr>
                <w:rFonts w:ascii="Arial" w:cs="Arial" w:eastAsia="Arial" w:hAnsi="Arial"/>
                <w:sz w:val="12"/>
                <w:szCs w:val="12"/>
                <w:color w:val="auto"/>
              </w:rPr>
              <w:t>17</w:t>
            </w:r>
          </w:p>
        </w:tc>
      </w:tr>
      <w:tr>
        <w:trPr>
          <w:trHeight w:val="124"/>
        </w:trPr>
        <w:tc>
          <w:tcPr>
            <w:tcW w:w="2500" w:type="dxa"/>
            <w:vAlign w:val="bottom"/>
            <w:tcBorders>
              <w:bottom w:val="single" w:sz="8" w:color="0000EE"/>
            </w:tcBorders>
            <w:gridSpan w:val="18"/>
          </w:tcPr>
          <w:p>
            <w:pPr>
              <w:spacing w:after="0" w:line="124" w:lineRule="exact"/>
              <w:rPr>
                <w:rFonts w:ascii="Arial" w:cs="Arial" w:eastAsia="Arial" w:hAnsi="Arial"/>
                <w:sz w:val="12"/>
                <w:szCs w:val="12"/>
                <w:color w:val="0000EE"/>
                <w:w w:val="90"/>
              </w:rPr>
            </w:pPr>
            <w:hyperlink w:anchor="page23">
              <w:r>
                <w:rPr>
                  <w:rFonts w:ascii="Arial" w:cs="Arial" w:eastAsia="Arial" w:hAnsi="Arial"/>
                  <w:sz w:val="12"/>
                  <w:szCs w:val="12"/>
                  <w:color w:val="0000EE"/>
                  <w:w w:val="90"/>
                </w:rPr>
                <w:t>Proposal 3: Approval of Our 2006 Cash Bonus Plan</w:t>
              </w:r>
            </w:hyperlink>
          </w:p>
        </w:tc>
        <w:tc>
          <w:tcPr>
            <w:tcW w:w="1860" w:type="dxa"/>
            <w:vAlign w:val="bottom"/>
            <w:gridSpan w:val="9"/>
          </w:tcPr>
          <w:p>
            <w:pPr>
              <w:spacing w:after="0"/>
              <w:rPr>
                <w:sz w:val="10"/>
                <w:szCs w:val="10"/>
                <w:color w:val="auto"/>
              </w:rPr>
            </w:pPr>
          </w:p>
        </w:tc>
        <w:tc>
          <w:tcPr>
            <w:tcW w:w="5660" w:type="dxa"/>
            <w:vAlign w:val="bottom"/>
            <w:gridSpan w:val="2"/>
          </w:tcPr>
          <w:p>
            <w:pPr>
              <w:jc w:val="right"/>
              <w:ind w:right="6"/>
              <w:spacing w:after="0" w:line="124" w:lineRule="exact"/>
              <w:rPr>
                <w:sz w:val="20"/>
                <w:szCs w:val="20"/>
                <w:color w:val="auto"/>
              </w:rPr>
            </w:pPr>
            <w:r>
              <w:rPr>
                <w:rFonts w:ascii="Arial" w:cs="Arial" w:eastAsia="Arial" w:hAnsi="Arial"/>
                <w:sz w:val="12"/>
                <w:szCs w:val="12"/>
                <w:color w:val="auto"/>
              </w:rPr>
              <w:t>19</w:t>
            </w:r>
          </w:p>
        </w:tc>
      </w:tr>
      <w:tr>
        <w:trPr>
          <w:trHeight w:val="124"/>
        </w:trPr>
        <w:tc>
          <w:tcPr>
            <w:tcW w:w="1100" w:type="dxa"/>
            <w:vAlign w:val="bottom"/>
            <w:tcBorders>
              <w:bottom w:val="single" w:sz="8" w:color="0000EE"/>
            </w:tcBorders>
            <w:gridSpan w:val="4"/>
          </w:tcPr>
          <w:p>
            <w:pPr>
              <w:spacing w:after="0" w:line="124" w:lineRule="exact"/>
              <w:rPr>
                <w:rFonts w:ascii="Arial" w:cs="Arial" w:eastAsia="Arial" w:hAnsi="Arial"/>
                <w:sz w:val="12"/>
                <w:szCs w:val="12"/>
                <w:color w:val="0000EE"/>
                <w:w w:val="88"/>
              </w:rPr>
            </w:pPr>
            <w:hyperlink w:anchor="page25">
              <w:r>
                <w:rPr>
                  <w:rFonts w:ascii="Arial" w:cs="Arial" w:eastAsia="Arial" w:hAnsi="Arial"/>
                  <w:sz w:val="12"/>
                  <w:szCs w:val="12"/>
                  <w:color w:val="0000EE"/>
                  <w:w w:val="88"/>
                </w:rPr>
                <w:t>Shareholder Proposals</w:t>
              </w:r>
            </w:hyperlink>
          </w:p>
        </w:tc>
        <w:tc>
          <w:tcPr>
            <w:tcW w:w="3260" w:type="dxa"/>
            <w:vAlign w:val="bottom"/>
            <w:gridSpan w:val="23"/>
          </w:tcPr>
          <w:p>
            <w:pPr>
              <w:spacing w:after="0"/>
              <w:rPr>
                <w:sz w:val="10"/>
                <w:szCs w:val="10"/>
                <w:color w:val="auto"/>
              </w:rPr>
            </w:pPr>
          </w:p>
        </w:tc>
        <w:tc>
          <w:tcPr>
            <w:tcW w:w="5660" w:type="dxa"/>
            <w:vAlign w:val="bottom"/>
            <w:gridSpan w:val="2"/>
          </w:tcPr>
          <w:p>
            <w:pPr>
              <w:jc w:val="right"/>
              <w:ind w:right="6"/>
              <w:spacing w:after="0" w:line="124" w:lineRule="exact"/>
              <w:rPr>
                <w:sz w:val="20"/>
                <w:szCs w:val="20"/>
                <w:color w:val="auto"/>
              </w:rPr>
            </w:pPr>
            <w:r>
              <w:rPr>
                <w:rFonts w:ascii="Arial" w:cs="Arial" w:eastAsia="Arial" w:hAnsi="Arial"/>
                <w:sz w:val="12"/>
                <w:szCs w:val="12"/>
                <w:color w:val="auto"/>
              </w:rPr>
              <w:t>21</w:t>
            </w:r>
          </w:p>
        </w:tc>
      </w:tr>
      <w:tr>
        <w:trPr>
          <w:trHeight w:val="124"/>
        </w:trPr>
        <w:tc>
          <w:tcPr>
            <w:tcW w:w="4360" w:type="dxa"/>
            <w:vAlign w:val="bottom"/>
            <w:gridSpan w:val="27"/>
          </w:tcPr>
          <w:p>
            <w:pPr>
              <w:spacing w:after="0" w:line="124" w:lineRule="exact"/>
              <w:rPr>
                <w:rFonts w:ascii="Arial" w:cs="Arial" w:eastAsia="Arial" w:hAnsi="Arial"/>
                <w:sz w:val="12"/>
                <w:szCs w:val="12"/>
                <w:color w:val="0000EE"/>
              </w:rPr>
            </w:pPr>
            <w:hyperlink w:anchor="page30">
              <w:r>
                <w:rPr>
                  <w:rFonts w:ascii="Arial" w:cs="Arial" w:eastAsia="Arial" w:hAnsi="Arial"/>
                  <w:sz w:val="12"/>
                  <w:szCs w:val="12"/>
                  <w:color w:val="0000EE"/>
                </w:rPr>
                <w:t>Executive Compensation</w:t>
              </w:r>
            </w:hyperlink>
          </w:p>
        </w:tc>
        <w:tc>
          <w:tcPr>
            <w:tcW w:w="5660" w:type="dxa"/>
            <w:vAlign w:val="bottom"/>
            <w:gridSpan w:val="2"/>
          </w:tcPr>
          <w:p>
            <w:pPr>
              <w:jc w:val="right"/>
              <w:ind w:right="6"/>
              <w:spacing w:after="0" w:line="124" w:lineRule="exact"/>
              <w:rPr>
                <w:sz w:val="20"/>
                <w:szCs w:val="20"/>
                <w:color w:val="auto"/>
              </w:rPr>
            </w:pPr>
            <w:r>
              <w:rPr>
                <w:rFonts w:ascii="Arial" w:cs="Arial" w:eastAsia="Arial" w:hAnsi="Arial"/>
                <w:sz w:val="12"/>
                <w:szCs w:val="12"/>
                <w:color w:val="auto"/>
              </w:rPr>
              <w:t>26</w:t>
            </w:r>
          </w:p>
        </w:tc>
      </w:tr>
      <w:tr>
        <w:trPr>
          <w:trHeight w:val="20"/>
        </w:trPr>
        <w:tc>
          <w:tcPr>
            <w:tcW w:w="12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60" w:type="dxa"/>
            <w:vAlign w:val="bottom"/>
            <w:gridSpan w:val="2"/>
          </w:tcPr>
          <w:p>
            <w:pPr>
              <w:spacing w:after="0" w:line="20" w:lineRule="exact"/>
              <w:rPr>
                <w:sz w:val="1"/>
                <w:szCs w:val="1"/>
                <w:color w:val="auto"/>
              </w:rPr>
            </w:pPr>
          </w:p>
        </w:tc>
      </w:tr>
      <w:tr>
        <w:trPr>
          <w:trHeight w:val="124"/>
        </w:trPr>
        <w:tc>
          <w:tcPr>
            <w:tcW w:w="120" w:type="dxa"/>
            <w:vAlign w:val="bottom"/>
          </w:tcPr>
          <w:p>
            <w:pPr>
              <w:spacing w:after="0"/>
              <w:rPr>
                <w:sz w:val="10"/>
                <w:szCs w:val="10"/>
                <w:color w:val="auto"/>
              </w:rPr>
            </w:pPr>
          </w:p>
        </w:tc>
        <w:tc>
          <w:tcPr>
            <w:tcW w:w="4240" w:type="dxa"/>
            <w:vAlign w:val="bottom"/>
            <w:gridSpan w:val="26"/>
          </w:tcPr>
          <w:p>
            <w:pPr>
              <w:spacing w:after="0" w:line="124" w:lineRule="exact"/>
              <w:rPr>
                <w:rFonts w:ascii="Arial" w:cs="Arial" w:eastAsia="Arial" w:hAnsi="Arial"/>
                <w:sz w:val="12"/>
                <w:szCs w:val="12"/>
                <w:color w:val="0000EE"/>
              </w:rPr>
            </w:pPr>
            <w:hyperlink w:anchor="page30">
              <w:r>
                <w:rPr>
                  <w:rFonts w:ascii="Arial" w:cs="Arial" w:eastAsia="Arial" w:hAnsi="Arial"/>
                  <w:sz w:val="12"/>
                  <w:szCs w:val="12"/>
                  <w:color w:val="0000EE"/>
                </w:rPr>
                <w:t>Compensation Discussion and Analysis</w:t>
              </w:r>
            </w:hyperlink>
          </w:p>
        </w:tc>
        <w:tc>
          <w:tcPr>
            <w:tcW w:w="5660" w:type="dxa"/>
            <w:vAlign w:val="bottom"/>
            <w:gridSpan w:val="2"/>
          </w:tcPr>
          <w:p>
            <w:pPr>
              <w:jc w:val="right"/>
              <w:ind w:right="6"/>
              <w:spacing w:after="0" w:line="124" w:lineRule="exact"/>
              <w:rPr>
                <w:sz w:val="20"/>
                <w:szCs w:val="20"/>
                <w:color w:val="auto"/>
              </w:rPr>
            </w:pPr>
            <w:r>
              <w:rPr>
                <w:rFonts w:ascii="Arial" w:cs="Arial" w:eastAsia="Arial" w:hAnsi="Arial"/>
                <w:sz w:val="12"/>
                <w:szCs w:val="12"/>
                <w:color w:val="auto"/>
              </w:rPr>
              <w:t>26</w:t>
            </w:r>
          </w:p>
        </w:tc>
      </w:tr>
      <w:tr>
        <w:trPr>
          <w:trHeight w:val="124"/>
        </w:trPr>
        <w:tc>
          <w:tcPr>
            <w:tcW w:w="120" w:type="dxa"/>
            <w:vAlign w:val="bottom"/>
          </w:tcPr>
          <w:p>
            <w:pPr>
              <w:spacing w:after="0"/>
              <w:rPr>
                <w:sz w:val="10"/>
                <w:szCs w:val="10"/>
                <w:color w:val="auto"/>
              </w:rPr>
            </w:pPr>
          </w:p>
        </w:tc>
        <w:tc>
          <w:tcPr>
            <w:tcW w:w="1620" w:type="dxa"/>
            <w:vAlign w:val="bottom"/>
            <w:tcBorders>
              <w:top w:val="single" w:sz="8" w:color="0000EE"/>
              <w:bottom w:val="single" w:sz="8" w:color="0000EE"/>
            </w:tcBorders>
            <w:gridSpan w:val="6"/>
          </w:tcPr>
          <w:p>
            <w:pPr>
              <w:spacing w:after="0" w:line="124" w:lineRule="exact"/>
              <w:rPr>
                <w:rFonts w:ascii="Arial" w:cs="Arial" w:eastAsia="Arial" w:hAnsi="Arial"/>
                <w:sz w:val="12"/>
                <w:szCs w:val="12"/>
                <w:color w:val="0000EE"/>
                <w:w w:val="89"/>
              </w:rPr>
            </w:pPr>
            <w:hyperlink w:anchor="page43">
              <w:r>
                <w:rPr>
                  <w:rFonts w:ascii="Arial" w:cs="Arial" w:eastAsia="Arial" w:hAnsi="Arial"/>
                  <w:sz w:val="12"/>
                  <w:szCs w:val="12"/>
                  <w:color w:val="0000EE"/>
                  <w:w w:val="89"/>
                </w:rPr>
                <w:t>Compensation Committee Report</w:t>
              </w:r>
            </w:hyperlink>
          </w:p>
        </w:tc>
        <w:tc>
          <w:tcPr>
            <w:tcW w:w="280" w:type="dxa"/>
            <w:vAlign w:val="bottom"/>
            <w:tcBorders>
              <w:top w:val="single" w:sz="8" w:color="0000EE"/>
            </w:tcBorders>
            <w:gridSpan w:val="5"/>
          </w:tcPr>
          <w:p>
            <w:pPr>
              <w:spacing w:after="0"/>
              <w:rPr>
                <w:sz w:val="10"/>
                <w:szCs w:val="10"/>
                <w:color w:val="auto"/>
              </w:rPr>
            </w:pPr>
          </w:p>
        </w:tc>
        <w:tc>
          <w:tcPr>
            <w:tcW w:w="2340" w:type="dxa"/>
            <w:vAlign w:val="bottom"/>
            <w:gridSpan w:val="15"/>
          </w:tcPr>
          <w:p>
            <w:pPr>
              <w:spacing w:after="0"/>
              <w:rPr>
                <w:sz w:val="10"/>
                <w:szCs w:val="10"/>
                <w:color w:val="auto"/>
              </w:rPr>
            </w:pPr>
          </w:p>
        </w:tc>
        <w:tc>
          <w:tcPr>
            <w:tcW w:w="5660" w:type="dxa"/>
            <w:vAlign w:val="bottom"/>
            <w:gridSpan w:val="2"/>
          </w:tcPr>
          <w:p>
            <w:pPr>
              <w:jc w:val="right"/>
              <w:ind w:right="6"/>
              <w:spacing w:after="0" w:line="124" w:lineRule="exact"/>
              <w:rPr>
                <w:sz w:val="20"/>
                <w:szCs w:val="20"/>
                <w:color w:val="auto"/>
              </w:rPr>
            </w:pPr>
            <w:r>
              <w:rPr>
                <w:rFonts w:ascii="Arial" w:cs="Arial" w:eastAsia="Arial" w:hAnsi="Arial"/>
                <w:sz w:val="12"/>
                <w:szCs w:val="12"/>
                <w:color w:val="auto"/>
              </w:rPr>
              <w:t>39</w:t>
            </w:r>
          </w:p>
        </w:tc>
      </w:tr>
      <w:tr>
        <w:trPr>
          <w:trHeight w:val="124"/>
        </w:trPr>
        <w:tc>
          <w:tcPr>
            <w:tcW w:w="120" w:type="dxa"/>
            <w:vAlign w:val="bottom"/>
          </w:tcPr>
          <w:p>
            <w:pPr>
              <w:spacing w:after="0"/>
              <w:rPr>
                <w:sz w:val="10"/>
                <w:szCs w:val="10"/>
                <w:color w:val="auto"/>
              </w:rPr>
            </w:pPr>
          </w:p>
        </w:tc>
        <w:tc>
          <w:tcPr>
            <w:tcW w:w="2980" w:type="dxa"/>
            <w:vAlign w:val="bottom"/>
            <w:tcBorders>
              <w:bottom w:val="single" w:sz="8" w:color="0000EE"/>
            </w:tcBorders>
            <w:gridSpan w:val="21"/>
          </w:tcPr>
          <w:p>
            <w:pPr>
              <w:spacing w:after="0" w:line="124" w:lineRule="exact"/>
              <w:rPr>
                <w:rFonts w:ascii="Arial" w:cs="Arial" w:eastAsia="Arial" w:hAnsi="Arial"/>
                <w:sz w:val="12"/>
                <w:szCs w:val="12"/>
                <w:color w:val="0000EE"/>
                <w:w w:val="90"/>
              </w:rPr>
            </w:pPr>
            <w:hyperlink w:anchor="page43">
              <w:r>
                <w:rPr>
                  <w:rFonts w:ascii="Arial" w:cs="Arial" w:eastAsia="Arial" w:hAnsi="Arial"/>
                  <w:sz w:val="12"/>
                  <w:szCs w:val="12"/>
                  <w:color w:val="0000EE"/>
                  <w:w w:val="90"/>
                </w:rPr>
                <w:t>Compensation Committee Interlocks and Insider Participation</w:t>
              </w:r>
            </w:hyperlink>
          </w:p>
        </w:tc>
        <w:tc>
          <w:tcPr>
            <w:tcW w:w="1260" w:type="dxa"/>
            <w:vAlign w:val="bottom"/>
            <w:gridSpan w:val="5"/>
          </w:tcPr>
          <w:p>
            <w:pPr>
              <w:spacing w:after="0"/>
              <w:rPr>
                <w:sz w:val="10"/>
                <w:szCs w:val="10"/>
                <w:color w:val="auto"/>
              </w:rPr>
            </w:pPr>
          </w:p>
        </w:tc>
        <w:tc>
          <w:tcPr>
            <w:tcW w:w="5660" w:type="dxa"/>
            <w:vAlign w:val="bottom"/>
            <w:gridSpan w:val="2"/>
          </w:tcPr>
          <w:p>
            <w:pPr>
              <w:jc w:val="right"/>
              <w:ind w:right="6"/>
              <w:spacing w:after="0" w:line="124" w:lineRule="exact"/>
              <w:rPr>
                <w:sz w:val="20"/>
                <w:szCs w:val="20"/>
                <w:color w:val="auto"/>
              </w:rPr>
            </w:pPr>
            <w:r>
              <w:rPr>
                <w:rFonts w:ascii="Arial" w:cs="Arial" w:eastAsia="Arial" w:hAnsi="Arial"/>
                <w:sz w:val="12"/>
                <w:szCs w:val="12"/>
                <w:color w:val="auto"/>
              </w:rPr>
              <w:t>39</w:t>
            </w:r>
          </w:p>
        </w:tc>
      </w:tr>
      <w:tr>
        <w:trPr>
          <w:trHeight w:val="124"/>
        </w:trPr>
        <w:tc>
          <w:tcPr>
            <w:tcW w:w="120" w:type="dxa"/>
            <w:vAlign w:val="bottom"/>
          </w:tcPr>
          <w:p>
            <w:pPr>
              <w:spacing w:after="0"/>
              <w:rPr>
                <w:sz w:val="10"/>
                <w:szCs w:val="10"/>
                <w:color w:val="auto"/>
              </w:rPr>
            </w:pPr>
          </w:p>
        </w:tc>
        <w:tc>
          <w:tcPr>
            <w:tcW w:w="4240" w:type="dxa"/>
            <w:vAlign w:val="bottom"/>
            <w:gridSpan w:val="26"/>
          </w:tcPr>
          <w:p>
            <w:pPr>
              <w:spacing w:after="0" w:line="124" w:lineRule="exact"/>
              <w:rPr>
                <w:rFonts w:ascii="Arial" w:cs="Arial" w:eastAsia="Arial" w:hAnsi="Arial"/>
                <w:sz w:val="12"/>
                <w:szCs w:val="12"/>
                <w:color w:val="0000EE"/>
              </w:rPr>
            </w:pPr>
            <w:hyperlink w:anchor="page44">
              <w:r>
                <w:rPr>
                  <w:rFonts w:ascii="Arial" w:cs="Arial" w:eastAsia="Arial" w:hAnsi="Arial"/>
                  <w:sz w:val="12"/>
                  <w:szCs w:val="12"/>
                  <w:color w:val="0000EE"/>
                </w:rPr>
                <w:t>Summary Compensation Table for 2009</w:t>
              </w:r>
            </w:hyperlink>
          </w:p>
        </w:tc>
        <w:tc>
          <w:tcPr>
            <w:tcW w:w="5660" w:type="dxa"/>
            <w:vAlign w:val="bottom"/>
            <w:gridSpan w:val="2"/>
          </w:tcPr>
          <w:p>
            <w:pPr>
              <w:jc w:val="right"/>
              <w:ind w:right="6"/>
              <w:spacing w:after="0" w:line="124" w:lineRule="exact"/>
              <w:rPr>
                <w:sz w:val="20"/>
                <w:szCs w:val="20"/>
                <w:color w:val="auto"/>
              </w:rPr>
            </w:pPr>
            <w:r>
              <w:rPr>
                <w:rFonts w:ascii="Arial" w:cs="Arial" w:eastAsia="Arial" w:hAnsi="Arial"/>
                <w:sz w:val="12"/>
                <w:szCs w:val="12"/>
                <w:color w:val="auto"/>
              </w:rPr>
              <w:t>40</w:t>
            </w:r>
          </w:p>
        </w:tc>
      </w:tr>
      <w:tr>
        <w:trPr>
          <w:trHeight w:val="124"/>
        </w:trPr>
        <w:tc>
          <w:tcPr>
            <w:tcW w:w="120" w:type="dxa"/>
            <w:vAlign w:val="bottom"/>
          </w:tcPr>
          <w:p>
            <w:pPr>
              <w:spacing w:after="0"/>
              <w:rPr>
                <w:sz w:val="10"/>
                <w:szCs w:val="10"/>
                <w:color w:val="auto"/>
              </w:rPr>
            </w:pPr>
          </w:p>
        </w:tc>
        <w:tc>
          <w:tcPr>
            <w:tcW w:w="1820" w:type="dxa"/>
            <w:vAlign w:val="bottom"/>
            <w:tcBorders>
              <w:top w:val="single" w:sz="8" w:color="0000EE"/>
              <w:bottom w:val="single" w:sz="8" w:color="0000EE"/>
            </w:tcBorders>
            <w:gridSpan w:val="10"/>
          </w:tcPr>
          <w:p>
            <w:pPr>
              <w:spacing w:after="0" w:line="124" w:lineRule="exact"/>
              <w:rPr>
                <w:rFonts w:ascii="Arial" w:cs="Arial" w:eastAsia="Arial" w:hAnsi="Arial"/>
                <w:sz w:val="12"/>
                <w:szCs w:val="12"/>
                <w:color w:val="0000EE"/>
                <w:w w:val="89"/>
              </w:rPr>
            </w:pPr>
            <w:hyperlink w:anchor="page47">
              <w:r>
                <w:rPr>
                  <w:rFonts w:ascii="Arial" w:cs="Arial" w:eastAsia="Arial" w:hAnsi="Arial"/>
                  <w:sz w:val="12"/>
                  <w:szCs w:val="12"/>
                  <w:color w:val="0000EE"/>
                  <w:w w:val="89"/>
                </w:rPr>
                <w:t>Grants in 2009 of Plan-Based Awards</w:t>
              </w:r>
            </w:hyperlink>
          </w:p>
        </w:tc>
        <w:tc>
          <w:tcPr>
            <w:tcW w:w="100" w:type="dxa"/>
            <w:vAlign w:val="bottom"/>
            <w:tcBorders>
              <w:top w:val="single" w:sz="8" w:color="0000EE"/>
            </w:tcBorders>
            <w:gridSpan w:val="2"/>
          </w:tcPr>
          <w:p>
            <w:pPr>
              <w:spacing w:after="0"/>
              <w:rPr>
                <w:sz w:val="10"/>
                <w:szCs w:val="10"/>
                <w:color w:val="auto"/>
              </w:rPr>
            </w:pPr>
          </w:p>
        </w:tc>
        <w:tc>
          <w:tcPr>
            <w:tcW w:w="2320" w:type="dxa"/>
            <w:vAlign w:val="bottom"/>
            <w:gridSpan w:val="14"/>
          </w:tcPr>
          <w:p>
            <w:pPr>
              <w:spacing w:after="0"/>
              <w:rPr>
                <w:sz w:val="10"/>
                <w:szCs w:val="10"/>
                <w:color w:val="auto"/>
              </w:rPr>
            </w:pPr>
          </w:p>
        </w:tc>
        <w:tc>
          <w:tcPr>
            <w:tcW w:w="5660" w:type="dxa"/>
            <w:vAlign w:val="bottom"/>
            <w:gridSpan w:val="2"/>
          </w:tcPr>
          <w:p>
            <w:pPr>
              <w:jc w:val="right"/>
              <w:ind w:right="6"/>
              <w:spacing w:after="0" w:line="124" w:lineRule="exact"/>
              <w:rPr>
                <w:sz w:val="20"/>
                <w:szCs w:val="20"/>
                <w:color w:val="auto"/>
              </w:rPr>
            </w:pPr>
            <w:r>
              <w:rPr>
                <w:rFonts w:ascii="Arial" w:cs="Arial" w:eastAsia="Arial" w:hAnsi="Arial"/>
                <w:sz w:val="12"/>
                <w:szCs w:val="12"/>
                <w:color w:val="auto"/>
              </w:rPr>
              <w:t>43</w:t>
            </w:r>
          </w:p>
        </w:tc>
      </w:tr>
      <w:tr>
        <w:trPr>
          <w:trHeight w:val="124"/>
        </w:trPr>
        <w:tc>
          <w:tcPr>
            <w:tcW w:w="120" w:type="dxa"/>
            <w:vAlign w:val="bottom"/>
          </w:tcPr>
          <w:p>
            <w:pPr>
              <w:spacing w:after="0"/>
              <w:rPr>
                <w:sz w:val="10"/>
                <w:szCs w:val="10"/>
                <w:color w:val="auto"/>
              </w:rPr>
            </w:pPr>
          </w:p>
        </w:tc>
        <w:tc>
          <w:tcPr>
            <w:tcW w:w="2520" w:type="dxa"/>
            <w:vAlign w:val="bottom"/>
            <w:tcBorders>
              <w:bottom w:val="single" w:sz="8" w:color="0000EE"/>
            </w:tcBorders>
            <w:gridSpan w:val="18"/>
          </w:tcPr>
          <w:p>
            <w:pPr>
              <w:spacing w:after="0" w:line="124" w:lineRule="exact"/>
              <w:rPr>
                <w:rFonts w:ascii="Arial" w:cs="Arial" w:eastAsia="Arial" w:hAnsi="Arial"/>
                <w:sz w:val="12"/>
                <w:szCs w:val="12"/>
                <w:color w:val="0000EE"/>
                <w:w w:val="90"/>
              </w:rPr>
            </w:pPr>
            <w:hyperlink w:anchor="page49">
              <w:r>
                <w:rPr>
                  <w:rFonts w:ascii="Arial" w:cs="Arial" w:eastAsia="Arial" w:hAnsi="Arial"/>
                  <w:sz w:val="12"/>
                  <w:szCs w:val="12"/>
                  <w:color w:val="0000EE"/>
                  <w:w w:val="90"/>
                </w:rPr>
                <w:t>Outstanding Equity Awards at 2009 Fiscal Year-End</w:t>
              </w:r>
            </w:hyperlink>
          </w:p>
        </w:tc>
        <w:tc>
          <w:tcPr>
            <w:tcW w:w="1720" w:type="dxa"/>
            <w:vAlign w:val="bottom"/>
            <w:gridSpan w:val="8"/>
          </w:tcPr>
          <w:p>
            <w:pPr>
              <w:spacing w:after="0"/>
              <w:rPr>
                <w:sz w:val="10"/>
                <w:szCs w:val="10"/>
                <w:color w:val="auto"/>
              </w:rPr>
            </w:pPr>
          </w:p>
        </w:tc>
        <w:tc>
          <w:tcPr>
            <w:tcW w:w="5660" w:type="dxa"/>
            <w:vAlign w:val="bottom"/>
            <w:gridSpan w:val="2"/>
          </w:tcPr>
          <w:p>
            <w:pPr>
              <w:jc w:val="right"/>
              <w:ind w:right="6"/>
              <w:spacing w:after="0" w:line="124" w:lineRule="exact"/>
              <w:rPr>
                <w:sz w:val="20"/>
                <w:szCs w:val="20"/>
                <w:color w:val="auto"/>
              </w:rPr>
            </w:pPr>
            <w:r>
              <w:rPr>
                <w:rFonts w:ascii="Arial" w:cs="Arial" w:eastAsia="Arial" w:hAnsi="Arial"/>
                <w:sz w:val="12"/>
                <w:szCs w:val="12"/>
                <w:color w:val="auto"/>
              </w:rPr>
              <w:t>45</w:t>
            </w:r>
          </w:p>
        </w:tc>
      </w:tr>
      <w:tr>
        <w:trPr>
          <w:trHeight w:val="124"/>
        </w:trPr>
        <w:tc>
          <w:tcPr>
            <w:tcW w:w="120" w:type="dxa"/>
            <w:vAlign w:val="bottom"/>
          </w:tcPr>
          <w:p>
            <w:pPr>
              <w:spacing w:after="0"/>
              <w:rPr>
                <w:sz w:val="10"/>
                <w:szCs w:val="10"/>
                <w:color w:val="auto"/>
              </w:rPr>
            </w:pPr>
          </w:p>
        </w:tc>
        <w:tc>
          <w:tcPr>
            <w:tcW w:w="2080" w:type="dxa"/>
            <w:vAlign w:val="bottom"/>
            <w:tcBorders>
              <w:bottom w:val="single" w:sz="8" w:color="0000EE"/>
            </w:tcBorders>
            <w:gridSpan w:val="14"/>
          </w:tcPr>
          <w:p>
            <w:pPr>
              <w:spacing w:after="0" w:line="124" w:lineRule="exact"/>
              <w:rPr>
                <w:rFonts w:ascii="Arial" w:cs="Arial" w:eastAsia="Arial" w:hAnsi="Arial"/>
                <w:sz w:val="12"/>
                <w:szCs w:val="12"/>
                <w:color w:val="0000EE"/>
                <w:w w:val="89"/>
              </w:rPr>
            </w:pPr>
            <w:hyperlink w:anchor="page54">
              <w:r>
                <w:rPr>
                  <w:rFonts w:ascii="Arial" w:cs="Arial" w:eastAsia="Arial" w:hAnsi="Arial"/>
                  <w:sz w:val="12"/>
                  <w:szCs w:val="12"/>
                  <w:color w:val="0000EE"/>
                  <w:w w:val="89"/>
                </w:rPr>
                <w:t>Option Exercises and Stock Vested in 2009</w:t>
              </w:r>
            </w:hyperlink>
          </w:p>
        </w:tc>
        <w:tc>
          <w:tcPr>
            <w:tcW w:w="2160" w:type="dxa"/>
            <w:vAlign w:val="bottom"/>
            <w:gridSpan w:val="12"/>
          </w:tcPr>
          <w:p>
            <w:pPr>
              <w:spacing w:after="0"/>
              <w:rPr>
                <w:sz w:val="10"/>
                <w:szCs w:val="10"/>
                <w:color w:val="auto"/>
              </w:rPr>
            </w:pPr>
          </w:p>
        </w:tc>
        <w:tc>
          <w:tcPr>
            <w:tcW w:w="5660" w:type="dxa"/>
            <w:vAlign w:val="bottom"/>
            <w:gridSpan w:val="2"/>
          </w:tcPr>
          <w:p>
            <w:pPr>
              <w:jc w:val="right"/>
              <w:ind w:right="6"/>
              <w:spacing w:after="0" w:line="124" w:lineRule="exact"/>
              <w:rPr>
                <w:sz w:val="20"/>
                <w:szCs w:val="20"/>
                <w:color w:val="auto"/>
              </w:rPr>
            </w:pPr>
            <w:r>
              <w:rPr>
                <w:rFonts w:ascii="Arial" w:cs="Arial" w:eastAsia="Arial" w:hAnsi="Arial"/>
                <w:sz w:val="12"/>
                <w:szCs w:val="12"/>
                <w:color w:val="auto"/>
              </w:rPr>
              <w:t>50</w:t>
            </w:r>
          </w:p>
        </w:tc>
      </w:tr>
      <w:tr>
        <w:trPr>
          <w:trHeight w:val="124"/>
        </w:trPr>
        <w:tc>
          <w:tcPr>
            <w:tcW w:w="120" w:type="dxa"/>
            <w:vAlign w:val="bottom"/>
          </w:tcPr>
          <w:p>
            <w:pPr>
              <w:spacing w:after="0"/>
              <w:rPr>
                <w:sz w:val="10"/>
                <w:szCs w:val="10"/>
                <w:color w:val="auto"/>
              </w:rPr>
            </w:pPr>
          </w:p>
        </w:tc>
        <w:tc>
          <w:tcPr>
            <w:tcW w:w="2000" w:type="dxa"/>
            <w:vAlign w:val="bottom"/>
            <w:tcBorders>
              <w:bottom w:val="single" w:sz="8" w:color="0000EE"/>
            </w:tcBorders>
            <w:gridSpan w:val="13"/>
          </w:tcPr>
          <w:p>
            <w:pPr>
              <w:spacing w:after="0" w:line="124" w:lineRule="exact"/>
              <w:rPr>
                <w:rFonts w:ascii="Arial" w:cs="Arial" w:eastAsia="Arial" w:hAnsi="Arial"/>
                <w:sz w:val="12"/>
                <w:szCs w:val="12"/>
                <w:color w:val="0000EE"/>
                <w:w w:val="89"/>
              </w:rPr>
            </w:pPr>
            <w:hyperlink w:anchor="page54">
              <w:r>
                <w:rPr>
                  <w:rFonts w:ascii="Arial" w:cs="Arial" w:eastAsia="Arial" w:hAnsi="Arial"/>
                  <w:sz w:val="12"/>
                  <w:szCs w:val="12"/>
                  <w:color w:val="0000EE"/>
                  <w:w w:val="89"/>
                </w:rPr>
                <w:t>Pension Benefits at 2009 Fiscal Year-End</w:t>
              </w:r>
            </w:hyperlink>
          </w:p>
        </w:tc>
        <w:tc>
          <w:tcPr>
            <w:tcW w:w="2240" w:type="dxa"/>
            <w:vAlign w:val="bottom"/>
            <w:gridSpan w:val="13"/>
          </w:tcPr>
          <w:p>
            <w:pPr>
              <w:spacing w:after="0"/>
              <w:rPr>
                <w:sz w:val="10"/>
                <w:szCs w:val="10"/>
                <w:color w:val="auto"/>
              </w:rPr>
            </w:pPr>
          </w:p>
        </w:tc>
        <w:tc>
          <w:tcPr>
            <w:tcW w:w="5660" w:type="dxa"/>
            <w:vAlign w:val="bottom"/>
            <w:gridSpan w:val="2"/>
          </w:tcPr>
          <w:p>
            <w:pPr>
              <w:jc w:val="right"/>
              <w:ind w:right="6"/>
              <w:spacing w:after="0" w:line="124" w:lineRule="exact"/>
              <w:rPr>
                <w:sz w:val="20"/>
                <w:szCs w:val="20"/>
                <w:color w:val="auto"/>
              </w:rPr>
            </w:pPr>
            <w:r>
              <w:rPr>
                <w:rFonts w:ascii="Arial" w:cs="Arial" w:eastAsia="Arial" w:hAnsi="Arial"/>
                <w:sz w:val="12"/>
                <w:szCs w:val="12"/>
                <w:color w:val="auto"/>
              </w:rPr>
              <w:t>50</w:t>
            </w:r>
          </w:p>
        </w:tc>
      </w:tr>
      <w:tr>
        <w:trPr>
          <w:trHeight w:val="124"/>
        </w:trPr>
        <w:tc>
          <w:tcPr>
            <w:tcW w:w="120" w:type="dxa"/>
            <w:vAlign w:val="bottom"/>
          </w:tcPr>
          <w:p>
            <w:pPr>
              <w:spacing w:after="0"/>
              <w:rPr>
                <w:sz w:val="10"/>
                <w:szCs w:val="10"/>
                <w:color w:val="auto"/>
              </w:rPr>
            </w:pPr>
          </w:p>
        </w:tc>
        <w:tc>
          <w:tcPr>
            <w:tcW w:w="3480" w:type="dxa"/>
            <w:vAlign w:val="bottom"/>
            <w:tcBorders>
              <w:bottom w:val="single" w:sz="8" w:color="0000EE"/>
            </w:tcBorders>
            <w:gridSpan w:val="25"/>
          </w:tcPr>
          <w:p>
            <w:pPr>
              <w:spacing w:after="0" w:line="124" w:lineRule="exact"/>
              <w:rPr>
                <w:rFonts w:ascii="Arial" w:cs="Arial" w:eastAsia="Arial" w:hAnsi="Arial"/>
                <w:sz w:val="12"/>
                <w:szCs w:val="12"/>
                <w:color w:val="0000EE"/>
                <w:w w:val="90"/>
              </w:rPr>
            </w:pPr>
            <w:hyperlink w:anchor="page54">
              <w:r>
                <w:rPr>
                  <w:rFonts w:ascii="Arial" w:cs="Arial" w:eastAsia="Arial" w:hAnsi="Arial"/>
                  <w:sz w:val="12"/>
                  <w:szCs w:val="12"/>
                  <w:color w:val="0000EE"/>
                  <w:w w:val="90"/>
                </w:rPr>
                <w:t>Nonqualified Deferred Compensation in and as of 2009 Fiscal Year-End</w:t>
              </w:r>
            </w:hyperlink>
          </w:p>
        </w:tc>
        <w:tc>
          <w:tcPr>
            <w:tcW w:w="760" w:type="dxa"/>
            <w:vAlign w:val="bottom"/>
          </w:tcPr>
          <w:p>
            <w:pPr>
              <w:spacing w:after="0"/>
              <w:rPr>
                <w:sz w:val="10"/>
                <w:szCs w:val="10"/>
                <w:color w:val="auto"/>
              </w:rPr>
            </w:pPr>
          </w:p>
        </w:tc>
        <w:tc>
          <w:tcPr>
            <w:tcW w:w="5660" w:type="dxa"/>
            <w:vAlign w:val="bottom"/>
            <w:gridSpan w:val="2"/>
          </w:tcPr>
          <w:p>
            <w:pPr>
              <w:jc w:val="right"/>
              <w:ind w:right="6"/>
              <w:spacing w:after="0" w:line="124" w:lineRule="exact"/>
              <w:rPr>
                <w:sz w:val="20"/>
                <w:szCs w:val="20"/>
                <w:color w:val="auto"/>
              </w:rPr>
            </w:pPr>
            <w:r>
              <w:rPr>
                <w:rFonts w:ascii="Arial" w:cs="Arial" w:eastAsia="Arial" w:hAnsi="Arial"/>
                <w:sz w:val="12"/>
                <w:szCs w:val="12"/>
                <w:color w:val="auto"/>
              </w:rPr>
              <w:t>50</w:t>
            </w:r>
          </w:p>
        </w:tc>
      </w:tr>
      <w:tr>
        <w:trPr>
          <w:trHeight w:val="124"/>
        </w:trPr>
        <w:tc>
          <w:tcPr>
            <w:tcW w:w="120" w:type="dxa"/>
            <w:vAlign w:val="bottom"/>
          </w:tcPr>
          <w:p>
            <w:pPr>
              <w:spacing w:after="0"/>
              <w:rPr>
                <w:sz w:val="10"/>
                <w:szCs w:val="10"/>
                <w:color w:val="auto"/>
              </w:rPr>
            </w:pPr>
          </w:p>
        </w:tc>
        <w:tc>
          <w:tcPr>
            <w:tcW w:w="2360" w:type="dxa"/>
            <w:vAlign w:val="bottom"/>
            <w:tcBorders>
              <w:bottom w:val="single" w:sz="8" w:color="0000EE"/>
            </w:tcBorders>
            <w:gridSpan w:val="16"/>
          </w:tcPr>
          <w:p>
            <w:pPr>
              <w:spacing w:after="0" w:line="124" w:lineRule="exact"/>
              <w:rPr>
                <w:rFonts w:ascii="Arial" w:cs="Arial" w:eastAsia="Arial" w:hAnsi="Arial"/>
                <w:sz w:val="12"/>
                <w:szCs w:val="12"/>
                <w:color w:val="0000EE"/>
                <w:w w:val="91"/>
              </w:rPr>
            </w:pPr>
            <w:hyperlink w:anchor="page55">
              <w:r>
                <w:rPr>
                  <w:rFonts w:ascii="Arial" w:cs="Arial" w:eastAsia="Arial" w:hAnsi="Arial"/>
                  <w:sz w:val="12"/>
                  <w:szCs w:val="12"/>
                  <w:color w:val="0000EE"/>
                  <w:w w:val="91"/>
                </w:rPr>
                <w:t>Agreements with Our Named Executive Officers</w:t>
              </w:r>
            </w:hyperlink>
          </w:p>
        </w:tc>
        <w:tc>
          <w:tcPr>
            <w:tcW w:w="1880" w:type="dxa"/>
            <w:vAlign w:val="bottom"/>
            <w:gridSpan w:val="10"/>
          </w:tcPr>
          <w:p>
            <w:pPr>
              <w:spacing w:after="0"/>
              <w:rPr>
                <w:sz w:val="10"/>
                <w:szCs w:val="10"/>
                <w:color w:val="auto"/>
              </w:rPr>
            </w:pPr>
          </w:p>
        </w:tc>
        <w:tc>
          <w:tcPr>
            <w:tcW w:w="5660" w:type="dxa"/>
            <w:vAlign w:val="bottom"/>
            <w:gridSpan w:val="2"/>
          </w:tcPr>
          <w:p>
            <w:pPr>
              <w:jc w:val="right"/>
              <w:ind w:right="6"/>
              <w:spacing w:after="0" w:line="124" w:lineRule="exact"/>
              <w:rPr>
                <w:sz w:val="20"/>
                <w:szCs w:val="20"/>
                <w:color w:val="auto"/>
              </w:rPr>
            </w:pPr>
            <w:r>
              <w:rPr>
                <w:rFonts w:ascii="Arial" w:cs="Arial" w:eastAsia="Arial" w:hAnsi="Arial"/>
                <w:sz w:val="12"/>
                <w:szCs w:val="12"/>
                <w:color w:val="auto"/>
              </w:rPr>
              <w:t>51</w:t>
            </w:r>
          </w:p>
        </w:tc>
      </w:tr>
      <w:tr>
        <w:trPr>
          <w:trHeight w:val="124"/>
        </w:trPr>
        <w:tc>
          <w:tcPr>
            <w:tcW w:w="120" w:type="dxa"/>
            <w:vAlign w:val="bottom"/>
          </w:tcPr>
          <w:p>
            <w:pPr>
              <w:spacing w:after="0"/>
              <w:rPr>
                <w:sz w:val="10"/>
                <w:szCs w:val="10"/>
                <w:color w:val="auto"/>
              </w:rPr>
            </w:pPr>
          </w:p>
        </w:tc>
        <w:tc>
          <w:tcPr>
            <w:tcW w:w="2860" w:type="dxa"/>
            <w:vAlign w:val="bottom"/>
            <w:tcBorders>
              <w:bottom w:val="single" w:sz="8" w:color="0000EE"/>
            </w:tcBorders>
            <w:gridSpan w:val="20"/>
          </w:tcPr>
          <w:p>
            <w:pPr>
              <w:spacing w:after="0" w:line="124" w:lineRule="exact"/>
              <w:rPr>
                <w:rFonts w:ascii="Arial" w:cs="Arial" w:eastAsia="Arial" w:hAnsi="Arial"/>
                <w:sz w:val="12"/>
                <w:szCs w:val="12"/>
                <w:color w:val="0000EE"/>
                <w:w w:val="90"/>
              </w:rPr>
            </w:pPr>
            <w:hyperlink w:anchor="page58">
              <w:r>
                <w:rPr>
                  <w:rFonts w:ascii="Arial" w:cs="Arial" w:eastAsia="Arial" w:hAnsi="Arial"/>
                  <w:sz w:val="12"/>
                  <w:szCs w:val="12"/>
                  <w:color w:val="0000EE"/>
                  <w:w w:val="90"/>
                </w:rPr>
                <w:t>Potential Payments upon Termination or Change in Control</w:t>
              </w:r>
            </w:hyperlink>
          </w:p>
        </w:tc>
        <w:tc>
          <w:tcPr>
            <w:tcW w:w="1380" w:type="dxa"/>
            <w:vAlign w:val="bottom"/>
            <w:gridSpan w:val="6"/>
          </w:tcPr>
          <w:p>
            <w:pPr>
              <w:spacing w:after="0"/>
              <w:rPr>
                <w:sz w:val="10"/>
                <w:szCs w:val="10"/>
                <w:color w:val="auto"/>
              </w:rPr>
            </w:pPr>
          </w:p>
        </w:tc>
        <w:tc>
          <w:tcPr>
            <w:tcW w:w="5660" w:type="dxa"/>
            <w:vAlign w:val="bottom"/>
            <w:gridSpan w:val="2"/>
          </w:tcPr>
          <w:p>
            <w:pPr>
              <w:jc w:val="right"/>
              <w:ind w:right="6"/>
              <w:spacing w:after="0" w:line="124" w:lineRule="exact"/>
              <w:rPr>
                <w:sz w:val="20"/>
                <w:szCs w:val="20"/>
                <w:color w:val="auto"/>
              </w:rPr>
            </w:pPr>
            <w:r>
              <w:rPr>
                <w:rFonts w:ascii="Arial" w:cs="Arial" w:eastAsia="Arial" w:hAnsi="Arial"/>
                <w:sz w:val="12"/>
                <w:szCs w:val="12"/>
                <w:color w:val="auto"/>
              </w:rPr>
              <w:t>54</w:t>
            </w:r>
          </w:p>
        </w:tc>
      </w:tr>
      <w:tr>
        <w:trPr>
          <w:trHeight w:val="124"/>
        </w:trPr>
        <w:tc>
          <w:tcPr>
            <w:tcW w:w="1900" w:type="dxa"/>
            <w:vAlign w:val="bottom"/>
            <w:tcBorders>
              <w:bottom w:val="single" w:sz="8" w:color="0000EE"/>
            </w:tcBorders>
            <w:gridSpan w:val="9"/>
          </w:tcPr>
          <w:p>
            <w:pPr>
              <w:spacing w:after="0" w:line="124" w:lineRule="exact"/>
              <w:rPr>
                <w:rFonts w:ascii="Arial" w:cs="Arial" w:eastAsia="Arial" w:hAnsi="Arial"/>
                <w:sz w:val="12"/>
                <w:szCs w:val="12"/>
                <w:color w:val="0000EE"/>
                <w:w w:val="91"/>
              </w:rPr>
            </w:pPr>
            <w:hyperlink w:anchor="page61">
              <w:r>
                <w:rPr>
                  <w:rFonts w:ascii="Arial" w:cs="Arial" w:eastAsia="Arial" w:hAnsi="Arial"/>
                  <w:sz w:val="12"/>
                  <w:szCs w:val="12"/>
                  <w:color w:val="0000EE"/>
                  <w:w w:val="91"/>
                </w:rPr>
                <w:t>Equity Compensation Plan Information</w:t>
              </w:r>
            </w:hyperlink>
          </w:p>
        </w:tc>
        <w:tc>
          <w:tcPr>
            <w:tcW w:w="2460" w:type="dxa"/>
            <w:vAlign w:val="bottom"/>
            <w:gridSpan w:val="18"/>
          </w:tcPr>
          <w:p>
            <w:pPr>
              <w:spacing w:after="0"/>
              <w:rPr>
                <w:sz w:val="10"/>
                <w:szCs w:val="10"/>
                <w:color w:val="auto"/>
              </w:rPr>
            </w:pPr>
          </w:p>
        </w:tc>
        <w:tc>
          <w:tcPr>
            <w:tcW w:w="5660" w:type="dxa"/>
            <w:vAlign w:val="bottom"/>
            <w:gridSpan w:val="2"/>
          </w:tcPr>
          <w:p>
            <w:pPr>
              <w:jc w:val="right"/>
              <w:ind w:right="6"/>
              <w:spacing w:after="0" w:line="124" w:lineRule="exact"/>
              <w:rPr>
                <w:sz w:val="20"/>
                <w:szCs w:val="20"/>
                <w:color w:val="auto"/>
              </w:rPr>
            </w:pPr>
            <w:r>
              <w:rPr>
                <w:rFonts w:ascii="Arial" w:cs="Arial" w:eastAsia="Arial" w:hAnsi="Arial"/>
                <w:sz w:val="12"/>
                <w:szCs w:val="12"/>
                <w:color w:val="auto"/>
              </w:rPr>
              <w:t>57</w:t>
            </w:r>
          </w:p>
        </w:tc>
      </w:tr>
      <w:tr>
        <w:trPr>
          <w:trHeight w:val="124"/>
        </w:trPr>
        <w:tc>
          <w:tcPr>
            <w:tcW w:w="4360" w:type="dxa"/>
            <w:vAlign w:val="bottom"/>
            <w:gridSpan w:val="27"/>
          </w:tcPr>
          <w:p>
            <w:pPr>
              <w:spacing w:after="0" w:line="124" w:lineRule="exact"/>
              <w:rPr>
                <w:rFonts w:ascii="Arial" w:cs="Arial" w:eastAsia="Arial" w:hAnsi="Arial"/>
                <w:sz w:val="12"/>
                <w:szCs w:val="12"/>
                <w:color w:val="0000EE"/>
              </w:rPr>
            </w:pPr>
            <w:hyperlink w:anchor="page62">
              <w:r>
                <w:rPr>
                  <w:rFonts w:ascii="Arial" w:cs="Arial" w:eastAsia="Arial" w:hAnsi="Arial"/>
                  <w:sz w:val="12"/>
                  <w:szCs w:val="12"/>
                  <w:color w:val="0000EE"/>
                </w:rPr>
                <w:t>Director Compensation for 2009</w:t>
              </w:r>
            </w:hyperlink>
          </w:p>
        </w:tc>
        <w:tc>
          <w:tcPr>
            <w:tcW w:w="5660" w:type="dxa"/>
            <w:vAlign w:val="bottom"/>
            <w:gridSpan w:val="2"/>
          </w:tcPr>
          <w:p>
            <w:pPr>
              <w:jc w:val="right"/>
              <w:ind w:right="6"/>
              <w:spacing w:after="0" w:line="124" w:lineRule="exact"/>
              <w:rPr>
                <w:sz w:val="20"/>
                <w:szCs w:val="20"/>
                <w:color w:val="auto"/>
              </w:rPr>
            </w:pPr>
            <w:r>
              <w:rPr>
                <w:rFonts w:ascii="Arial" w:cs="Arial" w:eastAsia="Arial" w:hAnsi="Arial"/>
                <w:sz w:val="12"/>
                <w:szCs w:val="12"/>
                <w:color w:val="auto"/>
              </w:rPr>
              <w:t>58</w:t>
            </w:r>
          </w:p>
        </w:tc>
      </w:tr>
      <w:tr>
        <w:trPr>
          <w:trHeight w:val="20"/>
        </w:trPr>
        <w:tc>
          <w:tcPr>
            <w:tcW w:w="10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60" w:type="dxa"/>
            <w:vAlign w:val="bottom"/>
            <w:gridSpan w:val="8"/>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5660" w:type="dxa"/>
            <w:vAlign w:val="bottom"/>
            <w:gridSpan w:val="2"/>
          </w:tcPr>
          <w:p>
            <w:pPr>
              <w:spacing w:after="0" w:line="20" w:lineRule="exact"/>
              <w:rPr>
                <w:sz w:val="1"/>
                <w:szCs w:val="1"/>
                <w:color w:val="auto"/>
              </w:rPr>
            </w:pPr>
          </w:p>
        </w:tc>
      </w:tr>
      <w:tr>
        <w:trPr>
          <w:trHeight w:val="124"/>
        </w:trPr>
        <w:tc>
          <w:tcPr>
            <w:tcW w:w="4360" w:type="dxa"/>
            <w:vAlign w:val="bottom"/>
            <w:gridSpan w:val="27"/>
          </w:tcPr>
          <w:p>
            <w:pPr>
              <w:spacing w:after="0" w:line="124" w:lineRule="exact"/>
              <w:rPr>
                <w:rFonts w:ascii="Arial" w:cs="Arial" w:eastAsia="Arial" w:hAnsi="Arial"/>
                <w:sz w:val="12"/>
                <w:szCs w:val="12"/>
                <w:color w:val="0000EE"/>
              </w:rPr>
            </w:pPr>
            <w:hyperlink w:anchor="page63">
              <w:r>
                <w:rPr>
                  <w:rFonts w:ascii="Arial" w:cs="Arial" w:eastAsia="Arial" w:hAnsi="Arial"/>
                  <w:sz w:val="12"/>
                  <w:szCs w:val="12"/>
                  <w:color w:val="0000EE"/>
                </w:rPr>
                <w:t>Related Party Transaction Policy and Certain Transactions</w:t>
              </w:r>
            </w:hyperlink>
          </w:p>
        </w:tc>
        <w:tc>
          <w:tcPr>
            <w:tcW w:w="5660" w:type="dxa"/>
            <w:vAlign w:val="bottom"/>
            <w:gridSpan w:val="2"/>
          </w:tcPr>
          <w:p>
            <w:pPr>
              <w:jc w:val="right"/>
              <w:ind w:right="6"/>
              <w:spacing w:after="0" w:line="124" w:lineRule="exact"/>
              <w:rPr>
                <w:sz w:val="20"/>
                <w:szCs w:val="20"/>
                <w:color w:val="auto"/>
              </w:rPr>
            </w:pPr>
            <w:r>
              <w:rPr>
                <w:rFonts w:ascii="Arial" w:cs="Arial" w:eastAsia="Arial" w:hAnsi="Arial"/>
                <w:sz w:val="12"/>
                <w:szCs w:val="12"/>
                <w:color w:val="auto"/>
              </w:rPr>
              <w:t>59</w:t>
            </w:r>
          </w:p>
        </w:tc>
      </w:tr>
      <w:tr>
        <w:trPr>
          <w:trHeight w:val="124"/>
        </w:trPr>
        <w:tc>
          <w:tcPr>
            <w:tcW w:w="2800" w:type="dxa"/>
            <w:vAlign w:val="bottom"/>
            <w:tcBorders>
              <w:top w:val="single" w:sz="8" w:color="0000EE"/>
            </w:tcBorders>
            <w:gridSpan w:val="20"/>
          </w:tcPr>
          <w:p>
            <w:pPr>
              <w:spacing w:after="0" w:line="124" w:lineRule="exact"/>
              <w:rPr>
                <w:rFonts w:ascii="Arial" w:cs="Arial" w:eastAsia="Arial" w:hAnsi="Arial"/>
                <w:sz w:val="12"/>
                <w:szCs w:val="12"/>
                <w:color w:val="0000EE"/>
              </w:rPr>
            </w:pPr>
            <w:hyperlink w:anchor="page64">
              <w:r>
                <w:rPr>
                  <w:rFonts w:ascii="Arial" w:cs="Arial" w:eastAsia="Arial" w:hAnsi="Arial"/>
                  <w:sz w:val="12"/>
                  <w:szCs w:val="12"/>
                  <w:color w:val="0000EE"/>
                </w:rPr>
                <w:t>Shareholder Proposals for Next Year</w:t>
              </w:r>
            </w:hyperlink>
          </w:p>
        </w:tc>
        <w:tc>
          <w:tcPr>
            <w:tcW w:w="1560" w:type="dxa"/>
            <w:vAlign w:val="bottom"/>
            <w:gridSpan w:val="7"/>
          </w:tcPr>
          <w:p>
            <w:pPr>
              <w:spacing w:after="0"/>
              <w:rPr>
                <w:sz w:val="10"/>
                <w:szCs w:val="10"/>
                <w:color w:val="auto"/>
              </w:rPr>
            </w:pPr>
          </w:p>
        </w:tc>
        <w:tc>
          <w:tcPr>
            <w:tcW w:w="5660" w:type="dxa"/>
            <w:vAlign w:val="bottom"/>
            <w:gridSpan w:val="2"/>
          </w:tcPr>
          <w:p>
            <w:pPr>
              <w:jc w:val="right"/>
              <w:ind w:right="6"/>
              <w:spacing w:after="0" w:line="124" w:lineRule="exact"/>
              <w:rPr>
                <w:sz w:val="20"/>
                <w:szCs w:val="20"/>
                <w:color w:val="auto"/>
              </w:rPr>
            </w:pPr>
            <w:r>
              <w:rPr>
                <w:rFonts w:ascii="Arial" w:cs="Arial" w:eastAsia="Arial" w:hAnsi="Arial"/>
                <w:sz w:val="12"/>
                <w:szCs w:val="12"/>
                <w:color w:val="auto"/>
              </w:rPr>
              <w:t>60</w:t>
            </w:r>
          </w:p>
        </w:tc>
      </w:tr>
      <w:tr>
        <w:trPr>
          <w:trHeight w:val="124"/>
        </w:trPr>
        <w:tc>
          <w:tcPr>
            <w:tcW w:w="1080" w:type="dxa"/>
            <w:vAlign w:val="bottom"/>
            <w:tcBorders>
              <w:top w:val="single" w:sz="8" w:color="0000EE"/>
              <w:bottom w:val="single" w:sz="8" w:color="0000EE"/>
            </w:tcBorders>
            <w:gridSpan w:val="3"/>
          </w:tcPr>
          <w:p>
            <w:pPr>
              <w:spacing w:after="0" w:line="124" w:lineRule="exact"/>
              <w:rPr>
                <w:rFonts w:ascii="Arial" w:cs="Arial" w:eastAsia="Arial" w:hAnsi="Arial"/>
                <w:sz w:val="12"/>
                <w:szCs w:val="12"/>
                <w:color w:val="0000EE"/>
                <w:w w:val="92"/>
              </w:rPr>
            </w:pPr>
            <w:hyperlink w:anchor="page64">
              <w:r>
                <w:rPr>
                  <w:rFonts w:ascii="Arial" w:cs="Arial" w:eastAsia="Arial" w:hAnsi="Arial"/>
                  <w:sz w:val="12"/>
                  <w:szCs w:val="12"/>
                  <w:color w:val="0000EE"/>
                  <w:w w:val="92"/>
                </w:rPr>
                <w:t>Solicitation of Proxies</w:t>
              </w:r>
            </w:hyperlink>
          </w:p>
        </w:tc>
        <w:tc>
          <w:tcPr>
            <w:tcW w:w="680" w:type="dxa"/>
            <w:vAlign w:val="bottom"/>
            <w:tcBorders>
              <w:top w:val="single" w:sz="8" w:color="0000EE"/>
            </w:tcBorders>
            <w:gridSpan w:val="5"/>
          </w:tcPr>
          <w:p>
            <w:pPr>
              <w:spacing w:after="0"/>
              <w:rPr>
                <w:sz w:val="10"/>
                <w:szCs w:val="10"/>
                <w:color w:val="auto"/>
              </w:rPr>
            </w:pPr>
          </w:p>
        </w:tc>
        <w:tc>
          <w:tcPr>
            <w:tcW w:w="2600" w:type="dxa"/>
            <w:vAlign w:val="bottom"/>
            <w:gridSpan w:val="19"/>
          </w:tcPr>
          <w:p>
            <w:pPr>
              <w:spacing w:after="0"/>
              <w:rPr>
                <w:sz w:val="10"/>
                <w:szCs w:val="10"/>
                <w:color w:val="auto"/>
              </w:rPr>
            </w:pPr>
          </w:p>
        </w:tc>
        <w:tc>
          <w:tcPr>
            <w:tcW w:w="5660" w:type="dxa"/>
            <w:vAlign w:val="bottom"/>
            <w:gridSpan w:val="2"/>
          </w:tcPr>
          <w:p>
            <w:pPr>
              <w:jc w:val="right"/>
              <w:ind w:right="6"/>
              <w:spacing w:after="0" w:line="124" w:lineRule="exact"/>
              <w:rPr>
                <w:sz w:val="20"/>
                <w:szCs w:val="20"/>
                <w:color w:val="auto"/>
              </w:rPr>
            </w:pPr>
            <w:r>
              <w:rPr>
                <w:rFonts w:ascii="Arial" w:cs="Arial" w:eastAsia="Arial" w:hAnsi="Arial"/>
                <w:sz w:val="12"/>
                <w:szCs w:val="12"/>
                <w:color w:val="auto"/>
              </w:rPr>
              <w:t>60</w:t>
            </w:r>
          </w:p>
        </w:tc>
      </w:tr>
      <w:tr>
        <w:trPr>
          <w:trHeight w:val="124"/>
        </w:trPr>
        <w:tc>
          <w:tcPr>
            <w:tcW w:w="4360" w:type="dxa"/>
            <w:vAlign w:val="bottom"/>
            <w:gridSpan w:val="27"/>
          </w:tcPr>
          <w:p>
            <w:pPr>
              <w:spacing w:after="0" w:line="124" w:lineRule="exact"/>
              <w:rPr>
                <w:rFonts w:ascii="Arial" w:cs="Arial" w:eastAsia="Arial" w:hAnsi="Arial"/>
                <w:sz w:val="12"/>
                <w:szCs w:val="12"/>
                <w:color w:val="0000EE"/>
              </w:rPr>
            </w:pPr>
            <w:hyperlink w:anchor="page65">
              <w:r>
                <w:rPr>
                  <w:rFonts w:ascii="Arial" w:cs="Arial" w:eastAsia="Arial" w:hAnsi="Arial"/>
                  <w:sz w:val="12"/>
                  <w:szCs w:val="12"/>
                  <w:color w:val="0000EE"/>
                </w:rPr>
                <w:t>Electronic Access to Proxy Materials and Annual Report on Form 10-K</w:t>
              </w:r>
            </w:hyperlink>
          </w:p>
        </w:tc>
        <w:tc>
          <w:tcPr>
            <w:tcW w:w="5660" w:type="dxa"/>
            <w:vAlign w:val="bottom"/>
            <w:gridSpan w:val="2"/>
          </w:tcPr>
          <w:p>
            <w:pPr>
              <w:jc w:val="right"/>
              <w:ind w:right="6"/>
              <w:spacing w:after="0" w:line="124" w:lineRule="exact"/>
              <w:rPr>
                <w:sz w:val="20"/>
                <w:szCs w:val="20"/>
                <w:color w:val="auto"/>
              </w:rPr>
            </w:pPr>
            <w:r>
              <w:rPr>
                <w:rFonts w:ascii="Arial" w:cs="Arial" w:eastAsia="Arial" w:hAnsi="Arial"/>
                <w:sz w:val="12"/>
                <w:szCs w:val="12"/>
                <w:color w:val="auto"/>
              </w:rPr>
              <w:t>61</w:t>
            </w:r>
          </w:p>
        </w:tc>
      </w:tr>
      <w:tr>
        <w:trPr>
          <w:trHeight w:val="124"/>
        </w:trPr>
        <w:tc>
          <w:tcPr>
            <w:tcW w:w="3440" w:type="dxa"/>
            <w:vAlign w:val="bottom"/>
            <w:tcBorders>
              <w:top w:val="single" w:sz="8" w:color="0000EE"/>
            </w:tcBorders>
            <w:gridSpan w:val="24"/>
          </w:tcPr>
          <w:p>
            <w:pPr>
              <w:spacing w:after="0" w:line="124" w:lineRule="exact"/>
              <w:rPr>
                <w:rFonts w:ascii="Arial" w:cs="Arial" w:eastAsia="Arial" w:hAnsi="Arial"/>
                <w:sz w:val="12"/>
                <w:szCs w:val="12"/>
                <w:color w:val="0000EE"/>
              </w:rPr>
            </w:pPr>
            <w:hyperlink w:anchor="page65">
              <w:r>
                <w:rPr>
                  <w:rFonts w:ascii="Arial" w:cs="Arial" w:eastAsia="Arial" w:hAnsi="Arial"/>
                  <w:sz w:val="12"/>
                  <w:szCs w:val="12"/>
                  <w:color w:val="0000EE"/>
                </w:rPr>
                <w:t>Important Notice Regarding Delivery of Shareholder Documents</w:t>
              </w:r>
            </w:hyperlink>
          </w:p>
        </w:tc>
        <w:tc>
          <w:tcPr>
            <w:tcW w:w="920" w:type="dxa"/>
            <w:vAlign w:val="bottom"/>
            <w:gridSpan w:val="3"/>
          </w:tcPr>
          <w:p>
            <w:pPr>
              <w:spacing w:after="0"/>
              <w:rPr>
                <w:sz w:val="10"/>
                <w:szCs w:val="10"/>
                <w:color w:val="auto"/>
              </w:rPr>
            </w:pPr>
          </w:p>
        </w:tc>
        <w:tc>
          <w:tcPr>
            <w:tcW w:w="5660" w:type="dxa"/>
            <w:vAlign w:val="bottom"/>
            <w:gridSpan w:val="2"/>
          </w:tcPr>
          <w:p>
            <w:pPr>
              <w:jc w:val="right"/>
              <w:ind w:right="6"/>
              <w:spacing w:after="0" w:line="124" w:lineRule="exact"/>
              <w:rPr>
                <w:sz w:val="20"/>
                <w:szCs w:val="20"/>
                <w:color w:val="auto"/>
              </w:rPr>
            </w:pPr>
            <w:r>
              <w:rPr>
                <w:rFonts w:ascii="Arial" w:cs="Arial" w:eastAsia="Arial" w:hAnsi="Arial"/>
                <w:sz w:val="12"/>
                <w:szCs w:val="12"/>
                <w:color w:val="auto"/>
              </w:rPr>
              <w:t>61</w:t>
            </w:r>
          </w:p>
        </w:tc>
      </w:tr>
      <w:tr>
        <w:trPr>
          <w:trHeight w:val="124"/>
        </w:trPr>
        <w:tc>
          <w:tcPr>
            <w:tcW w:w="2420" w:type="dxa"/>
            <w:vAlign w:val="bottom"/>
            <w:tcBorders>
              <w:top w:val="single" w:sz="8" w:color="0000EE"/>
              <w:bottom w:val="single" w:sz="8" w:color="0000EE"/>
            </w:tcBorders>
            <w:gridSpan w:val="16"/>
          </w:tcPr>
          <w:p>
            <w:pPr>
              <w:spacing w:after="0" w:line="124" w:lineRule="exact"/>
              <w:rPr>
                <w:rFonts w:ascii="Arial" w:cs="Arial" w:eastAsia="Arial" w:hAnsi="Arial"/>
                <w:sz w:val="12"/>
                <w:szCs w:val="12"/>
                <w:color w:val="0000EE"/>
                <w:w w:val="90"/>
              </w:rPr>
            </w:pPr>
            <w:hyperlink w:anchor="page66">
              <w:r>
                <w:rPr>
                  <w:rFonts w:ascii="Arial" w:cs="Arial" w:eastAsia="Arial" w:hAnsi="Arial"/>
                  <w:sz w:val="12"/>
                  <w:szCs w:val="12"/>
                  <w:color w:val="0000EE"/>
                  <w:w w:val="90"/>
                </w:rPr>
                <w:t>Directions to the Pennsylvania Convention Center</w:t>
              </w:r>
            </w:hyperlink>
          </w:p>
        </w:tc>
        <w:tc>
          <w:tcPr>
            <w:tcW w:w="700" w:type="dxa"/>
            <w:vAlign w:val="bottom"/>
            <w:tcBorders>
              <w:top w:val="single" w:sz="8" w:color="0000EE"/>
            </w:tcBorders>
            <w:gridSpan w:val="7"/>
          </w:tcPr>
          <w:p>
            <w:pPr>
              <w:spacing w:after="0"/>
              <w:rPr>
                <w:sz w:val="10"/>
                <w:szCs w:val="10"/>
                <w:color w:val="auto"/>
              </w:rPr>
            </w:pPr>
          </w:p>
        </w:tc>
        <w:tc>
          <w:tcPr>
            <w:tcW w:w="1240" w:type="dxa"/>
            <w:vAlign w:val="bottom"/>
            <w:gridSpan w:val="4"/>
          </w:tcPr>
          <w:p>
            <w:pPr>
              <w:spacing w:after="0"/>
              <w:rPr>
                <w:sz w:val="10"/>
                <w:szCs w:val="10"/>
                <w:color w:val="auto"/>
              </w:rPr>
            </w:pPr>
          </w:p>
        </w:tc>
        <w:tc>
          <w:tcPr>
            <w:tcW w:w="5660" w:type="dxa"/>
            <w:vAlign w:val="bottom"/>
            <w:gridSpan w:val="2"/>
          </w:tcPr>
          <w:p>
            <w:pPr>
              <w:jc w:val="right"/>
              <w:ind w:right="6"/>
              <w:spacing w:after="0" w:line="124" w:lineRule="exact"/>
              <w:rPr>
                <w:sz w:val="20"/>
                <w:szCs w:val="20"/>
                <w:color w:val="auto"/>
              </w:rPr>
            </w:pPr>
            <w:r>
              <w:rPr>
                <w:rFonts w:ascii="Arial" w:cs="Arial" w:eastAsia="Arial" w:hAnsi="Arial"/>
                <w:sz w:val="12"/>
                <w:szCs w:val="12"/>
                <w:color w:val="auto"/>
              </w:rPr>
              <w:t>62</w:t>
            </w:r>
          </w:p>
        </w:tc>
      </w:tr>
      <w:tr>
        <w:trPr>
          <w:trHeight w:val="124"/>
        </w:trPr>
        <w:tc>
          <w:tcPr>
            <w:tcW w:w="1100" w:type="dxa"/>
            <w:vAlign w:val="bottom"/>
            <w:tcBorders>
              <w:bottom w:val="single" w:sz="8" w:color="0000EE"/>
            </w:tcBorders>
            <w:gridSpan w:val="4"/>
          </w:tcPr>
          <w:p>
            <w:pPr>
              <w:spacing w:after="0" w:line="124" w:lineRule="exact"/>
              <w:rPr>
                <w:rFonts w:ascii="Arial" w:cs="Arial" w:eastAsia="Arial" w:hAnsi="Arial"/>
                <w:sz w:val="12"/>
                <w:szCs w:val="12"/>
                <w:color w:val="0000EE"/>
                <w:w w:val="87"/>
              </w:rPr>
            </w:pPr>
            <w:hyperlink w:anchor="page68">
              <w:r>
                <w:rPr>
                  <w:rFonts w:ascii="Arial" w:cs="Arial" w:eastAsia="Arial" w:hAnsi="Arial"/>
                  <w:sz w:val="12"/>
                  <w:szCs w:val="12"/>
                  <w:color w:val="0000EE"/>
                  <w:w w:val="87"/>
                </w:rPr>
                <w:t>2006 Cash Bonus Plan</w:t>
              </w:r>
            </w:hyperlink>
          </w:p>
        </w:tc>
        <w:tc>
          <w:tcPr>
            <w:tcW w:w="3260" w:type="dxa"/>
            <w:vAlign w:val="bottom"/>
            <w:gridSpan w:val="23"/>
          </w:tcPr>
          <w:p>
            <w:pPr>
              <w:spacing w:after="0"/>
              <w:rPr>
                <w:sz w:val="10"/>
                <w:szCs w:val="10"/>
                <w:color w:val="auto"/>
              </w:rPr>
            </w:pPr>
          </w:p>
        </w:tc>
        <w:tc>
          <w:tcPr>
            <w:tcW w:w="1280" w:type="dxa"/>
            <w:vAlign w:val="bottom"/>
          </w:tcPr>
          <w:p>
            <w:pPr>
              <w:spacing w:after="0"/>
              <w:rPr>
                <w:sz w:val="10"/>
                <w:szCs w:val="10"/>
                <w:color w:val="auto"/>
              </w:rPr>
            </w:pPr>
          </w:p>
        </w:tc>
        <w:tc>
          <w:tcPr>
            <w:tcW w:w="4380" w:type="dxa"/>
            <w:vAlign w:val="bottom"/>
          </w:tcPr>
          <w:p>
            <w:pPr>
              <w:jc w:val="right"/>
              <w:ind w:right="6"/>
              <w:spacing w:after="0" w:line="124" w:lineRule="exact"/>
              <w:rPr>
                <w:sz w:val="20"/>
                <w:szCs w:val="20"/>
                <w:color w:val="auto"/>
              </w:rPr>
            </w:pPr>
            <w:r>
              <w:rPr>
                <w:rFonts w:ascii="Arial" w:cs="Arial" w:eastAsia="Arial" w:hAnsi="Arial"/>
                <w:sz w:val="12"/>
                <w:szCs w:val="12"/>
                <w:color w:val="auto"/>
              </w:rPr>
              <w:t>A-1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6237605</wp:posOffset>
            </wp:positionH>
            <wp:positionV relativeFrom="paragraph">
              <wp:posOffset>-2487295</wp:posOffset>
            </wp:positionV>
            <wp:extent cx="5715"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15" cy="5715"/>
                    </a:xfrm>
                    <a:prstGeom prst="rect">
                      <a:avLst/>
                    </a:prstGeom>
                    <a:noFill/>
                  </pic:spPr>
                </pic:pic>
              </a:graphicData>
            </a:graphic>
          </wp:anchor>
        </w:drawing>
      </w:r>
    </w:p>
    <w:p>
      <w:pPr>
        <w:spacing w:after="0" w:line="7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 * *</w:t>
      </w:r>
    </w:p>
    <w:p>
      <w:pPr>
        <w:spacing w:after="0" w:line="83" w:lineRule="exact"/>
        <w:rPr>
          <w:sz w:val="20"/>
          <w:szCs w:val="20"/>
          <w:color w:val="auto"/>
        </w:rPr>
      </w:pPr>
    </w:p>
    <w:p>
      <w:pPr>
        <w:ind w:right="320" w:firstLine="400"/>
        <w:spacing w:after="0" w:line="283" w:lineRule="auto"/>
        <w:rPr>
          <w:sz w:val="20"/>
          <w:szCs w:val="20"/>
          <w:color w:val="auto"/>
        </w:rPr>
      </w:pPr>
      <w:r>
        <w:rPr>
          <w:rFonts w:ascii="Arial" w:cs="Arial" w:eastAsia="Arial" w:hAnsi="Arial"/>
          <w:sz w:val="12"/>
          <w:szCs w:val="12"/>
          <w:b w:val="1"/>
          <w:bCs w:val="1"/>
          <w:color w:val="auto"/>
        </w:rPr>
        <w:t>Important Notice Regarding the Availability of Proxy Materials for the Annual Meeting of Shareholders to Be Held on May 20, 2010: Our proxy statement and our Annual Report on Form 10-K for the fiscal year ended December 31, 2009 are available at www.proxyvote.com.</w:t>
      </w: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97790</wp:posOffset>
            </wp:positionV>
            <wp:extent cx="7299325" cy="18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020"/>
          </w:cols>
          <w:pgMar w:left="900" w:top="659" w:right="979" w:bottom="1440" w:gutter="0" w:footer="0" w:header="0"/>
        </w:sectPr>
      </w:pPr>
    </w:p>
    <w:bookmarkStart w:id="4" w:name="page5"/>
    <w:bookmarkEnd w:id="4"/>
    <w:p>
      <w:pPr>
        <w:spacing w:after="0"/>
        <w:rPr>
          <w:rFonts w:ascii="Arial" w:cs="Arial" w:eastAsia="Arial" w:hAnsi="Arial"/>
          <w:sz w:val="12"/>
          <w:szCs w:val="12"/>
          <w:b w:val="1"/>
          <w:bCs w:val="1"/>
          <w:u w:val="single" w:color="auto"/>
          <w:color w:val="0000EE"/>
        </w:rPr>
      </w:pPr>
      <w:hyperlink w:anchor="page4">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3094990</wp:posOffset>
            </wp:positionH>
            <wp:positionV relativeFrom="paragraph">
              <wp:posOffset>136525</wp:posOffset>
            </wp:positionV>
            <wp:extent cx="1023620" cy="262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23620" cy="262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699"/>
        <w:spacing w:after="0"/>
        <w:rPr>
          <w:sz w:val="20"/>
          <w:szCs w:val="20"/>
          <w:color w:val="auto"/>
        </w:rPr>
      </w:pPr>
      <w:r>
        <w:rPr>
          <w:rFonts w:ascii="Arial" w:cs="Arial" w:eastAsia="Arial" w:hAnsi="Arial"/>
          <w:sz w:val="12"/>
          <w:szCs w:val="12"/>
          <w:b w:val="1"/>
          <w:bCs w:val="1"/>
          <w:color w:val="auto"/>
        </w:rPr>
        <w:t>PROXY STATEMENT</w:t>
      </w:r>
    </w:p>
    <w:p>
      <w:pPr>
        <w:spacing w:after="0" w:line="168" w:lineRule="exact"/>
        <w:rPr>
          <w:sz w:val="20"/>
          <w:szCs w:val="20"/>
          <w:color w:val="auto"/>
        </w:rPr>
      </w:pPr>
    </w:p>
    <w:p>
      <w:pPr>
        <w:ind w:left="4920"/>
        <w:spacing w:after="0"/>
        <w:rPr>
          <w:sz w:val="20"/>
          <w:szCs w:val="20"/>
          <w:color w:val="auto"/>
        </w:rPr>
      </w:pPr>
      <w:r>
        <w:rPr>
          <w:rFonts w:ascii="Arial" w:cs="Arial" w:eastAsia="Arial" w:hAnsi="Arial"/>
          <w:sz w:val="12"/>
          <w:szCs w:val="12"/>
          <w:b w:val="1"/>
          <w:bCs w:val="1"/>
          <w:color w:val="auto"/>
        </w:rPr>
        <w:t>GENERAL INFORMATION</w:t>
      </w:r>
    </w:p>
    <w:p>
      <w:pPr>
        <w:spacing w:after="0" w:line="163"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Who May Vote</w:t>
      </w:r>
    </w:p>
    <w:p>
      <w:pPr>
        <w:spacing w:after="0" w:line="87" w:lineRule="exact"/>
        <w:rPr>
          <w:sz w:val="20"/>
          <w:szCs w:val="20"/>
          <w:color w:val="auto"/>
        </w:rPr>
      </w:pPr>
    </w:p>
    <w:p>
      <w:pPr>
        <w:ind w:left="680" w:right="120" w:firstLine="400"/>
        <w:spacing w:after="0" w:line="259" w:lineRule="auto"/>
        <w:rPr>
          <w:sz w:val="20"/>
          <w:szCs w:val="20"/>
          <w:color w:val="auto"/>
        </w:rPr>
      </w:pPr>
      <w:r>
        <w:rPr>
          <w:rFonts w:ascii="Arial" w:cs="Arial" w:eastAsia="Arial" w:hAnsi="Arial"/>
          <w:sz w:val="12"/>
          <w:szCs w:val="12"/>
          <w:color w:val="auto"/>
        </w:rPr>
        <w:t>Holders of record of Comcast Corporation’s (“Comcast,” the “Company” or “our,” “we” or “us”) Class A and Class B common stock at the close of business on March 11, 2010 may vote at the annual meeting of shareholders. Holders of our Class A Special common stock are not entitled to vote at the meeting. This proxy statement is made available to holders of Class A Special common stock for informational purposes only. The Notice of Internet Availability of Proxy Materials is being mailed to our shareholders beginning on or about April 9, 2010. This proxy statement is being made available to our shareholders beginning on or about April 9, 2010.</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How to Vote</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You may vote in person at the meeting or by proxy. We recommend that you vote by proxy even if you plan to attend the meeting. You can always change your vote at the meeting.</w:t>
      </w:r>
    </w:p>
    <w:p>
      <w:pPr>
        <w:spacing w:after="0" w:line="159"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How Proxies Work</w:t>
      </w:r>
    </w:p>
    <w:p>
      <w:pPr>
        <w:spacing w:after="0" w:line="87" w:lineRule="exact"/>
        <w:rPr>
          <w:sz w:val="20"/>
          <w:szCs w:val="20"/>
          <w:color w:val="auto"/>
        </w:rPr>
      </w:pPr>
    </w:p>
    <w:p>
      <w:pPr>
        <w:ind w:left="680" w:firstLine="400"/>
        <w:spacing w:after="0" w:line="276" w:lineRule="auto"/>
        <w:rPr>
          <w:sz w:val="20"/>
          <w:szCs w:val="20"/>
          <w:color w:val="auto"/>
        </w:rPr>
      </w:pPr>
      <w:r>
        <w:rPr>
          <w:rFonts w:ascii="Arial" w:cs="Arial" w:eastAsia="Arial" w:hAnsi="Arial"/>
          <w:sz w:val="12"/>
          <w:szCs w:val="12"/>
          <w:color w:val="auto"/>
        </w:rPr>
        <w:t>Our Board of Directors (the “Board”) is asking for your proxy. Giving us your proxy means you authorize us to vote your shares at the meeting in the manner you direct. You may vote for all, some or none of our director candidates. You may also vote for or against the other proposals or abstain from voting.</w:t>
      </w:r>
    </w:p>
    <w:p>
      <w:pPr>
        <w:spacing w:after="0" w:line="52"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You can vote by proxy in any of the following ways:</w:t>
      </w:r>
    </w:p>
    <w:p>
      <w:pPr>
        <w:spacing w:after="0" w:line="87" w:lineRule="exact"/>
        <w:rPr>
          <w:sz w:val="20"/>
          <w:szCs w:val="20"/>
          <w:color w:val="auto"/>
        </w:rPr>
      </w:pPr>
    </w:p>
    <w:p>
      <w:pPr>
        <w:ind w:left="1280" w:hanging="194"/>
        <w:spacing w:after="0"/>
        <w:tabs>
          <w:tab w:leader="none" w:pos="1280" w:val="left"/>
        </w:tabs>
        <w:numPr>
          <w:ilvl w:val="0"/>
          <w:numId w:val="6"/>
        </w:numPr>
        <w:rPr>
          <w:rFonts w:ascii="Arial" w:cs="Arial" w:eastAsia="Arial" w:hAnsi="Arial"/>
          <w:sz w:val="12"/>
          <w:szCs w:val="12"/>
          <w:color w:val="auto"/>
        </w:rPr>
      </w:pPr>
      <w:r>
        <w:rPr>
          <w:rFonts w:ascii="Arial" w:cs="Arial" w:eastAsia="Arial" w:hAnsi="Arial"/>
          <w:sz w:val="12"/>
          <w:szCs w:val="12"/>
          <w:i w:val="1"/>
          <w:iCs w:val="1"/>
          <w:color w:val="auto"/>
        </w:rPr>
        <w:t xml:space="preserve">Via the Internet: </w:t>
      </w:r>
      <w:r>
        <w:rPr>
          <w:rFonts w:ascii="Arial" w:cs="Arial" w:eastAsia="Arial" w:hAnsi="Arial"/>
          <w:sz w:val="12"/>
          <w:szCs w:val="12"/>
          <w:color w:val="auto"/>
        </w:rPr>
        <w:t>Go to www.proxyvote.com and follow the instructions outlined on the secure website.</w:t>
      </w:r>
    </w:p>
    <w:p>
      <w:pPr>
        <w:spacing w:after="0" w:line="78" w:lineRule="exact"/>
        <w:rPr>
          <w:rFonts w:ascii="Arial" w:cs="Arial" w:eastAsia="Arial" w:hAnsi="Arial"/>
          <w:sz w:val="12"/>
          <w:szCs w:val="12"/>
          <w:color w:val="auto"/>
        </w:rPr>
      </w:pPr>
    </w:p>
    <w:p>
      <w:pPr>
        <w:ind w:left="1280" w:right="400" w:hanging="194"/>
        <w:spacing w:after="0" w:line="276" w:lineRule="auto"/>
        <w:tabs>
          <w:tab w:leader="none" w:pos="1280" w:val="left"/>
        </w:tabs>
        <w:numPr>
          <w:ilvl w:val="0"/>
          <w:numId w:val="6"/>
        </w:numPr>
        <w:rPr>
          <w:rFonts w:ascii="Arial" w:cs="Arial" w:eastAsia="Arial" w:hAnsi="Arial"/>
          <w:sz w:val="12"/>
          <w:szCs w:val="12"/>
          <w:color w:val="auto"/>
        </w:rPr>
      </w:pPr>
      <w:r>
        <w:rPr>
          <w:rFonts w:ascii="Arial" w:cs="Arial" w:eastAsia="Arial" w:hAnsi="Arial"/>
          <w:sz w:val="12"/>
          <w:szCs w:val="12"/>
          <w:i w:val="1"/>
          <w:iCs w:val="1"/>
          <w:color w:val="auto"/>
        </w:rPr>
        <w:t xml:space="preserve">By telephone: </w:t>
      </w:r>
      <w:r>
        <w:rPr>
          <w:rFonts w:ascii="Arial" w:cs="Arial" w:eastAsia="Arial" w:hAnsi="Arial"/>
          <w:sz w:val="12"/>
          <w:szCs w:val="12"/>
          <w:color w:val="auto"/>
        </w:rPr>
        <w:t>Call toll free 1-800-690-6903 and follow the instructions provided on the recorded message. If you hold shares beneficially, through a broker, brokerage firm, bank or other</w:t>
      </w:r>
      <w:r>
        <w:rPr>
          <w:rFonts w:ascii="Arial" w:cs="Arial" w:eastAsia="Arial" w:hAnsi="Arial"/>
          <w:sz w:val="12"/>
          <w:szCs w:val="12"/>
          <w:i w:val="1"/>
          <w:iCs w:val="1"/>
          <w:color w:val="auto"/>
        </w:rPr>
        <w:t xml:space="preserve"> </w:t>
      </w:r>
      <w:r>
        <w:rPr>
          <w:rFonts w:ascii="Arial" w:cs="Arial" w:eastAsia="Arial" w:hAnsi="Arial"/>
          <w:sz w:val="12"/>
          <w:szCs w:val="12"/>
          <w:color w:val="auto"/>
        </w:rPr>
        <w:t>nominee, please refer to the instructions provided to you by such broker, brokerage firm, bank or other nominee regarding voting by telephone.</w:t>
      </w:r>
    </w:p>
    <w:p>
      <w:pPr>
        <w:spacing w:after="0" w:line="42" w:lineRule="exact"/>
        <w:rPr>
          <w:rFonts w:ascii="Arial" w:cs="Arial" w:eastAsia="Arial" w:hAnsi="Arial"/>
          <w:sz w:val="12"/>
          <w:szCs w:val="12"/>
          <w:color w:val="auto"/>
        </w:rPr>
      </w:pPr>
    </w:p>
    <w:p>
      <w:pPr>
        <w:ind w:left="1280" w:hanging="194"/>
        <w:spacing w:after="0"/>
        <w:tabs>
          <w:tab w:leader="none" w:pos="1280" w:val="left"/>
        </w:tabs>
        <w:numPr>
          <w:ilvl w:val="0"/>
          <w:numId w:val="6"/>
        </w:numPr>
        <w:rPr>
          <w:rFonts w:ascii="Arial" w:cs="Arial" w:eastAsia="Arial" w:hAnsi="Arial"/>
          <w:sz w:val="12"/>
          <w:szCs w:val="12"/>
          <w:color w:val="auto"/>
        </w:rPr>
      </w:pPr>
      <w:r>
        <w:rPr>
          <w:rFonts w:ascii="Arial" w:cs="Arial" w:eastAsia="Arial" w:hAnsi="Arial"/>
          <w:sz w:val="12"/>
          <w:szCs w:val="12"/>
          <w:i w:val="1"/>
          <w:iCs w:val="1"/>
          <w:color w:val="auto"/>
        </w:rPr>
        <w:t xml:space="preserve">In writing: </w:t>
      </w:r>
      <w:r>
        <w:rPr>
          <w:rFonts w:ascii="Arial" w:cs="Arial" w:eastAsia="Arial" w:hAnsi="Arial"/>
          <w:sz w:val="12"/>
          <w:szCs w:val="12"/>
          <w:color w:val="auto"/>
        </w:rPr>
        <w:t>Complete, sign and date your proxy card and return your proxy card in the enclosed envelope.</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If you vote via the Internet or by telephone, your vote must be received by 11:59 p.m. Eastern Daylight Time on May 19, 2010.</w:t>
      </w:r>
    </w:p>
    <w:p>
      <w:pPr>
        <w:spacing w:after="0" w:line="87" w:lineRule="exact"/>
        <w:rPr>
          <w:sz w:val="20"/>
          <w:szCs w:val="20"/>
          <w:color w:val="auto"/>
        </w:rPr>
      </w:pPr>
    </w:p>
    <w:p>
      <w:pPr>
        <w:ind w:left="680" w:right="380" w:firstLine="400"/>
        <w:spacing w:after="0" w:line="276" w:lineRule="auto"/>
        <w:rPr>
          <w:sz w:val="20"/>
          <w:szCs w:val="20"/>
          <w:color w:val="auto"/>
        </w:rPr>
      </w:pPr>
      <w:r>
        <w:rPr>
          <w:rFonts w:ascii="Arial" w:cs="Arial" w:eastAsia="Arial" w:hAnsi="Arial"/>
          <w:sz w:val="12"/>
          <w:szCs w:val="12"/>
          <w:color w:val="auto"/>
        </w:rPr>
        <w:t>If you give us your signed proxy but do not specify how to vote, we will vote your shares in favor of the director candidates, the ratification of the appointment of our independent auditors, the approval of our 2006 Cash Bonus Plan and against the three shareholder proposals.</w:t>
      </w:r>
    </w:p>
    <w:p>
      <w:pPr>
        <w:spacing w:after="0" w:line="52" w:lineRule="exact"/>
        <w:rPr>
          <w:sz w:val="20"/>
          <w:szCs w:val="20"/>
          <w:color w:val="auto"/>
        </w:rPr>
      </w:pPr>
    </w:p>
    <w:p>
      <w:pPr>
        <w:ind w:left="680" w:right="140" w:firstLine="400"/>
        <w:spacing w:after="0" w:line="259" w:lineRule="auto"/>
        <w:rPr>
          <w:sz w:val="20"/>
          <w:szCs w:val="20"/>
          <w:color w:val="auto"/>
        </w:rPr>
      </w:pPr>
      <w:r>
        <w:rPr>
          <w:rFonts w:ascii="Arial" w:cs="Arial" w:eastAsia="Arial" w:hAnsi="Arial"/>
          <w:sz w:val="12"/>
          <w:szCs w:val="12"/>
          <w:color w:val="auto"/>
        </w:rPr>
        <w:t xml:space="preserve">If you hold Class A common shares in the Comcast Corporation Retirement-Investment Plan or the Comcast Spectacor 401(k) Plan and vote, your shares will be voted as you specify on your proxy card. If you hold Class A common shares in the Comcast Corporation Retirement-Investment Plan or the Comcast Spectacor 401(k) Plan and do not vote, or you sign and return your proxy card without voting instructions, the respective plan trustee will vote your shares in the same proportion on each matter as it votes shares held in the respective plan for which voting directions were received. </w:t>
      </w:r>
      <w:r>
        <w:rPr>
          <w:rFonts w:ascii="Arial" w:cs="Arial" w:eastAsia="Arial" w:hAnsi="Arial"/>
          <w:sz w:val="12"/>
          <w:szCs w:val="12"/>
          <w:i w:val="1"/>
          <w:iCs w:val="1"/>
          <w:color w:val="auto"/>
        </w:rPr>
        <w:t>To allow</w:t>
      </w:r>
      <w:r>
        <w:rPr>
          <w:rFonts w:ascii="Arial" w:cs="Arial" w:eastAsia="Arial" w:hAnsi="Arial"/>
          <w:sz w:val="12"/>
          <w:szCs w:val="12"/>
          <w:color w:val="auto"/>
        </w:rPr>
        <w:t xml:space="preserve"> </w:t>
      </w:r>
      <w:r>
        <w:rPr>
          <w:rFonts w:ascii="Arial" w:cs="Arial" w:eastAsia="Arial" w:hAnsi="Arial"/>
          <w:sz w:val="12"/>
          <w:szCs w:val="12"/>
          <w:i w:val="1"/>
          <w:iCs w:val="1"/>
          <w:color w:val="auto"/>
        </w:rPr>
        <w:t>sufficient time for voting by the plan trustee, your voting instructions must be received by May 17,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81280</wp:posOffset>
            </wp:positionV>
            <wp:extent cx="7299325" cy="18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660"/>
          </w:cols>
          <w:pgMar w:left="220" w:top="327" w:right="1019" w:bottom="1440" w:gutter="0" w:footer="0" w:header="0"/>
        </w:sectPr>
      </w:pPr>
    </w:p>
    <w:bookmarkStart w:id="5" w:name="page6"/>
    <w:bookmarkEnd w:id="5"/>
    <w:p>
      <w:pPr>
        <w:spacing w:after="0"/>
        <w:rPr>
          <w:rFonts w:ascii="Arial" w:cs="Arial" w:eastAsia="Arial" w:hAnsi="Arial"/>
          <w:sz w:val="12"/>
          <w:szCs w:val="12"/>
          <w:b w:val="1"/>
          <w:bCs w:val="1"/>
          <w:u w:val="single" w:color="auto"/>
          <w:color w:val="0000EE"/>
        </w:rPr>
      </w:pP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Notice of Electronic Availability of Proxy Materials</w:t>
      </w:r>
    </w:p>
    <w:p>
      <w:pPr>
        <w:spacing w:after="0" w:line="87" w:lineRule="exact"/>
        <w:rPr>
          <w:sz w:val="20"/>
          <w:szCs w:val="20"/>
          <w:color w:val="auto"/>
        </w:rPr>
      </w:pPr>
    </w:p>
    <w:p>
      <w:pPr>
        <w:ind w:left="680" w:right="60" w:firstLine="400"/>
        <w:spacing w:after="0" w:line="280" w:lineRule="auto"/>
        <w:rPr>
          <w:sz w:val="20"/>
          <w:szCs w:val="20"/>
          <w:color w:val="auto"/>
        </w:rPr>
      </w:pPr>
      <w:r>
        <w:rPr>
          <w:rFonts w:ascii="Arial" w:cs="Arial" w:eastAsia="Arial" w:hAnsi="Arial"/>
          <w:sz w:val="11"/>
          <w:szCs w:val="11"/>
          <w:color w:val="auto"/>
        </w:rPr>
        <w:t>Pursuant to the rules of the Securities and Exchange Commission (“SEC”), we are making this proxy statement and our Annual Report on Form 10-K available to our shareholders electronically via the Internet. Accordingly, in compliance with this e-proxy process, on or about April 9, 2010, we mailed to our shareholders of record and beneficial owners a Notice of Internet Availability of Proxy Materials containing instructions on how to access this proxy statement and our Annual Report on Form 10-K via the Internet and how to vote online. As a result, unless otherwise required, you will not receive a paper copy of the proxy materials unless you request one. All shareholders will be able to access the proxy materials on a website referred to in the Notice of Internet Availability of Proxy Materials and in this proxy statement and to request to receive a set of the proxy materials by mail or electronically, in either case, free of charge. If you would like to receive a paper or electronic copy of our proxy materials, you should follow the instructions for requesting such materials included in the Notice of Internet Availability of Proxy Materials. See “Electronic Access to Proxy Materials and Annual Report on Form 10-K” below for further information on electing to receive proxy materials electronically. By participating in the e-proxy process, we will save money on the cost of printing and mailing documents to you and reduce the impact of our annual meeting of shareholders on the environment.</w:t>
      </w:r>
    </w:p>
    <w:p>
      <w:pPr>
        <w:spacing w:after="0" w:line="125"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Matters to be Presented</w:t>
      </w:r>
    </w:p>
    <w:p>
      <w:pPr>
        <w:spacing w:after="0" w:line="87" w:lineRule="exact"/>
        <w:rPr>
          <w:sz w:val="20"/>
          <w:szCs w:val="20"/>
          <w:color w:val="auto"/>
        </w:rPr>
      </w:pPr>
    </w:p>
    <w:p>
      <w:pPr>
        <w:ind w:left="680" w:right="320" w:firstLine="400"/>
        <w:spacing w:after="0" w:line="263" w:lineRule="auto"/>
        <w:rPr>
          <w:sz w:val="20"/>
          <w:szCs w:val="20"/>
          <w:color w:val="auto"/>
        </w:rPr>
      </w:pPr>
      <w:r>
        <w:rPr>
          <w:rFonts w:ascii="Arial" w:cs="Arial" w:eastAsia="Arial" w:hAnsi="Arial"/>
          <w:sz w:val="12"/>
          <w:szCs w:val="12"/>
          <w:color w:val="auto"/>
        </w:rPr>
        <w:t>We are not aware of any matters to be presented other than those described in this proxy statement. If any matters not described in this proxy statement are properly presented at the meeting, the proxies will use their own judgment to determine how to vote your shares. If the meeting is postponed or adjourned, the proxies will vote your shares on the new meeting date in accordance with your previous instructions, unless you have revoked your proxy.</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Revoking a Proxy</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You may revoke your proxy before it is voted by:</w:t>
      </w:r>
    </w:p>
    <w:p>
      <w:pPr>
        <w:spacing w:after="0" w:line="87" w:lineRule="exact"/>
        <w:rPr>
          <w:sz w:val="20"/>
          <w:szCs w:val="20"/>
          <w:color w:val="auto"/>
        </w:rPr>
      </w:pPr>
    </w:p>
    <w:p>
      <w:pPr>
        <w:ind w:left="1280" w:hanging="194"/>
        <w:spacing w:after="0"/>
        <w:tabs>
          <w:tab w:leader="none" w:pos="1280" w:val="left"/>
        </w:tabs>
        <w:numPr>
          <w:ilvl w:val="0"/>
          <w:numId w:val="7"/>
        </w:numPr>
        <w:rPr>
          <w:rFonts w:ascii="Arial" w:cs="Arial" w:eastAsia="Arial" w:hAnsi="Arial"/>
          <w:sz w:val="12"/>
          <w:szCs w:val="12"/>
          <w:color w:val="auto"/>
        </w:rPr>
      </w:pPr>
      <w:r>
        <w:rPr>
          <w:rFonts w:ascii="Arial" w:cs="Arial" w:eastAsia="Arial" w:hAnsi="Arial"/>
          <w:sz w:val="12"/>
          <w:szCs w:val="12"/>
          <w:color w:val="auto"/>
        </w:rPr>
        <w:t>submitting a new proxy with a later date, including a proxy given via the Internet or by telephone;</w:t>
      </w:r>
    </w:p>
    <w:p>
      <w:pPr>
        <w:spacing w:after="0" w:line="78" w:lineRule="exact"/>
        <w:rPr>
          <w:rFonts w:ascii="Arial" w:cs="Arial" w:eastAsia="Arial" w:hAnsi="Arial"/>
          <w:sz w:val="12"/>
          <w:szCs w:val="12"/>
          <w:color w:val="auto"/>
        </w:rPr>
      </w:pPr>
    </w:p>
    <w:p>
      <w:pPr>
        <w:ind w:left="1280" w:hanging="194"/>
        <w:spacing w:after="0"/>
        <w:tabs>
          <w:tab w:leader="none" w:pos="1280" w:val="left"/>
        </w:tabs>
        <w:numPr>
          <w:ilvl w:val="0"/>
          <w:numId w:val="7"/>
        </w:numPr>
        <w:rPr>
          <w:rFonts w:ascii="Arial" w:cs="Arial" w:eastAsia="Arial" w:hAnsi="Arial"/>
          <w:sz w:val="12"/>
          <w:szCs w:val="12"/>
          <w:color w:val="auto"/>
        </w:rPr>
      </w:pPr>
      <w:r>
        <w:rPr>
          <w:rFonts w:ascii="Arial" w:cs="Arial" w:eastAsia="Arial" w:hAnsi="Arial"/>
          <w:sz w:val="12"/>
          <w:szCs w:val="12"/>
          <w:color w:val="auto"/>
        </w:rPr>
        <w:t>notifying our Secretary in writing before the meeting at the address given on page 3; or</w:t>
      </w:r>
    </w:p>
    <w:p>
      <w:pPr>
        <w:spacing w:after="0" w:line="78" w:lineRule="exact"/>
        <w:rPr>
          <w:rFonts w:ascii="Arial" w:cs="Arial" w:eastAsia="Arial" w:hAnsi="Arial"/>
          <w:sz w:val="12"/>
          <w:szCs w:val="12"/>
          <w:color w:val="auto"/>
        </w:rPr>
      </w:pPr>
    </w:p>
    <w:p>
      <w:pPr>
        <w:ind w:left="1280" w:hanging="194"/>
        <w:spacing w:after="0"/>
        <w:tabs>
          <w:tab w:leader="none" w:pos="1280" w:val="left"/>
        </w:tabs>
        <w:numPr>
          <w:ilvl w:val="0"/>
          <w:numId w:val="7"/>
        </w:numPr>
        <w:rPr>
          <w:rFonts w:ascii="Arial" w:cs="Arial" w:eastAsia="Arial" w:hAnsi="Arial"/>
          <w:sz w:val="12"/>
          <w:szCs w:val="12"/>
          <w:color w:val="auto"/>
        </w:rPr>
      </w:pPr>
      <w:r>
        <w:rPr>
          <w:rFonts w:ascii="Arial" w:cs="Arial" w:eastAsia="Arial" w:hAnsi="Arial"/>
          <w:sz w:val="12"/>
          <w:szCs w:val="12"/>
          <w:color w:val="auto"/>
        </w:rPr>
        <w:t>voting in person at the meeting.</w:t>
      </w:r>
    </w:p>
    <w:p>
      <w:pPr>
        <w:spacing w:after="0" w:line="159"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Attending in Person</w:t>
      </w:r>
    </w:p>
    <w:p>
      <w:pPr>
        <w:spacing w:after="0" w:line="87" w:lineRule="exact"/>
        <w:rPr>
          <w:sz w:val="20"/>
          <w:szCs w:val="20"/>
          <w:color w:val="auto"/>
        </w:rPr>
      </w:pPr>
    </w:p>
    <w:p>
      <w:pPr>
        <w:ind w:left="680" w:right="20" w:firstLine="400"/>
        <w:spacing w:after="0" w:line="263" w:lineRule="auto"/>
        <w:rPr>
          <w:sz w:val="20"/>
          <w:szCs w:val="20"/>
          <w:color w:val="auto"/>
        </w:rPr>
      </w:pPr>
      <w:r>
        <w:rPr>
          <w:rFonts w:ascii="Arial" w:cs="Arial" w:eastAsia="Arial" w:hAnsi="Arial"/>
          <w:sz w:val="12"/>
          <w:szCs w:val="12"/>
          <w:color w:val="auto"/>
        </w:rPr>
        <w:t>Attendance at the meeting is limited to shareholders of record and one guest per shareholder. For safety and security reasons, video and audio recording devices will not be allowed in the meeting. All meeting attendees may be asked to present a valid, government-issued photo identification, such as a driver’s license or passport, before entering the meeting, and attendees will be subject to security inspections.</w:t>
      </w:r>
    </w:p>
    <w:p>
      <w:pPr>
        <w:spacing w:after="0" w:line="60" w:lineRule="exact"/>
        <w:rPr>
          <w:sz w:val="20"/>
          <w:szCs w:val="20"/>
          <w:color w:val="auto"/>
        </w:rPr>
      </w:pPr>
    </w:p>
    <w:p>
      <w:pPr>
        <w:ind w:left="680" w:right="280" w:firstLine="400"/>
        <w:spacing w:after="0" w:line="276" w:lineRule="auto"/>
        <w:rPr>
          <w:sz w:val="20"/>
          <w:szCs w:val="20"/>
          <w:color w:val="auto"/>
        </w:rPr>
      </w:pPr>
      <w:r>
        <w:rPr>
          <w:rFonts w:ascii="Arial" w:cs="Arial" w:eastAsia="Arial" w:hAnsi="Arial"/>
          <w:sz w:val="12"/>
          <w:szCs w:val="12"/>
          <w:color w:val="auto"/>
        </w:rPr>
        <w:t>Please bring an admission ticket with you to the meeting. Shareholders who do not present an admission ticket at the meeting will be admitted only upon verification of ownership. An admission ticket is attached to your proxy card. Your Notice of Internet Availability of Proxy Materials will also serve as an admission ticket.</w:t>
      </w:r>
    </w:p>
    <w:p>
      <w:pPr>
        <w:spacing w:after="0" w:line="52" w:lineRule="exact"/>
        <w:rPr>
          <w:sz w:val="20"/>
          <w:szCs w:val="20"/>
          <w:color w:val="auto"/>
        </w:rPr>
      </w:pPr>
    </w:p>
    <w:p>
      <w:pPr>
        <w:ind w:left="680" w:firstLine="400"/>
        <w:spacing w:after="0" w:line="263" w:lineRule="auto"/>
        <w:rPr>
          <w:sz w:val="20"/>
          <w:szCs w:val="20"/>
          <w:color w:val="auto"/>
        </w:rPr>
      </w:pPr>
      <w:r>
        <w:rPr>
          <w:rFonts w:ascii="Arial" w:cs="Arial" w:eastAsia="Arial" w:hAnsi="Arial"/>
          <w:sz w:val="12"/>
          <w:szCs w:val="12"/>
          <w:color w:val="auto"/>
        </w:rPr>
        <w:t>Alternatively, if your shares are held in the name of your bank, brokerage firm or other nominee, the voting instruction form received from your bank, brokerage firm or other nominee will serve as an admission ticket or you may bring to the meeting an account statement or letter from the nominee indicating that you beneficially owned shares on March 11, 2010, the record date for voting, which also will serve as an admission ticket.</w:t>
      </w:r>
    </w:p>
    <w:p>
      <w:pPr>
        <w:spacing w:after="0" w:line="60" w:lineRule="exact"/>
        <w:rPr>
          <w:sz w:val="20"/>
          <w:szCs w:val="20"/>
          <w:color w:val="auto"/>
        </w:rPr>
      </w:pPr>
    </w:p>
    <w:p>
      <w:pPr>
        <w:ind w:left="680" w:right="340" w:firstLine="400"/>
        <w:spacing w:after="0" w:line="276" w:lineRule="auto"/>
        <w:rPr>
          <w:sz w:val="20"/>
          <w:szCs w:val="20"/>
          <w:color w:val="auto"/>
        </w:rPr>
      </w:pPr>
      <w:r>
        <w:rPr>
          <w:rFonts w:ascii="Arial" w:cs="Arial" w:eastAsia="Arial" w:hAnsi="Arial"/>
          <w:sz w:val="12"/>
          <w:szCs w:val="12"/>
          <w:color w:val="auto"/>
        </w:rPr>
        <w:t>Registered shareholders may also request a replacement admission ticket by sending a written request to Comcast Corporation, in care of Broadridge Financial Solutions, Post Office Box 9160, Farmingdale, NY 11735.</w:t>
      </w: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97790</wp:posOffset>
            </wp:positionV>
            <wp:extent cx="7299325" cy="18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660"/>
          </w:cols>
          <w:pgMar w:left="220" w:top="327" w:right="1019" w:bottom="1440" w:gutter="0" w:footer="0" w:header="0"/>
        </w:sectPr>
      </w:pPr>
    </w:p>
    <w:bookmarkStart w:id="6" w:name="page7"/>
    <w:bookmarkEnd w:id="6"/>
    <w:p>
      <w:pPr>
        <w:spacing w:after="0"/>
        <w:rPr>
          <w:rFonts w:ascii="Arial" w:cs="Arial" w:eastAsia="Arial" w:hAnsi="Arial"/>
          <w:sz w:val="12"/>
          <w:szCs w:val="12"/>
          <w:b w:val="1"/>
          <w:bCs w:val="1"/>
          <w:u w:val="single" w:color="auto"/>
          <w:color w:val="0000EE"/>
        </w:rPr>
      </w:pP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Webcast of the Meeting</w:t>
      </w:r>
    </w:p>
    <w:p>
      <w:pPr>
        <w:spacing w:after="0" w:line="87" w:lineRule="exact"/>
        <w:rPr>
          <w:sz w:val="20"/>
          <w:szCs w:val="20"/>
          <w:color w:val="auto"/>
        </w:rPr>
      </w:pPr>
    </w:p>
    <w:p>
      <w:pPr>
        <w:ind w:left="680" w:right="20" w:firstLine="400"/>
        <w:spacing w:after="0" w:line="276" w:lineRule="auto"/>
        <w:rPr>
          <w:sz w:val="20"/>
          <w:szCs w:val="20"/>
          <w:color w:val="auto"/>
        </w:rPr>
      </w:pPr>
      <w:r>
        <w:rPr>
          <w:rFonts w:ascii="Arial" w:cs="Arial" w:eastAsia="Arial" w:hAnsi="Arial"/>
          <w:sz w:val="12"/>
          <w:szCs w:val="12"/>
          <w:color w:val="auto"/>
        </w:rPr>
        <w:t>We are pleased to offer an audio webcast of the matters to be voted upon at the annual meeting of shareholders. If you choose to listen to the audio webcast, you may do so via a link on our website at www.cmcsa.com or www.cmcsk.com.</w:t>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Conduct of the Meeting</w:t>
      </w:r>
    </w:p>
    <w:p>
      <w:pPr>
        <w:spacing w:after="0" w:line="87" w:lineRule="exact"/>
        <w:rPr>
          <w:sz w:val="20"/>
          <w:szCs w:val="20"/>
          <w:color w:val="auto"/>
        </w:rPr>
      </w:pPr>
    </w:p>
    <w:p>
      <w:pPr>
        <w:ind w:left="680" w:firstLine="400"/>
        <w:spacing w:after="0" w:line="290" w:lineRule="auto"/>
        <w:rPr>
          <w:sz w:val="20"/>
          <w:szCs w:val="20"/>
          <w:color w:val="auto"/>
        </w:rPr>
      </w:pPr>
      <w:r>
        <w:rPr>
          <w:rFonts w:ascii="Arial" w:cs="Arial" w:eastAsia="Arial" w:hAnsi="Arial"/>
          <w:sz w:val="11"/>
          <w:szCs w:val="11"/>
          <w:color w:val="auto"/>
        </w:rPr>
        <w:t>The Chairman of our Board (or any person designated by our Board) has broad authority to conduct the annual meeting of shareholders in an orderly manner. This authority includes establishing rules of conduct for shareholders who wish to address the meeting, including limiting questions to the order of business and to a certain amount of time. Copies of these rules will be available at the meeting. To ensure that the meeting is conducted in a manner that is fair to all shareholders, the Chairman (or such person designated by our Board) may also exercise broad discretion in recognizing shareholders who wish to speak, in determining the extent of discussion on each item of business and in managing disruptions or disorderly conduct.</w:t>
      </w:r>
    </w:p>
    <w:p>
      <w:pPr>
        <w:spacing w:after="0" w:line="118"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Additional Information on the Annual Meeting of Shareholders</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If you have questions or would like more information about the annual meeting of shareholders, you can contact us in any of the following ways:</w:t>
      </w:r>
    </w:p>
    <w:p>
      <w:pPr>
        <w:spacing w:after="0" w:line="87" w:lineRule="exact"/>
        <w:rPr>
          <w:sz w:val="20"/>
          <w:szCs w:val="20"/>
          <w:color w:val="auto"/>
        </w:rPr>
      </w:pPr>
    </w:p>
    <w:p>
      <w:pPr>
        <w:ind w:left="1280" w:hanging="194"/>
        <w:spacing w:after="0"/>
        <w:tabs>
          <w:tab w:leader="none" w:pos="1280" w:val="left"/>
        </w:tabs>
        <w:numPr>
          <w:ilvl w:val="0"/>
          <w:numId w:val="8"/>
        </w:numPr>
        <w:rPr>
          <w:rFonts w:ascii="Arial" w:cs="Arial" w:eastAsia="Arial" w:hAnsi="Arial"/>
          <w:sz w:val="12"/>
          <w:szCs w:val="12"/>
          <w:color w:val="auto"/>
        </w:rPr>
      </w:pPr>
      <w:r>
        <w:rPr>
          <w:rFonts w:ascii="Arial" w:cs="Arial" w:eastAsia="Arial" w:hAnsi="Arial"/>
          <w:sz w:val="12"/>
          <w:szCs w:val="12"/>
          <w:i w:val="1"/>
          <w:iCs w:val="1"/>
          <w:color w:val="auto"/>
        </w:rPr>
        <w:t xml:space="preserve">Via the Internet: </w:t>
      </w:r>
      <w:r>
        <w:rPr>
          <w:rFonts w:ascii="Arial" w:cs="Arial" w:eastAsia="Arial" w:hAnsi="Arial"/>
          <w:sz w:val="12"/>
          <w:szCs w:val="12"/>
          <w:color w:val="auto"/>
        </w:rPr>
        <w:t>Go to www.proxyvote.com.</w:t>
      </w:r>
    </w:p>
    <w:p>
      <w:pPr>
        <w:spacing w:after="0" w:line="78" w:lineRule="exact"/>
        <w:rPr>
          <w:rFonts w:ascii="Arial" w:cs="Arial" w:eastAsia="Arial" w:hAnsi="Arial"/>
          <w:sz w:val="12"/>
          <w:szCs w:val="12"/>
          <w:color w:val="auto"/>
        </w:rPr>
      </w:pPr>
    </w:p>
    <w:p>
      <w:pPr>
        <w:ind w:left="1280" w:hanging="194"/>
        <w:spacing w:after="0"/>
        <w:tabs>
          <w:tab w:leader="none" w:pos="1280" w:val="left"/>
        </w:tabs>
        <w:numPr>
          <w:ilvl w:val="0"/>
          <w:numId w:val="8"/>
        </w:numPr>
        <w:rPr>
          <w:rFonts w:ascii="Arial" w:cs="Arial" w:eastAsia="Arial" w:hAnsi="Arial"/>
          <w:sz w:val="12"/>
          <w:szCs w:val="12"/>
          <w:color w:val="auto"/>
        </w:rPr>
      </w:pPr>
      <w:r>
        <w:rPr>
          <w:rFonts w:ascii="Arial" w:cs="Arial" w:eastAsia="Arial" w:hAnsi="Arial"/>
          <w:sz w:val="12"/>
          <w:szCs w:val="12"/>
          <w:i w:val="1"/>
          <w:iCs w:val="1"/>
          <w:color w:val="auto"/>
        </w:rPr>
        <w:t xml:space="preserve">By telephone: </w:t>
      </w:r>
      <w:r>
        <w:rPr>
          <w:rFonts w:ascii="Arial" w:cs="Arial" w:eastAsia="Arial" w:hAnsi="Arial"/>
          <w:sz w:val="12"/>
          <w:szCs w:val="12"/>
          <w:color w:val="auto"/>
        </w:rPr>
        <w:t>Call toll free 1-866-281-2100.</w:t>
      </w:r>
    </w:p>
    <w:p>
      <w:pPr>
        <w:spacing w:after="0" w:line="78" w:lineRule="exact"/>
        <w:rPr>
          <w:rFonts w:ascii="Arial" w:cs="Arial" w:eastAsia="Arial" w:hAnsi="Arial"/>
          <w:sz w:val="12"/>
          <w:szCs w:val="12"/>
          <w:color w:val="auto"/>
        </w:rPr>
      </w:pPr>
    </w:p>
    <w:p>
      <w:pPr>
        <w:ind w:left="1280" w:hanging="194"/>
        <w:spacing w:after="0"/>
        <w:tabs>
          <w:tab w:leader="none" w:pos="1280" w:val="left"/>
        </w:tabs>
        <w:numPr>
          <w:ilvl w:val="0"/>
          <w:numId w:val="8"/>
        </w:numPr>
        <w:rPr>
          <w:rFonts w:ascii="Arial" w:cs="Arial" w:eastAsia="Arial" w:hAnsi="Arial"/>
          <w:sz w:val="12"/>
          <w:szCs w:val="12"/>
          <w:color w:val="auto"/>
        </w:rPr>
      </w:pPr>
      <w:r>
        <w:rPr>
          <w:rFonts w:ascii="Arial" w:cs="Arial" w:eastAsia="Arial" w:hAnsi="Arial"/>
          <w:sz w:val="12"/>
          <w:szCs w:val="12"/>
          <w:i w:val="1"/>
          <w:iCs w:val="1"/>
          <w:color w:val="auto"/>
        </w:rPr>
        <w:t>By writing to the following address:</w:t>
      </w:r>
    </w:p>
    <w:p>
      <w:pPr>
        <w:spacing w:after="0" w:line="87" w:lineRule="exact"/>
        <w:rPr>
          <w:sz w:val="20"/>
          <w:szCs w:val="20"/>
          <w:color w:val="auto"/>
        </w:rPr>
      </w:pPr>
    </w:p>
    <w:p>
      <w:pPr>
        <w:ind w:left="1380"/>
        <w:spacing w:after="0"/>
        <w:rPr>
          <w:sz w:val="20"/>
          <w:szCs w:val="20"/>
          <w:color w:val="auto"/>
        </w:rPr>
      </w:pPr>
      <w:r>
        <w:rPr>
          <w:rFonts w:ascii="Arial" w:cs="Arial" w:eastAsia="Arial" w:hAnsi="Arial"/>
          <w:sz w:val="12"/>
          <w:szCs w:val="12"/>
          <w:color w:val="auto"/>
        </w:rPr>
        <w:t>Arthur R. Block, Secretary</w:t>
      </w:r>
    </w:p>
    <w:p>
      <w:pPr>
        <w:spacing w:after="0" w:line="15" w:lineRule="exact"/>
        <w:rPr>
          <w:sz w:val="20"/>
          <w:szCs w:val="20"/>
          <w:color w:val="auto"/>
        </w:rPr>
      </w:pPr>
    </w:p>
    <w:p>
      <w:pPr>
        <w:ind w:left="1380"/>
        <w:spacing w:after="0"/>
        <w:rPr>
          <w:sz w:val="20"/>
          <w:szCs w:val="20"/>
          <w:color w:val="auto"/>
        </w:rPr>
      </w:pPr>
      <w:r>
        <w:rPr>
          <w:rFonts w:ascii="Arial" w:cs="Arial" w:eastAsia="Arial" w:hAnsi="Arial"/>
          <w:sz w:val="12"/>
          <w:szCs w:val="12"/>
          <w:color w:val="auto"/>
        </w:rPr>
        <w:t>Comcast Corporation</w:t>
      </w:r>
    </w:p>
    <w:p>
      <w:pPr>
        <w:spacing w:after="0" w:line="6" w:lineRule="exact"/>
        <w:rPr>
          <w:sz w:val="20"/>
          <w:szCs w:val="20"/>
          <w:color w:val="auto"/>
        </w:rPr>
      </w:pPr>
    </w:p>
    <w:p>
      <w:pPr>
        <w:ind w:left="1380"/>
        <w:spacing w:after="0"/>
        <w:rPr>
          <w:sz w:val="20"/>
          <w:szCs w:val="20"/>
          <w:color w:val="auto"/>
        </w:rPr>
      </w:pPr>
      <w:r>
        <w:rPr>
          <w:rFonts w:ascii="Arial" w:cs="Arial" w:eastAsia="Arial" w:hAnsi="Arial"/>
          <w:sz w:val="12"/>
          <w:szCs w:val="12"/>
          <w:color w:val="auto"/>
        </w:rPr>
        <w:t>One Comcast Center</w:t>
      </w:r>
    </w:p>
    <w:p>
      <w:pPr>
        <w:spacing w:after="0" w:line="6" w:lineRule="exact"/>
        <w:rPr>
          <w:sz w:val="20"/>
          <w:szCs w:val="20"/>
          <w:color w:val="auto"/>
        </w:rPr>
      </w:pPr>
    </w:p>
    <w:p>
      <w:pPr>
        <w:ind w:left="1380"/>
        <w:spacing w:after="0"/>
        <w:rPr>
          <w:sz w:val="20"/>
          <w:szCs w:val="20"/>
          <w:color w:val="auto"/>
        </w:rPr>
      </w:pPr>
      <w:r>
        <w:rPr>
          <w:rFonts w:ascii="Arial" w:cs="Arial" w:eastAsia="Arial" w:hAnsi="Arial"/>
          <w:sz w:val="12"/>
          <w:szCs w:val="12"/>
          <w:color w:val="auto"/>
        </w:rPr>
        <w:t>Philadelphia, PA 19103</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Contacting Our Board, Board Committees or Directors</w:t>
      </w:r>
    </w:p>
    <w:p>
      <w:pPr>
        <w:spacing w:after="0" w:line="87" w:lineRule="exact"/>
        <w:rPr>
          <w:sz w:val="20"/>
          <w:szCs w:val="20"/>
          <w:color w:val="auto"/>
        </w:rPr>
      </w:pPr>
    </w:p>
    <w:p>
      <w:pPr>
        <w:ind w:left="680" w:right="80" w:firstLine="400"/>
        <w:spacing w:after="0" w:line="257" w:lineRule="auto"/>
        <w:rPr>
          <w:sz w:val="20"/>
          <w:szCs w:val="20"/>
          <w:color w:val="auto"/>
        </w:rPr>
      </w:pPr>
      <w:r>
        <w:rPr>
          <w:rFonts w:ascii="Arial" w:cs="Arial" w:eastAsia="Arial" w:hAnsi="Arial"/>
          <w:sz w:val="12"/>
          <w:szCs w:val="12"/>
          <w:color w:val="auto"/>
        </w:rPr>
        <w:t>Our Board has provided a process for shareholders to communicate with its members. Shareholders and other interested parties who wish to communicate with our directors may address their correspondence to the Board, to the Presiding Director, to any other particular director, to the independent or nonemployee directors or to any other group of directors or committee of the Board, in care of Arthur R. Block, Secretary, Comcast Corporation, at the address given above. You may also send an e-mail in care of the Chair of the Audit Committee of the Board by using the following e-mail address: audit_committee_chairman@comcast.com. All such communications are promptly reviewed and, as appropriate, forwarded to either the Board, the relevant committee(s) of the Board or individual or group Board or committee member(s) based on the subject matter of the communication.</w:t>
      </w:r>
    </w:p>
    <w:p>
      <w:pPr>
        <w:spacing w:after="0" w:line="135"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Corporate Governance</w:t>
      </w:r>
    </w:p>
    <w:p>
      <w:pPr>
        <w:spacing w:after="0" w:line="87" w:lineRule="exact"/>
        <w:rPr>
          <w:sz w:val="20"/>
          <w:szCs w:val="20"/>
          <w:color w:val="auto"/>
        </w:rPr>
      </w:pPr>
    </w:p>
    <w:p>
      <w:pPr>
        <w:ind w:left="680" w:firstLine="400"/>
        <w:spacing w:after="0" w:line="290" w:lineRule="auto"/>
        <w:rPr>
          <w:sz w:val="20"/>
          <w:szCs w:val="20"/>
          <w:color w:val="auto"/>
        </w:rPr>
      </w:pPr>
      <w:r>
        <w:rPr>
          <w:rFonts w:ascii="Arial" w:cs="Arial" w:eastAsia="Arial" w:hAnsi="Arial"/>
          <w:sz w:val="11"/>
          <w:szCs w:val="11"/>
          <w:color w:val="auto"/>
        </w:rPr>
        <w:t>Our Board has adopted corporate governance guidelines. These guidelines address items such as the standards, qualifications and responsibilities of our directors and director candidates and corporate governance policies and standards applicable to us in general. In addition, we have a code of ethics and business conduct that applies to all our employees, including our executive officers, and our directors. Both the guidelines and the code are posted under the “Governance” section of our website at www.cmcsa.com or www.cmcsk.com. The charters of each of the Board’s Audit, Compensation, Finance and Governance and Directors Nominating Committees are also posted on our website. More information on our Board and its committees can be found beginning on page 11.</w:t>
      </w:r>
    </w:p>
    <w:p>
      <w:pPr>
        <w:spacing w:after="0" w:line="235"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97790</wp:posOffset>
            </wp:positionV>
            <wp:extent cx="7299325" cy="18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640"/>
          </w:cols>
          <w:pgMar w:left="220" w:top="327" w:right="1039" w:bottom="1440" w:gutter="0" w:footer="0" w:header="0"/>
        </w:sectPr>
      </w:pPr>
    </w:p>
    <w:bookmarkStart w:id="7" w:name="page8"/>
    <w:bookmarkEnd w:id="7"/>
    <w:p>
      <w:pPr>
        <w:spacing w:after="0"/>
        <w:rPr>
          <w:rFonts w:ascii="Arial" w:cs="Arial" w:eastAsia="Arial" w:hAnsi="Arial"/>
          <w:sz w:val="12"/>
          <w:szCs w:val="12"/>
          <w:b w:val="1"/>
          <w:bCs w:val="1"/>
          <w:u w:val="single" w:color="auto"/>
          <w:color w:val="0000EE"/>
        </w:rPr>
      </w:pPr>
      <w:hyperlink w:anchor="page4">
        <w:r>
          <w:rPr>
            <w:rFonts w:ascii="Arial" w:cs="Arial" w:eastAsia="Arial" w:hAnsi="Arial"/>
            <w:sz w:val="12"/>
            <w:szCs w:val="12"/>
            <w:b w:val="1"/>
            <w:bCs w:val="1"/>
            <w:u w:val="single" w:color="auto"/>
            <w:color w:val="0000EE"/>
          </w:rPr>
          <w:t>Table of Contents</w:t>
        </w:r>
      </w:hyperlink>
    </w:p>
    <w:p>
      <w:pPr>
        <w:spacing w:after="0" w:line="229" w:lineRule="exact"/>
        <w:rPr>
          <w:sz w:val="20"/>
          <w:szCs w:val="20"/>
          <w:color w:val="auto"/>
        </w:rPr>
      </w:pPr>
    </w:p>
    <w:p>
      <w:pPr>
        <w:ind w:left="4260"/>
        <w:spacing w:after="0"/>
        <w:rPr>
          <w:sz w:val="20"/>
          <w:szCs w:val="20"/>
          <w:color w:val="auto"/>
        </w:rPr>
      </w:pPr>
      <w:r>
        <w:rPr>
          <w:rFonts w:ascii="Arial" w:cs="Arial" w:eastAsia="Arial" w:hAnsi="Arial"/>
          <w:sz w:val="12"/>
          <w:szCs w:val="12"/>
          <w:b w:val="1"/>
          <w:bCs w:val="1"/>
          <w:color w:val="auto"/>
        </w:rPr>
        <w:t>VOTING SECURITIES AND PRINCIPAL HOLDERS</w:t>
      </w:r>
    </w:p>
    <w:p>
      <w:pPr>
        <w:spacing w:after="0" w:line="163"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Outstanding Shares and Voting Rights</w:t>
      </w:r>
    </w:p>
    <w:p>
      <w:pPr>
        <w:spacing w:after="0" w:line="87" w:lineRule="exact"/>
        <w:rPr>
          <w:sz w:val="20"/>
          <w:szCs w:val="20"/>
          <w:color w:val="auto"/>
        </w:rPr>
      </w:pPr>
    </w:p>
    <w:p>
      <w:pPr>
        <w:ind w:left="680" w:right="600" w:firstLine="400"/>
        <w:spacing w:after="0" w:line="276" w:lineRule="auto"/>
        <w:rPr>
          <w:sz w:val="20"/>
          <w:szCs w:val="20"/>
          <w:color w:val="auto"/>
        </w:rPr>
      </w:pPr>
      <w:r>
        <w:rPr>
          <w:rFonts w:ascii="Arial" w:cs="Arial" w:eastAsia="Arial" w:hAnsi="Arial"/>
          <w:sz w:val="12"/>
          <w:szCs w:val="12"/>
          <w:color w:val="auto"/>
        </w:rPr>
        <w:t>At the close of business on March 11, 2010, the record date, we had outstanding 2,064,302,555 shares of Class A common stock, 747,111,271 shares of Class A Special common stock and 9,444,375 shares of Class B common stock.</w:t>
      </w:r>
    </w:p>
    <w:p>
      <w:pPr>
        <w:spacing w:after="0" w:line="52" w:lineRule="exact"/>
        <w:rPr>
          <w:sz w:val="20"/>
          <w:szCs w:val="20"/>
          <w:color w:val="auto"/>
        </w:rPr>
      </w:pPr>
    </w:p>
    <w:p>
      <w:pPr>
        <w:ind w:left="680" w:right="160" w:firstLine="400"/>
        <w:spacing w:after="0" w:line="323" w:lineRule="auto"/>
        <w:rPr>
          <w:sz w:val="20"/>
          <w:szCs w:val="20"/>
          <w:color w:val="auto"/>
        </w:rPr>
      </w:pPr>
      <w:r>
        <w:rPr>
          <w:rFonts w:ascii="Arial" w:cs="Arial" w:eastAsia="Arial" w:hAnsi="Arial"/>
          <w:sz w:val="11"/>
          <w:szCs w:val="11"/>
          <w:color w:val="auto"/>
        </w:rPr>
        <w:t>On each matter to be voted on, the holders of Class A common stock and Class B common stock will vote together. As of the record date, each holder of Class A common stock is entitled to 0.1373 votes per share and each holder of Class B common stock is entitled to 15 votes per share. Holders of Class A Special common stock are not entitled to vote at the meeting.</w:t>
      </w:r>
    </w:p>
    <w:p>
      <w:pPr>
        <w:spacing w:after="0" w:line="29" w:lineRule="exact"/>
        <w:rPr>
          <w:sz w:val="20"/>
          <w:szCs w:val="20"/>
          <w:color w:val="auto"/>
        </w:rPr>
      </w:pPr>
    </w:p>
    <w:p>
      <w:pPr>
        <w:ind w:left="680" w:right="120" w:firstLine="400"/>
        <w:spacing w:after="0" w:line="276" w:lineRule="auto"/>
        <w:rPr>
          <w:sz w:val="20"/>
          <w:szCs w:val="20"/>
          <w:color w:val="auto"/>
        </w:rPr>
      </w:pPr>
      <w:r>
        <w:rPr>
          <w:rFonts w:ascii="Arial" w:cs="Arial" w:eastAsia="Arial" w:hAnsi="Arial"/>
          <w:sz w:val="12"/>
          <w:szCs w:val="12"/>
          <w:color w:val="auto"/>
        </w:rPr>
        <w:t>All of the information in this proxy statement regarding shares underlying option and stock awards and option exercise prices reflects a three-for-two stock split in the form of a 50% stock dividend, which was paid on February 21, 2007 to shareholders of record on February 14, 2007.</w:t>
      </w:r>
    </w:p>
    <w:p>
      <w:pPr>
        <w:spacing w:after="0" w:line="52" w:lineRule="exact"/>
        <w:rPr>
          <w:sz w:val="20"/>
          <w:szCs w:val="20"/>
          <w:color w:val="auto"/>
        </w:rPr>
      </w:pPr>
    </w:p>
    <w:p>
      <w:pPr>
        <w:ind w:left="680" w:right="20" w:firstLine="400"/>
        <w:spacing w:after="0" w:line="255" w:lineRule="auto"/>
        <w:rPr>
          <w:sz w:val="20"/>
          <w:szCs w:val="20"/>
          <w:color w:val="auto"/>
        </w:rPr>
      </w:pPr>
      <w:r>
        <w:rPr>
          <w:rFonts w:ascii="Arial" w:cs="Arial" w:eastAsia="Arial" w:hAnsi="Arial"/>
          <w:sz w:val="12"/>
          <w:szCs w:val="12"/>
          <w:color w:val="auto"/>
        </w:rPr>
        <w:t>In order to carry on the business of the annual meeting of shareholders, we must have a quorum. This means that, for each matter presented, shareholders entitled to cast a majority of the votes that all shareholders are entitled to cast on that matter must be represented at the meeting, either in person or by proxy. If the meeting is adjourned for one or more periods aggregating at least five days due to the absence of a quorum, those shareholders who are entitled to vote and who attend the adjourned meeting, even though they do not constitute a quorum as described above, will constitute a quorum for the purpose of electing directors at such reconvened meeting. If the meeting is adjourned for one or more periods aggregating at least 15 days due to the absence of a quorum, shareholders who are entitled to vote and who attend the adjourned meeting, even though they do not constitute a quorum as described above, will constitute a quorum for the purpose of acting on any matter described in this proxy statement other than the election of directors.</w:t>
      </w:r>
    </w:p>
    <w:p>
      <w:pPr>
        <w:spacing w:after="0" w:line="66" w:lineRule="exact"/>
        <w:rPr>
          <w:sz w:val="20"/>
          <w:szCs w:val="20"/>
          <w:color w:val="auto"/>
        </w:rPr>
      </w:pPr>
    </w:p>
    <w:p>
      <w:pPr>
        <w:ind w:left="680" w:right="80" w:firstLine="400"/>
        <w:spacing w:after="0" w:line="286" w:lineRule="auto"/>
        <w:rPr>
          <w:sz w:val="20"/>
          <w:szCs w:val="20"/>
          <w:color w:val="auto"/>
        </w:rPr>
      </w:pPr>
      <w:r>
        <w:rPr>
          <w:rFonts w:ascii="Arial" w:cs="Arial" w:eastAsia="Arial" w:hAnsi="Arial"/>
          <w:sz w:val="11"/>
          <w:szCs w:val="11"/>
          <w:color w:val="auto"/>
        </w:rPr>
        <w:t>The director candidates who receive the most votes will be elected to fill the available seats on our Board. Approval of the other proposals requires the favorable vote of a majority of the votes cast. Except as noted below with respect to broker nonvotes, only votes for or against a proposal count for voting purposes. Abstentions, withheld votes in regard to the election of directors and broker nonvotes count for quorum purposes. Broker nonvotes occur on a matter when a bank, brokerage firm or other nominee is not permitted by applicable regulatory requirements to vote on that matter without instruction from the owner of the shares and no instruction is given. Absent instructions from you, your broker may vote your shares on the ratification of the appointment of our independent auditors, but may not vote your shares on the election of directors, the approval of our 2006 Cash Bonus Plan or the adoption of the three shareholder proposals.</w:t>
      </w:r>
    </w:p>
    <w:p>
      <w:pPr>
        <w:spacing w:after="0" w:line="120"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Principal Shareholders</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This table sets forth information as of February 28, 2010 about persons we know to beneficially own more than 5% of any class of our voting common stock.</w:t>
      </w:r>
    </w:p>
    <w:p>
      <w:pPr>
        <w:spacing w:after="0" w:line="7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80" w:type="dxa"/>
            <w:vAlign w:val="bottom"/>
          </w:tcPr>
          <w:p>
            <w:pPr>
              <w:jc w:val="right"/>
              <w:ind w:right="472"/>
              <w:spacing w:after="0"/>
              <w:rPr>
                <w:sz w:val="20"/>
                <w:szCs w:val="20"/>
                <w:color w:val="auto"/>
              </w:rPr>
            </w:pPr>
            <w:r>
              <w:rPr>
                <w:rFonts w:ascii="Arial" w:cs="Arial" w:eastAsia="Arial" w:hAnsi="Arial"/>
                <w:sz w:val="10"/>
                <w:szCs w:val="10"/>
                <w:b w:val="1"/>
                <w:bCs w:val="1"/>
                <w:color w:val="auto"/>
              </w:rPr>
              <w:t>Amount Beneficially</w:t>
            </w:r>
          </w:p>
        </w:tc>
        <w:tc>
          <w:tcPr>
            <w:tcW w:w="280" w:type="dxa"/>
            <w:vAlign w:val="bottom"/>
          </w:tcPr>
          <w:p>
            <w:pPr>
              <w:spacing w:after="0"/>
              <w:rPr>
                <w:sz w:val="10"/>
                <w:szCs w:val="10"/>
                <w:color w:val="auto"/>
              </w:rPr>
            </w:pPr>
          </w:p>
        </w:tc>
        <w:tc>
          <w:tcPr>
            <w:tcW w:w="780" w:type="dxa"/>
            <w:vAlign w:val="bottom"/>
          </w:tcPr>
          <w:p>
            <w:pPr>
              <w:jc w:val="right"/>
              <w:ind w:right="132"/>
              <w:spacing w:after="0"/>
              <w:rPr>
                <w:sz w:val="20"/>
                <w:szCs w:val="20"/>
                <w:color w:val="auto"/>
              </w:rPr>
            </w:pPr>
            <w:r>
              <w:rPr>
                <w:rFonts w:ascii="Arial" w:cs="Arial" w:eastAsia="Arial" w:hAnsi="Arial"/>
                <w:sz w:val="10"/>
                <w:szCs w:val="10"/>
                <w:b w:val="1"/>
                <w:bCs w:val="1"/>
                <w:color w:val="auto"/>
              </w:rPr>
              <w:t>Percent of</w:t>
            </w:r>
          </w:p>
        </w:tc>
        <w:tc>
          <w:tcPr>
            <w:tcW w:w="0" w:type="dxa"/>
            <w:vAlign w:val="bottom"/>
          </w:tcPr>
          <w:p>
            <w:pPr>
              <w:spacing w:after="0"/>
              <w:rPr>
                <w:sz w:val="1"/>
                <w:szCs w:val="1"/>
                <w:color w:val="auto"/>
              </w:rPr>
            </w:pPr>
          </w:p>
        </w:tc>
      </w:tr>
      <w:tr>
        <w:trPr>
          <w:trHeight w:val="114"/>
        </w:trPr>
        <w:tc>
          <w:tcPr>
            <w:tcW w:w="3440" w:type="dxa"/>
            <w:vAlign w:val="bottom"/>
            <w:gridSpan w:val="3"/>
          </w:tcPr>
          <w:p>
            <w:pPr>
              <w:spacing w:after="0" w:line="114" w:lineRule="exact"/>
              <w:rPr>
                <w:sz w:val="20"/>
                <w:szCs w:val="20"/>
                <w:color w:val="auto"/>
              </w:rPr>
            </w:pPr>
            <w:r>
              <w:rPr>
                <w:rFonts w:ascii="Arial" w:cs="Arial" w:eastAsia="Arial" w:hAnsi="Arial"/>
                <w:sz w:val="10"/>
                <w:szCs w:val="10"/>
                <w:b w:val="1"/>
                <w:bCs w:val="1"/>
                <w:color w:val="auto"/>
              </w:rPr>
              <w:t>Title of Voting Class</w:t>
            </w:r>
          </w:p>
        </w:tc>
        <w:tc>
          <w:tcPr>
            <w:tcW w:w="100" w:type="dxa"/>
            <w:vAlign w:val="bottom"/>
          </w:tcPr>
          <w:p>
            <w:pPr>
              <w:spacing w:after="0"/>
              <w:rPr>
                <w:sz w:val="9"/>
                <w:szCs w:val="9"/>
                <w:color w:val="auto"/>
              </w:rPr>
            </w:pPr>
          </w:p>
        </w:tc>
        <w:tc>
          <w:tcPr>
            <w:tcW w:w="3240" w:type="dxa"/>
            <w:vAlign w:val="bottom"/>
          </w:tcPr>
          <w:p>
            <w:pPr>
              <w:ind w:left="800"/>
              <w:spacing w:after="0" w:line="114" w:lineRule="exact"/>
              <w:rPr>
                <w:sz w:val="20"/>
                <w:szCs w:val="20"/>
                <w:color w:val="auto"/>
              </w:rPr>
            </w:pPr>
            <w:r>
              <w:rPr>
                <w:rFonts w:ascii="Arial" w:cs="Arial" w:eastAsia="Arial" w:hAnsi="Arial"/>
                <w:sz w:val="10"/>
                <w:szCs w:val="10"/>
                <w:b w:val="1"/>
                <w:bCs w:val="1"/>
                <w:color w:val="auto"/>
              </w:rPr>
              <w:t>Name and Address of Beneficial Owner</w:t>
            </w:r>
          </w:p>
        </w:tc>
        <w:tc>
          <w:tcPr>
            <w:tcW w:w="280" w:type="dxa"/>
            <w:vAlign w:val="bottom"/>
          </w:tcPr>
          <w:p>
            <w:pPr>
              <w:spacing w:after="0"/>
              <w:rPr>
                <w:sz w:val="9"/>
                <w:szCs w:val="9"/>
                <w:color w:val="auto"/>
              </w:rPr>
            </w:pPr>
          </w:p>
        </w:tc>
        <w:tc>
          <w:tcPr>
            <w:tcW w:w="1880" w:type="dxa"/>
            <w:vAlign w:val="bottom"/>
          </w:tcPr>
          <w:p>
            <w:pPr>
              <w:jc w:val="right"/>
              <w:ind w:right="752"/>
              <w:spacing w:after="0" w:line="114" w:lineRule="exact"/>
              <w:rPr>
                <w:sz w:val="20"/>
                <w:szCs w:val="20"/>
                <w:color w:val="auto"/>
              </w:rPr>
            </w:pPr>
            <w:r>
              <w:rPr>
                <w:rFonts w:ascii="Arial" w:cs="Arial" w:eastAsia="Arial" w:hAnsi="Arial"/>
                <w:sz w:val="10"/>
                <w:szCs w:val="10"/>
                <w:b w:val="1"/>
                <w:bCs w:val="1"/>
                <w:color w:val="auto"/>
              </w:rPr>
              <w:t>Owned</w:t>
            </w:r>
          </w:p>
        </w:tc>
        <w:tc>
          <w:tcPr>
            <w:tcW w:w="280" w:type="dxa"/>
            <w:vAlign w:val="bottom"/>
          </w:tcPr>
          <w:p>
            <w:pPr>
              <w:spacing w:after="0"/>
              <w:rPr>
                <w:sz w:val="9"/>
                <w:szCs w:val="9"/>
                <w:color w:val="auto"/>
              </w:rPr>
            </w:pPr>
          </w:p>
        </w:tc>
        <w:tc>
          <w:tcPr>
            <w:tcW w:w="780" w:type="dxa"/>
            <w:vAlign w:val="bottom"/>
          </w:tcPr>
          <w:p>
            <w:pPr>
              <w:jc w:val="right"/>
              <w:ind w:right="232"/>
              <w:spacing w:after="0" w:line="114" w:lineRule="exact"/>
              <w:rPr>
                <w:sz w:val="20"/>
                <w:szCs w:val="20"/>
                <w:color w:val="auto"/>
              </w:rPr>
            </w:pPr>
            <w:r>
              <w:rPr>
                <w:rFonts w:ascii="Arial" w:cs="Arial" w:eastAsia="Arial" w:hAnsi="Arial"/>
                <w:sz w:val="10"/>
                <w:szCs w:val="10"/>
                <w:b w:val="1"/>
                <w:bCs w:val="1"/>
                <w:color w:val="auto"/>
              </w:rPr>
              <w:t>Class</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21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4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Class A common stock</w:t>
            </w:r>
          </w:p>
        </w:tc>
        <w:tc>
          <w:tcPr>
            <w:tcW w:w="100" w:type="dxa"/>
            <w:vAlign w:val="bottom"/>
            <w:shd w:val="clear" w:color="auto" w:fill="CCEEFF"/>
          </w:tcPr>
          <w:p>
            <w:pPr>
              <w:spacing w:after="0"/>
              <w:rPr>
                <w:sz w:val="11"/>
                <w:szCs w:val="11"/>
                <w:color w:val="auto"/>
              </w:rPr>
            </w:pPr>
          </w:p>
        </w:tc>
        <w:tc>
          <w:tcPr>
            <w:tcW w:w="32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BlackRock, Inc.</w:t>
            </w:r>
          </w:p>
        </w:tc>
        <w:tc>
          <w:tcPr>
            <w:tcW w:w="2160" w:type="dxa"/>
            <w:vAlign w:val="bottom"/>
            <w:gridSpan w:val="2"/>
            <w:shd w:val="clear" w:color="auto" w:fill="CCEEFF"/>
          </w:tcPr>
          <w:p>
            <w:pPr>
              <w:jc w:val="right"/>
              <w:ind w:right="512"/>
              <w:spacing w:after="0" w:line="135" w:lineRule="exact"/>
              <w:rPr>
                <w:sz w:val="20"/>
                <w:szCs w:val="20"/>
                <w:color w:val="auto"/>
              </w:rPr>
            </w:pPr>
            <w:r>
              <w:rPr>
                <w:rFonts w:ascii="Arial" w:cs="Arial" w:eastAsia="Arial" w:hAnsi="Arial"/>
                <w:sz w:val="9"/>
                <w:szCs w:val="9"/>
                <w:color w:val="auto"/>
              </w:rPr>
              <w:t>152,213,863</w:t>
            </w:r>
            <w:r>
              <w:rPr>
                <w:rFonts w:ascii="Arial" w:cs="Arial" w:eastAsia="Arial" w:hAnsi="Arial"/>
                <w:sz w:val="15"/>
                <w:szCs w:val="15"/>
                <w:color w:val="auto"/>
                <w:vertAlign w:val="superscript"/>
              </w:rPr>
              <w:t>(1)</w:t>
            </w:r>
          </w:p>
        </w:tc>
        <w:tc>
          <w:tcPr>
            <w:tcW w:w="1060" w:type="dxa"/>
            <w:vAlign w:val="bottom"/>
            <w:gridSpan w:val="2"/>
            <w:shd w:val="clear" w:color="auto" w:fill="CCEEFF"/>
          </w:tcPr>
          <w:p>
            <w:pPr>
              <w:jc w:val="right"/>
              <w:ind w:right="152"/>
              <w:spacing w:after="0"/>
              <w:rPr>
                <w:sz w:val="20"/>
                <w:szCs w:val="20"/>
                <w:color w:val="auto"/>
              </w:rPr>
            </w:pPr>
            <w:r>
              <w:rPr>
                <w:rFonts w:ascii="Arial" w:cs="Arial" w:eastAsia="Arial" w:hAnsi="Arial"/>
                <w:sz w:val="11"/>
                <w:szCs w:val="11"/>
                <w:color w:val="auto"/>
              </w:rPr>
              <w:t>7.37%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2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40 East 52nd Street</w:t>
            </w:r>
          </w:p>
        </w:tc>
        <w:tc>
          <w:tcPr>
            <w:tcW w:w="28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New York, NY 10022</w:t>
            </w:r>
          </w:p>
        </w:tc>
        <w:tc>
          <w:tcPr>
            <w:tcW w:w="28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420" w:type="dxa"/>
            <w:vAlign w:val="bottom"/>
            <w:gridSpan w:val="2"/>
          </w:tcPr>
          <w:p>
            <w:pPr>
              <w:spacing w:after="0"/>
              <w:rPr>
                <w:sz w:val="20"/>
                <w:szCs w:val="20"/>
                <w:color w:val="auto"/>
              </w:rPr>
            </w:pPr>
            <w:r>
              <w:rPr>
                <w:rFonts w:ascii="Arial" w:cs="Arial" w:eastAsia="Arial" w:hAnsi="Arial"/>
                <w:sz w:val="11"/>
                <w:szCs w:val="11"/>
                <w:color w:val="auto"/>
              </w:rPr>
              <w:t>Class A common stock</w:t>
            </w:r>
          </w:p>
        </w:tc>
        <w:tc>
          <w:tcPr>
            <w:tcW w:w="100" w:type="dxa"/>
            <w:vAlign w:val="bottom"/>
          </w:tcPr>
          <w:p>
            <w:pPr>
              <w:spacing w:after="0"/>
              <w:rPr>
                <w:sz w:val="11"/>
                <w:szCs w:val="11"/>
                <w:color w:val="auto"/>
              </w:rPr>
            </w:pPr>
          </w:p>
        </w:tc>
        <w:tc>
          <w:tcPr>
            <w:tcW w:w="3240" w:type="dxa"/>
            <w:vAlign w:val="bottom"/>
          </w:tcPr>
          <w:p>
            <w:pPr>
              <w:ind w:left="200"/>
              <w:spacing w:after="0"/>
              <w:rPr>
                <w:sz w:val="20"/>
                <w:szCs w:val="20"/>
                <w:color w:val="auto"/>
              </w:rPr>
            </w:pPr>
            <w:r>
              <w:rPr>
                <w:rFonts w:ascii="Arial" w:cs="Arial" w:eastAsia="Arial" w:hAnsi="Arial"/>
                <w:sz w:val="11"/>
                <w:szCs w:val="11"/>
                <w:color w:val="auto"/>
              </w:rPr>
              <w:t>Dodge &amp; Cox</w:t>
            </w:r>
          </w:p>
        </w:tc>
        <w:tc>
          <w:tcPr>
            <w:tcW w:w="2160" w:type="dxa"/>
            <w:vAlign w:val="bottom"/>
            <w:gridSpan w:val="2"/>
          </w:tcPr>
          <w:p>
            <w:pPr>
              <w:jc w:val="right"/>
              <w:ind w:right="512"/>
              <w:spacing w:after="0" w:line="130" w:lineRule="exact"/>
              <w:rPr>
                <w:sz w:val="20"/>
                <w:szCs w:val="20"/>
                <w:color w:val="auto"/>
              </w:rPr>
            </w:pPr>
            <w:r>
              <w:rPr>
                <w:rFonts w:ascii="Arial" w:cs="Arial" w:eastAsia="Arial" w:hAnsi="Arial"/>
                <w:sz w:val="9"/>
                <w:szCs w:val="9"/>
                <w:color w:val="auto"/>
              </w:rPr>
              <w:t>135,606,699</w:t>
            </w:r>
            <w:r>
              <w:rPr>
                <w:rFonts w:ascii="Arial" w:cs="Arial" w:eastAsia="Arial" w:hAnsi="Arial"/>
                <w:sz w:val="15"/>
                <w:szCs w:val="15"/>
                <w:color w:val="auto"/>
                <w:vertAlign w:val="superscript"/>
              </w:rPr>
              <w:t>(2)</w:t>
            </w:r>
          </w:p>
        </w:tc>
        <w:tc>
          <w:tcPr>
            <w:tcW w:w="1060" w:type="dxa"/>
            <w:vAlign w:val="bottom"/>
            <w:gridSpan w:val="2"/>
          </w:tcPr>
          <w:p>
            <w:pPr>
              <w:jc w:val="right"/>
              <w:ind w:right="152"/>
              <w:spacing w:after="0"/>
              <w:rPr>
                <w:sz w:val="20"/>
                <w:szCs w:val="20"/>
                <w:color w:val="auto"/>
              </w:rPr>
            </w:pPr>
            <w:r>
              <w:rPr>
                <w:rFonts w:ascii="Arial" w:cs="Arial" w:eastAsia="Arial" w:hAnsi="Arial"/>
                <w:sz w:val="11"/>
                <w:szCs w:val="11"/>
                <w:color w:val="auto"/>
              </w:rPr>
              <w:t>6.6%</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40" w:type="dxa"/>
            <w:vAlign w:val="bottom"/>
          </w:tcPr>
          <w:p>
            <w:pPr>
              <w:ind w:left="200"/>
              <w:spacing w:after="0"/>
              <w:rPr>
                <w:sz w:val="20"/>
                <w:szCs w:val="20"/>
                <w:color w:val="auto"/>
              </w:rPr>
            </w:pPr>
            <w:r>
              <w:rPr>
                <w:rFonts w:ascii="Arial" w:cs="Arial" w:eastAsia="Arial" w:hAnsi="Arial"/>
                <w:sz w:val="11"/>
                <w:szCs w:val="11"/>
                <w:color w:val="auto"/>
              </w:rPr>
              <w:t>555 California Street, 40th Floor San Francisco, CA 94104</w:t>
            </w:r>
          </w:p>
        </w:tc>
        <w:tc>
          <w:tcPr>
            <w:tcW w:w="2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Class B common stock</w:t>
            </w:r>
          </w:p>
        </w:tc>
        <w:tc>
          <w:tcPr>
            <w:tcW w:w="100" w:type="dxa"/>
            <w:vAlign w:val="bottom"/>
            <w:shd w:val="clear" w:color="auto" w:fill="CCEEFF"/>
          </w:tcPr>
          <w:p>
            <w:pPr>
              <w:spacing w:after="0"/>
              <w:rPr>
                <w:sz w:val="12"/>
                <w:szCs w:val="12"/>
                <w:color w:val="auto"/>
              </w:rPr>
            </w:pPr>
          </w:p>
        </w:tc>
        <w:tc>
          <w:tcPr>
            <w:tcW w:w="32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Brian L. Roberts</w:t>
            </w:r>
          </w:p>
        </w:tc>
        <w:tc>
          <w:tcPr>
            <w:tcW w:w="2160" w:type="dxa"/>
            <w:vAlign w:val="bottom"/>
            <w:gridSpan w:val="2"/>
            <w:shd w:val="clear" w:color="auto" w:fill="CCEEFF"/>
          </w:tcPr>
          <w:p>
            <w:pPr>
              <w:jc w:val="right"/>
              <w:ind w:right="512"/>
              <w:spacing w:after="0" w:line="139" w:lineRule="exact"/>
              <w:rPr>
                <w:sz w:val="20"/>
                <w:szCs w:val="20"/>
                <w:color w:val="auto"/>
              </w:rPr>
            </w:pPr>
            <w:r>
              <w:rPr>
                <w:rFonts w:ascii="Arial" w:cs="Arial" w:eastAsia="Arial" w:hAnsi="Arial"/>
                <w:sz w:val="10"/>
                <w:szCs w:val="10"/>
                <w:color w:val="auto"/>
              </w:rPr>
              <w:t>9,444,375</w:t>
            </w:r>
            <w:r>
              <w:rPr>
                <w:rFonts w:ascii="Arial" w:cs="Arial" w:eastAsia="Arial" w:hAnsi="Arial"/>
                <w:sz w:val="16"/>
                <w:szCs w:val="16"/>
                <w:color w:val="auto"/>
                <w:vertAlign w:val="superscript"/>
              </w:rPr>
              <w:t>(3)</w:t>
            </w:r>
          </w:p>
        </w:tc>
        <w:tc>
          <w:tcPr>
            <w:tcW w:w="1060" w:type="dxa"/>
            <w:vAlign w:val="bottom"/>
            <w:gridSpan w:val="2"/>
            <w:shd w:val="clear" w:color="auto" w:fill="CCEEFF"/>
          </w:tcPr>
          <w:p>
            <w:pPr>
              <w:jc w:val="right"/>
              <w:ind w:right="152"/>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2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One Comcast Center</w:t>
            </w:r>
          </w:p>
        </w:tc>
        <w:tc>
          <w:tcPr>
            <w:tcW w:w="28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Philadelphia, PA 19103</w:t>
            </w:r>
          </w:p>
        </w:tc>
        <w:tc>
          <w:tcPr>
            <w:tcW w:w="28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2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5640" w:right="1720" w:hanging="4892"/>
        <w:spacing w:after="0" w:line="731" w:lineRule="auto"/>
        <w:tabs>
          <w:tab w:leader="none" w:pos="981" w:val="left"/>
        </w:tabs>
        <w:numPr>
          <w:ilvl w:val="0"/>
          <w:numId w:val="9"/>
        </w:numPr>
        <w:rPr>
          <w:rFonts w:ascii="Arial" w:cs="Arial" w:eastAsia="Arial" w:hAnsi="Arial"/>
          <w:sz w:val="12"/>
          <w:szCs w:val="12"/>
          <w:color w:val="auto"/>
        </w:rPr>
      </w:pPr>
      <w:r>
        <w:rPr>
          <w:rFonts w:ascii="Arial" w:cs="Arial" w:eastAsia="Arial" w:hAnsi="Arial"/>
          <w:sz w:val="12"/>
          <w:szCs w:val="12"/>
          <w:color w:val="auto"/>
        </w:rPr>
        <w:t>This information is based upon a Schedule 13G filing with the SEC on January 29, 2010 made by BlackRock, Inc. setting forth information as of December 31, 2009.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-90805</wp:posOffset>
            </wp:positionV>
            <wp:extent cx="7299325" cy="18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680"/>
          </w:cols>
          <w:pgMar w:left="220" w:top="327" w:right="999" w:bottom="1440" w:gutter="0" w:footer="0" w:header="0"/>
        </w:sectPr>
      </w:pPr>
    </w:p>
    <w:bookmarkStart w:id="8" w:name="page9"/>
    <w:bookmarkEnd w:id="8"/>
    <w:p>
      <w:pPr>
        <w:spacing w:after="0"/>
        <w:rPr>
          <w:rFonts w:ascii="Arial" w:cs="Arial" w:eastAsia="Arial" w:hAnsi="Arial"/>
          <w:sz w:val="12"/>
          <w:szCs w:val="12"/>
          <w:b w:val="1"/>
          <w:bCs w:val="1"/>
          <w:u w:val="single" w:color="auto"/>
          <w:color w:val="0000EE"/>
        </w:rPr>
      </w:pPr>
      <w:hyperlink w:anchor="page4">
        <w:r>
          <w:rPr>
            <w:rFonts w:ascii="Arial" w:cs="Arial" w:eastAsia="Arial" w:hAnsi="Arial"/>
            <w:sz w:val="12"/>
            <w:szCs w:val="12"/>
            <w:b w:val="1"/>
            <w:bCs w:val="1"/>
            <w:u w:val="single" w:color="auto"/>
            <w:color w:val="0000EE"/>
          </w:rPr>
          <w:t>Table of Contents</w:t>
        </w:r>
      </w:hyperlink>
    </w:p>
    <w:p>
      <w:pPr>
        <w:spacing w:after="0" w:line="215" w:lineRule="exact"/>
        <w:rPr>
          <w:sz w:val="20"/>
          <w:szCs w:val="20"/>
          <w:color w:val="auto"/>
        </w:rPr>
      </w:pPr>
    </w:p>
    <w:p>
      <w:pPr>
        <w:ind w:left="980" w:hanging="232"/>
        <w:spacing w:after="0"/>
        <w:tabs>
          <w:tab w:leader="none" w:pos="98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This information is based upon a Schedule 13G filing with the SEC on February 12, 2010 made by Dodge &amp; Cox setting forth information as of December 31, 2009.</w:t>
      </w:r>
    </w:p>
    <w:p>
      <w:pPr>
        <w:spacing w:after="0" w:line="42" w:lineRule="exact"/>
        <w:rPr>
          <w:rFonts w:ascii="Arial" w:cs="Arial" w:eastAsia="Arial" w:hAnsi="Arial"/>
          <w:sz w:val="12"/>
          <w:szCs w:val="12"/>
          <w:color w:val="auto"/>
        </w:rPr>
      </w:pPr>
    </w:p>
    <w:p>
      <w:pPr>
        <w:ind w:left="980" w:right="80" w:hanging="232"/>
        <w:spacing w:after="0" w:line="239" w:lineRule="auto"/>
        <w:tabs>
          <w:tab w:leader="none" w:pos="980" w:val="left"/>
        </w:tabs>
        <w:numPr>
          <w:ilvl w:val="0"/>
          <w:numId w:val="10"/>
        </w:numPr>
        <w:rPr>
          <w:rFonts w:ascii="Arial" w:cs="Arial" w:eastAsia="Arial" w:hAnsi="Arial"/>
          <w:sz w:val="12"/>
          <w:szCs w:val="12"/>
          <w:color w:val="auto"/>
        </w:rPr>
      </w:pPr>
      <w:r>
        <w:rPr>
          <w:rFonts w:ascii="Arial" w:cs="Arial" w:eastAsia="Arial" w:hAnsi="Arial"/>
          <w:sz w:val="12"/>
          <w:szCs w:val="12"/>
          <w:color w:val="auto"/>
        </w:rPr>
        <w:t>Includes 9,039,663 shares of Class B common stock owned by a limited liability company of which Mr. Brian L. Roberts is the managing member and 404,712 shares of Class B common stock owned by certain family trusts of which Mr. Roberts and/or his descendents are the beneficiaries. The shares of Class B common stock beneficially owned by Mr. Brian L. Roberts represent 33</w:t>
      </w:r>
      <w:r>
        <w:rPr>
          <w:rFonts w:ascii="Arial" w:cs="Arial" w:eastAsia="Arial" w:hAnsi="Arial"/>
          <w:sz w:val="16"/>
          <w:szCs w:val="16"/>
          <w:color w:val="auto"/>
          <w:vertAlign w:val="superscript"/>
        </w:rPr>
        <w:t>1</w:t>
      </w:r>
      <w:r>
        <w:rPr>
          <w:rFonts w:ascii="Arial" w:cs="Arial" w:eastAsia="Arial" w:hAnsi="Arial"/>
          <w:sz w:val="12"/>
          <w:szCs w:val="12"/>
          <w:color w:val="auto"/>
        </w:rPr>
        <w:t>/</w:t>
      </w:r>
      <w:r>
        <w:rPr>
          <w:rFonts w:ascii="Arial" w:cs="Arial" w:eastAsia="Arial" w:hAnsi="Arial"/>
          <w:sz w:val="8"/>
          <w:szCs w:val="8"/>
          <w:color w:val="auto"/>
        </w:rPr>
        <w:t>3</w:t>
      </w:r>
      <w:r>
        <w:rPr>
          <w:rFonts w:ascii="Arial" w:cs="Arial" w:eastAsia="Arial" w:hAnsi="Arial"/>
          <w:sz w:val="12"/>
          <w:szCs w:val="12"/>
          <w:color w:val="auto"/>
        </w:rPr>
        <w:t>% of the combined voting power of the two classes of our voting common stock, which percentage is generally non-dilutable under the terms of our Articles of Incorporation. Under our Articles of Incorporation, each share of Class B common stock is convertible, at the shareholder’s option, into a share of Class A common stock or Class A Special common stock. For information regarding Mr. Brian L. Roberts’ beneficial ownership of Class A common stock and Class A Special common stock, see the table immediately below, “Security Ownership of Directors, Nominees and Executive Officers,” including footnotes (19) and (20) to the table.</w:t>
      </w:r>
    </w:p>
    <w:p>
      <w:pPr>
        <w:spacing w:after="0" w:line="147"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Security Ownership of Directors, Nominees and Executive Officers</w:t>
      </w:r>
    </w:p>
    <w:p>
      <w:pPr>
        <w:spacing w:after="0" w:line="87" w:lineRule="exact"/>
        <w:rPr>
          <w:sz w:val="20"/>
          <w:szCs w:val="20"/>
          <w:color w:val="auto"/>
        </w:rPr>
      </w:pPr>
    </w:p>
    <w:p>
      <w:pPr>
        <w:ind w:left="680" w:right="340" w:firstLine="400"/>
        <w:spacing w:after="0" w:line="276" w:lineRule="auto"/>
        <w:rPr>
          <w:sz w:val="20"/>
          <w:szCs w:val="20"/>
          <w:color w:val="auto"/>
        </w:rPr>
      </w:pPr>
      <w:r>
        <w:rPr>
          <w:rFonts w:ascii="Arial" w:cs="Arial" w:eastAsia="Arial" w:hAnsi="Arial"/>
          <w:sz w:val="12"/>
          <w:szCs w:val="12"/>
          <w:color w:val="auto"/>
        </w:rPr>
        <w:t>This table sets forth information as of February 28, 2010 about the amount of common stock beneficially owned by our current directors (all of whom are also nominees for director), the named executive officers listed in the “Summary Compensation Table for 2009” found on page 40 and our directors and executive officers as a group.</w:t>
      </w:r>
    </w:p>
    <w:p>
      <w:pPr>
        <w:spacing w:after="0" w:line="133" w:lineRule="exact"/>
        <w:rPr>
          <w:sz w:val="20"/>
          <w:szCs w:val="20"/>
          <w:color w:val="auto"/>
        </w:rPr>
      </w:pPr>
    </w:p>
    <w:tbl>
      <w:tblPr>
        <w:tblLayout w:type="fixed"/>
        <w:tblInd w:w="680" w:type="dxa"/>
        <w:tblCellMar>
          <w:top w:w="0" w:type="dxa"/>
          <w:left w:w="0" w:type="dxa"/>
          <w:bottom w:w="0" w:type="dxa"/>
          <w:right w:w="0" w:type="dxa"/>
        </w:tblCellMar>
      </w:tblPr>
      <w:tr>
        <w:trPr>
          <w:trHeight w:val="90"/>
        </w:trPr>
        <w:tc>
          <w:tcPr>
            <w:tcW w:w="33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820" w:type="dxa"/>
            <w:vAlign w:val="bottom"/>
            <w:tcBorders>
              <w:bottom w:val="single" w:sz="8" w:color="auto"/>
            </w:tcBorders>
            <w:gridSpan w:val="2"/>
          </w:tcPr>
          <w:p>
            <w:pPr>
              <w:ind w:left="80"/>
              <w:spacing w:after="0"/>
              <w:rPr>
                <w:sz w:val="20"/>
                <w:szCs w:val="20"/>
                <w:color w:val="auto"/>
              </w:rPr>
            </w:pPr>
            <w:r>
              <w:rPr>
                <w:rFonts w:ascii="Arial" w:cs="Arial" w:eastAsia="Arial" w:hAnsi="Arial"/>
                <w:sz w:val="7"/>
                <w:szCs w:val="7"/>
                <w:b w:val="1"/>
                <w:bCs w:val="1"/>
                <w:color w:val="auto"/>
              </w:rPr>
              <w:t>Amount Beneficially Owned</w:t>
            </w:r>
            <w:r>
              <w:rPr>
                <w:rFonts w:ascii="Arial" w:cs="Arial" w:eastAsia="Arial" w:hAnsi="Arial"/>
                <w:sz w:val="6"/>
                <w:szCs w:val="6"/>
                <w:b w:val="1"/>
                <w:bCs w:val="1"/>
                <w:color w:val="auto"/>
              </w:rPr>
              <w:t>(1)</w:t>
            </w:r>
          </w:p>
        </w:tc>
        <w:tc>
          <w:tcPr>
            <w:tcW w:w="96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gridSpan w:val="2"/>
          </w:tcPr>
          <w:p>
            <w:pPr>
              <w:jc w:val="center"/>
              <w:ind w:left="93"/>
              <w:spacing w:after="0"/>
              <w:rPr>
                <w:sz w:val="20"/>
                <w:szCs w:val="20"/>
                <w:color w:val="auto"/>
              </w:rPr>
            </w:pPr>
            <w:r>
              <w:rPr>
                <w:rFonts w:ascii="Arial" w:cs="Arial" w:eastAsia="Arial" w:hAnsi="Arial"/>
                <w:sz w:val="7"/>
                <w:szCs w:val="7"/>
                <w:b w:val="1"/>
                <w:bCs w:val="1"/>
                <w:color w:val="auto"/>
                <w:w w:val="91"/>
              </w:rPr>
              <w:t>Percent of Class</w:t>
            </w:r>
          </w:p>
        </w:tc>
        <w:tc>
          <w:tcPr>
            <w:tcW w:w="1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r>
      <w:tr>
        <w:trPr>
          <w:trHeight w:val="61"/>
        </w:trPr>
        <w:tc>
          <w:tcPr>
            <w:tcW w:w="338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960" w:type="dxa"/>
            <w:vAlign w:val="bottom"/>
          </w:tcPr>
          <w:p>
            <w:pPr>
              <w:jc w:val="right"/>
              <w:ind w:right="314"/>
              <w:spacing w:after="0" w:line="61" w:lineRule="exact"/>
              <w:rPr>
                <w:sz w:val="20"/>
                <w:szCs w:val="20"/>
                <w:color w:val="auto"/>
              </w:rPr>
            </w:pPr>
            <w:r>
              <w:rPr>
                <w:rFonts w:ascii="Arial" w:cs="Arial" w:eastAsia="Arial" w:hAnsi="Arial"/>
                <w:sz w:val="7"/>
                <w:szCs w:val="7"/>
                <w:b w:val="1"/>
                <w:bCs w:val="1"/>
                <w:color w:val="auto"/>
              </w:rPr>
              <w:t>Class A</w:t>
            </w:r>
          </w:p>
        </w:tc>
        <w:tc>
          <w:tcPr>
            <w:tcW w:w="8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jc w:val="center"/>
              <w:spacing w:after="0" w:line="61" w:lineRule="exact"/>
              <w:rPr>
                <w:sz w:val="20"/>
                <w:szCs w:val="20"/>
                <w:color w:val="auto"/>
              </w:rPr>
            </w:pPr>
            <w:r>
              <w:rPr>
                <w:rFonts w:ascii="Arial" w:cs="Arial" w:eastAsia="Arial" w:hAnsi="Arial"/>
                <w:sz w:val="7"/>
                <w:szCs w:val="7"/>
                <w:b w:val="1"/>
                <w:bCs w:val="1"/>
                <w:color w:val="auto"/>
                <w:w w:val="93"/>
              </w:rPr>
              <w:t>Class A</w:t>
            </w: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r>
      <w:tr>
        <w:trPr>
          <w:trHeight w:val="90"/>
        </w:trPr>
        <w:tc>
          <w:tcPr>
            <w:tcW w:w="3380" w:type="dxa"/>
            <w:vAlign w:val="bottom"/>
          </w:tcPr>
          <w:p>
            <w:pPr>
              <w:spacing w:after="0"/>
              <w:rPr>
                <w:sz w:val="20"/>
                <w:szCs w:val="20"/>
                <w:color w:val="auto"/>
              </w:rPr>
            </w:pPr>
            <w:r>
              <w:rPr>
                <w:rFonts w:ascii="Arial" w:cs="Arial" w:eastAsia="Arial" w:hAnsi="Arial"/>
                <w:sz w:val="7"/>
                <w:szCs w:val="7"/>
                <w:b w:val="1"/>
                <w:bCs w:val="1"/>
                <w:color w:val="auto"/>
              </w:rPr>
              <w:t>Name of Beneficial Owner</w:t>
            </w:r>
          </w:p>
        </w:tc>
        <w:tc>
          <w:tcPr>
            <w:tcW w:w="80" w:type="dxa"/>
            <w:vAlign w:val="bottom"/>
          </w:tcPr>
          <w:p>
            <w:pPr>
              <w:spacing w:after="0"/>
              <w:rPr>
                <w:sz w:val="7"/>
                <w:szCs w:val="7"/>
                <w:color w:val="auto"/>
              </w:rPr>
            </w:pPr>
          </w:p>
        </w:tc>
        <w:tc>
          <w:tcPr>
            <w:tcW w:w="1820" w:type="dxa"/>
            <w:vAlign w:val="bottom"/>
            <w:gridSpan w:val="2"/>
          </w:tcPr>
          <w:p>
            <w:pPr>
              <w:ind w:left="340"/>
              <w:spacing w:after="0"/>
              <w:rPr>
                <w:sz w:val="20"/>
                <w:szCs w:val="20"/>
                <w:color w:val="auto"/>
              </w:rPr>
            </w:pPr>
            <w:r>
              <w:rPr>
                <w:rFonts w:ascii="Arial" w:cs="Arial" w:eastAsia="Arial" w:hAnsi="Arial"/>
                <w:sz w:val="7"/>
                <w:szCs w:val="7"/>
                <w:b w:val="1"/>
                <w:bCs w:val="1"/>
                <w:color w:val="auto"/>
              </w:rPr>
              <w:t>Class A</w:t>
            </w:r>
            <w:r>
              <w:rPr>
                <w:rFonts w:ascii="Arial" w:cs="Arial" w:eastAsia="Arial" w:hAnsi="Arial"/>
                <w:sz w:val="6"/>
                <w:szCs w:val="6"/>
                <w:b w:val="1"/>
                <w:bCs w:val="1"/>
                <w:color w:val="auto"/>
              </w:rPr>
              <w:t>(2)</w:t>
            </w:r>
          </w:p>
        </w:tc>
        <w:tc>
          <w:tcPr>
            <w:tcW w:w="960" w:type="dxa"/>
            <w:vAlign w:val="bottom"/>
          </w:tcPr>
          <w:p>
            <w:pPr>
              <w:jc w:val="right"/>
              <w:ind w:right="294"/>
              <w:spacing w:after="0"/>
              <w:rPr>
                <w:sz w:val="20"/>
                <w:szCs w:val="20"/>
                <w:color w:val="auto"/>
              </w:rPr>
            </w:pPr>
            <w:r>
              <w:rPr>
                <w:rFonts w:ascii="Arial" w:cs="Arial" w:eastAsia="Arial" w:hAnsi="Arial"/>
                <w:sz w:val="7"/>
                <w:szCs w:val="7"/>
                <w:b w:val="1"/>
                <w:bCs w:val="1"/>
                <w:color w:val="auto"/>
              </w:rPr>
              <w:t>Special</w:t>
            </w:r>
            <w:r>
              <w:rPr>
                <w:rFonts w:ascii="Arial" w:cs="Arial" w:eastAsia="Arial" w:hAnsi="Arial"/>
                <w:sz w:val="6"/>
                <w:szCs w:val="6"/>
                <w:b w:val="1"/>
                <w:bCs w:val="1"/>
                <w:color w:val="auto"/>
              </w:rPr>
              <w:t>(3)</w:t>
            </w:r>
          </w:p>
        </w:tc>
        <w:tc>
          <w:tcPr>
            <w:tcW w:w="840" w:type="dxa"/>
            <w:vAlign w:val="bottom"/>
          </w:tcPr>
          <w:p>
            <w:pPr>
              <w:spacing w:after="0"/>
              <w:rPr>
                <w:sz w:val="7"/>
                <w:szCs w:val="7"/>
                <w:color w:val="auto"/>
              </w:rPr>
            </w:pPr>
          </w:p>
        </w:tc>
        <w:tc>
          <w:tcPr>
            <w:tcW w:w="940" w:type="dxa"/>
            <w:vAlign w:val="bottom"/>
          </w:tcPr>
          <w:p>
            <w:pPr>
              <w:jc w:val="right"/>
              <w:ind w:right="313"/>
              <w:spacing w:after="0"/>
              <w:rPr>
                <w:sz w:val="20"/>
                <w:szCs w:val="20"/>
                <w:color w:val="auto"/>
              </w:rPr>
            </w:pPr>
            <w:r>
              <w:rPr>
                <w:rFonts w:ascii="Arial" w:cs="Arial" w:eastAsia="Arial" w:hAnsi="Arial"/>
                <w:sz w:val="7"/>
                <w:szCs w:val="7"/>
                <w:b w:val="1"/>
                <w:bCs w:val="1"/>
                <w:color w:val="auto"/>
              </w:rPr>
              <w:t>Class B</w:t>
            </w:r>
          </w:p>
        </w:tc>
        <w:tc>
          <w:tcPr>
            <w:tcW w:w="180" w:type="dxa"/>
            <w:vAlign w:val="bottom"/>
          </w:tcPr>
          <w:p>
            <w:pPr>
              <w:spacing w:after="0"/>
              <w:rPr>
                <w:sz w:val="7"/>
                <w:szCs w:val="7"/>
                <w:color w:val="auto"/>
              </w:rPr>
            </w:pPr>
          </w:p>
        </w:tc>
        <w:tc>
          <w:tcPr>
            <w:tcW w:w="480" w:type="dxa"/>
            <w:vAlign w:val="bottom"/>
          </w:tcPr>
          <w:p>
            <w:pPr>
              <w:jc w:val="right"/>
              <w:ind w:right="64"/>
              <w:spacing w:after="0"/>
              <w:rPr>
                <w:sz w:val="20"/>
                <w:szCs w:val="20"/>
                <w:color w:val="auto"/>
              </w:rPr>
            </w:pPr>
            <w:r>
              <w:rPr>
                <w:rFonts w:ascii="Arial" w:cs="Arial" w:eastAsia="Arial" w:hAnsi="Arial"/>
                <w:sz w:val="7"/>
                <w:szCs w:val="7"/>
                <w:b w:val="1"/>
                <w:bCs w:val="1"/>
                <w:color w:val="auto"/>
              </w:rPr>
              <w:t>Class A</w:t>
            </w:r>
            <w:r>
              <w:rPr>
                <w:rFonts w:ascii="Arial" w:cs="Arial" w:eastAsia="Arial" w:hAnsi="Arial"/>
                <w:sz w:val="6"/>
                <w:szCs w:val="6"/>
                <w:b w:val="1"/>
                <w:bCs w:val="1"/>
                <w:color w:val="auto"/>
              </w:rPr>
              <w:t>(2)</w:t>
            </w:r>
          </w:p>
        </w:tc>
        <w:tc>
          <w:tcPr>
            <w:tcW w:w="180" w:type="dxa"/>
            <w:vAlign w:val="bottom"/>
          </w:tcPr>
          <w:p>
            <w:pPr>
              <w:spacing w:after="0"/>
              <w:rPr>
                <w:sz w:val="7"/>
                <w:szCs w:val="7"/>
                <w:color w:val="auto"/>
              </w:rPr>
            </w:pPr>
          </w:p>
        </w:tc>
        <w:tc>
          <w:tcPr>
            <w:tcW w:w="500" w:type="dxa"/>
            <w:vAlign w:val="bottom"/>
          </w:tcPr>
          <w:p>
            <w:pPr>
              <w:jc w:val="center"/>
              <w:spacing w:after="0"/>
              <w:rPr>
                <w:sz w:val="20"/>
                <w:szCs w:val="20"/>
                <w:color w:val="auto"/>
              </w:rPr>
            </w:pPr>
            <w:r>
              <w:rPr>
                <w:rFonts w:ascii="Arial" w:cs="Arial" w:eastAsia="Arial" w:hAnsi="Arial"/>
                <w:sz w:val="7"/>
                <w:szCs w:val="7"/>
                <w:b w:val="1"/>
                <w:bCs w:val="1"/>
                <w:color w:val="auto"/>
                <w:w w:val="87"/>
              </w:rPr>
              <w:t>Special</w:t>
            </w:r>
            <w:r>
              <w:rPr>
                <w:rFonts w:ascii="Arial" w:cs="Arial" w:eastAsia="Arial" w:hAnsi="Arial"/>
                <w:sz w:val="6"/>
                <w:szCs w:val="6"/>
                <w:b w:val="1"/>
                <w:bCs w:val="1"/>
                <w:color w:val="auto"/>
                <w:w w:val="87"/>
              </w:rPr>
              <w:t>(3)</w:t>
            </w:r>
          </w:p>
        </w:tc>
        <w:tc>
          <w:tcPr>
            <w:tcW w:w="180" w:type="dxa"/>
            <w:vAlign w:val="bottom"/>
          </w:tcPr>
          <w:p>
            <w:pPr>
              <w:spacing w:after="0"/>
              <w:rPr>
                <w:sz w:val="7"/>
                <w:szCs w:val="7"/>
                <w:color w:val="auto"/>
              </w:rPr>
            </w:pPr>
          </w:p>
        </w:tc>
        <w:tc>
          <w:tcPr>
            <w:tcW w:w="460" w:type="dxa"/>
            <w:vAlign w:val="bottom"/>
          </w:tcPr>
          <w:p>
            <w:pPr>
              <w:ind w:left="100"/>
              <w:spacing w:after="0"/>
              <w:rPr>
                <w:sz w:val="20"/>
                <w:szCs w:val="20"/>
                <w:color w:val="auto"/>
              </w:rPr>
            </w:pPr>
            <w:r>
              <w:rPr>
                <w:rFonts w:ascii="Arial" w:cs="Arial" w:eastAsia="Arial" w:hAnsi="Arial"/>
                <w:sz w:val="7"/>
                <w:szCs w:val="7"/>
                <w:b w:val="1"/>
                <w:bCs w:val="1"/>
                <w:color w:val="auto"/>
              </w:rPr>
              <w:t>Class B</w:t>
            </w:r>
          </w:p>
        </w:tc>
      </w:tr>
      <w:tr>
        <w:trPr>
          <w:trHeight w:val="25"/>
        </w:trPr>
        <w:tc>
          <w:tcPr>
            <w:tcW w:w="33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840" w:type="dxa"/>
            <w:vAlign w:val="bottom"/>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840" w:type="dxa"/>
            <w:vAlign w:val="bottom"/>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r>
      <w:tr>
        <w:trPr>
          <w:trHeight w:val="99"/>
        </w:trPr>
        <w:tc>
          <w:tcPr>
            <w:tcW w:w="338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Michael J. Angelakis</w:t>
            </w:r>
          </w:p>
        </w:tc>
        <w:tc>
          <w:tcPr>
            <w:tcW w:w="1060" w:type="dxa"/>
            <w:vAlign w:val="bottom"/>
            <w:gridSpan w:val="2"/>
            <w:shd w:val="clear" w:color="auto" w:fill="CCEEFF"/>
          </w:tcPr>
          <w:p>
            <w:pPr>
              <w:jc w:val="right"/>
              <w:ind w:right="164"/>
              <w:spacing w:after="0" w:line="99" w:lineRule="exact"/>
              <w:rPr>
                <w:sz w:val="20"/>
                <w:szCs w:val="20"/>
                <w:color w:val="auto"/>
              </w:rPr>
            </w:pPr>
            <w:r>
              <w:rPr>
                <w:rFonts w:ascii="Arial" w:cs="Arial" w:eastAsia="Arial" w:hAnsi="Arial"/>
                <w:sz w:val="10"/>
                <w:szCs w:val="10"/>
                <w:color w:val="auto"/>
              </w:rPr>
              <w:t>583,389</w:t>
            </w:r>
            <w:r>
              <w:rPr>
                <w:rFonts w:ascii="Arial" w:cs="Arial" w:eastAsia="Arial" w:hAnsi="Arial"/>
                <w:sz w:val="8"/>
                <w:szCs w:val="8"/>
                <w:color w:val="auto"/>
              </w:rPr>
              <w:t>(4)</w:t>
            </w:r>
          </w:p>
        </w:tc>
        <w:tc>
          <w:tcPr>
            <w:tcW w:w="840" w:type="dxa"/>
            <w:vAlign w:val="bottom"/>
            <w:shd w:val="clear" w:color="auto" w:fill="CCEEFF"/>
          </w:tcPr>
          <w:p>
            <w:pPr>
              <w:spacing w:after="0"/>
              <w:rPr>
                <w:sz w:val="8"/>
                <w:szCs w:val="8"/>
                <w:color w:val="auto"/>
              </w:rPr>
            </w:pPr>
          </w:p>
        </w:tc>
        <w:tc>
          <w:tcPr>
            <w:tcW w:w="960" w:type="dxa"/>
            <w:vAlign w:val="bottom"/>
            <w:shd w:val="clear" w:color="auto" w:fill="CCEEFF"/>
          </w:tcPr>
          <w:p>
            <w:pPr>
              <w:jc w:val="right"/>
              <w:ind w:right="234"/>
              <w:spacing w:after="0" w:line="99" w:lineRule="exact"/>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spacing w:after="0"/>
              <w:rPr>
                <w:sz w:val="8"/>
                <w:szCs w:val="8"/>
                <w:color w:val="auto"/>
              </w:rPr>
            </w:pPr>
          </w:p>
        </w:tc>
        <w:tc>
          <w:tcPr>
            <w:tcW w:w="940" w:type="dxa"/>
            <w:vAlign w:val="bottom"/>
            <w:shd w:val="clear" w:color="auto" w:fill="CCEEFF"/>
          </w:tcPr>
          <w:p>
            <w:pPr>
              <w:jc w:val="right"/>
              <w:ind w:right="233"/>
              <w:spacing w:after="0" w:line="99" w:lineRule="exact"/>
              <w:rPr>
                <w:sz w:val="20"/>
                <w:szCs w:val="20"/>
                <w:color w:val="auto"/>
              </w:rPr>
            </w:pPr>
            <w:r>
              <w:rPr>
                <w:rFonts w:ascii="Arial" w:cs="Arial" w:eastAsia="Arial" w:hAnsi="Arial"/>
                <w:sz w:val="10"/>
                <w:szCs w:val="10"/>
                <w:color w:val="auto"/>
              </w:rPr>
              <w:t>—</w:t>
            </w:r>
          </w:p>
        </w:tc>
        <w:tc>
          <w:tcPr>
            <w:tcW w:w="660" w:type="dxa"/>
            <w:vAlign w:val="bottom"/>
            <w:gridSpan w:val="2"/>
            <w:shd w:val="clear" w:color="auto" w:fill="CCEEFF"/>
          </w:tcPr>
          <w:p>
            <w:pPr>
              <w:jc w:val="right"/>
              <w:ind w:right="164"/>
              <w:spacing w:after="0" w:line="99"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8"/>
                <w:szCs w:val="8"/>
                <w:color w:val="auto"/>
              </w:rPr>
            </w:pPr>
          </w:p>
        </w:tc>
        <w:tc>
          <w:tcPr>
            <w:tcW w:w="500" w:type="dxa"/>
            <w:vAlign w:val="bottom"/>
            <w:shd w:val="clear" w:color="auto" w:fill="CCEEFF"/>
          </w:tcPr>
          <w:p>
            <w:pPr>
              <w:jc w:val="right"/>
              <w:ind w:right="155"/>
              <w:spacing w:after="0" w:line="99"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jc w:val="center"/>
              <w:ind w:left="13"/>
              <w:spacing w:after="0" w:line="99" w:lineRule="exact"/>
              <w:rPr>
                <w:sz w:val="20"/>
                <w:szCs w:val="20"/>
                <w:color w:val="auto"/>
              </w:rPr>
            </w:pPr>
            <w:r>
              <w:rPr>
                <w:rFonts w:ascii="Arial" w:cs="Arial" w:eastAsia="Arial" w:hAnsi="Arial"/>
                <w:sz w:val="10"/>
                <w:szCs w:val="10"/>
                <w:color w:val="auto"/>
                <w:w w:val="79"/>
              </w:rPr>
              <w:t>—</w:t>
            </w:r>
          </w:p>
        </w:tc>
      </w:tr>
      <w:tr>
        <w:trPr>
          <w:trHeight w:val="99"/>
        </w:trPr>
        <w:tc>
          <w:tcPr>
            <w:tcW w:w="3380" w:type="dxa"/>
            <w:vAlign w:val="bottom"/>
          </w:tcPr>
          <w:p>
            <w:pPr>
              <w:spacing w:after="0" w:line="99" w:lineRule="exact"/>
              <w:rPr>
                <w:sz w:val="20"/>
                <w:szCs w:val="20"/>
                <w:color w:val="auto"/>
              </w:rPr>
            </w:pPr>
            <w:r>
              <w:rPr>
                <w:rFonts w:ascii="Arial" w:cs="Arial" w:eastAsia="Arial" w:hAnsi="Arial"/>
                <w:sz w:val="10"/>
                <w:szCs w:val="10"/>
                <w:color w:val="auto"/>
              </w:rPr>
              <w:t>S. Decker Anstrom</w:t>
            </w:r>
          </w:p>
        </w:tc>
        <w:tc>
          <w:tcPr>
            <w:tcW w:w="1060" w:type="dxa"/>
            <w:vAlign w:val="bottom"/>
            <w:gridSpan w:val="2"/>
          </w:tcPr>
          <w:p>
            <w:pPr>
              <w:jc w:val="right"/>
              <w:ind w:right="244"/>
              <w:spacing w:after="0" w:line="99" w:lineRule="exact"/>
              <w:rPr>
                <w:sz w:val="20"/>
                <w:szCs w:val="20"/>
                <w:color w:val="auto"/>
              </w:rPr>
            </w:pPr>
            <w:r>
              <w:rPr>
                <w:rFonts w:ascii="Arial" w:cs="Arial" w:eastAsia="Arial" w:hAnsi="Arial"/>
                <w:sz w:val="10"/>
                <w:szCs w:val="10"/>
                <w:color w:val="auto"/>
              </w:rPr>
              <w:t>77,399</w:t>
            </w:r>
          </w:p>
        </w:tc>
        <w:tc>
          <w:tcPr>
            <w:tcW w:w="840" w:type="dxa"/>
            <w:vAlign w:val="bottom"/>
          </w:tcPr>
          <w:p>
            <w:pPr>
              <w:spacing w:after="0"/>
              <w:rPr>
                <w:sz w:val="8"/>
                <w:szCs w:val="8"/>
                <w:color w:val="auto"/>
              </w:rPr>
            </w:pPr>
          </w:p>
        </w:tc>
        <w:tc>
          <w:tcPr>
            <w:tcW w:w="960" w:type="dxa"/>
            <w:vAlign w:val="bottom"/>
          </w:tcPr>
          <w:p>
            <w:pPr>
              <w:jc w:val="right"/>
              <w:ind w:right="234"/>
              <w:spacing w:after="0" w:line="99" w:lineRule="exact"/>
              <w:rPr>
                <w:sz w:val="20"/>
                <w:szCs w:val="20"/>
                <w:color w:val="auto"/>
              </w:rPr>
            </w:pPr>
            <w:r>
              <w:rPr>
                <w:rFonts w:ascii="Arial" w:cs="Arial" w:eastAsia="Arial" w:hAnsi="Arial"/>
                <w:sz w:val="10"/>
                <w:szCs w:val="10"/>
                <w:color w:val="auto"/>
              </w:rPr>
              <w:t>2,400</w:t>
            </w:r>
          </w:p>
        </w:tc>
        <w:tc>
          <w:tcPr>
            <w:tcW w:w="840" w:type="dxa"/>
            <w:vAlign w:val="bottom"/>
          </w:tcPr>
          <w:p>
            <w:pPr>
              <w:spacing w:after="0"/>
              <w:rPr>
                <w:sz w:val="8"/>
                <w:szCs w:val="8"/>
                <w:color w:val="auto"/>
              </w:rPr>
            </w:pPr>
          </w:p>
        </w:tc>
        <w:tc>
          <w:tcPr>
            <w:tcW w:w="940" w:type="dxa"/>
            <w:vAlign w:val="bottom"/>
          </w:tcPr>
          <w:p>
            <w:pPr>
              <w:jc w:val="right"/>
              <w:ind w:right="233"/>
              <w:spacing w:after="0" w:line="99" w:lineRule="exact"/>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64"/>
              <w:spacing w:after="0" w:line="99" w:lineRule="exact"/>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155"/>
              <w:spacing w:after="0" w:line="99"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8"/>
                <w:szCs w:val="8"/>
                <w:color w:val="auto"/>
              </w:rPr>
            </w:pPr>
          </w:p>
        </w:tc>
        <w:tc>
          <w:tcPr>
            <w:tcW w:w="460" w:type="dxa"/>
            <w:vAlign w:val="bottom"/>
          </w:tcPr>
          <w:p>
            <w:pPr>
              <w:jc w:val="center"/>
              <w:ind w:left="13"/>
              <w:spacing w:after="0" w:line="99" w:lineRule="exact"/>
              <w:rPr>
                <w:sz w:val="20"/>
                <w:szCs w:val="20"/>
                <w:color w:val="auto"/>
              </w:rPr>
            </w:pPr>
            <w:r>
              <w:rPr>
                <w:rFonts w:ascii="Arial" w:cs="Arial" w:eastAsia="Arial" w:hAnsi="Arial"/>
                <w:sz w:val="10"/>
                <w:szCs w:val="10"/>
                <w:color w:val="auto"/>
                <w:w w:val="79"/>
              </w:rPr>
              <w:t>—</w:t>
            </w:r>
          </w:p>
        </w:tc>
      </w:tr>
      <w:tr>
        <w:trPr>
          <w:trHeight w:val="99"/>
        </w:trPr>
        <w:tc>
          <w:tcPr>
            <w:tcW w:w="338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Kenneth J. Bacon</w:t>
            </w:r>
          </w:p>
        </w:tc>
        <w:tc>
          <w:tcPr>
            <w:tcW w:w="1060" w:type="dxa"/>
            <w:vAlign w:val="bottom"/>
            <w:gridSpan w:val="2"/>
            <w:shd w:val="clear" w:color="auto" w:fill="CCEEFF"/>
          </w:tcPr>
          <w:p>
            <w:pPr>
              <w:jc w:val="right"/>
              <w:ind w:right="244"/>
              <w:spacing w:after="0" w:line="99" w:lineRule="exact"/>
              <w:rPr>
                <w:sz w:val="20"/>
                <w:szCs w:val="20"/>
                <w:color w:val="auto"/>
              </w:rPr>
            </w:pPr>
            <w:r>
              <w:rPr>
                <w:rFonts w:ascii="Arial" w:cs="Arial" w:eastAsia="Arial" w:hAnsi="Arial"/>
                <w:sz w:val="10"/>
                <w:szCs w:val="10"/>
                <w:color w:val="auto"/>
              </w:rPr>
              <w:t>78,831</w:t>
            </w:r>
          </w:p>
        </w:tc>
        <w:tc>
          <w:tcPr>
            <w:tcW w:w="840" w:type="dxa"/>
            <w:vAlign w:val="bottom"/>
            <w:shd w:val="clear" w:color="auto" w:fill="CCEEFF"/>
          </w:tcPr>
          <w:p>
            <w:pPr>
              <w:spacing w:after="0"/>
              <w:rPr>
                <w:sz w:val="8"/>
                <w:szCs w:val="8"/>
                <w:color w:val="auto"/>
              </w:rPr>
            </w:pPr>
          </w:p>
        </w:tc>
        <w:tc>
          <w:tcPr>
            <w:tcW w:w="960" w:type="dxa"/>
            <w:vAlign w:val="bottom"/>
            <w:shd w:val="clear" w:color="auto" w:fill="CCEEFF"/>
          </w:tcPr>
          <w:p>
            <w:pPr>
              <w:jc w:val="right"/>
              <w:ind w:right="234"/>
              <w:spacing w:after="0" w:line="99" w:lineRule="exact"/>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spacing w:after="0"/>
              <w:rPr>
                <w:sz w:val="8"/>
                <w:szCs w:val="8"/>
                <w:color w:val="auto"/>
              </w:rPr>
            </w:pPr>
          </w:p>
        </w:tc>
        <w:tc>
          <w:tcPr>
            <w:tcW w:w="940" w:type="dxa"/>
            <w:vAlign w:val="bottom"/>
            <w:shd w:val="clear" w:color="auto" w:fill="CCEEFF"/>
          </w:tcPr>
          <w:p>
            <w:pPr>
              <w:jc w:val="right"/>
              <w:ind w:right="233"/>
              <w:spacing w:after="0" w:line="99" w:lineRule="exact"/>
              <w:rPr>
                <w:sz w:val="20"/>
                <w:szCs w:val="20"/>
                <w:color w:val="auto"/>
              </w:rPr>
            </w:pPr>
            <w:r>
              <w:rPr>
                <w:rFonts w:ascii="Arial" w:cs="Arial" w:eastAsia="Arial" w:hAnsi="Arial"/>
                <w:sz w:val="10"/>
                <w:szCs w:val="10"/>
                <w:color w:val="auto"/>
              </w:rPr>
              <w:t>—</w:t>
            </w:r>
          </w:p>
        </w:tc>
        <w:tc>
          <w:tcPr>
            <w:tcW w:w="660" w:type="dxa"/>
            <w:vAlign w:val="bottom"/>
            <w:gridSpan w:val="2"/>
            <w:shd w:val="clear" w:color="auto" w:fill="CCEEFF"/>
          </w:tcPr>
          <w:p>
            <w:pPr>
              <w:jc w:val="right"/>
              <w:ind w:right="164"/>
              <w:spacing w:after="0" w:line="99"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8"/>
                <w:szCs w:val="8"/>
                <w:color w:val="auto"/>
              </w:rPr>
            </w:pPr>
          </w:p>
        </w:tc>
        <w:tc>
          <w:tcPr>
            <w:tcW w:w="500" w:type="dxa"/>
            <w:vAlign w:val="bottom"/>
            <w:shd w:val="clear" w:color="auto" w:fill="CCEEFF"/>
          </w:tcPr>
          <w:p>
            <w:pPr>
              <w:jc w:val="right"/>
              <w:ind w:right="155"/>
              <w:spacing w:after="0" w:line="99"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jc w:val="center"/>
              <w:ind w:left="13"/>
              <w:spacing w:after="0" w:line="99" w:lineRule="exact"/>
              <w:rPr>
                <w:sz w:val="20"/>
                <w:szCs w:val="20"/>
                <w:color w:val="auto"/>
              </w:rPr>
            </w:pPr>
            <w:r>
              <w:rPr>
                <w:rFonts w:ascii="Arial" w:cs="Arial" w:eastAsia="Arial" w:hAnsi="Arial"/>
                <w:sz w:val="10"/>
                <w:szCs w:val="10"/>
                <w:color w:val="auto"/>
                <w:w w:val="79"/>
              </w:rPr>
              <w:t>—</w:t>
            </w:r>
          </w:p>
        </w:tc>
      </w:tr>
      <w:tr>
        <w:trPr>
          <w:trHeight w:val="99"/>
        </w:trPr>
        <w:tc>
          <w:tcPr>
            <w:tcW w:w="3380" w:type="dxa"/>
            <w:vAlign w:val="bottom"/>
          </w:tcPr>
          <w:p>
            <w:pPr>
              <w:spacing w:after="0" w:line="99" w:lineRule="exact"/>
              <w:rPr>
                <w:sz w:val="20"/>
                <w:szCs w:val="20"/>
                <w:color w:val="auto"/>
              </w:rPr>
            </w:pPr>
            <w:r>
              <w:rPr>
                <w:rFonts w:ascii="Arial" w:cs="Arial" w:eastAsia="Arial" w:hAnsi="Arial"/>
                <w:sz w:val="10"/>
                <w:szCs w:val="10"/>
                <w:color w:val="auto"/>
              </w:rPr>
              <w:t>Arthur R. Block</w:t>
            </w:r>
          </w:p>
        </w:tc>
        <w:tc>
          <w:tcPr>
            <w:tcW w:w="1060" w:type="dxa"/>
            <w:vAlign w:val="bottom"/>
            <w:gridSpan w:val="2"/>
          </w:tcPr>
          <w:p>
            <w:pPr>
              <w:jc w:val="right"/>
              <w:ind w:right="244"/>
              <w:spacing w:after="0" w:line="99" w:lineRule="exact"/>
              <w:rPr>
                <w:sz w:val="20"/>
                <w:szCs w:val="20"/>
                <w:color w:val="auto"/>
              </w:rPr>
            </w:pPr>
            <w:r>
              <w:rPr>
                <w:rFonts w:ascii="Arial" w:cs="Arial" w:eastAsia="Arial" w:hAnsi="Arial"/>
                <w:sz w:val="10"/>
                <w:szCs w:val="10"/>
                <w:color w:val="auto"/>
              </w:rPr>
              <w:t>529,571</w:t>
            </w:r>
          </w:p>
        </w:tc>
        <w:tc>
          <w:tcPr>
            <w:tcW w:w="840" w:type="dxa"/>
            <w:vAlign w:val="bottom"/>
          </w:tcPr>
          <w:p>
            <w:pPr>
              <w:spacing w:after="0"/>
              <w:rPr>
                <w:sz w:val="8"/>
                <w:szCs w:val="8"/>
                <w:color w:val="auto"/>
              </w:rPr>
            </w:pPr>
          </w:p>
        </w:tc>
        <w:tc>
          <w:tcPr>
            <w:tcW w:w="960" w:type="dxa"/>
            <w:vAlign w:val="bottom"/>
          </w:tcPr>
          <w:p>
            <w:pPr>
              <w:jc w:val="right"/>
              <w:ind w:right="134"/>
              <w:spacing w:after="0" w:line="99" w:lineRule="exact"/>
              <w:rPr>
                <w:sz w:val="20"/>
                <w:szCs w:val="20"/>
                <w:color w:val="auto"/>
              </w:rPr>
            </w:pPr>
            <w:r>
              <w:rPr>
                <w:rFonts w:ascii="Arial" w:cs="Arial" w:eastAsia="Arial" w:hAnsi="Arial"/>
                <w:sz w:val="10"/>
                <w:szCs w:val="10"/>
                <w:color w:val="auto"/>
              </w:rPr>
              <w:t>797,775</w:t>
            </w:r>
            <w:r>
              <w:rPr>
                <w:rFonts w:ascii="Arial" w:cs="Arial" w:eastAsia="Arial" w:hAnsi="Arial"/>
                <w:sz w:val="8"/>
                <w:szCs w:val="8"/>
                <w:color w:val="auto"/>
              </w:rPr>
              <w:t>(5)</w:t>
            </w:r>
          </w:p>
        </w:tc>
        <w:tc>
          <w:tcPr>
            <w:tcW w:w="840" w:type="dxa"/>
            <w:vAlign w:val="bottom"/>
          </w:tcPr>
          <w:p>
            <w:pPr>
              <w:spacing w:after="0"/>
              <w:rPr>
                <w:sz w:val="8"/>
                <w:szCs w:val="8"/>
                <w:color w:val="auto"/>
              </w:rPr>
            </w:pPr>
          </w:p>
        </w:tc>
        <w:tc>
          <w:tcPr>
            <w:tcW w:w="940" w:type="dxa"/>
            <w:vAlign w:val="bottom"/>
          </w:tcPr>
          <w:p>
            <w:pPr>
              <w:jc w:val="right"/>
              <w:ind w:right="233"/>
              <w:spacing w:after="0" w:line="99" w:lineRule="exact"/>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64"/>
              <w:spacing w:after="0" w:line="99" w:lineRule="exact"/>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155"/>
              <w:spacing w:after="0" w:line="99"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8"/>
                <w:szCs w:val="8"/>
                <w:color w:val="auto"/>
              </w:rPr>
            </w:pPr>
          </w:p>
        </w:tc>
        <w:tc>
          <w:tcPr>
            <w:tcW w:w="460" w:type="dxa"/>
            <w:vAlign w:val="bottom"/>
          </w:tcPr>
          <w:p>
            <w:pPr>
              <w:jc w:val="center"/>
              <w:ind w:left="13"/>
              <w:spacing w:after="0" w:line="99" w:lineRule="exact"/>
              <w:rPr>
                <w:sz w:val="20"/>
                <w:szCs w:val="20"/>
                <w:color w:val="auto"/>
              </w:rPr>
            </w:pPr>
            <w:r>
              <w:rPr>
                <w:rFonts w:ascii="Arial" w:cs="Arial" w:eastAsia="Arial" w:hAnsi="Arial"/>
                <w:sz w:val="10"/>
                <w:szCs w:val="10"/>
                <w:color w:val="auto"/>
                <w:w w:val="79"/>
              </w:rPr>
              <w:t>—</w:t>
            </w:r>
          </w:p>
        </w:tc>
      </w:tr>
      <w:tr>
        <w:trPr>
          <w:trHeight w:val="99"/>
        </w:trPr>
        <w:tc>
          <w:tcPr>
            <w:tcW w:w="338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Sheldon M. Bonovitz</w:t>
            </w:r>
          </w:p>
        </w:tc>
        <w:tc>
          <w:tcPr>
            <w:tcW w:w="1060" w:type="dxa"/>
            <w:vAlign w:val="bottom"/>
            <w:gridSpan w:val="2"/>
            <w:shd w:val="clear" w:color="auto" w:fill="CCEEFF"/>
          </w:tcPr>
          <w:p>
            <w:pPr>
              <w:jc w:val="right"/>
              <w:ind w:right="164"/>
              <w:spacing w:after="0" w:line="99" w:lineRule="exact"/>
              <w:rPr>
                <w:sz w:val="20"/>
                <w:szCs w:val="20"/>
                <w:color w:val="auto"/>
              </w:rPr>
            </w:pPr>
            <w:r>
              <w:rPr>
                <w:rFonts w:ascii="Arial" w:cs="Arial" w:eastAsia="Arial" w:hAnsi="Arial"/>
                <w:sz w:val="10"/>
                <w:szCs w:val="10"/>
                <w:color w:val="auto"/>
              </w:rPr>
              <w:t>65,517</w:t>
            </w:r>
            <w:r>
              <w:rPr>
                <w:rFonts w:ascii="Arial" w:cs="Arial" w:eastAsia="Arial" w:hAnsi="Arial"/>
                <w:sz w:val="8"/>
                <w:szCs w:val="8"/>
                <w:color w:val="auto"/>
              </w:rPr>
              <w:t>(6)</w:t>
            </w:r>
          </w:p>
        </w:tc>
        <w:tc>
          <w:tcPr>
            <w:tcW w:w="840" w:type="dxa"/>
            <w:vAlign w:val="bottom"/>
            <w:shd w:val="clear" w:color="auto" w:fill="CCEEFF"/>
          </w:tcPr>
          <w:p>
            <w:pPr>
              <w:spacing w:after="0"/>
              <w:rPr>
                <w:sz w:val="8"/>
                <w:szCs w:val="8"/>
                <w:color w:val="auto"/>
              </w:rPr>
            </w:pPr>
          </w:p>
        </w:tc>
        <w:tc>
          <w:tcPr>
            <w:tcW w:w="960" w:type="dxa"/>
            <w:vAlign w:val="bottom"/>
            <w:shd w:val="clear" w:color="auto" w:fill="CCEEFF"/>
          </w:tcPr>
          <w:p>
            <w:pPr>
              <w:jc w:val="right"/>
              <w:ind w:right="134"/>
              <w:spacing w:after="0" w:line="99" w:lineRule="exact"/>
              <w:rPr>
                <w:sz w:val="20"/>
                <w:szCs w:val="20"/>
                <w:color w:val="auto"/>
              </w:rPr>
            </w:pPr>
            <w:r>
              <w:rPr>
                <w:rFonts w:ascii="Arial" w:cs="Arial" w:eastAsia="Arial" w:hAnsi="Arial"/>
                <w:sz w:val="10"/>
                <w:szCs w:val="10"/>
                <w:color w:val="auto"/>
              </w:rPr>
              <w:t>202,119</w:t>
            </w:r>
            <w:r>
              <w:rPr>
                <w:rFonts w:ascii="Arial" w:cs="Arial" w:eastAsia="Arial" w:hAnsi="Arial"/>
                <w:sz w:val="8"/>
                <w:szCs w:val="8"/>
                <w:color w:val="auto"/>
              </w:rPr>
              <w:t>(7)</w:t>
            </w:r>
          </w:p>
        </w:tc>
        <w:tc>
          <w:tcPr>
            <w:tcW w:w="840" w:type="dxa"/>
            <w:vAlign w:val="bottom"/>
            <w:shd w:val="clear" w:color="auto" w:fill="CCEEFF"/>
          </w:tcPr>
          <w:p>
            <w:pPr>
              <w:spacing w:after="0"/>
              <w:rPr>
                <w:sz w:val="8"/>
                <w:szCs w:val="8"/>
                <w:color w:val="auto"/>
              </w:rPr>
            </w:pPr>
          </w:p>
        </w:tc>
        <w:tc>
          <w:tcPr>
            <w:tcW w:w="940" w:type="dxa"/>
            <w:vAlign w:val="bottom"/>
            <w:shd w:val="clear" w:color="auto" w:fill="CCEEFF"/>
          </w:tcPr>
          <w:p>
            <w:pPr>
              <w:jc w:val="right"/>
              <w:ind w:right="233"/>
              <w:spacing w:after="0" w:line="99" w:lineRule="exact"/>
              <w:rPr>
                <w:sz w:val="20"/>
                <w:szCs w:val="20"/>
                <w:color w:val="auto"/>
              </w:rPr>
            </w:pPr>
            <w:r>
              <w:rPr>
                <w:rFonts w:ascii="Arial" w:cs="Arial" w:eastAsia="Arial" w:hAnsi="Arial"/>
                <w:sz w:val="10"/>
                <w:szCs w:val="10"/>
                <w:color w:val="auto"/>
              </w:rPr>
              <w:t>—</w:t>
            </w:r>
          </w:p>
        </w:tc>
        <w:tc>
          <w:tcPr>
            <w:tcW w:w="660" w:type="dxa"/>
            <w:vAlign w:val="bottom"/>
            <w:gridSpan w:val="2"/>
            <w:shd w:val="clear" w:color="auto" w:fill="CCEEFF"/>
          </w:tcPr>
          <w:p>
            <w:pPr>
              <w:jc w:val="right"/>
              <w:ind w:right="164"/>
              <w:spacing w:after="0" w:line="99" w:lineRule="exact"/>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155"/>
              <w:spacing w:after="0" w:line="99"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jc w:val="center"/>
              <w:ind w:left="13"/>
              <w:spacing w:after="0" w:line="99" w:lineRule="exact"/>
              <w:rPr>
                <w:sz w:val="20"/>
                <w:szCs w:val="20"/>
                <w:color w:val="auto"/>
              </w:rPr>
            </w:pPr>
            <w:r>
              <w:rPr>
                <w:rFonts w:ascii="Arial" w:cs="Arial" w:eastAsia="Arial" w:hAnsi="Arial"/>
                <w:sz w:val="10"/>
                <w:szCs w:val="10"/>
                <w:color w:val="auto"/>
                <w:w w:val="79"/>
              </w:rPr>
              <w:t>—</w:t>
            </w:r>
          </w:p>
        </w:tc>
      </w:tr>
      <w:tr>
        <w:trPr>
          <w:trHeight w:val="99"/>
        </w:trPr>
        <w:tc>
          <w:tcPr>
            <w:tcW w:w="3380" w:type="dxa"/>
            <w:vAlign w:val="bottom"/>
          </w:tcPr>
          <w:p>
            <w:pPr>
              <w:spacing w:after="0" w:line="99" w:lineRule="exact"/>
              <w:rPr>
                <w:sz w:val="20"/>
                <w:szCs w:val="20"/>
                <w:color w:val="auto"/>
              </w:rPr>
            </w:pPr>
            <w:r>
              <w:rPr>
                <w:rFonts w:ascii="Arial" w:cs="Arial" w:eastAsia="Arial" w:hAnsi="Arial"/>
                <w:sz w:val="10"/>
                <w:szCs w:val="10"/>
                <w:color w:val="auto"/>
              </w:rPr>
              <w:t>Edward D. Breen</w:t>
            </w:r>
          </w:p>
        </w:tc>
        <w:tc>
          <w:tcPr>
            <w:tcW w:w="1060" w:type="dxa"/>
            <w:vAlign w:val="bottom"/>
            <w:gridSpan w:val="2"/>
          </w:tcPr>
          <w:p>
            <w:pPr>
              <w:jc w:val="right"/>
              <w:ind w:right="244"/>
              <w:spacing w:after="0" w:line="99" w:lineRule="exact"/>
              <w:rPr>
                <w:sz w:val="20"/>
                <w:szCs w:val="20"/>
                <w:color w:val="auto"/>
              </w:rPr>
            </w:pPr>
            <w:r>
              <w:rPr>
                <w:rFonts w:ascii="Arial" w:cs="Arial" w:eastAsia="Arial" w:hAnsi="Arial"/>
                <w:sz w:val="10"/>
                <w:szCs w:val="10"/>
                <w:color w:val="auto"/>
              </w:rPr>
              <w:t>45,988</w:t>
            </w:r>
          </w:p>
        </w:tc>
        <w:tc>
          <w:tcPr>
            <w:tcW w:w="840" w:type="dxa"/>
            <w:vAlign w:val="bottom"/>
          </w:tcPr>
          <w:p>
            <w:pPr>
              <w:spacing w:after="0"/>
              <w:rPr>
                <w:sz w:val="8"/>
                <w:szCs w:val="8"/>
                <w:color w:val="auto"/>
              </w:rPr>
            </w:pPr>
          </w:p>
        </w:tc>
        <w:tc>
          <w:tcPr>
            <w:tcW w:w="960" w:type="dxa"/>
            <w:vAlign w:val="bottom"/>
          </w:tcPr>
          <w:p>
            <w:pPr>
              <w:jc w:val="right"/>
              <w:ind w:right="234"/>
              <w:spacing w:after="0" w:line="99" w:lineRule="exact"/>
              <w:rPr>
                <w:sz w:val="20"/>
                <w:szCs w:val="20"/>
                <w:color w:val="auto"/>
              </w:rPr>
            </w:pPr>
            <w:r>
              <w:rPr>
                <w:rFonts w:ascii="Arial" w:cs="Arial" w:eastAsia="Arial" w:hAnsi="Arial"/>
                <w:sz w:val="10"/>
                <w:szCs w:val="10"/>
                <w:color w:val="auto"/>
              </w:rPr>
              <w:t>—</w:t>
            </w:r>
          </w:p>
        </w:tc>
        <w:tc>
          <w:tcPr>
            <w:tcW w:w="840" w:type="dxa"/>
            <w:vAlign w:val="bottom"/>
          </w:tcPr>
          <w:p>
            <w:pPr>
              <w:spacing w:after="0"/>
              <w:rPr>
                <w:sz w:val="8"/>
                <w:szCs w:val="8"/>
                <w:color w:val="auto"/>
              </w:rPr>
            </w:pPr>
          </w:p>
        </w:tc>
        <w:tc>
          <w:tcPr>
            <w:tcW w:w="940" w:type="dxa"/>
            <w:vAlign w:val="bottom"/>
          </w:tcPr>
          <w:p>
            <w:pPr>
              <w:jc w:val="right"/>
              <w:ind w:right="233"/>
              <w:spacing w:after="0" w:line="99" w:lineRule="exact"/>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64"/>
              <w:spacing w:after="0" w:line="99"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8"/>
                <w:szCs w:val="8"/>
                <w:color w:val="auto"/>
              </w:rPr>
            </w:pPr>
          </w:p>
        </w:tc>
        <w:tc>
          <w:tcPr>
            <w:tcW w:w="500" w:type="dxa"/>
            <w:vAlign w:val="bottom"/>
          </w:tcPr>
          <w:p>
            <w:pPr>
              <w:jc w:val="right"/>
              <w:ind w:right="155"/>
              <w:spacing w:after="0" w:line="99"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8"/>
                <w:szCs w:val="8"/>
                <w:color w:val="auto"/>
              </w:rPr>
            </w:pPr>
          </w:p>
        </w:tc>
        <w:tc>
          <w:tcPr>
            <w:tcW w:w="460" w:type="dxa"/>
            <w:vAlign w:val="bottom"/>
          </w:tcPr>
          <w:p>
            <w:pPr>
              <w:jc w:val="center"/>
              <w:ind w:left="13"/>
              <w:spacing w:after="0" w:line="99" w:lineRule="exact"/>
              <w:rPr>
                <w:sz w:val="20"/>
                <w:szCs w:val="20"/>
                <w:color w:val="auto"/>
              </w:rPr>
            </w:pPr>
            <w:r>
              <w:rPr>
                <w:rFonts w:ascii="Arial" w:cs="Arial" w:eastAsia="Arial" w:hAnsi="Arial"/>
                <w:sz w:val="10"/>
                <w:szCs w:val="10"/>
                <w:color w:val="auto"/>
                <w:w w:val="79"/>
              </w:rPr>
              <w:t>—</w:t>
            </w:r>
          </w:p>
        </w:tc>
      </w:tr>
      <w:tr>
        <w:trPr>
          <w:trHeight w:val="99"/>
        </w:trPr>
        <w:tc>
          <w:tcPr>
            <w:tcW w:w="338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Julian A. Brodsky</w:t>
            </w:r>
          </w:p>
        </w:tc>
        <w:tc>
          <w:tcPr>
            <w:tcW w:w="1060" w:type="dxa"/>
            <w:vAlign w:val="bottom"/>
            <w:gridSpan w:val="2"/>
            <w:shd w:val="clear" w:color="auto" w:fill="CCEEFF"/>
          </w:tcPr>
          <w:p>
            <w:pPr>
              <w:jc w:val="right"/>
              <w:ind w:right="164"/>
              <w:spacing w:after="0" w:line="99" w:lineRule="exact"/>
              <w:rPr>
                <w:sz w:val="20"/>
                <w:szCs w:val="20"/>
                <w:color w:val="auto"/>
              </w:rPr>
            </w:pPr>
            <w:r>
              <w:rPr>
                <w:rFonts w:ascii="Arial" w:cs="Arial" w:eastAsia="Arial" w:hAnsi="Arial"/>
                <w:sz w:val="10"/>
                <w:szCs w:val="10"/>
                <w:color w:val="auto"/>
              </w:rPr>
              <w:t>461,138</w:t>
            </w:r>
            <w:r>
              <w:rPr>
                <w:rFonts w:ascii="Arial" w:cs="Arial" w:eastAsia="Arial" w:hAnsi="Arial"/>
                <w:sz w:val="8"/>
                <w:szCs w:val="8"/>
                <w:color w:val="auto"/>
              </w:rPr>
              <w:t>(8)</w:t>
            </w:r>
          </w:p>
        </w:tc>
        <w:tc>
          <w:tcPr>
            <w:tcW w:w="840" w:type="dxa"/>
            <w:vAlign w:val="bottom"/>
            <w:shd w:val="clear" w:color="auto" w:fill="CCEEFF"/>
          </w:tcPr>
          <w:p>
            <w:pPr>
              <w:spacing w:after="0"/>
              <w:rPr>
                <w:sz w:val="8"/>
                <w:szCs w:val="8"/>
                <w:color w:val="auto"/>
              </w:rPr>
            </w:pPr>
          </w:p>
        </w:tc>
        <w:tc>
          <w:tcPr>
            <w:tcW w:w="960" w:type="dxa"/>
            <w:vAlign w:val="bottom"/>
            <w:shd w:val="clear" w:color="auto" w:fill="CCEEFF"/>
          </w:tcPr>
          <w:p>
            <w:pPr>
              <w:jc w:val="right"/>
              <w:ind w:right="134"/>
              <w:spacing w:after="0" w:line="99" w:lineRule="exact"/>
              <w:rPr>
                <w:sz w:val="20"/>
                <w:szCs w:val="20"/>
                <w:color w:val="auto"/>
              </w:rPr>
            </w:pPr>
            <w:r>
              <w:rPr>
                <w:rFonts w:ascii="Arial" w:cs="Arial" w:eastAsia="Arial" w:hAnsi="Arial"/>
                <w:sz w:val="10"/>
                <w:szCs w:val="10"/>
                <w:color w:val="auto"/>
              </w:rPr>
              <w:t>5,211,325</w:t>
            </w:r>
            <w:r>
              <w:rPr>
                <w:rFonts w:ascii="Arial" w:cs="Arial" w:eastAsia="Arial" w:hAnsi="Arial"/>
                <w:sz w:val="8"/>
                <w:szCs w:val="8"/>
                <w:color w:val="auto"/>
              </w:rPr>
              <w:t>(9)</w:t>
            </w:r>
          </w:p>
        </w:tc>
        <w:tc>
          <w:tcPr>
            <w:tcW w:w="840" w:type="dxa"/>
            <w:vAlign w:val="bottom"/>
            <w:shd w:val="clear" w:color="auto" w:fill="CCEEFF"/>
          </w:tcPr>
          <w:p>
            <w:pPr>
              <w:spacing w:after="0"/>
              <w:rPr>
                <w:sz w:val="8"/>
                <w:szCs w:val="8"/>
                <w:color w:val="auto"/>
              </w:rPr>
            </w:pPr>
          </w:p>
        </w:tc>
        <w:tc>
          <w:tcPr>
            <w:tcW w:w="940" w:type="dxa"/>
            <w:vAlign w:val="bottom"/>
            <w:shd w:val="clear" w:color="auto" w:fill="CCEEFF"/>
          </w:tcPr>
          <w:p>
            <w:pPr>
              <w:jc w:val="right"/>
              <w:ind w:right="233"/>
              <w:spacing w:after="0" w:line="99" w:lineRule="exact"/>
              <w:rPr>
                <w:sz w:val="20"/>
                <w:szCs w:val="20"/>
                <w:color w:val="auto"/>
              </w:rPr>
            </w:pPr>
            <w:r>
              <w:rPr>
                <w:rFonts w:ascii="Arial" w:cs="Arial" w:eastAsia="Arial" w:hAnsi="Arial"/>
                <w:sz w:val="10"/>
                <w:szCs w:val="10"/>
                <w:color w:val="auto"/>
              </w:rPr>
              <w:t>—</w:t>
            </w:r>
          </w:p>
        </w:tc>
        <w:tc>
          <w:tcPr>
            <w:tcW w:w="660" w:type="dxa"/>
            <w:vAlign w:val="bottom"/>
            <w:gridSpan w:val="2"/>
            <w:shd w:val="clear" w:color="auto" w:fill="CCEEFF"/>
          </w:tcPr>
          <w:p>
            <w:pPr>
              <w:jc w:val="right"/>
              <w:ind w:right="164"/>
              <w:spacing w:after="0" w:line="99" w:lineRule="exact"/>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155"/>
              <w:spacing w:after="0" w:line="99"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jc w:val="center"/>
              <w:ind w:left="13"/>
              <w:spacing w:after="0" w:line="99" w:lineRule="exact"/>
              <w:rPr>
                <w:sz w:val="20"/>
                <w:szCs w:val="20"/>
                <w:color w:val="auto"/>
              </w:rPr>
            </w:pPr>
            <w:r>
              <w:rPr>
                <w:rFonts w:ascii="Arial" w:cs="Arial" w:eastAsia="Arial" w:hAnsi="Arial"/>
                <w:sz w:val="10"/>
                <w:szCs w:val="10"/>
                <w:color w:val="auto"/>
                <w:w w:val="79"/>
              </w:rPr>
              <w:t>—</w:t>
            </w:r>
          </w:p>
        </w:tc>
      </w:tr>
      <w:tr>
        <w:trPr>
          <w:trHeight w:val="99"/>
        </w:trPr>
        <w:tc>
          <w:tcPr>
            <w:tcW w:w="3380" w:type="dxa"/>
            <w:vAlign w:val="bottom"/>
          </w:tcPr>
          <w:p>
            <w:pPr>
              <w:spacing w:after="0" w:line="99" w:lineRule="exact"/>
              <w:rPr>
                <w:sz w:val="20"/>
                <w:szCs w:val="20"/>
                <w:color w:val="auto"/>
              </w:rPr>
            </w:pPr>
            <w:r>
              <w:rPr>
                <w:rFonts w:ascii="Arial" w:cs="Arial" w:eastAsia="Arial" w:hAnsi="Arial"/>
                <w:sz w:val="10"/>
                <w:szCs w:val="10"/>
                <w:color w:val="auto"/>
              </w:rPr>
              <w:t>Stephen B. Burke</w:t>
            </w:r>
          </w:p>
        </w:tc>
        <w:tc>
          <w:tcPr>
            <w:tcW w:w="1060" w:type="dxa"/>
            <w:vAlign w:val="bottom"/>
            <w:gridSpan w:val="2"/>
          </w:tcPr>
          <w:p>
            <w:pPr>
              <w:jc w:val="right"/>
              <w:ind w:right="104"/>
              <w:spacing w:after="0" w:line="99" w:lineRule="exact"/>
              <w:rPr>
                <w:sz w:val="20"/>
                <w:szCs w:val="20"/>
                <w:color w:val="auto"/>
              </w:rPr>
            </w:pPr>
            <w:r>
              <w:rPr>
                <w:rFonts w:ascii="Arial" w:cs="Arial" w:eastAsia="Arial" w:hAnsi="Arial"/>
                <w:sz w:val="10"/>
                <w:szCs w:val="10"/>
                <w:color w:val="auto"/>
              </w:rPr>
              <w:t>2,478,807</w:t>
            </w:r>
            <w:r>
              <w:rPr>
                <w:rFonts w:ascii="Arial" w:cs="Arial" w:eastAsia="Arial" w:hAnsi="Arial"/>
                <w:sz w:val="8"/>
                <w:szCs w:val="8"/>
                <w:color w:val="auto"/>
              </w:rPr>
              <w:t>(10)</w:t>
            </w:r>
          </w:p>
        </w:tc>
        <w:tc>
          <w:tcPr>
            <w:tcW w:w="840" w:type="dxa"/>
            <w:vAlign w:val="bottom"/>
          </w:tcPr>
          <w:p>
            <w:pPr>
              <w:spacing w:after="0"/>
              <w:rPr>
                <w:sz w:val="8"/>
                <w:szCs w:val="8"/>
                <w:color w:val="auto"/>
              </w:rPr>
            </w:pPr>
          </w:p>
        </w:tc>
        <w:tc>
          <w:tcPr>
            <w:tcW w:w="960" w:type="dxa"/>
            <w:vAlign w:val="bottom"/>
          </w:tcPr>
          <w:p>
            <w:pPr>
              <w:jc w:val="right"/>
              <w:ind w:right="94"/>
              <w:spacing w:after="0" w:line="99" w:lineRule="exact"/>
              <w:rPr>
                <w:sz w:val="20"/>
                <w:szCs w:val="20"/>
                <w:color w:val="auto"/>
              </w:rPr>
            </w:pPr>
            <w:r>
              <w:rPr>
                <w:rFonts w:ascii="Arial" w:cs="Arial" w:eastAsia="Arial" w:hAnsi="Arial"/>
                <w:sz w:val="10"/>
                <w:szCs w:val="10"/>
                <w:color w:val="auto"/>
              </w:rPr>
              <w:t>4,415,367</w:t>
            </w:r>
            <w:r>
              <w:rPr>
                <w:rFonts w:ascii="Arial" w:cs="Arial" w:eastAsia="Arial" w:hAnsi="Arial"/>
                <w:sz w:val="8"/>
                <w:szCs w:val="8"/>
                <w:color w:val="auto"/>
              </w:rPr>
              <w:t>(11)</w:t>
            </w:r>
          </w:p>
        </w:tc>
        <w:tc>
          <w:tcPr>
            <w:tcW w:w="840" w:type="dxa"/>
            <w:vAlign w:val="bottom"/>
          </w:tcPr>
          <w:p>
            <w:pPr>
              <w:spacing w:after="0"/>
              <w:rPr>
                <w:sz w:val="8"/>
                <w:szCs w:val="8"/>
                <w:color w:val="auto"/>
              </w:rPr>
            </w:pPr>
          </w:p>
        </w:tc>
        <w:tc>
          <w:tcPr>
            <w:tcW w:w="940" w:type="dxa"/>
            <w:vAlign w:val="bottom"/>
          </w:tcPr>
          <w:p>
            <w:pPr>
              <w:jc w:val="right"/>
              <w:ind w:right="233"/>
              <w:spacing w:after="0" w:line="99" w:lineRule="exact"/>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64"/>
              <w:spacing w:after="0" w:line="99" w:lineRule="exact"/>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155"/>
              <w:spacing w:after="0" w:line="99"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8"/>
                <w:szCs w:val="8"/>
                <w:color w:val="auto"/>
              </w:rPr>
            </w:pPr>
          </w:p>
        </w:tc>
        <w:tc>
          <w:tcPr>
            <w:tcW w:w="460" w:type="dxa"/>
            <w:vAlign w:val="bottom"/>
          </w:tcPr>
          <w:p>
            <w:pPr>
              <w:jc w:val="center"/>
              <w:ind w:left="13"/>
              <w:spacing w:after="0" w:line="99" w:lineRule="exact"/>
              <w:rPr>
                <w:sz w:val="20"/>
                <w:szCs w:val="20"/>
                <w:color w:val="auto"/>
              </w:rPr>
            </w:pPr>
            <w:r>
              <w:rPr>
                <w:rFonts w:ascii="Arial" w:cs="Arial" w:eastAsia="Arial" w:hAnsi="Arial"/>
                <w:sz w:val="10"/>
                <w:szCs w:val="10"/>
                <w:color w:val="auto"/>
                <w:w w:val="79"/>
              </w:rPr>
              <w:t>—</w:t>
            </w:r>
          </w:p>
        </w:tc>
      </w:tr>
      <w:tr>
        <w:trPr>
          <w:trHeight w:val="99"/>
        </w:trPr>
        <w:tc>
          <w:tcPr>
            <w:tcW w:w="338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David L. Cohen</w:t>
            </w:r>
          </w:p>
        </w:tc>
        <w:tc>
          <w:tcPr>
            <w:tcW w:w="1060" w:type="dxa"/>
            <w:vAlign w:val="bottom"/>
            <w:gridSpan w:val="2"/>
            <w:shd w:val="clear" w:color="auto" w:fill="CCEEFF"/>
          </w:tcPr>
          <w:p>
            <w:pPr>
              <w:jc w:val="right"/>
              <w:ind w:right="104"/>
              <w:spacing w:after="0" w:line="99" w:lineRule="exact"/>
              <w:rPr>
                <w:sz w:val="20"/>
                <w:szCs w:val="20"/>
                <w:color w:val="auto"/>
              </w:rPr>
            </w:pPr>
            <w:r>
              <w:rPr>
                <w:rFonts w:ascii="Arial" w:cs="Arial" w:eastAsia="Arial" w:hAnsi="Arial"/>
                <w:sz w:val="10"/>
                <w:szCs w:val="10"/>
                <w:color w:val="auto"/>
              </w:rPr>
              <w:t>2,156,238</w:t>
            </w:r>
            <w:r>
              <w:rPr>
                <w:rFonts w:ascii="Arial" w:cs="Arial" w:eastAsia="Arial" w:hAnsi="Arial"/>
                <w:sz w:val="8"/>
                <w:szCs w:val="8"/>
                <w:color w:val="auto"/>
              </w:rPr>
              <w:t>(12)</w:t>
            </w:r>
          </w:p>
        </w:tc>
        <w:tc>
          <w:tcPr>
            <w:tcW w:w="840" w:type="dxa"/>
            <w:vAlign w:val="bottom"/>
            <w:shd w:val="clear" w:color="auto" w:fill="CCEEFF"/>
          </w:tcPr>
          <w:p>
            <w:pPr>
              <w:spacing w:after="0"/>
              <w:rPr>
                <w:sz w:val="8"/>
                <w:szCs w:val="8"/>
                <w:color w:val="auto"/>
              </w:rPr>
            </w:pPr>
          </w:p>
        </w:tc>
        <w:tc>
          <w:tcPr>
            <w:tcW w:w="960" w:type="dxa"/>
            <w:vAlign w:val="bottom"/>
            <w:shd w:val="clear" w:color="auto" w:fill="CCEEFF"/>
          </w:tcPr>
          <w:p>
            <w:pPr>
              <w:jc w:val="right"/>
              <w:ind w:right="94"/>
              <w:spacing w:after="0" w:line="99" w:lineRule="exact"/>
              <w:rPr>
                <w:sz w:val="20"/>
                <w:szCs w:val="20"/>
                <w:color w:val="auto"/>
              </w:rPr>
            </w:pPr>
            <w:r>
              <w:rPr>
                <w:rFonts w:ascii="Arial" w:cs="Arial" w:eastAsia="Arial" w:hAnsi="Arial"/>
                <w:sz w:val="10"/>
                <w:szCs w:val="10"/>
                <w:color w:val="auto"/>
              </w:rPr>
              <w:t>803,831</w:t>
            </w:r>
            <w:r>
              <w:rPr>
                <w:rFonts w:ascii="Arial" w:cs="Arial" w:eastAsia="Arial" w:hAnsi="Arial"/>
                <w:sz w:val="8"/>
                <w:szCs w:val="8"/>
                <w:color w:val="auto"/>
              </w:rPr>
              <w:t>(13)</w:t>
            </w:r>
          </w:p>
        </w:tc>
        <w:tc>
          <w:tcPr>
            <w:tcW w:w="840" w:type="dxa"/>
            <w:vAlign w:val="bottom"/>
            <w:shd w:val="clear" w:color="auto" w:fill="CCEEFF"/>
          </w:tcPr>
          <w:p>
            <w:pPr>
              <w:spacing w:after="0"/>
              <w:rPr>
                <w:sz w:val="8"/>
                <w:szCs w:val="8"/>
                <w:color w:val="auto"/>
              </w:rPr>
            </w:pPr>
          </w:p>
        </w:tc>
        <w:tc>
          <w:tcPr>
            <w:tcW w:w="940" w:type="dxa"/>
            <w:vAlign w:val="bottom"/>
            <w:shd w:val="clear" w:color="auto" w:fill="CCEEFF"/>
          </w:tcPr>
          <w:p>
            <w:pPr>
              <w:jc w:val="right"/>
              <w:ind w:right="233"/>
              <w:spacing w:after="0" w:line="99" w:lineRule="exact"/>
              <w:rPr>
                <w:sz w:val="20"/>
                <w:szCs w:val="20"/>
                <w:color w:val="auto"/>
              </w:rPr>
            </w:pPr>
            <w:r>
              <w:rPr>
                <w:rFonts w:ascii="Arial" w:cs="Arial" w:eastAsia="Arial" w:hAnsi="Arial"/>
                <w:sz w:val="10"/>
                <w:szCs w:val="10"/>
                <w:color w:val="auto"/>
              </w:rPr>
              <w:t>—</w:t>
            </w:r>
          </w:p>
        </w:tc>
        <w:tc>
          <w:tcPr>
            <w:tcW w:w="660" w:type="dxa"/>
            <w:vAlign w:val="bottom"/>
            <w:gridSpan w:val="2"/>
            <w:shd w:val="clear" w:color="auto" w:fill="CCEEFF"/>
          </w:tcPr>
          <w:p>
            <w:pPr>
              <w:jc w:val="right"/>
              <w:ind w:right="164"/>
              <w:spacing w:after="0" w:line="99" w:lineRule="exact"/>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155"/>
              <w:spacing w:after="0" w:line="99"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jc w:val="center"/>
              <w:ind w:left="13"/>
              <w:spacing w:after="0" w:line="99" w:lineRule="exact"/>
              <w:rPr>
                <w:sz w:val="20"/>
                <w:szCs w:val="20"/>
                <w:color w:val="auto"/>
              </w:rPr>
            </w:pPr>
            <w:r>
              <w:rPr>
                <w:rFonts w:ascii="Arial" w:cs="Arial" w:eastAsia="Arial" w:hAnsi="Arial"/>
                <w:sz w:val="10"/>
                <w:szCs w:val="10"/>
                <w:color w:val="auto"/>
                <w:w w:val="79"/>
              </w:rPr>
              <w:t>—</w:t>
            </w:r>
          </w:p>
        </w:tc>
      </w:tr>
      <w:tr>
        <w:trPr>
          <w:trHeight w:val="99"/>
        </w:trPr>
        <w:tc>
          <w:tcPr>
            <w:tcW w:w="3380" w:type="dxa"/>
            <w:vAlign w:val="bottom"/>
          </w:tcPr>
          <w:p>
            <w:pPr>
              <w:spacing w:after="0" w:line="99" w:lineRule="exact"/>
              <w:rPr>
                <w:sz w:val="20"/>
                <w:szCs w:val="20"/>
                <w:color w:val="auto"/>
              </w:rPr>
            </w:pPr>
            <w:r>
              <w:rPr>
                <w:rFonts w:ascii="Arial" w:cs="Arial" w:eastAsia="Arial" w:hAnsi="Arial"/>
                <w:sz w:val="10"/>
                <w:szCs w:val="10"/>
                <w:color w:val="auto"/>
              </w:rPr>
              <w:t>Joseph J. Collins</w:t>
            </w:r>
          </w:p>
        </w:tc>
        <w:tc>
          <w:tcPr>
            <w:tcW w:w="1060" w:type="dxa"/>
            <w:vAlign w:val="bottom"/>
            <w:gridSpan w:val="2"/>
          </w:tcPr>
          <w:p>
            <w:pPr>
              <w:jc w:val="right"/>
              <w:ind w:right="104"/>
              <w:spacing w:after="0" w:line="99" w:lineRule="exact"/>
              <w:rPr>
                <w:sz w:val="20"/>
                <w:szCs w:val="20"/>
                <w:color w:val="auto"/>
              </w:rPr>
            </w:pPr>
            <w:r>
              <w:rPr>
                <w:rFonts w:ascii="Arial" w:cs="Arial" w:eastAsia="Arial" w:hAnsi="Arial"/>
                <w:sz w:val="10"/>
                <w:szCs w:val="10"/>
                <w:color w:val="auto"/>
              </w:rPr>
              <w:t>156,712</w:t>
            </w:r>
            <w:r>
              <w:rPr>
                <w:rFonts w:ascii="Arial" w:cs="Arial" w:eastAsia="Arial" w:hAnsi="Arial"/>
                <w:sz w:val="8"/>
                <w:szCs w:val="8"/>
                <w:color w:val="auto"/>
              </w:rPr>
              <w:t>(14)</w:t>
            </w:r>
          </w:p>
        </w:tc>
        <w:tc>
          <w:tcPr>
            <w:tcW w:w="840" w:type="dxa"/>
            <w:vAlign w:val="bottom"/>
          </w:tcPr>
          <w:p>
            <w:pPr>
              <w:spacing w:after="0"/>
              <w:rPr>
                <w:sz w:val="8"/>
                <w:szCs w:val="8"/>
                <w:color w:val="auto"/>
              </w:rPr>
            </w:pPr>
          </w:p>
        </w:tc>
        <w:tc>
          <w:tcPr>
            <w:tcW w:w="960" w:type="dxa"/>
            <w:vAlign w:val="bottom"/>
          </w:tcPr>
          <w:p>
            <w:pPr>
              <w:jc w:val="right"/>
              <w:ind w:right="234"/>
              <w:spacing w:after="0" w:line="99" w:lineRule="exact"/>
              <w:rPr>
                <w:sz w:val="20"/>
                <w:szCs w:val="20"/>
                <w:color w:val="auto"/>
              </w:rPr>
            </w:pPr>
            <w:r>
              <w:rPr>
                <w:rFonts w:ascii="Arial" w:cs="Arial" w:eastAsia="Arial" w:hAnsi="Arial"/>
                <w:sz w:val="10"/>
                <w:szCs w:val="10"/>
                <w:color w:val="auto"/>
              </w:rPr>
              <w:t>—</w:t>
            </w:r>
          </w:p>
        </w:tc>
        <w:tc>
          <w:tcPr>
            <w:tcW w:w="840" w:type="dxa"/>
            <w:vAlign w:val="bottom"/>
          </w:tcPr>
          <w:p>
            <w:pPr>
              <w:spacing w:after="0"/>
              <w:rPr>
                <w:sz w:val="8"/>
                <w:szCs w:val="8"/>
                <w:color w:val="auto"/>
              </w:rPr>
            </w:pPr>
          </w:p>
        </w:tc>
        <w:tc>
          <w:tcPr>
            <w:tcW w:w="940" w:type="dxa"/>
            <w:vAlign w:val="bottom"/>
          </w:tcPr>
          <w:p>
            <w:pPr>
              <w:jc w:val="right"/>
              <w:ind w:right="233"/>
              <w:spacing w:after="0" w:line="99" w:lineRule="exact"/>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64"/>
              <w:spacing w:after="0" w:line="99"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8"/>
                <w:szCs w:val="8"/>
                <w:color w:val="auto"/>
              </w:rPr>
            </w:pPr>
          </w:p>
        </w:tc>
        <w:tc>
          <w:tcPr>
            <w:tcW w:w="500" w:type="dxa"/>
            <w:vAlign w:val="bottom"/>
          </w:tcPr>
          <w:p>
            <w:pPr>
              <w:jc w:val="right"/>
              <w:ind w:right="155"/>
              <w:spacing w:after="0" w:line="99"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8"/>
                <w:szCs w:val="8"/>
                <w:color w:val="auto"/>
              </w:rPr>
            </w:pPr>
          </w:p>
        </w:tc>
        <w:tc>
          <w:tcPr>
            <w:tcW w:w="460" w:type="dxa"/>
            <w:vAlign w:val="bottom"/>
          </w:tcPr>
          <w:p>
            <w:pPr>
              <w:jc w:val="center"/>
              <w:ind w:left="13"/>
              <w:spacing w:after="0" w:line="99" w:lineRule="exact"/>
              <w:rPr>
                <w:sz w:val="20"/>
                <w:szCs w:val="20"/>
                <w:color w:val="auto"/>
              </w:rPr>
            </w:pPr>
            <w:r>
              <w:rPr>
                <w:rFonts w:ascii="Arial" w:cs="Arial" w:eastAsia="Arial" w:hAnsi="Arial"/>
                <w:sz w:val="10"/>
                <w:szCs w:val="10"/>
                <w:color w:val="auto"/>
                <w:w w:val="79"/>
              </w:rPr>
              <w:t>—</w:t>
            </w:r>
          </w:p>
        </w:tc>
      </w:tr>
      <w:tr>
        <w:trPr>
          <w:trHeight w:val="99"/>
        </w:trPr>
        <w:tc>
          <w:tcPr>
            <w:tcW w:w="338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J. Michael Cook</w:t>
            </w:r>
          </w:p>
        </w:tc>
        <w:tc>
          <w:tcPr>
            <w:tcW w:w="1060" w:type="dxa"/>
            <w:vAlign w:val="bottom"/>
            <w:gridSpan w:val="2"/>
            <w:shd w:val="clear" w:color="auto" w:fill="CCEEFF"/>
          </w:tcPr>
          <w:p>
            <w:pPr>
              <w:jc w:val="right"/>
              <w:ind w:right="104"/>
              <w:spacing w:after="0" w:line="99" w:lineRule="exact"/>
              <w:rPr>
                <w:sz w:val="20"/>
                <w:szCs w:val="20"/>
                <w:color w:val="auto"/>
              </w:rPr>
            </w:pPr>
            <w:r>
              <w:rPr>
                <w:rFonts w:ascii="Arial" w:cs="Arial" w:eastAsia="Arial" w:hAnsi="Arial"/>
                <w:sz w:val="10"/>
                <w:szCs w:val="10"/>
                <w:color w:val="auto"/>
              </w:rPr>
              <w:t>86,675</w:t>
            </w:r>
            <w:r>
              <w:rPr>
                <w:rFonts w:ascii="Arial" w:cs="Arial" w:eastAsia="Arial" w:hAnsi="Arial"/>
                <w:sz w:val="8"/>
                <w:szCs w:val="8"/>
                <w:color w:val="auto"/>
              </w:rPr>
              <w:t>(15)</w:t>
            </w:r>
          </w:p>
        </w:tc>
        <w:tc>
          <w:tcPr>
            <w:tcW w:w="840" w:type="dxa"/>
            <w:vAlign w:val="bottom"/>
            <w:shd w:val="clear" w:color="auto" w:fill="CCEEFF"/>
          </w:tcPr>
          <w:p>
            <w:pPr>
              <w:spacing w:after="0"/>
              <w:rPr>
                <w:sz w:val="8"/>
                <w:szCs w:val="8"/>
                <w:color w:val="auto"/>
              </w:rPr>
            </w:pPr>
          </w:p>
        </w:tc>
        <w:tc>
          <w:tcPr>
            <w:tcW w:w="960" w:type="dxa"/>
            <w:vAlign w:val="bottom"/>
            <w:shd w:val="clear" w:color="auto" w:fill="CCEEFF"/>
          </w:tcPr>
          <w:p>
            <w:pPr>
              <w:jc w:val="right"/>
              <w:ind w:right="94"/>
              <w:spacing w:after="0" w:line="99" w:lineRule="exact"/>
              <w:rPr>
                <w:sz w:val="20"/>
                <w:szCs w:val="20"/>
                <w:color w:val="auto"/>
              </w:rPr>
            </w:pPr>
            <w:r>
              <w:rPr>
                <w:rFonts w:ascii="Arial" w:cs="Arial" w:eastAsia="Arial" w:hAnsi="Arial"/>
                <w:sz w:val="10"/>
                <w:szCs w:val="10"/>
                <w:color w:val="auto"/>
              </w:rPr>
              <w:t>3,450</w:t>
            </w:r>
            <w:r>
              <w:rPr>
                <w:rFonts w:ascii="Arial" w:cs="Arial" w:eastAsia="Arial" w:hAnsi="Arial"/>
                <w:sz w:val="8"/>
                <w:szCs w:val="8"/>
                <w:color w:val="auto"/>
              </w:rPr>
              <w:t>(16)</w:t>
            </w:r>
          </w:p>
        </w:tc>
        <w:tc>
          <w:tcPr>
            <w:tcW w:w="840" w:type="dxa"/>
            <w:vAlign w:val="bottom"/>
            <w:shd w:val="clear" w:color="auto" w:fill="CCEEFF"/>
          </w:tcPr>
          <w:p>
            <w:pPr>
              <w:spacing w:after="0"/>
              <w:rPr>
                <w:sz w:val="8"/>
                <w:szCs w:val="8"/>
                <w:color w:val="auto"/>
              </w:rPr>
            </w:pPr>
          </w:p>
        </w:tc>
        <w:tc>
          <w:tcPr>
            <w:tcW w:w="940" w:type="dxa"/>
            <w:vAlign w:val="bottom"/>
            <w:shd w:val="clear" w:color="auto" w:fill="CCEEFF"/>
          </w:tcPr>
          <w:p>
            <w:pPr>
              <w:jc w:val="right"/>
              <w:ind w:right="233"/>
              <w:spacing w:after="0" w:line="99" w:lineRule="exact"/>
              <w:rPr>
                <w:sz w:val="20"/>
                <w:szCs w:val="20"/>
                <w:color w:val="auto"/>
              </w:rPr>
            </w:pPr>
            <w:r>
              <w:rPr>
                <w:rFonts w:ascii="Arial" w:cs="Arial" w:eastAsia="Arial" w:hAnsi="Arial"/>
                <w:sz w:val="10"/>
                <w:szCs w:val="10"/>
                <w:color w:val="auto"/>
              </w:rPr>
              <w:t>—</w:t>
            </w:r>
          </w:p>
        </w:tc>
        <w:tc>
          <w:tcPr>
            <w:tcW w:w="660" w:type="dxa"/>
            <w:vAlign w:val="bottom"/>
            <w:gridSpan w:val="2"/>
            <w:shd w:val="clear" w:color="auto" w:fill="CCEEFF"/>
          </w:tcPr>
          <w:p>
            <w:pPr>
              <w:jc w:val="right"/>
              <w:ind w:right="164"/>
              <w:spacing w:after="0" w:line="99" w:lineRule="exact"/>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155"/>
              <w:spacing w:after="0" w:line="99"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jc w:val="center"/>
              <w:ind w:left="13"/>
              <w:spacing w:after="0" w:line="99" w:lineRule="exact"/>
              <w:rPr>
                <w:sz w:val="20"/>
                <w:szCs w:val="20"/>
                <w:color w:val="auto"/>
              </w:rPr>
            </w:pPr>
            <w:r>
              <w:rPr>
                <w:rFonts w:ascii="Arial" w:cs="Arial" w:eastAsia="Arial" w:hAnsi="Arial"/>
                <w:sz w:val="10"/>
                <w:szCs w:val="10"/>
                <w:color w:val="auto"/>
                <w:w w:val="79"/>
              </w:rPr>
              <w:t>—</w:t>
            </w:r>
          </w:p>
        </w:tc>
      </w:tr>
      <w:tr>
        <w:trPr>
          <w:trHeight w:val="99"/>
        </w:trPr>
        <w:tc>
          <w:tcPr>
            <w:tcW w:w="3380" w:type="dxa"/>
            <w:vAlign w:val="bottom"/>
          </w:tcPr>
          <w:p>
            <w:pPr>
              <w:spacing w:after="0" w:line="99" w:lineRule="exact"/>
              <w:rPr>
                <w:sz w:val="20"/>
                <w:szCs w:val="20"/>
                <w:color w:val="auto"/>
              </w:rPr>
            </w:pPr>
            <w:r>
              <w:rPr>
                <w:rFonts w:ascii="Arial" w:cs="Arial" w:eastAsia="Arial" w:hAnsi="Arial"/>
                <w:sz w:val="10"/>
                <w:szCs w:val="10"/>
                <w:color w:val="auto"/>
              </w:rPr>
              <w:t>Gerald L. Hassell</w:t>
            </w:r>
          </w:p>
        </w:tc>
        <w:tc>
          <w:tcPr>
            <w:tcW w:w="1060" w:type="dxa"/>
            <w:vAlign w:val="bottom"/>
            <w:gridSpan w:val="2"/>
          </w:tcPr>
          <w:p>
            <w:pPr>
              <w:jc w:val="right"/>
              <w:ind w:right="244"/>
              <w:spacing w:after="0" w:line="99" w:lineRule="exact"/>
              <w:rPr>
                <w:sz w:val="20"/>
                <w:szCs w:val="20"/>
                <w:color w:val="auto"/>
              </w:rPr>
            </w:pPr>
            <w:r>
              <w:rPr>
                <w:rFonts w:ascii="Arial" w:cs="Arial" w:eastAsia="Arial" w:hAnsi="Arial"/>
                <w:sz w:val="10"/>
                <w:szCs w:val="10"/>
                <w:color w:val="auto"/>
              </w:rPr>
              <w:t>25,155</w:t>
            </w:r>
          </w:p>
        </w:tc>
        <w:tc>
          <w:tcPr>
            <w:tcW w:w="840" w:type="dxa"/>
            <w:vAlign w:val="bottom"/>
          </w:tcPr>
          <w:p>
            <w:pPr>
              <w:spacing w:after="0"/>
              <w:rPr>
                <w:sz w:val="8"/>
                <w:szCs w:val="8"/>
                <w:color w:val="auto"/>
              </w:rPr>
            </w:pPr>
          </w:p>
        </w:tc>
        <w:tc>
          <w:tcPr>
            <w:tcW w:w="960" w:type="dxa"/>
            <w:vAlign w:val="bottom"/>
          </w:tcPr>
          <w:p>
            <w:pPr>
              <w:jc w:val="right"/>
              <w:ind w:right="234"/>
              <w:spacing w:after="0" w:line="99" w:lineRule="exact"/>
              <w:rPr>
                <w:sz w:val="20"/>
                <w:szCs w:val="20"/>
                <w:color w:val="auto"/>
              </w:rPr>
            </w:pPr>
            <w:r>
              <w:rPr>
                <w:rFonts w:ascii="Arial" w:cs="Arial" w:eastAsia="Arial" w:hAnsi="Arial"/>
                <w:sz w:val="10"/>
                <w:szCs w:val="10"/>
                <w:color w:val="auto"/>
              </w:rPr>
              <w:t>—</w:t>
            </w:r>
          </w:p>
        </w:tc>
        <w:tc>
          <w:tcPr>
            <w:tcW w:w="840" w:type="dxa"/>
            <w:vAlign w:val="bottom"/>
          </w:tcPr>
          <w:p>
            <w:pPr>
              <w:spacing w:after="0"/>
              <w:rPr>
                <w:sz w:val="8"/>
                <w:szCs w:val="8"/>
                <w:color w:val="auto"/>
              </w:rPr>
            </w:pPr>
          </w:p>
        </w:tc>
        <w:tc>
          <w:tcPr>
            <w:tcW w:w="940" w:type="dxa"/>
            <w:vAlign w:val="bottom"/>
          </w:tcPr>
          <w:p>
            <w:pPr>
              <w:jc w:val="right"/>
              <w:ind w:right="233"/>
              <w:spacing w:after="0" w:line="99" w:lineRule="exact"/>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64"/>
              <w:spacing w:after="0" w:line="99"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8"/>
                <w:szCs w:val="8"/>
                <w:color w:val="auto"/>
              </w:rPr>
            </w:pPr>
          </w:p>
        </w:tc>
        <w:tc>
          <w:tcPr>
            <w:tcW w:w="500" w:type="dxa"/>
            <w:vAlign w:val="bottom"/>
          </w:tcPr>
          <w:p>
            <w:pPr>
              <w:jc w:val="right"/>
              <w:ind w:right="155"/>
              <w:spacing w:after="0" w:line="99"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8"/>
                <w:szCs w:val="8"/>
                <w:color w:val="auto"/>
              </w:rPr>
            </w:pPr>
          </w:p>
        </w:tc>
        <w:tc>
          <w:tcPr>
            <w:tcW w:w="460" w:type="dxa"/>
            <w:vAlign w:val="bottom"/>
          </w:tcPr>
          <w:p>
            <w:pPr>
              <w:jc w:val="center"/>
              <w:ind w:left="13"/>
              <w:spacing w:after="0" w:line="99" w:lineRule="exact"/>
              <w:rPr>
                <w:sz w:val="20"/>
                <w:szCs w:val="20"/>
                <w:color w:val="auto"/>
              </w:rPr>
            </w:pPr>
            <w:r>
              <w:rPr>
                <w:rFonts w:ascii="Arial" w:cs="Arial" w:eastAsia="Arial" w:hAnsi="Arial"/>
                <w:sz w:val="10"/>
                <w:szCs w:val="10"/>
                <w:color w:val="auto"/>
                <w:w w:val="79"/>
              </w:rPr>
              <w:t>—</w:t>
            </w:r>
          </w:p>
        </w:tc>
      </w:tr>
      <w:tr>
        <w:trPr>
          <w:trHeight w:val="99"/>
        </w:trPr>
        <w:tc>
          <w:tcPr>
            <w:tcW w:w="338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Jeffrey A. Honickman</w:t>
            </w:r>
          </w:p>
        </w:tc>
        <w:tc>
          <w:tcPr>
            <w:tcW w:w="1060" w:type="dxa"/>
            <w:vAlign w:val="bottom"/>
            <w:gridSpan w:val="2"/>
            <w:shd w:val="clear" w:color="auto" w:fill="CCEEFF"/>
          </w:tcPr>
          <w:p>
            <w:pPr>
              <w:jc w:val="right"/>
              <w:ind w:right="104"/>
              <w:spacing w:after="0" w:line="99" w:lineRule="exact"/>
              <w:rPr>
                <w:sz w:val="20"/>
                <w:szCs w:val="20"/>
                <w:color w:val="auto"/>
              </w:rPr>
            </w:pPr>
            <w:r>
              <w:rPr>
                <w:rFonts w:ascii="Arial" w:cs="Arial" w:eastAsia="Arial" w:hAnsi="Arial"/>
                <w:sz w:val="10"/>
                <w:szCs w:val="10"/>
                <w:color w:val="auto"/>
              </w:rPr>
              <w:t>90,321</w:t>
            </w:r>
            <w:r>
              <w:rPr>
                <w:rFonts w:ascii="Arial" w:cs="Arial" w:eastAsia="Arial" w:hAnsi="Arial"/>
                <w:sz w:val="8"/>
                <w:szCs w:val="8"/>
                <w:color w:val="auto"/>
              </w:rPr>
              <w:t>(17)</w:t>
            </w:r>
          </w:p>
        </w:tc>
        <w:tc>
          <w:tcPr>
            <w:tcW w:w="840" w:type="dxa"/>
            <w:vAlign w:val="bottom"/>
            <w:shd w:val="clear" w:color="auto" w:fill="CCEEFF"/>
          </w:tcPr>
          <w:p>
            <w:pPr>
              <w:spacing w:after="0"/>
              <w:rPr>
                <w:sz w:val="8"/>
                <w:szCs w:val="8"/>
                <w:color w:val="auto"/>
              </w:rPr>
            </w:pPr>
          </w:p>
        </w:tc>
        <w:tc>
          <w:tcPr>
            <w:tcW w:w="960" w:type="dxa"/>
            <w:vAlign w:val="bottom"/>
            <w:shd w:val="clear" w:color="auto" w:fill="CCEEFF"/>
          </w:tcPr>
          <w:p>
            <w:pPr>
              <w:jc w:val="right"/>
              <w:ind w:right="94"/>
              <w:spacing w:after="0" w:line="99" w:lineRule="exact"/>
              <w:rPr>
                <w:sz w:val="20"/>
                <w:szCs w:val="20"/>
                <w:color w:val="auto"/>
              </w:rPr>
            </w:pPr>
            <w:r>
              <w:rPr>
                <w:rFonts w:ascii="Arial" w:cs="Arial" w:eastAsia="Arial" w:hAnsi="Arial"/>
                <w:sz w:val="10"/>
                <w:szCs w:val="10"/>
                <w:color w:val="auto"/>
              </w:rPr>
              <w:t>10,217</w:t>
            </w:r>
            <w:r>
              <w:rPr>
                <w:rFonts w:ascii="Arial" w:cs="Arial" w:eastAsia="Arial" w:hAnsi="Arial"/>
                <w:sz w:val="8"/>
                <w:szCs w:val="8"/>
                <w:color w:val="auto"/>
              </w:rPr>
              <w:t>(18)</w:t>
            </w:r>
          </w:p>
        </w:tc>
        <w:tc>
          <w:tcPr>
            <w:tcW w:w="840" w:type="dxa"/>
            <w:vAlign w:val="bottom"/>
            <w:shd w:val="clear" w:color="auto" w:fill="CCEEFF"/>
          </w:tcPr>
          <w:p>
            <w:pPr>
              <w:spacing w:after="0"/>
              <w:rPr>
                <w:sz w:val="8"/>
                <w:szCs w:val="8"/>
                <w:color w:val="auto"/>
              </w:rPr>
            </w:pPr>
          </w:p>
        </w:tc>
        <w:tc>
          <w:tcPr>
            <w:tcW w:w="940" w:type="dxa"/>
            <w:vAlign w:val="bottom"/>
            <w:shd w:val="clear" w:color="auto" w:fill="CCEEFF"/>
          </w:tcPr>
          <w:p>
            <w:pPr>
              <w:jc w:val="right"/>
              <w:ind w:right="233"/>
              <w:spacing w:after="0" w:line="99" w:lineRule="exact"/>
              <w:rPr>
                <w:sz w:val="20"/>
                <w:szCs w:val="20"/>
                <w:color w:val="auto"/>
              </w:rPr>
            </w:pPr>
            <w:r>
              <w:rPr>
                <w:rFonts w:ascii="Arial" w:cs="Arial" w:eastAsia="Arial" w:hAnsi="Arial"/>
                <w:sz w:val="10"/>
                <w:szCs w:val="10"/>
                <w:color w:val="auto"/>
              </w:rPr>
              <w:t>—</w:t>
            </w:r>
          </w:p>
        </w:tc>
        <w:tc>
          <w:tcPr>
            <w:tcW w:w="660" w:type="dxa"/>
            <w:vAlign w:val="bottom"/>
            <w:gridSpan w:val="2"/>
            <w:shd w:val="clear" w:color="auto" w:fill="CCEEFF"/>
          </w:tcPr>
          <w:p>
            <w:pPr>
              <w:jc w:val="right"/>
              <w:ind w:right="164"/>
              <w:spacing w:after="0" w:line="99" w:lineRule="exact"/>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155"/>
              <w:spacing w:after="0" w:line="99"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jc w:val="center"/>
              <w:ind w:left="13"/>
              <w:spacing w:after="0" w:line="99" w:lineRule="exact"/>
              <w:rPr>
                <w:sz w:val="20"/>
                <w:szCs w:val="20"/>
                <w:color w:val="auto"/>
              </w:rPr>
            </w:pPr>
            <w:r>
              <w:rPr>
                <w:rFonts w:ascii="Arial" w:cs="Arial" w:eastAsia="Arial" w:hAnsi="Arial"/>
                <w:sz w:val="10"/>
                <w:szCs w:val="10"/>
                <w:color w:val="auto"/>
                <w:w w:val="79"/>
              </w:rPr>
              <w:t>—</w:t>
            </w:r>
          </w:p>
        </w:tc>
      </w:tr>
      <w:tr>
        <w:trPr>
          <w:trHeight w:val="99"/>
        </w:trPr>
        <w:tc>
          <w:tcPr>
            <w:tcW w:w="3380" w:type="dxa"/>
            <w:vAlign w:val="bottom"/>
          </w:tcPr>
          <w:p>
            <w:pPr>
              <w:spacing w:after="0" w:line="99" w:lineRule="exact"/>
              <w:rPr>
                <w:sz w:val="20"/>
                <w:szCs w:val="20"/>
                <w:color w:val="auto"/>
              </w:rPr>
            </w:pPr>
            <w:r>
              <w:rPr>
                <w:rFonts w:ascii="Arial" w:cs="Arial" w:eastAsia="Arial" w:hAnsi="Arial"/>
                <w:sz w:val="10"/>
                <w:szCs w:val="10"/>
                <w:color w:val="auto"/>
              </w:rPr>
              <w:t>Brian L. Roberts</w:t>
            </w:r>
          </w:p>
        </w:tc>
        <w:tc>
          <w:tcPr>
            <w:tcW w:w="1060" w:type="dxa"/>
            <w:vAlign w:val="bottom"/>
            <w:gridSpan w:val="2"/>
          </w:tcPr>
          <w:p>
            <w:pPr>
              <w:jc w:val="right"/>
              <w:ind w:right="104"/>
              <w:spacing w:after="0" w:line="99" w:lineRule="exact"/>
              <w:rPr>
                <w:sz w:val="20"/>
                <w:szCs w:val="20"/>
                <w:color w:val="auto"/>
              </w:rPr>
            </w:pPr>
            <w:r>
              <w:rPr>
                <w:rFonts w:ascii="Arial" w:cs="Arial" w:eastAsia="Arial" w:hAnsi="Arial"/>
                <w:sz w:val="10"/>
                <w:szCs w:val="10"/>
                <w:color w:val="auto"/>
              </w:rPr>
              <w:t>4,020,970</w:t>
            </w:r>
            <w:r>
              <w:rPr>
                <w:rFonts w:ascii="Arial" w:cs="Arial" w:eastAsia="Arial" w:hAnsi="Arial"/>
                <w:sz w:val="8"/>
                <w:szCs w:val="8"/>
                <w:color w:val="auto"/>
              </w:rPr>
              <w:t>(19)</w:t>
            </w:r>
          </w:p>
        </w:tc>
        <w:tc>
          <w:tcPr>
            <w:tcW w:w="840" w:type="dxa"/>
            <w:vAlign w:val="bottom"/>
          </w:tcPr>
          <w:p>
            <w:pPr>
              <w:spacing w:after="0"/>
              <w:rPr>
                <w:sz w:val="8"/>
                <w:szCs w:val="8"/>
                <w:color w:val="auto"/>
              </w:rPr>
            </w:pPr>
          </w:p>
        </w:tc>
        <w:tc>
          <w:tcPr>
            <w:tcW w:w="960" w:type="dxa"/>
            <w:vAlign w:val="bottom"/>
          </w:tcPr>
          <w:p>
            <w:pPr>
              <w:jc w:val="right"/>
              <w:ind w:right="94"/>
              <w:spacing w:after="0" w:line="99" w:lineRule="exact"/>
              <w:rPr>
                <w:sz w:val="20"/>
                <w:szCs w:val="20"/>
                <w:color w:val="auto"/>
              </w:rPr>
            </w:pPr>
            <w:r>
              <w:rPr>
                <w:rFonts w:ascii="Arial" w:cs="Arial" w:eastAsia="Arial" w:hAnsi="Arial"/>
                <w:sz w:val="10"/>
                <w:szCs w:val="10"/>
                <w:color w:val="auto"/>
              </w:rPr>
              <w:t>16,396,508</w:t>
            </w:r>
            <w:r>
              <w:rPr>
                <w:rFonts w:ascii="Arial" w:cs="Arial" w:eastAsia="Arial" w:hAnsi="Arial"/>
                <w:sz w:val="8"/>
                <w:szCs w:val="8"/>
                <w:color w:val="auto"/>
              </w:rPr>
              <w:t>(20)</w:t>
            </w:r>
          </w:p>
        </w:tc>
        <w:tc>
          <w:tcPr>
            <w:tcW w:w="1780" w:type="dxa"/>
            <w:vAlign w:val="bottom"/>
            <w:gridSpan w:val="2"/>
          </w:tcPr>
          <w:p>
            <w:pPr>
              <w:jc w:val="right"/>
              <w:ind w:right="113"/>
              <w:spacing w:after="0" w:line="99" w:lineRule="exact"/>
              <w:rPr>
                <w:sz w:val="20"/>
                <w:szCs w:val="20"/>
                <w:color w:val="auto"/>
              </w:rPr>
            </w:pPr>
            <w:r>
              <w:rPr>
                <w:rFonts w:ascii="Arial" w:cs="Arial" w:eastAsia="Arial" w:hAnsi="Arial"/>
                <w:sz w:val="10"/>
                <w:szCs w:val="10"/>
                <w:color w:val="auto"/>
              </w:rPr>
              <w:t>9,444,375</w:t>
            </w:r>
            <w:r>
              <w:rPr>
                <w:rFonts w:ascii="Arial" w:cs="Arial" w:eastAsia="Arial" w:hAnsi="Arial"/>
                <w:sz w:val="8"/>
                <w:szCs w:val="8"/>
                <w:color w:val="auto"/>
              </w:rPr>
              <w:t>(21)</w:t>
            </w:r>
          </w:p>
        </w:tc>
        <w:tc>
          <w:tcPr>
            <w:tcW w:w="660" w:type="dxa"/>
            <w:vAlign w:val="bottom"/>
            <w:gridSpan w:val="2"/>
          </w:tcPr>
          <w:p>
            <w:pPr>
              <w:jc w:val="right"/>
              <w:ind w:right="164"/>
              <w:spacing w:after="0" w:line="99" w:lineRule="exact"/>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75"/>
              <w:spacing w:after="0" w:line="99" w:lineRule="exact"/>
              <w:rPr>
                <w:sz w:val="20"/>
                <w:szCs w:val="20"/>
                <w:color w:val="auto"/>
              </w:rPr>
            </w:pPr>
            <w:r>
              <w:rPr>
                <w:rFonts w:ascii="Arial" w:cs="Arial" w:eastAsia="Arial" w:hAnsi="Arial"/>
                <w:sz w:val="10"/>
                <w:szCs w:val="10"/>
                <w:color w:val="auto"/>
              </w:rPr>
              <w:t>2.2%</w:t>
            </w:r>
          </w:p>
        </w:tc>
        <w:tc>
          <w:tcPr>
            <w:tcW w:w="640" w:type="dxa"/>
            <w:vAlign w:val="bottom"/>
            <w:gridSpan w:val="2"/>
          </w:tcPr>
          <w:p>
            <w:pPr>
              <w:jc w:val="center"/>
              <w:ind w:left="192"/>
              <w:spacing w:after="0" w:line="99" w:lineRule="exact"/>
              <w:rPr>
                <w:sz w:val="20"/>
                <w:szCs w:val="20"/>
                <w:color w:val="auto"/>
              </w:rPr>
            </w:pPr>
            <w:r>
              <w:rPr>
                <w:rFonts w:ascii="Arial" w:cs="Arial" w:eastAsia="Arial" w:hAnsi="Arial"/>
                <w:sz w:val="10"/>
                <w:szCs w:val="10"/>
                <w:color w:val="auto"/>
                <w:w w:val="90"/>
              </w:rPr>
              <w:t>100%</w:t>
            </w:r>
            <w:r>
              <w:rPr>
                <w:rFonts w:ascii="Arial" w:cs="Arial" w:eastAsia="Arial" w:hAnsi="Arial"/>
                <w:sz w:val="8"/>
                <w:szCs w:val="8"/>
                <w:color w:val="auto"/>
                <w:w w:val="90"/>
              </w:rPr>
              <w:t>(21)</w:t>
            </w:r>
          </w:p>
        </w:tc>
      </w:tr>
      <w:tr>
        <w:trPr>
          <w:trHeight w:val="99"/>
        </w:trPr>
        <w:tc>
          <w:tcPr>
            <w:tcW w:w="338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Ralph J. Roberts</w:t>
            </w:r>
          </w:p>
        </w:tc>
        <w:tc>
          <w:tcPr>
            <w:tcW w:w="1060" w:type="dxa"/>
            <w:vAlign w:val="bottom"/>
            <w:gridSpan w:val="2"/>
            <w:shd w:val="clear" w:color="auto" w:fill="CCEEFF"/>
          </w:tcPr>
          <w:p>
            <w:pPr>
              <w:jc w:val="right"/>
              <w:ind w:right="244"/>
              <w:spacing w:after="0" w:line="99" w:lineRule="exact"/>
              <w:rPr>
                <w:sz w:val="20"/>
                <w:szCs w:val="20"/>
                <w:color w:val="auto"/>
              </w:rPr>
            </w:pPr>
            <w:r>
              <w:rPr>
                <w:rFonts w:ascii="Arial" w:cs="Arial" w:eastAsia="Arial" w:hAnsi="Arial"/>
                <w:sz w:val="10"/>
                <w:szCs w:val="10"/>
                <w:color w:val="auto"/>
              </w:rPr>
              <w:t>2,663,996</w:t>
            </w:r>
          </w:p>
        </w:tc>
        <w:tc>
          <w:tcPr>
            <w:tcW w:w="840" w:type="dxa"/>
            <w:vAlign w:val="bottom"/>
            <w:shd w:val="clear" w:color="auto" w:fill="CCEEFF"/>
          </w:tcPr>
          <w:p>
            <w:pPr>
              <w:spacing w:after="0"/>
              <w:rPr>
                <w:sz w:val="8"/>
                <w:szCs w:val="8"/>
                <w:color w:val="auto"/>
              </w:rPr>
            </w:pPr>
          </w:p>
        </w:tc>
        <w:tc>
          <w:tcPr>
            <w:tcW w:w="960" w:type="dxa"/>
            <w:vAlign w:val="bottom"/>
            <w:shd w:val="clear" w:color="auto" w:fill="CCEEFF"/>
          </w:tcPr>
          <w:p>
            <w:pPr>
              <w:jc w:val="right"/>
              <w:ind w:right="94"/>
              <w:spacing w:after="0" w:line="99" w:lineRule="exact"/>
              <w:rPr>
                <w:sz w:val="20"/>
                <w:szCs w:val="20"/>
                <w:color w:val="auto"/>
              </w:rPr>
            </w:pPr>
            <w:r>
              <w:rPr>
                <w:rFonts w:ascii="Arial" w:cs="Arial" w:eastAsia="Arial" w:hAnsi="Arial"/>
                <w:sz w:val="10"/>
                <w:szCs w:val="10"/>
                <w:color w:val="auto"/>
              </w:rPr>
              <w:t>5,818,301</w:t>
            </w:r>
            <w:r>
              <w:rPr>
                <w:rFonts w:ascii="Arial" w:cs="Arial" w:eastAsia="Arial" w:hAnsi="Arial"/>
                <w:sz w:val="8"/>
                <w:szCs w:val="8"/>
                <w:color w:val="auto"/>
              </w:rPr>
              <w:t>(22)</w:t>
            </w:r>
          </w:p>
        </w:tc>
        <w:tc>
          <w:tcPr>
            <w:tcW w:w="840" w:type="dxa"/>
            <w:vAlign w:val="bottom"/>
            <w:shd w:val="clear" w:color="auto" w:fill="CCEEFF"/>
          </w:tcPr>
          <w:p>
            <w:pPr>
              <w:spacing w:after="0"/>
              <w:rPr>
                <w:sz w:val="8"/>
                <w:szCs w:val="8"/>
                <w:color w:val="auto"/>
              </w:rPr>
            </w:pPr>
          </w:p>
        </w:tc>
        <w:tc>
          <w:tcPr>
            <w:tcW w:w="940" w:type="dxa"/>
            <w:vAlign w:val="bottom"/>
            <w:shd w:val="clear" w:color="auto" w:fill="CCEEFF"/>
          </w:tcPr>
          <w:p>
            <w:pPr>
              <w:jc w:val="right"/>
              <w:ind w:right="233"/>
              <w:spacing w:after="0" w:line="99" w:lineRule="exact"/>
              <w:rPr>
                <w:sz w:val="20"/>
                <w:szCs w:val="20"/>
                <w:color w:val="auto"/>
              </w:rPr>
            </w:pPr>
            <w:r>
              <w:rPr>
                <w:rFonts w:ascii="Arial" w:cs="Arial" w:eastAsia="Arial" w:hAnsi="Arial"/>
                <w:sz w:val="10"/>
                <w:szCs w:val="10"/>
                <w:color w:val="auto"/>
              </w:rPr>
              <w:t>—</w:t>
            </w:r>
          </w:p>
        </w:tc>
        <w:tc>
          <w:tcPr>
            <w:tcW w:w="660" w:type="dxa"/>
            <w:vAlign w:val="bottom"/>
            <w:gridSpan w:val="2"/>
            <w:shd w:val="clear" w:color="auto" w:fill="CCEEFF"/>
          </w:tcPr>
          <w:p>
            <w:pPr>
              <w:jc w:val="right"/>
              <w:ind w:right="164"/>
              <w:spacing w:after="0" w:line="99" w:lineRule="exact"/>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155"/>
              <w:spacing w:after="0" w:line="99"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jc w:val="center"/>
              <w:ind w:left="13"/>
              <w:spacing w:after="0" w:line="99" w:lineRule="exact"/>
              <w:rPr>
                <w:sz w:val="20"/>
                <w:szCs w:val="20"/>
                <w:color w:val="auto"/>
              </w:rPr>
            </w:pPr>
            <w:r>
              <w:rPr>
                <w:rFonts w:ascii="Arial" w:cs="Arial" w:eastAsia="Arial" w:hAnsi="Arial"/>
                <w:sz w:val="10"/>
                <w:szCs w:val="10"/>
                <w:color w:val="auto"/>
                <w:w w:val="79"/>
              </w:rPr>
              <w:t>—</w:t>
            </w:r>
          </w:p>
        </w:tc>
      </w:tr>
      <w:tr>
        <w:trPr>
          <w:trHeight w:val="99"/>
        </w:trPr>
        <w:tc>
          <w:tcPr>
            <w:tcW w:w="3380" w:type="dxa"/>
            <w:vAlign w:val="bottom"/>
          </w:tcPr>
          <w:p>
            <w:pPr>
              <w:spacing w:after="0" w:line="99" w:lineRule="exact"/>
              <w:rPr>
                <w:sz w:val="20"/>
                <w:szCs w:val="20"/>
                <w:color w:val="auto"/>
              </w:rPr>
            </w:pPr>
            <w:r>
              <w:rPr>
                <w:rFonts w:ascii="Arial" w:cs="Arial" w:eastAsia="Arial" w:hAnsi="Arial"/>
                <w:sz w:val="10"/>
                <w:szCs w:val="10"/>
                <w:color w:val="auto"/>
              </w:rPr>
              <w:t>Dr. Judith Rodin</w:t>
            </w:r>
          </w:p>
        </w:tc>
        <w:tc>
          <w:tcPr>
            <w:tcW w:w="1060" w:type="dxa"/>
            <w:vAlign w:val="bottom"/>
            <w:gridSpan w:val="2"/>
          </w:tcPr>
          <w:p>
            <w:pPr>
              <w:jc w:val="right"/>
              <w:ind w:right="244"/>
              <w:spacing w:after="0" w:line="99" w:lineRule="exact"/>
              <w:rPr>
                <w:sz w:val="20"/>
                <w:szCs w:val="20"/>
                <w:color w:val="auto"/>
              </w:rPr>
            </w:pPr>
            <w:r>
              <w:rPr>
                <w:rFonts w:ascii="Arial" w:cs="Arial" w:eastAsia="Arial" w:hAnsi="Arial"/>
                <w:sz w:val="10"/>
                <w:szCs w:val="10"/>
                <w:color w:val="auto"/>
              </w:rPr>
              <w:t>74,237</w:t>
            </w:r>
          </w:p>
        </w:tc>
        <w:tc>
          <w:tcPr>
            <w:tcW w:w="840" w:type="dxa"/>
            <w:vAlign w:val="bottom"/>
          </w:tcPr>
          <w:p>
            <w:pPr>
              <w:spacing w:after="0"/>
              <w:rPr>
                <w:sz w:val="8"/>
                <w:szCs w:val="8"/>
                <w:color w:val="auto"/>
              </w:rPr>
            </w:pPr>
          </w:p>
        </w:tc>
        <w:tc>
          <w:tcPr>
            <w:tcW w:w="960" w:type="dxa"/>
            <w:vAlign w:val="bottom"/>
          </w:tcPr>
          <w:p>
            <w:pPr>
              <w:jc w:val="right"/>
              <w:ind w:right="234"/>
              <w:spacing w:after="0" w:line="99" w:lineRule="exact"/>
              <w:rPr>
                <w:sz w:val="20"/>
                <w:szCs w:val="20"/>
                <w:color w:val="auto"/>
              </w:rPr>
            </w:pPr>
            <w:r>
              <w:rPr>
                <w:rFonts w:ascii="Arial" w:cs="Arial" w:eastAsia="Arial" w:hAnsi="Arial"/>
                <w:sz w:val="10"/>
                <w:szCs w:val="10"/>
                <w:color w:val="auto"/>
              </w:rPr>
              <w:t>—</w:t>
            </w:r>
          </w:p>
        </w:tc>
        <w:tc>
          <w:tcPr>
            <w:tcW w:w="840" w:type="dxa"/>
            <w:vAlign w:val="bottom"/>
          </w:tcPr>
          <w:p>
            <w:pPr>
              <w:spacing w:after="0"/>
              <w:rPr>
                <w:sz w:val="8"/>
                <w:szCs w:val="8"/>
                <w:color w:val="auto"/>
              </w:rPr>
            </w:pPr>
          </w:p>
        </w:tc>
        <w:tc>
          <w:tcPr>
            <w:tcW w:w="940" w:type="dxa"/>
            <w:vAlign w:val="bottom"/>
          </w:tcPr>
          <w:p>
            <w:pPr>
              <w:jc w:val="right"/>
              <w:ind w:right="233"/>
              <w:spacing w:after="0" w:line="99" w:lineRule="exact"/>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64"/>
              <w:spacing w:after="0" w:line="99"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8"/>
                <w:szCs w:val="8"/>
                <w:color w:val="auto"/>
              </w:rPr>
            </w:pPr>
          </w:p>
        </w:tc>
        <w:tc>
          <w:tcPr>
            <w:tcW w:w="500" w:type="dxa"/>
            <w:vAlign w:val="bottom"/>
          </w:tcPr>
          <w:p>
            <w:pPr>
              <w:jc w:val="right"/>
              <w:ind w:right="155"/>
              <w:spacing w:after="0" w:line="99"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8"/>
                <w:szCs w:val="8"/>
                <w:color w:val="auto"/>
              </w:rPr>
            </w:pPr>
          </w:p>
        </w:tc>
        <w:tc>
          <w:tcPr>
            <w:tcW w:w="460" w:type="dxa"/>
            <w:vAlign w:val="bottom"/>
          </w:tcPr>
          <w:p>
            <w:pPr>
              <w:jc w:val="center"/>
              <w:ind w:left="13"/>
              <w:spacing w:after="0" w:line="99" w:lineRule="exact"/>
              <w:rPr>
                <w:sz w:val="20"/>
                <w:szCs w:val="20"/>
                <w:color w:val="auto"/>
              </w:rPr>
            </w:pPr>
            <w:r>
              <w:rPr>
                <w:rFonts w:ascii="Arial" w:cs="Arial" w:eastAsia="Arial" w:hAnsi="Arial"/>
                <w:sz w:val="10"/>
                <w:szCs w:val="10"/>
                <w:color w:val="auto"/>
                <w:w w:val="79"/>
              </w:rPr>
              <w:t>—</w:t>
            </w:r>
          </w:p>
        </w:tc>
      </w:tr>
      <w:tr>
        <w:trPr>
          <w:trHeight w:val="99"/>
        </w:trPr>
        <w:tc>
          <w:tcPr>
            <w:tcW w:w="338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Michael I. Sovern</w:t>
            </w:r>
          </w:p>
        </w:tc>
        <w:tc>
          <w:tcPr>
            <w:tcW w:w="1060" w:type="dxa"/>
            <w:vAlign w:val="bottom"/>
            <w:gridSpan w:val="2"/>
            <w:shd w:val="clear" w:color="auto" w:fill="CCEEFF"/>
          </w:tcPr>
          <w:p>
            <w:pPr>
              <w:jc w:val="right"/>
              <w:ind w:right="244"/>
              <w:spacing w:after="0" w:line="99" w:lineRule="exact"/>
              <w:rPr>
                <w:sz w:val="20"/>
                <w:szCs w:val="20"/>
                <w:color w:val="auto"/>
              </w:rPr>
            </w:pPr>
            <w:r>
              <w:rPr>
                <w:rFonts w:ascii="Arial" w:cs="Arial" w:eastAsia="Arial" w:hAnsi="Arial"/>
                <w:sz w:val="10"/>
                <w:szCs w:val="10"/>
                <w:color w:val="auto"/>
              </w:rPr>
              <w:t>89,513</w:t>
            </w:r>
          </w:p>
        </w:tc>
        <w:tc>
          <w:tcPr>
            <w:tcW w:w="840" w:type="dxa"/>
            <w:vAlign w:val="bottom"/>
            <w:shd w:val="clear" w:color="auto" w:fill="CCEEFF"/>
          </w:tcPr>
          <w:p>
            <w:pPr>
              <w:spacing w:after="0"/>
              <w:rPr>
                <w:sz w:val="8"/>
                <w:szCs w:val="8"/>
                <w:color w:val="auto"/>
              </w:rPr>
            </w:pPr>
          </w:p>
        </w:tc>
        <w:tc>
          <w:tcPr>
            <w:tcW w:w="960" w:type="dxa"/>
            <w:vAlign w:val="bottom"/>
            <w:shd w:val="clear" w:color="auto" w:fill="CCEEFF"/>
          </w:tcPr>
          <w:p>
            <w:pPr>
              <w:jc w:val="right"/>
              <w:ind w:right="234"/>
              <w:spacing w:after="0" w:line="99" w:lineRule="exact"/>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spacing w:after="0"/>
              <w:rPr>
                <w:sz w:val="8"/>
                <w:szCs w:val="8"/>
                <w:color w:val="auto"/>
              </w:rPr>
            </w:pPr>
          </w:p>
        </w:tc>
        <w:tc>
          <w:tcPr>
            <w:tcW w:w="940" w:type="dxa"/>
            <w:vAlign w:val="bottom"/>
            <w:shd w:val="clear" w:color="auto" w:fill="CCEEFF"/>
          </w:tcPr>
          <w:p>
            <w:pPr>
              <w:jc w:val="right"/>
              <w:ind w:right="233"/>
              <w:spacing w:after="0" w:line="99" w:lineRule="exact"/>
              <w:rPr>
                <w:sz w:val="20"/>
                <w:szCs w:val="20"/>
                <w:color w:val="auto"/>
              </w:rPr>
            </w:pPr>
            <w:r>
              <w:rPr>
                <w:rFonts w:ascii="Arial" w:cs="Arial" w:eastAsia="Arial" w:hAnsi="Arial"/>
                <w:sz w:val="10"/>
                <w:szCs w:val="10"/>
                <w:color w:val="auto"/>
              </w:rPr>
              <w:t>—</w:t>
            </w:r>
          </w:p>
        </w:tc>
        <w:tc>
          <w:tcPr>
            <w:tcW w:w="660" w:type="dxa"/>
            <w:vAlign w:val="bottom"/>
            <w:gridSpan w:val="2"/>
            <w:shd w:val="clear" w:color="auto" w:fill="CCEEFF"/>
          </w:tcPr>
          <w:p>
            <w:pPr>
              <w:jc w:val="right"/>
              <w:ind w:right="164"/>
              <w:spacing w:after="0" w:line="99"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8"/>
                <w:szCs w:val="8"/>
                <w:color w:val="auto"/>
              </w:rPr>
            </w:pPr>
          </w:p>
        </w:tc>
        <w:tc>
          <w:tcPr>
            <w:tcW w:w="500" w:type="dxa"/>
            <w:vAlign w:val="bottom"/>
            <w:shd w:val="clear" w:color="auto" w:fill="CCEEFF"/>
          </w:tcPr>
          <w:p>
            <w:pPr>
              <w:jc w:val="right"/>
              <w:ind w:right="155"/>
              <w:spacing w:after="0" w:line="99"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jc w:val="center"/>
              <w:ind w:left="13"/>
              <w:spacing w:after="0" w:line="99" w:lineRule="exact"/>
              <w:rPr>
                <w:sz w:val="20"/>
                <w:szCs w:val="20"/>
                <w:color w:val="auto"/>
              </w:rPr>
            </w:pPr>
            <w:r>
              <w:rPr>
                <w:rFonts w:ascii="Arial" w:cs="Arial" w:eastAsia="Arial" w:hAnsi="Arial"/>
                <w:sz w:val="10"/>
                <w:szCs w:val="10"/>
                <w:color w:val="auto"/>
                <w:w w:val="79"/>
              </w:rPr>
              <w:t>—</w:t>
            </w:r>
          </w:p>
        </w:tc>
      </w:tr>
      <w:tr>
        <w:trPr>
          <w:trHeight w:val="87"/>
        </w:trPr>
        <w:tc>
          <w:tcPr>
            <w:tcW w:w="3380" w:type="dxa"/>
            <w:vAlign w:val="bottom"/>
          </w:tcPr>
          <w:p>
            <w:pPr>
              <w:spacing w:after="0" w:line="87" w:lineRule="exact"/>
              <w:rPr>
                <w:sz w:val="20"/>
                <w:szCs w:val="20"/>
                <w:color w:val="auto"/>
              </w:rPr>
            </w:pPr>
            <w:r>
              <w:rPr>
                <w:rFonts w:ascii="Arial" w:cs="Arial" w:eastAsia="Arial" w:hAnsi="Arial"/>
                <w:sz w:val="10"/>
                <w:szCs w:val="10"/>
                <w:color w:val="auto"/>
              </w:rPr>
              <w:t>All directors and executive officers</w:t>
            </w:r>
          </w:p>
        </w:tc>
        <w:tc>
          <w:tcPr>
            <w:tcW w:w="1060" w:type="dxa"/>
            <w:vAlign w:val="bottom"/>
            <w:gridSpan w:val="2"/>
          </w:tcPr>
          <w:p>
            <w:pPr>
              <w:jc w:val="right"/>
              <w:ind w:right="164"/>
              <w:spacing w:after="0" w:line="87" w:lineRule="exact"/>
              <w:rPr>
                <w:sz w:val="20"/>
                <w:szCs w:val="20"/>
                <w:color w:val="auto"/>
              </w:rPr>
            </w:pPr>
            <w:r>
              <w:rPr>
                <w:rFonts w:ascii="Arial" w:cs="Arial" w:eastAsia="Arial" w:hAnsi="Arial"/>
                <w:sz w:val="10"/>
                <w:szCs w:val="10"/>
                <w:color w:val="auto"/>
              </w:rPr>
              <w:t>14,240,608</w:t>
            </w:r>
            <w:r>
              <w:rPr>
                <w:rFonts w:ascii="Arial" w:cs="Arial" w:eastAsia="Arial" w:hAnsi="Arial"/>
                <w:sz w:val="8"/>
                <w:szCs w:val="8"/>
                <w:color w:val="auto"/>
              </w:rPr>
              <w:t>(4)</w:t>
            </w:r>
          </w:p>
        </w:tc>
        <w:tc>
          <w:tcPr>
            <w:tcW w:w="840" w:type="dxa"/>
            <w:vAlign w:val="bottom"/>
          </w:tcPr>
          <w:p>
            <w:pPr>
              <w:spacing w:after="0"/>
              <w:rPr>
                <w:sz w:val="7"/>
                <w:szCs w:val="7"/>
                <w:color w:val="auto"/>
              </w:rPr>
            </w:pPr>
          </w:p>
        </w:tc>
        <w:tc>
          <w:tcPr>
            <w:tcW w:w="960" w:type="dxa"/>
            <w:vAlign w:val="bottom"/>
          </w:tcPr>
          <w:p>
            <w:pPr>
              <w:jc w:val="right"/>
              <w:ind w:right="134"/>
              <w:spacing w:after="0" w:line="87" w:lineRule="exact"/>
              <w:rPr>
                <w:sz w:val="20"/>
                <w:szCs w:val="20"/>
                <w:color w:val="auto"/>
              </w:rPr>
            </w:pPr>
            <w:r>
              <w:rPr>
                <w:rFonts w:ascii="Arial" w:cs="Arial" w:eastAsia="Arial" w:hAnsi="Arial"/>
                <w:sz w:val="10"/>
                <w:szCs w:val="10"/>
                <w:color w:val="auto"/>
              </w:rPr>
              <w:t>34,318,634</w:t>
            </w:r>
            <w:r>
              <w:rPr>
                <w:rFonts w:ascii="Arial" w:cs="Arial" w:eastAsia="Arial" w:hAnsi="Arial"/>
                <w:sz w:val="8"/>
                <w:szCs w:val="8"/>
                <w:color w:val="auto"/>
              </w:rPr>
              <w:t>(5)</w:t>
            </w:r>
          </w:p>
        </w:tc>
        <w:tc>
          <w:tcPr>
            <w:tcW w:w="1780" w:type="dxa"/>
            <w:vAlign w:val="bottom"/>
            <w:gridSpan w:val="2"/>
          </w:tcPr>
          <w:p>
            <w:pPr>
              <w:jc w:val="right"/>
              <w:ind w:right="113"/>
              <w:spacing w:after="0" w:line="87" w:lineRule="exact"/>
              <w:rPr>
                <w:sz w:val="20"/>
                <w:szCs w:val="20"/>
                <w:color w:val="auto"/>
              </w:rPr>
            </w:pPr>
            <w:r>
              <w:rPr>
                <w:rFonts w:ascii="Arial" w:cs="Arial" w:eastAsia="Arial" w:hAnsi="Arial"/>
                <w:sz w:val="10"/>
                <w:szCs w:val="10"/>
                <w:color w:val="auto"/>
              </w:rPr>
              <w:t>9,444,375</w:t>
            </w:r>
            <w:r>
              <w:rPr>
                <w:rFonts w:ascii="Arial" w:cs="Arial" w:eastAsia="Arial" w:hAnsi="Arial"/>
                <w:sz w:val="8"/>
                <w:szCs w:val="8"/>
                <w:color w:val="auto"/>
              </w:rPr>
              <w:t>(21)</w:t>
            </w:r>
          </w:p>
        </w:tc>
        <w:tc>
          <w:tcPr>
            <w:tcW w:w="660" w:type="dxa"/>
            <w:vAlign w:val="bottom"/>
            <w:gridSpan w:val="2"/>
          </w:tcPr>
          <w:p>
            <w:pPr>
              <w:jc w:val="right"/>
              <w:ind w:right="164"/>
              <w:spacing w:after="0" w:line="87" w:lineRule="exact"/>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75"/>
              <w:spacing w:after="0" w:line="87" w:lineRule="exact"/>
              <w:rPr>
                <w:sz w:val="20"/>
                <w:szCs w:val="20"/>
                <w:color w:val="auto"/>
              </w:rPr>
            </w:pPr>
            <w:r>
              <w:rPr>
                <w:rFonts w:ascii="Arial" w:cs="Arial" w:eastAsia="Arial" w:hAnsi="Arial"/>
                <w:sz w:val="10"/>
                <w:szCs w:val="10"/>
                <w:color w:val="auto"/>
              </w:rPr>
              <w:t>4.5%</w:t>
            </w:r>
          </w:p>
        </w:tc>
        <w:tc>
          <w:tcPr>
            <w:tcW w:w="640" w:type="dxa"/>
            <w:vAlign w:val="bottom"/>
            <w:gridSpan w:val="2"/>
          </w:tcPr>
          <w:p>
            <w:pPr>
              <w:jc w:val="center"/>
              <w:ind w:left="192"/>
              <w:spacing w:after="0" w:line="87" w:lineRule="exact"/>
              <w:rPr>
                <w:sz w:val="20"/>
                <w:szCs w:val="20"/>
                <w:color w:val="auto"/>
              </w:rPr>
            </w:pPr>
            <w:r>
              <w:rPr>
                <w:rFonts w:ascii="Arial" w:cs="Arial" w:eastAsia="Arial" w:hAnsi="Arial"/>
                <w:sz w:val="10"/>
                <w:szCs w:val="10"/>
                <w:color w:val="auto"/>
                <w:w w:val="90"/>
              </w:rPr>
              <w:t>100%</w:t>
            </w:r>
            <w:r>
              <w:rPr>
                <w:rFonts w:ascii="Arial" w:cs="Arial" w:eastAsia="Arial" w:hAnsi="Arial"/>
                <w:sz w:val="8"/>
                <w:szCs w:val="8"/>
                <w:color w:val="auto"/>
                <w:w w:val="90"/>
              </w:rPr>
              <w:t>(21)</w:t>
            </w:r>
          </w:p>
        </w:tc>
      </w:tr>
      <w:tr>
        <w:trPr>
          <w:trHeight w:val="105"/>
        </w:trPr>
        <w:tc>
          <w:tcPr>
            <w:tcW w:w="3380" w:type="dxa"/>
            <w:vAlign w:val="bottom"/>
          </w:tcPr>
          <w:p>
            <w:pPr>
              <w:ind w:left="100"/>
              <w:spacing w:after="0" w:line="105" w:lineRule="exact"/>
              <w:rPr>
                <w:sz w:val="20"/>
                <w:szCs w:val="20"/>
                <w:color w:val="auto"/>
              </w:rPr>
            </w:pPr>
            <w:r>
              <w:rPr>
                <w:rFonts w:ascii="Arial" w:cs="Arial" w:eastAsia="Arial" w:hAnsi="Arial"/>
                <w:sz w:val="10"/>
                <w:szCs w:val="10"/>
                <w:color w:val="auto"/>
              </w:rPr>
              <w:t>as a group (18 persons)</w:t>
            </w:r>
          </w:p>
        </w:tc>
        <w:tc>
          <w:tcPr>
            <w:tcW w:w="1060" w:type="dxa"/>
            <w:vAlign w:val="bottom"/>
            <w:gridSpan w:val="2"/>
          </w:tcPr>
          <w:p>
            <w:pPr>
              <w:jc w:val="right"/>
              <w:ind w:right="104"/>
              <w:spacing w:after="0"/>
              <w:rPr>
                <w:sz w:val="20"/>
                <w:szCs w:val="20"/>
                <w:color w:val="auto"/>
              </w:rPr>
            </w:pPr>
            <w:r>
              <w:rPr>
                <w:rFonts w:ascii="Arial" w:cs="Arial" w:eastAsia="Arial" w:hAnsi="Arial"/>
                <w:sz w:val="8"/>
                <w:szCs w:val="8"/>
                <w:color w:val="auto"/>
              </w:rPr>
              <w:t>(6)(8)(10)(12)</w:t>
            </w:r>
          </w:p>
        </w:tc>
        <w:tc>
          <w:tcPr>
            <w:tcW w:w="840" w:type="dxa"/>
            <w:vAlign w:val="bottom"/>
          </w:tcPr>
          <w:p>
            <w:pPr>
              <w:spacing w:after="0"/>
              <w:rPr>
                <w:sz w:val="9"/>
                <w:szCs w:val="9"/>
                <w:color w:val="auto"/>
              </w:rPr>
            </w:pPr>
          </w:p>
        </w:tc>
        <w:tc>
          <w:tcPr>
            <w:tcW w:w="960" w:type="dxa"/>
            <w:vAlign w:val="bottom"/>
          </w:tcPr>
          <w:p>
            <w:pPr>
              <w:jc w:val="right"/>
              <w:ind w:right="94"/>
              <w:spacing w:after="0"/>
              <w:rPr>
                <w:sz w:val="20"/>
                <w:szCs w:val="20"/>
                <w:color w:val="auto"/>
              </w:rPr>
            </w:pPr>
            <w:r>
              <w:rPr>
                <w:rFonts w:ascii="Arial" w:cs="Arial" w:eastAsia="Arial" w:hAnsi="Arial"/>
                <w:sz w:val="8"/>
                <w:szCs w:val="8"/>
                <w:color w:val="auto"/>
              </w:rPr>
              <w:t>(7)(9)(11)(13)</w:t>
            </w:r>
          </w:p>
        </w:tc>
        <w:tc>
          <w:tcPr>
            <w:tcW w:w="8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r>
      <w:tr>
        <w:trPr>
          <w:trHeight w:val="103"/>
        </w:trPr>
        <w:tc>
          <w:tcPr>
            <w:tcW w:w="3380" w:type="dxa"/>
            <w:vAlign w:val="bottom"/>
          </w:tcPr>
          <w:p>
            <w:pPr>
              <w:spacing w:after="0"/>
              <w:rPr>
                <w:sz w:val="8"/>
                <w:szCs w:val="8"/>
                <w:color w:val="auto"/>
              </w:rPr>
            </w:pPr>
          </w:p>
        </w:tc>
        <w:tc>
          <w:tcPr>
            <w:tcW w:w="1060" w:type="dxa"/>
            <w:vAlign w:val="bottom"/>
            <w:gridSpan w:val="2"/>
          </w:tcPr>
          <w:p>
            <w:pPr>
              <w:jc w:val="right"/>
              <w:ind w:right="104"/>
              <w:spacing w:after="0"/>
              <w:rPr>
                <w:sz w:val="20"/>
                <w:szCs w:val="20"/>
                <w:color w:val="auto"/>
              </w:rPr>
            </w:pPr>
            <w:r>
              <w:rPr>
                <w:rFonts w:ascii="Arial" w:cs="Arial" w:eastAsia="Arial" w:hAnsi="Arial"/>
                <w:sz w:val="8"/>
                <w:szCs w:val="8"/>
                <w:color w:val="auto"/>
              </w:rPr>
              <w:t>(14)(15)(17)(19)</w:t>
            </w:r>
          </w:p>
        </w:tc>
        <w:tc>
          <w:tcPr>
            <w:tcW w:w="840" w:type="dxa"/>
            <w:vAlign w:val="bottom"/>
          </w:tcPr>
          <w:p>
            <w:pPr>
              <w:spacing w:after="0"/>
              <w:rPr>
                <w:sz w:val="8"/>
                <w:szCs w:val="8"/>
                <w:color w:val="auto"/>
              </w:rPr>
            </w:pPr>
          </w:p>
        </w:tc>
        <w:tc>
          <w:tcPr>
            <w:tcW w:w="960" w:type="dxa"/>
            <w:vAlign w:val="bottom"/>
          </w:tcPr>
          <w:p>
            <w:pPr>
              <w:jc w:val="right"/>
              <w:ind w:right="94"/>
              <w:spacing w:after="0"/>
              <w:rPr>
                <w:sz w:val="20"/>
                <w:szCs w:val="20"/>
                <w:color w:val="auto"/>
              </w:rPr>
            </w:pPr>
            <w:r>
              <w:rPr>
                <w:rFonts w:ascii="Arial" w:cs="Arial" w:eastAsia="Arial" w:hAnsi="Arial"/>
                <w:sz w:val="8"/>
                <w:szCs w:val="8"/>
                <w:color w:val="auto"/>
              </w:rPr>
              <w:t>(16)(18)(20)(22)</w:t>
            </w:r>
          </w:p>
        </w:tc>
        <w:tc>
          <w:tcPr>
            <w:tcW w:w="8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59055</wp:posOffset>
            </wp:positionV>
            <wp:extent cx="823595"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3595" cy="5715"/>
                    </a:xfrm>
                    <a:prstGeom prst="rect">
                      <a:avLst/>
                    </a:prstGeom>
                    <a:noFill/>
                  </pic:spPr>
                </pic:pic>
              </a:graphicData>
            </a:graphic>
          </wp:anchor>
        </w:drawing>
      </w:r>
    </w:p>
    <w:p>
      <w:pPr>
        <w:spacing w:after="0" w:line="118" w:lineRule="exact"/>
        <w:rPr>
          <w:sz w:val="20"/>
          <w:szCs w:val="20"/>
          <w:color w:val="auto"/>
        </w:rPr>
      </w:pPr>
    </w:p>
    <w:p>
      <w:pPr>
        <w:ind w:left="680"/>
        <w:spacing w:after="0"/>
        <w:tabs>
          <w:tab w:leader="none" w:pos="840" w:val="left"/>
        </w:tabs>
        <w:rPr>
          <w:sz w:val="20"/>
          <w:szCs w:val="20"/>
          <w:color w:val="auto"/>
        </w:rPr>
      </w:pPr>
      <w:r>
        <w:rPr>
          <w:rFonts w:ascii="Arial" w:cs="Arial" w:eastAsia="Arial" w:hAnsi="Arial"/>
          <w:sz w:val="12"/>
          <w:szCs w:val="12"/>
          <w:color w:val="auto"/>
        </w:rPr>
        <w:t>*</w:t>
      </w:r>
      <w:r>
        <w:rPr>
          <w:sz w:val="20"/>
          <w:szCs w:val="20"/>
          <w:color w:val="auto"/>
        </w:rPr>
        <w:tab/>
      </w:r>
      <w:r>
        <w:rPr>
          <w:rFonts w:ascii="Arial" w:cs="Arial" w:eastAsia="Arial" w:hAnsi="Arial"/>
          <w:sz w:val="10"/>
          <w:szCs w:val="10"/>
          <w:color w:val="auto"/>
        </w:rPr>
        <w:t>Less than 1% of the outstanding shares of the applicable class.</w:t>
      </w:r>
    </w:p>
    <w:p>
      <w:pPr>
        <w:spacing w:after="0" w:line="51" w:lineRule="exact"/>
        <w:rPr>
          <w:sz w:val="20"/>
          <w:szCs w:val="20"/>
          <w:color w:val="auto"/>
        </w:rPr>
      </w:pPr>
    </w:p>
    <w:p>
      <w:pPr>
        <w:ind w:left="1080" w:hanging="399"/>
        <w:spacing w:after="0"/>
        <w:tabs>
          <w:tab w:leader="none" w:pos="1080" w:val="left"/>
        </w:tabs>
        <w:numPr>
          <w:ilvl w:val="0"/>
          <w:numId w:val="11"/>
        </w:numPr>
        <w:rPr>
          <w:rFonts w:ascii="Arial" w:cs="Arial" w:eastAsia="Arial" w:hAnsi="Arial"/>
          <w:sz w:val="11"/>
          <w:szCs w:val="11"/>
          <w:color w:val="auto"/>
        </w:rPr>
      </w:pPr>
      <w:r>
        <w:rPr>
          <w:rFonts w:ascii="Arial" w:cs="Arial" w:eastAsia="Arial" w:hAnsi="Arial"/>
          <w:sz w:val="11"/>
          <w:szCs w:val="11"/>
          <w:color w:val="auto"/>
        </w:rPr>
        <w:t>Beneficial ownership as reported in the above table has been determined in accordance with Rule 13d-3 under the Securities Exchange Act of 1934, as amended (the “Exchange Act”).</w:t>
      </w:r>
    </w:p>
    <w:p>
      <w:pPr>
        <w:spacing w:after="0" w:line="53" w:lineRule="exact"/>
        <w:rPr>
          <w:rFonts w:ascii="Arial" w:cs="Arial" w:eastAsia="Arial" w:hAnsi="Arial"/>
          <w:sz w:val="11"/>
          <w:szCs w:val="11"/>
          <w:color w:val="auto"/>
        </w:rPr>
      </w:pPr>
    </w:p>
    <w:p>
      <w:pPr>
        <w:ind w:left="1080" w:right="60" w:hanging="399"/>
        <w:spacing w:after="0" w:line="306" w:lineRule="auto"/>
        <w:tabs>
          <w:tab w:leader="none" w:pos="1080" w:val="left"/>
        </w:tabs>
        <w:numPr>
          <w:ilvl w:val="0"/>
          <w:numId w:val="11"/>
        </w:numPr>
        <w:rPr>
          <w:rFonts w:ascii="Arial" w:cs="Arial" w:eastAsia="Arial" w:hAnsi="Arial"/>
          <w:sz w:val="10"/>
          <w:szCs w:val="10"/>
          <w:color w:val="auto"/>
        </w:rPr>
      </w:pPr>
      <w:r>
        <w:rPr>
          <w:rFonts w:ascii="Arial" w:cs="Arial" w:eastAsia="Arial" w:hAnsi="Arial"/>
          <w:sz w:val="10"/>
          <w:szCs w:val="10"/>
          <w:color w:val="auto"/>
        </w:rPr>
        <w:t>Includes beneficial ownership of shares of Class A common stock for which the following persons hold options exercisable on or within 60 days of February 28, 2010: Mr. Angelakis, 256,020 shares; Mr. Anstrom, 33,750 shares; Mr. Bacon, 33,750 shares; Mr. Block, 465,030 shares; Mr. Bonovitz, 33,750 shares; Mr. Breen, 5,625 shares; Mr. Brodsky, 253,125 shares; Mr. Burke, 2,137,567 shares; Mr. Cohen, 1,831,665 shares; Mr. Collins, 14,062 shares; Mr. Cook, 43,930 shares; Mr. Brian L. Roberts, 3,596,100 shares; Mr. Ralph J. Roberts, 1,902,555 shares; Dr. Rodin, 33,750 shares;</w:t>
      </w:r>
    </w:p>
    <w:p>
      <w:pPr>
        <w:spacing w:after="0" w:line="1" w:lineRule="exact"/>
        <w:rPr>
          <w:rFonts w:ascii="Arial" w:cs="Arial" w:eastAsia="Arial" w:hAnsi="Arial"/>
          <w:sz w:val="10"/>
          <w:szCs w:val="10"/>
          <w:color w:val="auto"/>
        </w:rPr>
      </w:pPr>
    </w:p>
    <w:p>
      <w:pPr>
        <w:ind w:left="1080" w:right="180"/>
        <w:spacing w:after="0" w:line="261" w:lineRule="auto"/>
        <w:rPr>
          <w:rFonts w:ascii="Arial" w:cs="Arial" w:eastAsia="Arial" w:hAnsi="Arial"/>
          <w:sz w:val="10"/>
          <w:szCs w:val="10"/>
          <w:color w:val="auto"/>
        </w:rPr>
      </w:pPr>
      <w:r>
        <w:rPr>
          <w:rFonts w:ascii="Arial" w:cs="Arial" w:eastAsia="Arial" w:hAnsi="Arial"/>
          <w:sz w:val="12"/>
          <w:szCs w:val="12"/>
          <w:color w:val="auto"/>
        </w:rPr>
        <w:t>Mr. Sovern, 43,932 shares; and all directors and executive officers as a group, 11,125,641 shares. Also includes beneficial ownership of shares of Class A common stock underlying restricted stock units</w:t>
      </w:r>
    </w:p>
    <w:p>
      <w:pPr>
        <w:spacing w:after="0" w:line="240"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97790</wp:posOffset>
            </wp:positionV>
            <wp:extent cx="7299325" cy="18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680"/>
          </w:cols>
          <w:pgMar w:left="220" w:top="327" w:right="999" w:bottom="1440" w:gutter="0" w:footer="0" w:header="0"/>
        </w:sectPr>
      </w:pPr>
    </w:p>
    <w:bookmarkStart w:id="9" w:name="page10"/>
    <w:bookmarkEnd w:id="9"/>
    <w:p>
      <w:pPr>
        <w:spacing w:after="0"/>
        <w:rPr>
          <w:rFonts w:ascii="Arial" w:cs="Arial" w:eastAsia="Arial" w:hAnsi="Arial"/>
          <w:sz w:val="12"/>
          <w:szCs w:val="12"/>
          <w:b w:val="1"/>
          <w:bCs w:val="1"/>
          <w:u w:val="single" w:color="auto"/>
          <w:color w:val="0000EE"/>
        </w:rPr>
      </w:pP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(“RSUs”) held by the following persons that vest on or within 60 days of February 28, 2010: Mr. Angelakis, 60,840 shares; Mr. Block, 36,832 shares; Mr. Burke, 80,370 shares; Mr. Cohen,</w:t>
      </w:r>
    </w:p>
    <w:p>
      <w:pPr>
        <w:spacing w:after="0" w:line="26" w:lineRule="exact"/>
        <w:rPr>
          <w:sz w:val="20"/>
          <w:szCs w:val="20"/>
          <w:color w:val="auto"/>
        </w:rPr>
      </w:pPr>
    </w:p>
    <w:p>
      <w:pPr>
        <w:ind w:left="1080"/>
        <w:spacing w:after="0" w:line="252" w:lineRule="auto"/>
        <w:rPr>
          <w:sz w:val="20"/>
          <w:szCs w:val="20"/>
          <w:color w:val="auto"/>
        </w:rPr>
      </w:pPr>
      <w:r>
        <w:rPr>
          <w:rFonts w:ascii="Arial" w:cs="Arial" w:eastAsia="Arial" w:hAnsi="Arial"/>
          <w:sz w:val="12"/>
          <w:szCs w:val="12"/>
          <w:color w:val="auto"/>
        </w:rPr>
        <w:t>47,040 shares; Mr. Brian L. Roberts, 99,900 shares; and all directors and executive officers as a group, 361,814 shares. Also includes share equivalents that will be paid at a future date in cash and/or in our Class A common stock pursuant to an election made under our deferred compensation plans for the following persons: Mr. Anstrom, 33,381 share equivalents; Mr. Bacon, 33,381 share equivalents; Mr. Bonovitz, 6,453 share equivalents; Mr. Breen, 33,381 share equivalents; Mr. Collins, 33,381 share equivalents; Mr. Cook, 33,381 share equivalents; Mr. Hassell, 21,915 share equivalents; Mr. Honickman, 33,486 share equivalents; Mr. Ralph J. Roberts, 702,970 share equivalents; Dr. Rodin, 33,381 share equivalents; and Mr. Sovern, 33,381 share equivalents. Also includes share equivalents that will be paid at a future date in our Class A common stock under our deferred compensation plans for the following persons: Mr. Anstrom, 10,268 share equivalents; Mr. Breen, 6,982 share equivalents; Mr. Collins, 7,269 share equivalents; Mr. Cook, 5,484 share equivalents; Mr. Hassell, 3,240 share equivalents; Mr. Honickman, 6,335 share equivalents; and Dr. Rodin, 7,106 share equivalents.</w:t>
      </w:r>
    </w:p>
    <w:p>
      <w:pPr>
        <w:spacing w:after="0" w:line="31" w:lineRule="exact"/>
        <w:rPr>
          <w:sz w:val="20"/>
          <w:szCs w:val="20"/>
          <w:color w:val="auto"/>
        </w:rPr>
      </w:pPr>
    </w:p>
    <w:p>
      <w:pPr>
        <w:ind w:left="1180" w:hanging="391"/>
        <w:spacing w:after="0"/>
        <w:tabs>
          <w:tab w:leader="none" w:pos="1180" w:val="left"/>
        </w:tabs>
        <w:numPr>
          <w:ilvl w:val="0"/>
          <w:numId w:val="12"/>
        </w:numPr>
        <w:rPr>
          <w:rFonts w:ascii="Arial" w:cs="Arial" w:eastAsia="Arial" w:hAnsi="Arial"/>
          <w:sz w:val="11"/>
          <w:szCs w:val="11"/>
          <w:color w:val="auto"/>
        </w:rPr>
      </w:pPr>
      <w:r>
        <w:rPr>
          <w:rFonts w:ascii="Arial" w:cs="Arial" w:eastAsia="Arial" w:hAnsi="Arial"/>
          <w:sz w:val="11"/>
          <w:szCs w:val="11"/>
          <w:color w:val="auto"/>
        </w:rPr>
        <w:t>Includes beneficial ownership of shares of Class A Special common stock for which the following persons hold options exercisable on or within 60 days of February 28, 2010: Mr. Block,</w:t>
      </w:r>
    </w:p>
    <w:p>
      <w:pPr>
        <w:spacing w:after="0" w:line="26" w:lineRule="exact"/>
        <w:rPr>
          <w:rFonts w:ascii="Arial" w:cs="Arial" w:eastAsia="Arial" w:hAnsi="Arial"/>
          <w:sz w:val="11"/>
          <w:szCs w:val="11"/>
          <w:color w:val="auto"/>
        </w:rPr>
      </w:pPr>
    </w:p>
    <w:p>
      <w:pPr>
        <w:ind w:left="1180" w:right="160"/>
        <w:spacing w:after="0" w:line="255" w:lineRule="auto"/>
        <w:rPr>
          <w:rFonts w:ascii="Arial" w:cs="Arial" w:eastAsia="Arial" w:hAnsi="Arial"/>
          <w:sz w:val="11"/>
          <w:szCs w:val="11"/>
          <w:color w:val="auto"/>
        </w:rPr>
      </w:pPr>
      <w:r>
        <w:rPr>
          <w:rFonts w:ascii="Arial" w:cs="Arial" w:eastAsia="Arial" w:hAnsi="Arial"/>
          <w:sz w:val="12"/>
          <w:szCs w:val="12"/>
          <w:color w:val="auto"/>
        </w:rPr>
        <w:t>747,513 shares; Mr. Brodsky, 1,281,887 shares; Mr. Burke, 4,323,750 shares; Mr. Cohen, 783,375 shares; Mr. Brian L. Roberts, 6,741,580 shares; Mr. Ralph J. Roberts, 2,912,815 shares; and all directors and executive officers as a group, 17,440,625 shares. Also includes 1,918,177 share equivalents for Mr. Brodsky that will be paid at a future date in cash and/or in our Class A Special common stock pursuant to an election made under our deferred compensation plans.</w:t>
      </w:r>
    </w:p>
    <w:p>
      <w:pPr>
        <w:spacing w:after="0" w:line="19" w:lineRule="exact"/>
        <w:rPr>
          <w:rFonts w:ascii="Arial" w:cs="Arial" w:eastAsia="Arial" w:hAnsi="Arial"/>
          <w:sz w:val="11"/>
          <w:szCs w:val="11"/>
          <w:color w:val="auto"/>
        </w:rPr>
      </w:pPr>
    </w:p>
    <w:p>
      <w:pPr>
        <w:ind w:left="1180" w:right="600" w:hanging="391"/>
        <w:spacing w:after="0" w:line="276" w:lineRule="auto"/>
        <w:tabs>
          <w:tab w:leader="none" w:pos="1180" w:val="left"/>
        </w:tabs>
        <w:numPr>
          <w:ilvl w:val="0"/>
          <w:numId w:val="12"/>
        </w:numPr>
        <w:rPr>
          <w:rFonts w:ascii="Arial" w:cs="Arial" w:eastAsia="Arial" w:hAnsi="Arial"/>
          <w:sz w:val="12"/>
          <w:szCs w:val="12"/>
          <w:color w:val="auto"/>
        </w:rPr>
      </w:pPr>
      <w:r>
        <w:rPr>
          <w:rFonts w:ascii="Arial" w:cs="Arial" w:eastAsia="Arial" w:hAnsi="Arial"/>
          <w:sz w:val="12"/>
          <w:szCs w:val="12"/>
          <w:color w:val="auto"/>
        </w:rPr>
        <w:t>Includes 11,400 shares of Class A common stock owned in an individual retirement-investment account, 2,400 shares owned by his wife in an individual retirement-investment account, 17,000 shares held by him as trustee for a Qualified Terminable Interest Property trust and 9,500 shares held by him as trustee for a family trust.</w:t>
      </w:r>
    </w:p>
    <w:p>
      <w:pPr>
        <w:spacing w:after="0" w:line="6" w:lineRule="exact"/>
        <w:rPr>
          <w:rFonts w:ascii="Arial" w:cs="Arial" w:eastAsia="Arial" w:hAnsi="Arial"/>
          <w:sz w:val="12"/>
          <w:szCs w:val="12"/>
          <w:color w:val="auto"/>
        </w:rPr>
      </w:pPr>
    </w:p>
    <w:p>
      <w:pPr>
        <w:ind w:left="1180" w:hanging="391"/>
        <w:spacing w:after="0"/>
        <w:tabs>
          <w:tab w:leader="none" w:pos="1180" w:val="left"/>
        </w:tabs>
        <w:numPr>
          <w:ilvl w:val="0"/>
          <w:numId w:val="12"/>
        </w:numPr>
        <w:rPr>
          <w:rFonts w:ascii="Arial" w:cs="Arial" w:eastAsia="Arial" w:hAnsi="Arial"/>
          <w:sz w:val="12"/>
          <w:szCs w:val="12"/>
          <w:color w:val="auto"/>
        </w:rPr>
      </w:pPr>
      <w:r>
        <w:rPr>
          <w:rFonts w:ascii="Arial" w:cs="Arial" w:eastAsia="Arial" w:hAnsi="Arial"/>
          <w:sz w:val="12"/>
          <w:szCs w:val="12"/>
          <w:color w:val="auto"/>
        </w:rPr>
        <w:t>Includes 6,326 shares of Class A Special common stock owned by his daughter and 6,563 shares owned by his son.</w:t>
      </w:r>
    </w:p>
    <w:p>
      <w:pPr>
        <w:spacing w:after="0" w:line="42" w:lineRule="exact"/>
        <w:rPr>
          <w:rFonts w:ascii="Arial" w:cs="Arial" w:eastAsia="Arial" w:hAnsi="Arial"/>
          <w:sz w:val="12"/>
          <w:szCs w:val="12"/>
          <w:color w:val="auto"/>
        </w:rPr>
      </w:pPr>
    </w:p>
    <w:p>
      <w:pPr>
        <w:ind w:left="1180" w:hanging="391"/>
        <w:spacing w:after="0"/>
        <w:tabs>
          <w:tab w:leader="none" w:pos="1180" w:val="left"/>
        </w:tabs>
        <w:numPr>
          <w:ilvl w:val="0"/>
          <w:numId w:val="12"/>
        </w:numPr>
        <w:rPr>
          <w:rFonts w:ascii="Arial" w:cs="Arial" w:eastAsia="Arial" w:hAnsi="Arial"/>
          <w:sz w:val="12"/>
          <w:szCs w:val="12"/>
          <w:color w:val="auto"/>
        </w:rPr>
      </w:pPr>
      <w:r>
        <w:rPr>
          <w:rFonts w:ascii="Arial" w:cs="Arial" w:eastAsia="Arial" w:hAnsi="Arial"/>
          <w:sz w:val="12"/>
          <w:szCs w:val="12"/>
          <w:color w:val="auto"/>
        </w:rPr>
        <w:t>Includes 156 shares of Class A common stock held by him as trustee for testamentary trusts and 5,815 shares owned by family partnerships.</w:t>
      </w:r>
    </w:p>
    <w:p>
      <w:pPr>
        <w:spacing w:after="0" w:line="42" w:lineRule="exact"/>
        <w:rPr>
          <w:rFonts w:ascii="Arial" w:cs="Arial" w:eastAsia="Arial" w:hAnsi="Arial"/>
          <w:sz w:val="12"/>
          <w:szCs w:val="12"/>
          <w:color w:val="auto"/>
        </w:rPr>
      </w:pPr>
    </w:p>
    <w:p>
      <w:pPr>
        <w:ind w:left="1180" w:hanging="391"/>
        <w:spacing w:after="0" w:line="276" w:lineRule="auto"/>
        <w:tabs>
          <w:tab w:leader="none" w:pos="1180" w:val="left"/>
        </w:tabs>
        <w:numPr>
          <w:ilvl w:val="0"/>
          <w:numId w:val="12"/>
        </w:numPr>
        <w:rPr>
          <w:rFonts w:ascii="Arial" w:cs="Arial" w:eastAsia="Arial" w:hAnsi="Arial"/>
          <w:sz w:val="12"/>
          <w:szCs w:val="12"/>
          <w:color w:val="auto"/>
        </w:rPr>
      </w:pPr>
      <w:r>
        <w:rPr>
          <w:rFonts w:ascii="Arial" w:cs="Arial" w:eastAsia="Arial" w:hAnsi="Arial"/>
          <w:sz w:val="12"/>
          <w:szCs w:val="12"/>
          <w:color w:val="auto"/>
        </w:rPr>
        <w:t>Includes 1,441 shares of Class A Special common stock owned by his wife, 19,270 shares held by him as a trustee of grantor retained annuity trusts, 15,714 shares owned by a charitable foundation of which his wife is a trustee and 131,792 shares owned by family partnerships.</w:t>
      </w:r>
    </w:p>
    <w:p>
      <w:pPr>
        <w:spacing w:after="0" w:line="6" w:lineRule="exact"/>
        <w:rPr>
          <w:rFonts w:ascii="Arial" w:cs="Arial" w:eastAsia="Arial" w:hAnsi="Arial"/>
          <w:sz w:val="12"/>
          <w:szCs w:val="12"/>
          <w:color w:val="auto"/>
        </w:rPr>
      </w:pPr>
    </w:p>
    <w:p>
      <w:pPr>
        <w:ind w:left="1180" w:hanging="391"/>
        <w:spacing w:after="0"/>
        <w:tabs>
          <w:tab w:leader="none" w:pos="1180" w:val="left"/>
        </w:tabs>
        <w:numPr>
          <w:ilvl w:val="0"/>
          <w:numId w:val="12"/>
        </w:numPr>
        <w:rPr>
          <w:rFonts w:ascii="Arial" w:cs="Arial" w:eastAsia="Arial" w:hAnsi="Arial"/>
          <w:sz w:val="12"/>
          <w:szCs w:val="12"/>
          <w:color w:val="auto"/>
        </w:rPr>
      </w:pPr>
      <w:r>
        <w:rPr>
          <w:rFonts w:ascii="Arial" w:cs="Arial" w:eastAsia="Arial" w:hAnsi="Arial"/>
          <w:sz w:val="12"/>
          <w:szCs w:val="12"/>
          <w:color w:val="auto"/>
        </w:rPr>
        <w:t>Includes 7,617 shares of Class A common stock held by him as a trustee of grantor retained annuity trusts.</w:t>
      </w:r>
    </w:p>
    <w:p>
      <w:pPr>
        <w:spacing w:after="0" w:line="42" w:lineRule="exact"/>
        <w:rPr>
          <w:rFonts w:ascii="Arial" w:cs="Arial" w:eastAsia="Arial" w:hAnsi="Arial"/>
          <w:sz w:val="12"/>
          <w:szCs w:val="12"/>
          <w:color w:val="auto"/>
        </w:rPr>
      </w:pPr>
    </w:p>
    <w:p>
      <w:pPr>
        <w:ind w:left="1180" w:right="280" w:hanging="391"/>
        <w:spacing w:after="0" w:line="276" w:lineRule="auto"/>
        <w:tabs>
          <w:tab w:leader="none" w:pos="1180" w:val="left"/>
        </w:tabs>
        <w:numPr>
          <w:ilvl w:val="0"/>
          <w:numId w:val="12"/>
        </w:numPr>
        <w:rPr>
          <w:rFonts w:ascii="Arial" w:cs="Arial" w:eastAsia="Arial" w:hAnsi="Arial"/>
          <w:sz w:val="12"/>
          <w:szCs w:val="12"/>
          <w:color w:val="auto"/>
        </w:rPr>
      </w:pPr>
      <w:r>
        <w:rPr>
          <w:rFonts w:ascii="Arial" w:cs="Arial" w:eastAsia="Arial" w:hAnsi="Arial"/>
          <w:sz w:val="12"/>
          <w:szCs w:val="12"/>
          <w:color w:val="auto"/>
        </w:rPr>
        <w:t>Includes 477,066 shares of Class A Special common stock held by him as a trustee of grantor retained annuity trusts, 547,334 shares owned in irrevocable trusts and 75,000 shares owned by a family charitable foundation of which his wife is a trustee.</w:t>
      </w:r>
    </w:p>
    <w:p>
      <w:pPr>
        <w:spacing w:after="0" w:line="6" w:lineRule="exact"/>
        <w:rPr>
          <w:rFonts w:ascii="Arial" w:cs="Arial" w:eastAsia="Arial" w:hAnsi="Arial"/>
          <w:sz w:val="12"/>
          <w:szCs w:val="12"/>
          <w:color w:val="auto"/>
        </w:rPr>
      </w:pPr>
    </w:p>
    <w:p>
      <w:pPr>
        <w:ind w:left="1180" w:hanging="391"/>
        <w:spacing w:after="0"/>
        <w:tabs>
          <w:tab w:leader="none" w:pos="1180" w:val="left"/>
        </w:tabs>
        <w:numPr>
          <w:ilvl w:val="0"/>
          <w:numId w:val="12"/>
        </w:numPr>
        <w:rPr>
          <w:rFonts w:ascii="Arial" w:cs="Arial" w:eastAsia="Arial" w:hAnsi="Arial"/>
          <w:sz w:val="12"/>
          <w:szCs w:val="12"/>
          <w:color w:val="auto"/>
        </w:rPr>
      </w:pPr>
      <w:r>
        <w:rPr>
          <w:rFonts w:ascii="Arial" w:cs="Arial" w:eastAsia="Arial" w:hAnsi="Arial"/>
          <w:sz w:val="12"/>
          <w:szCs w:val="12"/>
          <w:color w:val="auto"/>
        </w:rPr>
        <w:t>Includes 10,789 shares of Class A common stock owned in our retirement-investment plan.</w:t>
      </w:r>
    </w:p>
    <w:p>
      <w:pPr>
        <w:spacing w:after="0" w:line="42" w:lineRule="exact"/>
        <w:rPr>
          <w:rFonts w:ascii="Arial" w:cs="Arial" w:eastAsia="Arial" w:hAnsi="Arial"/>
          <w:sz w:val="12"/>
          <w:szCs w:val="12"/>
          <w:color w:val="auto"/>
        </w:rPr>
      </w:pPr>
    </w:p>
    <w:p>
      <w:pPr>
        <w:ind w:left="1180" w:hanging="391"/>
        <w:spacing w:after="0"/>
        <w:tabs>
          <w:tab w:leader="none" w:pos="1180" w:val="left"/>
        </w:tabs>
        <w:numPr>
          <w:ilvl w:val="0"/>
          <w:numId w:val="12"/>
        </w:numPr>
        <w:rPr>
          <w:rFonts w:ascii="Arial" w:cs="Arial" w:eastAsia="Arial" w:hAnsi="Arial"/>
          <w:sz w:val="12"/>
          <w:szCs w:val="12"/>
          <w:color w:val="auto"/>
        </w:rPr>
      </w:pPr>
      <w:r>
        <w:rPr>
          <w:rFonts w:ascii="Arial" w:cs="Arial" w:eastAsia="Arial" w:hAnsi="Arial"/>
          <w:sz w:val="12"/>
          <w:szCs w:val="12"/>
          <w:color w:val="auto"/>
        </w:rPr>
        <w:t>Includes 35,858 shares of Class A Special common stock owned in our retirement-investment plan.</w:t>
      </w:r>
    </w:p>
    <w:p>
      <w:pPr>
        <w:spacing w:after="0" w:line="42" w:lineRule="exact"/>
        <w:rPr>
          <w:rFonts w:ascii="Arial" w:cs="Arial" w:eastAsia="Arial" w:hAnsi="Arial"/>
          <w:sz w:val="12"/>
          <w:szCs w:val="12"/>
          <w:color w:val="auto"/>
        </w:rPr>
      </w:pPr>
    </w:p>
    <w:p>
      <w:pPr>
        <w:ind w:left="1180" w:hanging="391"/>
        <w:spacing w:after="0"/>
        <w:tabs>
          <w:tab w:leader="none" w:pos="1180" w:val="left"/>
        </w:tabs>
        <w:numPr>
          <w:ilvl w:val="0"/>
          <w:numId w:val="12"/>
        </w:numPr>
        <w:rPr>
          <w:rFonts w:ascii="Arial" w:cs="Arial" w:eastAsia="Arial" w:hAnsi="Arial"/>
          <w:sz w:val="12"/>
          <w:szCs w:val="12"/>
          <w:color w:val="auto"/>
        </w:rPr>
      </w:pPr>
      <w:r>
        <w:rPr>
          <w:rFonts w:ascii="Arial" w:cs="Arial" w:eastAsia="Arial" w:hAnsi="Arial"/>
          <w:sz w:val="12"/>
          <w:szCs w:val="12"/>
          <w:color w:val="auto"/>
        </w:rPr>
        <w:t>Includes 96,649 shares of Class A common stock held by him as a trustee of grantor retained annuity trusts.</w:t>
      </w:r>
    </w:p>
    <w:p>
      <w:pPr>
        <w:spacing w:after="0" w:line="42" w:lineRule="exact"/>
        <w:rPr>
          <w:rFonts w:ascii="Arial" w:cs="Arial" w:eastAsia="Arial" w:hAnsi="Arial"/>
          <w:sz w:val="12"/>
          <w:szCs w:val="12"/>
          <w:color w:val="auto"/>
        </w:rPr>
      </w:pPr>
    </w:p>
    <w:p>
      <w:pPr>
        <w:ind w:left="1180" w:hanging="391"/>
        <w:spacing w:after="0"/>
        <w:tabs>
          <w:tab w:leader="none" w:pos="1180" w:val="left"/>
        </w:tabs>
        <w:numPr>
          <w:ilvl w:val="0"/>
          <w:numId w:val="12"/>
        </w:numPr>
        <w:rPr>
          <w:rFonts w:ascii="Arial" w:cs="Arial" w:eastAsia="Arial" w:hAnsi="Arial"/>
          <w:sz w:val="12"/>
          <w:szCs w:val="12"/>
          <w:color w:val="auto"/>
        </w:rPr>
      </w:pPr>
      <w:r>
        <w:rPr>
          <w:rFonts w:ascii="Arial" w:cs="Arial" w:eastAsia="Arial" w:hAnsi="Arial"/>
          <w:sz w:val="12"/>
          <w:szCs w:val="12"/>
          <w:color w:val="auto"/>
        </w:rPr>
        <w:t>Includes 12,165 shares of Class A Special common stock held by him as a trustee of grantor retained annuity trusts.</w:t>
      </w:r>
    </w:p>
    <w:p>
      <w:pPr>
        <w:spacing w:after="0" w:line="42" w:lineRule="exact"/>
        <w:rPr>
          <w:rFonts w:ascii="Arial" w:cs="Arial" w:eastAsia="Arial" w:hAnsi="Arial"/>
          <w:sz w:val="12"/>
          <w:szCs w:val="12"/>
          <w:color w:val="auto"/>
        </w:rPr>
      </w:pPr>
    </w:p>
    <w:p>
      <w:pPr>
        <w:ind w:left="1180" w:hanging="391"/>
        <w:spacing w:after="0"/>
        <w:tabs>
          <w:tab w:leader="none" w:pos="1180" w:val="left"/>
        </w:tabs>
        <w:numPr>
          <w:ilvl w:val="0"/>
          <w:numId w:val="12"/>
        </w:numPr>
        <w:rPr>
          <w:rFonts w:ascii="Arial" w:cs="Arial" w:eastAsia="Arial" w:hAnsi="Arial"/>
          <w:sz w:val="12"/>
          <w:szCs w:val="12"/>
          <w:color w:val="auto"/>
        </w:rPr>
      </w:pPr>
      <w:r>
        <w:rPr>
          <w:rFonts w:ascii="Arial" w:cs="Arial" w:eastAsia="Arial" w:hAnsi="Arial"/>
          <w:sz w:val="12"/>
          <w:szCs w:val="12"/>
          <w:color w:val="auto"/>
        </w:rPr>
        <w:t>Includes 102,000 shares of Class A common stock held by him as a trustee of grantor retained annuity trusts.</w:t>
      </w:r>
    </w:p>
    <w:p>
      <w:pPr>
        <w:spacing w:after="0" w:line="42" w:lineRule="exact"/>
        <w:rPr>
          <w:rFonts w:ascii="Arial" w:cs="Arial" w:eastAsia="Arial" w:hAnsi="Arial"/>
          <w:sz w:val="12"/>
          <w:szCs w:val="12"/>
          <w:color w:val="auto"/>
        </w:rPr>
      </w:pPr>
    </w:p>
    <w:p>
      <w:pPr>
        <w:ind w:left="1180" w:hanging="391"/>
        <w:spacing w:after="0"/>
        <w:tabs>
          <w:tab w:leader="none" w:pos="1180" w:val="left"/>
        </w:tabs>
        <w:numPr>
          <w:ilvl w:val="0"/>
          <w:numId w:val="12"/>
        </w:numPr>
        <w:rPr>
          <w:rFonts w:ascii="Arial" w:cs="Arial" w:eastAsia="Arial" w:hAnsi="Arial"/>
          <w:sz w:val="12"/>
          <w:szCs w:val="12"/>
          <w:color w:val="auto"/>
        </w:rPr>
      </w:pPr>
      <w:r>
        <w:rPr>
          <w:rFonts w:ascii="Arial" w:cs="Arial" w:eastAsia="Arial" w:hAnsi="Arial"/>
          <w:sz w:val="12"/>
          <w:szCs w:val="12"/>
          <w:color w:val="auto"/>
        </w:rPr>
        <w:t>Includes 2,425 shares of Class A common stock owned by his wife and 1,455 shares held jointly by Mr. Cook and his wife.</w:t>
      </w:r>
    </w:p>
    <w:p>
      <w:pPr>
        <w:spacing w:after="0" w:line="42" w:lineRule="exact"/>
        <w:rPr>
          <w:rFonts w:ascii="Arial" w:cs="Arial" w:eastAsia="Arial" w:hAnsi="Arial"/>
          <w:sz w:val="12"/>
          <w:szCs w:val="12"/>
          <w:color w:val="auto"/>
        </w:rPr>
      </w:pPr>
    </w:p>
    <w:p>
      <w:pPr>
        <w:ind w:left="1180" w:hanging="391"/>
        <w:spacing w:after="0"/>
        <w:tabs>
          <w:tab w:leader="none" w:pos="1180" w:val="left"/>
        </w:tabs>
        <w:numPr>
          <w:ilvl w:val="0"/>
          <w:numId w:val="12"/>
        </w:numPr>
        <w:rPr>
          <w:rFonts w:ascii="Arial" w:cs="Arial" w:eastAsia="Arial" w:hAnsi="Arial"/>
          <w:sz w:val="12"/>
          <w:szCs w:val="12"/>
          <w:color w:val="auto"/>
        </w:rPr>
      </w:pPr>
      <w:r>
        <w:rPr>
          <w:rFonts w:ascii="Arial" w:cs="Arial" w:eastAsia="Arial" w:hAnsi="Arial"/>
          <w:sz w:val="12"/>
          <w:szCs w:val="12"/>
          <w:color w:val="auto"/>
        </w:rPr>
        <w:t>Represents 3,450 shares of Class A Special common stock held jointly by Mr. Cook and his wife.</w:t>
      </w:r>
    </w:p>
    <w:p>
      <w:pPr>
        <w:spacing w:after="0" w:line="42" w:lineRule="exact"/>
        <w:rPr>
          <w:rFonts w:ascii="Arial" w:cs="Arial" w:eastAsia="Arial" w:hAnsi="Arial"/>
          <w:sz w:val="12"/>
          <w:szCs w:val="12"/>
          <w:color w:val="auto"/>
        </w:rPr>
      </w:pPr>
    </w:p>
    <w:p>
      <w:pPr>
        <w:ind w:left="1180" w:hanging="391"/>
        <w:spacing w:after="0"/>
        <w:tabs>
          <w:tab w:leader="none" w:pos="1180" w:val="left"/>
        </w:tabs>
        <w:numPr>
          <w:ilvl w:val="0"/>
          <w:numId w:val="12"/>
        </w:numPr>
        <w:rPr>
          <w:rFonts w:ascii="Arial" w:cs="Arial" w:eastAsia="Arial" w:hAnsi="Arial"/>
          <w:sz w:val="12"/>
          <w:szCs w:val="12"/>
          <w:color w:val="auto"/>
        </w:rPr>
      </w:pPr>
      <w:r>
        <w:rPr>
          <w:rFonts w:ascii="Arial" w:cs="Arial" w:eastAsia="Arial" w:hAnsi="Arial"/>
          <w:sz w:val="12"/>
          <w:szCs w:val="12"/>
          <w:color w:val="auto"/>
        </w:rPr>
        <w:t>Includes 10,000 shares of Class A common stock held by him as trustee for a grantor trust.</w:t>
      </w:r>
    </w:p>
    <w:p>
      <w:pPr>
        <w:spacing w:after="0" w:line="276"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97790</wp:posOffset>
            </wp:positionV>
            <wp:extent cx="7299325" cy="18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640"/>
          </w:cols>
          <w:pgMar w:left="220" w:top="327" w:right="1039" w:bottom="1440" w:gutter="0" w:footer="0" w:header="0"/>
        </w:sectPr>
      </w:pPr>
    </w:p>
    <w:bookmarkStart w:id="10" w:name="page11"/>
    <w:bookmarkEnd w:id="10"/>
    <w:p>
      <w:pPr>
        <w:spacing w:after="0"/>
        <w:rPr>
          <w:rFonts w:ascii="Arial" w:cs="Arial" w:eastAsia="Arial" w:hAnsi="Arial"/>
          <w:sz w:val="12"/>
          <w:szCs w:val="12"/>
          <w:b w:val="1"/>
          <w:bCs w:val="1"/>
          <w:u w:val="single" w:color="auto"/>
          <w:color w:val="0000EE"/>
        </w:rPr>
      </w:pPr>
      <w:hyperlink w:anchor="page4">
        <w:r>
          <w:rPr>
            <w:rFonts w:ascii="Arial" w:cs="Arial" w:eastAsia="Arial" w:hAnsi="Arial"/>
            <w:sz w:val="12"/>
            <w:szCs w:val="12"/>
            <w:b w:val="1"/>
            <w:bCs w:val="1"/>
            <w:u w:val="single" w:color="auto"/>
            <w:color w:val="0000EE"/>
          </w:rPr>
          <w:t>Table of Contents</w:t>
        </w:r>
      </w:hyperlink>
    </w:p>
    <w:p>
      <w:pPr>
        <w:spacing w:after="0" w:line="215" w:lineRule="exact"/>
        <w:rPr>
          <w:sz w:val="20"/>
          <w:szCs w:val="20"/>
          <w:color w:val="auto"/>
        </w:rPr>
      </w:pPr>
    </w:p>
    <w:p>
      <w:pPr>
        <w:ind w:left="1180" w:hanging="391"/>
        <w:spacing w:after="0"/>
        <w:tabs>
          <w:tab w:leader="none" w:pos="11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Includes 77 shares of Class A Special common stock owned by his daughters.</w:t>
      </w:r>
    </w:p>
    <w:p>
      <w:pPr>
        <w:spacing w:after="0" w:line="42" w:lineRule="exact"/>
        <w:rPr>
          <w:rFonts w:ascii="Arial" w:cs="Arial" w:eastAsia="Arial" w:hAnsi="Arial"/>
          <w:sz w:val="12"/>
          <w:szCs w:val="12"/>
          <w:color w:val="auto"/>
        </w:rPr>
      </w:pPr>
    </w:p>
    <w:p>
      <w:pPr>
        <w:ind w:left="1180" w:hanging="391"/>
        <w:spacing w:after="0" w:line="296" w:lineRule="auto"/>
        <w:tabs>
          <w:tab w:leader="none" w:pos="1180" w:val="left"/>
        </w:tabs>
        <w:numPr>
          <w:ilvl w:val="0"/>
          <w:numId w:val="13"/>
        </w:numPr>
        <w:rPr>
          <w:rFonts w:ascii="Arial" w:cs="Arial" w:eastAsia="Arial" w:hAnsi="Arial"/>
          <w:sz w:val="11"/>
          <w:szCs w:val="11"/>
          <w:color w:val="auto"/>
        </w:rPr>
      </w:pPr>
      <w:r>
        <w:rPr>
          <w:rFonts w:ascii="Arial" w:cs="Arial" w:eastAsia="Arial" w:hAnsi="Arial"/>
          <w:sz w:val="11"/>
          <w:szCs w:val="11"/>
          <w:color w:val="auto"/>
        </w:rPr>
        <w:t>Includes 11,673 shares of Class A common stock owned in our retirement-investment plan and 2,034 shares owned by his wife. Does not include shares of Class A common stock issuable upon conversion of Class B common stock beneficially owned by Mr. Brian L. Roberts. If Mr. Brian L. Roberts were to convert the Class B common stock that he beneficially owns into Class A common stock, Mr. Brian L. Roberts would beneficially own 13,465,345 shares of Class A common stock, representing less than 1% of the Class A common stock.</w:t>
      </w:r>
    </w:p>
    <w:p>
      <w:pPr>
        <w:ind w:left="1180" w:hanging="391"/>
        <w:spacing w:after="0"/>
        <w:tabs>
          <w:tab w:leader="none" w:pos="1180" w:val="left"/>
        </w:tabs>
        <w:numPr>
          <w:ilvl w:val="0"/>
          <w:numId w:val="13"/>
        </w:numPr>
        <w:rPr>
          <w:rFonts w:ascii="Arial" w:cs="Arial" w:eastAsia="Arial" w:hAnsi="Arial"/>
          <w:sz w:val="11"/>
          <w:szCs w:val="11"/>
          <w:color w:val="auto"/>
        </w:rPr>
      </w:pPr>
      <w:r>
        <w:rPr>
          <w:rFonts w:ascii="Arial" w:cs="Arial" w:eastAsia="Arial" w:hAnsi="Arial"/>
          <w:sz w:val="11"/>
          <w:szCs w:val="11"/>
          <w:color w:val="auto"/>
        </w:rPr>
        <w:t>Includes 63,929 shares of Class A Special common stock owned in our retirement-investment plan. Also includes 4,068 shares owned by his wife, 240 shares owned by his daughter and</w:t>
      </w:r>
    </w:p>
    <w:p>
      <w:pPr>
        <w:spacing w:after="0" w:line="26" w:lineRule="exact"/>
        <w:rPr>
          <w:rFonts w:ascii="Arial" w:cs="Arial" w:eastAsia="Arial" w:hAnsi="Arial"/>
          <w:sz w:val="11"/>
          <w:szCs w:val="11"/>
          <w:color w:val="auto"/>
        </w:rPr>
      </w:pPr>
    </w:p>
    <w:p>
      <w:pPr>
        <w:ind w:left="1180" w:right="80"/>
        <w:spacing w:after="0" w:line="284" w:lineRule="auto"/>
        <w:rPr>
          <w:rFonts w:ascii="Arial" w:cs="Arial" w:eastAsia="Arial" w:hAnsi="Arial"/>
          <w:sz w:val="11"/>
          <w:szCs w:val="11"/>
          <w:color w:val="auto"/>
        </w:rPr>
      </w:pPr>
      <w:r>
        <w:rPr>
          <w:rFonts w:ascii="Arial" w:cs="Arial" w:eastAsia="Arial" w:hAnsi="Arial"/>
          <w:sz w:val="11"/>
          <w:szCs w:val="11"/>
          <w:color w:val="auto"/>
        </w:rPr>
        <w:t>305,670 shares owned by a family charitable foundation of which his wife is a trustee. Also includes 7,056,323 shares owned by a limited liability company of which Mr. Brian L. Roberts is the managing member and 1,222,065 shares owned by certain family trusts, but does not include shares of Class A Special common stock issuable upon conversion of Class B common stock beneficially owned by Mr. Brian L. Roberts. If Mr. Brian L. Roberts were to convert the Class B common stock that he beneficially owns into Class A Special common stock, Mr. Brian L. Roberts would beneficially own 25,840,883 shares of Class A Special common stock, representing approximately 3.4% of the Class A Special common stock.</w:t>
      </w:r>
    </w:p>
    <w:p>
      <w:pPr>
        <w:spacing w:after="0" w:line="4" w:lineRule="exact"/>
        <w:rPr>
          <w:rFonts w:ascii="Arial" w:cs="Arial" w:eastAsia="Arial" w:hAnsi="Arial"/>
          <w:sz w:val="11"/>
          <w:szCs w:val="11"/>
          <w:color w:val="auto"/>
        </w:rPr>
      </w:pPr>
    </w:p>
    <w:p>
      <w:pPr>
        <w:ind w:left="1180" w:hanging="391"/>
        <w:spacing w:after="0"/>
        <w:tabs>
          <w:tab w:leader="none" w:pos="11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See footnote (3) under “— Principal Shareholders” above.</w:t>
      </w:r>
    </w:p>
    <w:p>
      <w:pPr>
        <w:spacing w:after="0" w:line="42" w:lineRule="exact"/>
        <w:rPr>
          <w:rFonts w:ascii="Arial" w:cs="Arial" w:eastAsia="Arial" w:hAnsi="Arial"/>
          <w:sz w:val="12"/>
          <w:szCs w:val="12"/>
          <w:color w:val="auto"/>
        </w:rPr>
      </w:pPr>
    </w:p>
    <w:p>
      <w:pPr>
        <w:ind w:left="1180" w:right="40" w:hanging="391"/>
        <w:spacing w:after="0" w:line="276" w:lineRule="auto"/>
        <w:tabs>
          <w:tab w:leader="none" w:pos="11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Includes 278,346 shares of Class A Special common stock owned by family partnerships, the general partner of which is controlled by Mr. Ralph J. Roberts, 123,435 shares held by him as a trustee of grantor retained annuity trusts and 91,500 shares owned by a family charitable foundation of which his wife is a trustee.</w:t>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Section 16(a) Beneficial Ownership Reporting Compliance</w:t>
      </w:r>
    </w:p>
    <w:p>
      <w:pPr>
        <w:spacing w:after="0" w:line="87" w:lineRule="exact"/>
        <w:rPr>
          <w:sz w:val="20"/>
          <w:szCs w:val="20"/>
          <w:color w:val="auto"/>
        </w:rPr>
      </w:pPr>
    </w:p>
    <w:p>
      <w:pPr>
        <w:jc w:val="both"/>
        <w:ind w:left="680" w:firstLine="400"/>
        <w:spacing w:after="0" w:line="257" w:lineRule="auto"/>
        <w:rPr>
          <w:sz w:val="20"/>
          <w:szCs w:val="20"/>
          <w:color w:val="auto"/>
        </w:rPr>
      </w:pPr>
      <w:r>
        <w:rPr>
          <w:rFonts w:ascii="Arial" w:cs="Arial" w:eastAsia="Arial" w:hAnsi="Arial"/>
          <w:sz w:val="12"/>
          <w:szCs w:val="12"/>
          <w:color w:val="auto"/>
        </w:rPr>
        <w:t>Our directors and executive officers file reports with the SEC pursuant to Section 16(a) of the Exchange Act indicating the number of shares of any class of our equity securities they owned when they became a director or executive officer and, after that, any changes in their ownership of our equity securities. We have reviewed copies of such reports and written representations from the individuals required to file the reports. Based on our review of these documents, we believe that all filings required to be made by our reporting persons for the period January 1, 2009 through December 31, 2009 were made on a timely basis, except that Mr. Ralph J. Roberts, a director, made a gift of shares of Class A Special common stock on December 22, 2009 that inadvertently was not reported in a timely manner; this transaction was subsequently reported on a Form 5.</w:t>
      </w:r>
    </w:p>
    <w:p>
      <w:pPr>
        <w:spacing w:after="0" w:line="252"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97790</wp:posOffset>
            </wp:positionV>
            <wp:extent cx="7299325" cy="18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660"/>
          </w:cols>
          <w:pgMar w:left="220" w:top="327" w:right="1019" w:bottom="1440" w:gutter="0" w:footer="0" w:header="0"/>
        </w:sectPr>
      </w:pPr>
    </w:p>
    <w:bookmarkStart w:id="11" w:name="page12"/>
    <w:bookmarkEnd w:id="11"/>
    <w:p>
      <w:pPr>
        <w:spacing w:after="0"/>
        <w:rPr>
          <w:rFonts w:ascii="Arial" w:cs="Arial" w:eastAsia="Arial" w:hAnsi="Arial"/>
          <w:sz w:val="12"/>
          <w:szCs w:val="12"/>
          <w:b w:val="1"/>
          <w:bCs w:val="1"/>
          <w:u w:val="single" w:color="auto"/>
          <w:color w:val="0000EE"/>
        </w:rPr>
      </w:pPr>
      <w:hyperlink w:anchor="page4">
        <w:r>
          <w:rPr>
            <w:rFonts w:ascii="Arial" w:cs="Arial" w:eastAsia="Arial" w:hAnsi="Arial"/>
            <w:sz w:val="12"/>
            <w:szCs w:val="12"/>
            <w:b w:val="1"/>
            <w:bCs w:val="1"/>
            <w:u w:val="single" w:color="auto"/>
            <w:color w:val="0000EE"/>
          </w:rPr>
          <w:t>Table of Contents</w:t>
        </w:r>
      </w:hyperlink>
    </w:p>
    <w:p>
      <w:pPr>
        <w:spacing w:after="0" w:line="229" w:lineRule="exact"/>
        <w:rPr>
          <w:sz w:val="20"/>
          <w:szCs w:val="20"/>
          <w:color w:val="auto"/>
        </w:rPr>
      </w:pPr>
    </w:p>
    <w:p>
      <w:pPr>
        <w:jc w:val="center"/>
        <w:ind w:right="-719"/>
        <w:spacing w:after="0"/>
        <w:rPr>
          <w:sz w:val="20"/>
          <w:szCs w:val="20"/>
          <w:color w:val="auto"/>
        </w:rPr>
      </w:pPr>
      <w:r>
        <w:rPr>
          <w:rFonts w:ascii="Arial" w:cs="Arial" w:eastAsia="Arial" w:hAnsi="Arial"/>
          <w:sz w:val="12"/>
          <w:szCs w:val="12"/>
          <w:b w:val="1"/>
          <w:bCs w:val="1"/>
          <w:color w:val="auto"/>
        </w:rPr>
        <w:t>PROPOSAL 1: ELECTION OF DIRECTORS</w:t>
      </w:r>
    </w:p>
    <w:p>
      <w:pPr>
        <w:spacing w:after="0" w:line="91" w:lineRule="exact"/>
        <w:rPr>
          <w:sz w:val="20"/>
          <w:szCs w:val="20"/>
          <w:color w:val="auto"/>
        </w:rPr>
      </w:pPr>
    </w:p>
    <w:p>
      <w:pPr>
        <w:ind w:left="680" w:right="160" w:firstLine="400"/>
        <w:spacing w:after="0" w:line="276" w:lineRule="auto"/>
        <w:rPr>
          <w:sz w:val="20"/>
          <w:szCs w:val="20"/>
          <w:color w:val="auto"/>
        </w:rPr>
      </w:pPr>
      <w:r>
        <w:rPr>
          <w:rFonts w:ascii="Arial" w:cs="Arial" w:eastAsia="Arial" w:hAnsi="Arial"/>
          <w:sz w:val="12"/>
          <w:szCs w:val="12"/>
          <w:color w:val="auto"/>
        </w:rPr>
        <w:t>Based on the recommendation of our Board’s Governance and Directors Nominating Committee, our Board has nominated the director candidates named below, all of whom currently serve as our directors. All of our directors are elected annually.</w:t>
      </w:r>
    </w:p>
    <w:p>
      <w:pPr>
        <w:spacing w:after="0" w:line="52" w:lineRule="exact"/>
        <w:rPr>
          <w:sz w:val="20"/>
          <w:szCs w:val="20"/>
          <w:color w:val="auto"/>
        </w:rPr>
      </w:pPr>
    </w:p>
    <w:p>
      <w:pPr>
        <w:ind w:left="680" w:right="200" w:firstLine="400"/>
        <w:spacing w:after="0" w:line="276" w:lineRule="auto"/>
        <w:rPr>
          <w:sz w:val="20"/>
          <w:szCs w:val="20"/>
          <w:color w:val="auto"/>
        </w:rPr>
      </w:pPr>
      <w:r>
        <w:rPr>
          <w:rFonts w:ascii="Arial" w:cs="Arial" w:eastAsia="Arial" w:hAnsi="Arial"/>
          <w:sz w:val="12"/>
          <w:szCs w:val="12"/>
          <w:color w:val="auto"/>
        </w:rPr>
        <w:t>If a director nominee becomes unavailable before the annual meeting of shareholders, your proxy authorizes the people named as proxies to vote for a replacement nominee if the Governance and Directors Nominating Committee names one.</w:t>
      </w:r>
    </w:p>
    <w:p>
      <w:pPr>
        <w:spacing w:after="0" w:line="52" w:lineRule="exact"/>
        <w:rPr>
          <w:sz w:val="20"/>
          <w:szCs w:val="20"/>
          <w:color w:val="auto"/>
        </w:rPr>
      </w:pPr>
    </w:p>
    <w:p>
      <w:pPr>
        <w:ind w:left="680" w:right="20" w:firstLine="400"/>
        <w:spacing w:after="0" w:line="280" w:lineRule="auto"/>
        <w:rPr>
          <w:sz w:val="20"/>
          <w:szCs w:val="20"/>
          <w:color w:val="auto"/>
        </w:rPr>
      </w:pPr>
      <w:r>
        <w:rPr>
          <w:rFonts w:ascii="Arial" w:cs="Arial" w:eastAsia="Arial" w:hAnsi="Arial"/>
          <w:sz w:val="11"/>
          <w:szCs w:val="11"/>
          <w:color w:val="auto"/>
        </w:rPr>
        <w:t>Our Board has determined that each of our nonemployee directors, other than Mr. Bonovitz, who is married to a first cousin of Mr. Brian L. Roberts, is independent in accordance with the director independence definition specified in our corporate governance guidelines, which is posted under the “Governance” section of our website, www.cmcsa.com or www.cmcsk.com, and in accordance with applicable NASDAQ Global Select Market rules. In making its independence determinations, our Board considered transactions and relationships between each director or any member of his or her immediate family and the Company and its subsidiaries and affiliates, including those reported under “Related Party Transaction Policy and Certain Transactions” below. The Board also considered that we and our subsidiaries in the ordinary course of business have during the current and past three fiscal years sold products and services to, and/or purchased products and services from, companies at which some of our directors are currently executive officers or a controlling shareholder. In each case, the amount paid to or received from these companies was below 1% of the recipient company’s total consolidated gross revenues, which is far below the 5% limit prescribed by NASDAQ Global Select Market. Following the annual meeting of shareholders, if all director nominees are elected to serve as our directors, independent directors will constitute more than two-thirds of our Board.</w:t>
      </w:r>
    </w:p>
    <w:p>
      <w:pPr>
        <w:spacing w:after="0" w:line="49" w:lineRule="exact"/>
        <w:rPr>
          <w:sz w:val="20"/>
          <w:szCs w:val="20"/>
          <w:color w:val="auto"/>
        </w:rPr>
      </w:pPr>
    </w:p>
    <w:p>
      <w:pPr>
        <w:ind w:left="1080"/>
        <w:spacing w:after="0"/>
        <w:rPr>
          <w:sz w:val="20"/>
          <w:szCs w:val="20"/>
          <w:color w:val="auto"/>
        </w:rPr>
      </w:pPr>
      <w:r>
        <w:rPr>
          <w:rFonts w:ascii="Arial" w:cs="Arial" w:eastAsia="Arial" w:hAnsi="Arial"/>
          <w:sz w:val="12"/>
          <w:szCs w:val="12"/>
          <w:b w:val="1"/>
          <w:bCs w:val="1"/>
          <w:color w:val="auto"/>
        </w:rPr>
        <w:t>OUR BOARD UNANIMOUSLY RECOMMENDS THAT SHAREHOLDERS VOTE “FOR” THE ELECTION OF EACH OF THE NOMINEES FOR DIRECTOR.</w:t>
      </w:r>
    </w:p>
    <w:p>
      <w:pPr>
        <w:spacing w:after="0" w:line="91" w:lineRule="exact"/>
        <w:rPr>
          <w:sz w:val="20"/>
          <w:szCs w:val="20"/>
          <w:color w:val="auto"/>
        </w:rPr>
      </w:pPr>
    </w:p>
    <w:p>
      <w:pPr>
        <w:ind w:left="680" w:right="120" w:firstLine="400"/>
        <w:spacing w:after="0" w:line="263" w:lineRule="auto"/>
        <w:rPr>
          <w:sz w:val="20"/>
          <w:szCs w:val="20"/>
          <w:color w:val="auto"/>
        </w:rPr>
      </w:pPr>
      <w:r>
        <w:rPr>
          <w:rFonts w:ascii="Arial" w:cs="Arial" w:eastAsia="Arial" w:hAnsi="Arial"/>
          <w:sz w:val="12"/>
          <w:szCs w:val="12"/>
          <w:color w:val="auto"/>
        </w:rPr>
        <w:t>We believe that our Board as a whole possesses the right diversity of experience, qualifications and skills to oversee and address the current issues facing our company. In addition, we believe that each of our directors possesses key attributes that we seek in a director, including strong and effective decision-making, communication and leadership skills. Set forth below is additional information about the experience and qualifications of each of the nominees for director.</w:t>
      </w:r>
    </w:p>
    <w:p>
      <w:pPr>
        <w:spacing w:after="0" w:line="60" w:lineRule="exact"/>
        <w:rPr>
          <w:sz w:val="20"/>
          <w:szCs w:val="20"/>
          <w:color w:val="auto"/>
        </w:rPr>
      </w:pPr>
    </w:p>
    <w:p>
      <w:pPr>
        <w:ind w:left="680" w:right="20" w:firstLine="400"/>
        <w:spacing w:after="0" w:line="283" w:lineRule="auto"/>
        <w:rPr>
          <w:sz w:val="20"/>
          <w:szCs w:val="20"/>
          <w:color w:val="auto"/>
        </w:rPr>
      </w:pPr>
      <w:r>
        <w:rPr>
          <w:rFonts w:ascii="Arial" w:cs="Arial" w:eastAsia="Arial" w:hAnsi="Arial"/>
          <w:sz w:val="11"/>
          <w:szCs w:val="11"/>
          <w:color w:val="auto"/>
        </w:rPr>
        <w:t>Brian L. Roberts, 50, has served as a director since March 1988, as our President since February 1990, as our Chief Executive Officer since November 2002 and as our Chairman of the Board since May 2004. As of December 31, 2009, Mr. Roberts had sole voting power over approximately 33% of the combined voting power of our two classes of voting common stock. He is a son of Mr. Ralph J. Roberts. Mr. Roberts is also a director of Comcast Holdings Corporation and the National Cable and Telecommunications Association (“NCTA”), the principal trade association of the cable television industry, and he is Chairman of CableLabs, the cable industry’s research and development organization. Within the past five years, Mr. Roberts was a director of The Bank of New York Mellon until April 2007. We believe that Mr. Roberts’ extensive experience and leadership in the cable, phone, wireless, Internet and programming industries, including as our Chief Executive Officer and President and through his involvement with NCTA and CableLabs, render him qualified to serve as one of our directors.</w:t>
      </w:r>
    </w:p>
    <w:p>
      <w:pPr>
        <w:spacing w:after="0" w:line="51" w:lineRule="exact"/>
        <w:rPr>
          <w:sz w:val="20"/>
          <w:szCs w:val="20"/>
          <w:color w:val="auto"/>
        </w:rPr>
      </w:pPr>
    </w:p>
    <w:p>
      <w:pPr>
        <w:ind w:left="680" w:firstLine="400"/>
        <w:spacing w:after="0" w:line="259" w:lineRule="auto"/>
        <w:rPr>
          <w:sz w:val="20"/>
          <w:szCs w:val="20"/>
          <w:color w:val="auto"/>
        </w:rPr>
      </w:pPr>
      <w:r>
        <w:rPr>
          <w:rFonts w:ascii="Arial" w:cs="Arial" w:eastAsia="Arial" w:hAnsi="Arial"/>
          <w:sz w:val="12"/>
          <w:szCs w:val="12"/>
          <w:color w:val="auto"/>
        </w:rPr>
        <w:t>Ralph J. Roberts, 90, our Founder, has served as a director since March 1969 and is Chairman Emeritus of the Board. He served as the Chair of the Executive and Finance Committee of the Board, now the Finance Committee of the Board, from November 2002 until December 2008. From March 1969 to February 1990, Mr. Roberts served as our President, and from November 1984 to November 2002, he served as our Chairman of the Board. He is the father of Mr. Brian L. Roberts. We believe that Mr. Roberts’ extensive experience and leadership in the cable, phone, wireless, Internet and programming industries, including as our former President, render him qualified to serve as one of our directors.</w:t>
      </w:r>
    </w:p>
    <w:p>
      <w:pPr>
        <w:spacing w:after="0" w:line="62" w:lineRule="exact"/>
        <w:rPr>
          <w:sz w:val="20"/>
          <w:szCs w:val="20"/>
          <w:color w:val="auto"/>
        </w:rPr>
      </w:pPr>
    </w:p>
    <w:p>
      <w:pPr>
        <w:ind w:left="680" w:right="220" w:firstLine="400"/>
        <w:spacing w:after="0" w:line="276" w:lineRule="auto"/>
        <w:rPr>
          <w:sz w:val="20"/>
          <w:szCs w:val="20"/>
          <w:color w:val="auto"/>
        </w:rPr>
      </w:pPr>
      <w:r>
        <w:rPr>
          <w:rFonts w:ascii="Arial" w:cs="Arial" w:eastAsia="Arial" w:hAnsi="Arial"/>
          <w:sz w:val="12"/>
          <w:szCs w:val="12"/>
          <w:color w:val="auto"/>
        </w:rPr>
        <w:t>S. Decker Anstrom, 59, has served as a director since June 2001. From January 2002 to December 2008, Mr. Anstrom served as a director and President and Chief Operating Officer of Landmark Communications, Inc., a privately held multimedia company, the assets of which, prior to September 2008, included The</w:t>
      </w: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97790</wp:posOffset>
            </wp:positionV>
            <wp:extent cx="7299325" cy="18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640"/>
          </w:cols>
          <w:pgMar w:left="220" w:top="327" w:right="1039" w:bottom="1440" w:gutter="0" w:footer="0" w:header="0"/>
        </w:sectPr>
      </w:pPr>
    </w:p>
    <w:bookmarkStart w:id="12" w:name="page13"/>
    <w:bookmarkEnd w:id="12"/>
    <w:p>
      <w:pPr>
        <w:spacing w:after="0"/>
        <w:rPr>
          <w:rFonts w:ascii="Arial" w:cs="Arial" w:eastAsia="Arial" w:hAnsi="Arial"/>
          <w:sz w:val="12"/>
          <w:szCs w:val="12"/>
          <w:b w:val="1"/>
          <w:bCs w:val="1"/>
          <w:u w:val="single" w:color="auto"/>
          <w:color w:val="0000EE"/>
        </w:rPr>
      </w:pP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680"/>
        <w:spacing w:after="0" w:line="263" w:lineRule="auto"/>
        <w:rPr>
          <w:sz w:val="20"/>
          <w:szCs w:val="20"/>
          <w:color w:val="auto"/>
        </w:rPr>
      </w:pPr>
      <w:r>
        <w:rPr>
          <w:rFonts w:ascii="Arial" w:cs="Arial" w:eastAsia="Arial" w:hAnsi="Arial"/>
          <w:sz w:val="12"/>
          <w:szCs w:val="12"/>
          <w:color w:val="auto"/>
        </w:rPr>
        <w:t>Weather Channel. From August 1999 to December 2001, Mr. Anstrom served as President and Chief Executive Officer of The Weather Channel. Mr. Anstrom was the President and Chief Executive Officer of NCTA from 1994 to 1999. We believe that Mr. Anstrom’s vast experience in the programming industry, including his various experiences as a president and chief executive officer as noted above, coupled with his experience in the cable, phone and Internet industries and in governmental affairs, render him qualified to serve as one of our directors.</w:t>
      </w:r>
    </w:p>
    <w:p>
      <w:pPr>
        <w:spacing w:after="0" w:line="60" w:lineRule="exact"/>
        <w:rPr>
          <w:sz w:val="20"/>
          <w:szCs w:val="20"/>
          <w:color w:val="auto"/>
        </w:rPr>
      </w:pPr>
    </w:p>
    <w:p>
      <w:pPr>
        <w:ind w:left="680" w:right="100" w:firstLine="400"/>
        <w:spacing w:after="0" w:line="290" w:lineRule="auto"/>
        <w:rPr>
          <w:sz w:val="20"/>
          <w:szCs w:val="20"/>
          <w:color w:val="auto"/>
        </w:rPr>
      </w:pPr>
      <w:r>
        <w:rPr>
          <w:rFonts w:ascii="Arial" w:cs="Arial" w:eastAsia="Arial" w:hAnsi="Arial"/>
          <w:sz w:val="11"/>
          <w:szCs w:val="11"/>
          <w:color w:val="auto"/>
        </w:rPr>
        <w:t>Kenneth J. Bacon, 55, has served as a director since November 2002. Mr. Bacon has served as the Executive Vice President of Housing and Community Development at Fannie Mae since July 2005 and as Senior Vice President of Multifamily Investment at Fannie Mae since 2000. From January 2005 to July 2005, he served as the interim Executive Vice President of Housing and Community Development. Mr. Bacon is a member of the Executive Leadership Council and a director of the Corporation for Supportive Housing. We believe that Mr. Bacon’s significant experience in governmental affairs, the financial industry and the non-profit, educational and philanthropic communities renders him qualified to serve as one of our directors.</w:t>
      </w:r>
    </w:p>
    <w:p>
      <w:pPr>
        <w:spacing w:after="0" w:line="46" w:lineRule="exact"/>
        <w:rPr>
          <w:sz w:val="20"/>
          <w:szCs w:val="20"/>
          <w:color w:val="auto"/>
        </w:rPr>
      </w:pPr>
    </w:p>
    <w:p>
      <w:pPr>
        <w:ind w:left="680" w:firstLine="400"/>
        <w:spacing w:after="0" w:line="255" w:lineRule="auto"/>
        <w:rPr>
          <w:sz w:val="20"/>
          <w:szCs w:val="20"/>
          <w:color w:val="auto"/>
        </w:rPr>
      </w:pPr>
      <w:r>
        <w:rPr>
          <w:rFonts w:ascii="Arial" w:cs="Arial" w:eastAsia="Arial" w:hAnsi="Arial"/>
          <w:sz w:val="12"/>
          <w:szCs w:val="12"/>
          <w:color w:val="auto"/>
        </w:rPr>
        <w:t>Sheldon M. Bonovitz, 72, has served as a director since March 1979. Mr. Bonovitz is currently Chairman Emeritus of Duane Morris LLP, a law firm. From January 1998 to December 2007, he served as Chairman and Chief Executive Officer of Duane Morris. Mr. Bonovitz is a director of eResearchTechnology, Inc. He is also Chairman of Philadelphia’s Children First Fund, a trustee of the Dolfinger-McMahon Charitable Trust and the Christian R. and Mary F. Lindbach Foundation and a member of the board of trustees of The Barnes Foundation, The Curtis Institute of Music, the Free Library of Philadelphia Foundation and the Philadelphia Museum of Art. He is a founder of the Foundation for Self-Taught American Artists, is the Foundation’s President and serves on the Foundation’s Board of Trustees. We believe that Mr. Bonovitz’s experience and leadership in the legal industry, including his experience as a chief executive officer as noted above, and experience in tax matters render him qualified to serve as one of our directors.</w:t>
      </w:r>
    </w:p>
    <w:p>
      <w:pPr>
        <w:spacing w:after="0" w:line="66" w:lineRule="exact"/>
        <w:rPr>
          <w:sz w:val="20"/>
          <w:szCs w:val="20"/>
          <w:color w:val="auto"/>
        </w:rPr>
      </w:pPr>
    </w:p>
    <w:p>
      <w:pPr>
        <w:ind w:left="680" w:right="20" w:firstLine="400"/>
        <w:spacing w:after="0" w:line="255" w:lineRule="auto"/>
        <w:rPr>
          <w:sz w:val="20"/>
          <w:szCs w:val="20"/>
          <w:color w:val="auto"/>
        </w:rPr>
      </w:pPr>
      <w:r>
        <w:rPr>
          <w:rFonts w:ascii="Arial" w:cs="Arial" w:eastAsia="Arial" w:hAnsi="Arial"/>
          <w:sz w:val="12"/>
          <w:szCs w:val="12"/>
          <w:color w:val="auto"/>
        </w:rPr>
        <w:t>Edward D. Breen, 54, has served as a director since June 2005 and has been our Presiding Director since May 2008. Since July 2002, Mr. Breen has served as Chairman and Chief Executive Officer of Tyco International Ltd. (“Tyco International”). From January 2002 to July 2002, Mr. Breen served as President and Chief Operating Officer of Motorola, Inc.; from January 2001 to January 2002, he served as Executive Vice President and President of Motorola’s Networks Sector; and from January 2000 to January 2001, he served as Executive Vice President and President of Motorola’s Broadband Communications Sector. Mr. Breen is also a director of Tyco International. Within the past five years, Mr. Breen was a director of McLeodUSA Incorporated until May 2005. We believe that Mr. Breen’s extensive experience in the technology, equipment supplier and consumer product sectors, notably as those sectors relate to the cable and phone industries, including his various experiences as a president and chief executive officer as noted above, renders him qualified to serve as one of our directors.</w:t>
      </w:r>
    </w:p>
    <w:p>
      <w:pPr>
        <w:spacing w:after="0" w:line="66" w:lineRule="exact"/>
        <w:rPr>
          <w:sz w:val="20"/>
          <w:szCs w:val="20"/>
          <w:color w:val="auto"/>
        </w:rPr>
      </w:pPr>
    </w:p>
    <w:p>
      <w:pPr>
        <w:ind w:left="680" w:firstLine="400"/>
        <w:spacing w:after="0" w:line="290" w:lineRule="auto"/>
        <w:rPr>
          <w:sz w:val="20"/>
          <w:szCs w:val="20"/>
          <w:color w:val="auto"/>
        </w:rPr>
      </w:pPr>
      <w:r>
        <w:rPr>
          <w:rFonts w:ascii="Arial" w:cs="Arial" w:eastAsia="Arial" w:hAnsi="Arial"/>
          <w:sz w:val="11"/>
          <w:szCs w:val="11"/>
          <w:color w:val="auto"/>
        </w:rPr>
        <w:t>Julian A. Brodsky, 76, has served as a director since March 1969 and has been an employee of Comcast since 1964. Since May 2004, he has served as our non-executive Vice Chairman. From May 1987 to May 2004, he served as our Vice Chairman. In addition, he is a director of Amdocs Ltd., RBB Fund, Inc. and the Philadelphia Chamber Music Society, a trustee and Vice Chairman of the Philadelphia Museum of Art and a director emeritus of The Cable Center. Within the past five years, Mr. Brodsky was a director of Grey Global Group Inc. until March 2005. We believe that Mr. Brodsky’s vast experience in the cable, phone, wireless, Internet, programming and financial industries, coupled with an accounting background, render him qualified to serve as one of our directors.</w:t>
      </w:r>
    </w:p>
    <w:p>
      <w:pPr>
        <w:spacing w:after="0" w:line="46" w:lineRule="exact"/>
        <w:rPr>
          <w:sz w:val="20"/>
          <w:szCs w:val="20"/>
          <w:color w:val="auto"/>
        </w:rPr>
      </w:pPr>
    </w:p>
    <w:p>
      <w:pPr>
        <w:ind w:left="680" w:right="60" w:firstLine="400"/>
        <w:spacing w:after="0" w:line="259" w:lineRule="auto"/>
        <w:rPr>
          <w:sz w:val="20"/>
          <w:szCs w:val="20"/>
          <w:color w:val="auto"/>
        </w:rPr>
      </w:pPr>
      <w:r>
        <w:rPr>
          <w:rFonts w:ascii="Arial" w:cs="Arial" w:eastAsia="Arial" w:hAnsi="Arial"/>
          <w:sz w:val="12"/>
          <w:szCs w:val="12"/>
          <w:color w:val="auto"/>
        </w:rPr>
        <w:t>Joseph J. Collins, 65, has served as a director since October 2004. Mr. Collins currently serves as the Chairman of Aegis, LLC. From August 2001 to December 2003, he served as Chairman and Chief Executive Officer of AOL Time Warner Interactive Video. From 1989 to August 2001, Mr. Collins served as Chairman and Chief Executive Officer of Time Warner Cable. We believe that Mr. Collins’ extensive experience and leadership in the cable and Internet industries, including his various experiences as a chief executive officer as noted above, coupled with his experience in the programming and technology industries and in governmental affairs, render him qualified to serve as one of our directors.</w:t>
      </w:r>
    </w:p>
    <w:p>
      <w:pPr>
        <w:spacing w:after="0" w:line="251"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97790</wp:posOffset>
            </wp:positionV>
            <wp:extent cx="7299325" cy="18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660"/>
          </w:cols>
          <w:pgMar w:left="220" w:top="327" w:right="1019" w:bottom="1440" w:gutter="0" w:footer="0" w:header="0"/>
        </w:sectPr>
      </w:pPr>
    </w:p>
    <w:bookmarkStart w:id="13" w:name="page14"/>
    <w:bookmarkEnd w:id="13"/>
    <w:p>
      <w:pPr>
        <w:spacing w:after="0"/>
        <w:rPr>
          <w:rFonts w:ascii="Arial" w:cs="Arial" w:eastAsia="Arial" w:hAnsi="Arial"/>
          <w:sz w:val="12"/>
          <w:szCs w:val="12"/>
          <w:b w:val="1"/>
          <w:bCs w:val="1"/>
          <w:u w:val="single" w:color="auto"/>
          <w:color w:val="0000EE"/>
        </w:rPr>
      </w:pP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680" w:firstLine="400"/>
        <w:spacing w:after="0" w:line="283" w:lineRule="auto"/>
        <w:rPr>
          <w:sz w:val="20"/>
          <w:szCs w:val="20"/>
          <w:color w:val="auto"/>
        </w:rPr>
      </w:pPr>
      <w:r>
        <w:rPr>
          <w:rFonts w:ascii="Arial" w:cs="Arial" w:eastAsia="Arial" w:hAnsi="Arial"/>
          <w:sz w:val="11"/>
          <w:szCs w:val="11"/>
          <w:color w:val="auto"/>
        </w:rPr>
        <w:t>J. Michael Cook, 67, has served as a director since November 2002. Mr. Cook is a director of International Flavors &amp; Fragrances, Inc. and is a Trustee of the Scripps Research Institute. Mr. Cook is also Chairman Emeritus of the board of Catalyst, Chairman of the Accountability Advisory Panel to the Comptroller General of the United States, an emeritus member of the Advisory Council of the Public Company Accounting Oversight Board (PCAOB) and a member of the Accounting Hall of Fame. Mr. Cook was also named one of the Outstanding Directors in America by Director’s Alert in 2002 and is a past member of the National Association of Corporate Directors’ Blue Ribbon Commission on Corporate Governance. Within the past five years, Mr. Cook was a director of Eli Lilly and Company until April 2009 and The Dow Chemical Company until May 2006. We believe that Mr. Cook’s extensive experience and leadership in the accounting industry, including his experience as the former Chairman and Chief Executive Officer of Deloitte &amp; Touche LLP, coupled with his skills in corporate governance matters, render him qualified to serve as one of our directors.</w:t>
      </w:r>
    </w:p>
    <w:p>
      <w:pPr>
        <w:spacing w:after="0" w:line="51" w:lineRule="exact"/>
        <w:rPr>
          <w:sz w:val="20"/>
          <w:szCs w:val="20"/>
          <w:color w:val="auto"/>
        </w:rPr>
      </w:pPr>
    </w:p>
    <w:p>
      <w:pPr>
        <w:ind w:left="680" w:firstLine="400"/>
        <w:spacing w:after="0" w:line="255" w:lineRule="auto"/>
        <w:rPr>
          <w:sz w:val="20"/>
          <w:szCs w:val="20"/>
          <w:color w:val="auto"/>
        </w:rPr>
      </w:pPr>
      <w:r>
        <w:rPr>
          <w:rFonts w:ascii="Arial" w:cs="Arial" w:eastAsia="Arial" w:hAnsi="Arial"/>
          <w:sz w:val="12"/>
          <w:szCs w:val="12"/>
          <w:color w:val="auto"/>
        </w:rPr>
        <w:t>Gerald L. Hassell, 58, has served as a director since May 2008. He is President of The Bank of New York Mellon (“BNYM”). Prior to the merger of The Bank of New York Company, Inc. and Mellon Financial Corporation in July 2007, Mr. Hassell was President of The Bank of New York Company, Inc. and The Bank of New York. Mr. Hassell is on BNYM’s Board of Directors. He is also Chairman of the Board of Visitors of The Fuqua School of Business at Duke University, a member of the Board of Visitors of Columbia University Medical Center, a member of The Financial Services Roundtable and Financial Services Forum, Vice Chairman of Big Brothers/Big Sisters of New York, and a member of the boards of the New York Philharmonic, The Economic Club of New York and The National September 11 Memorial &amp; Museum. We believe that Mr. Hassell’s significant experience and leadership in the financial industry, including with respect to consumer financial products and his experience as a president as noted above, render him qualified to serve as one of our directors.</w:t>
      </w:r>
    </w:p>
    <w:p>
      <w:pPr>
        <w:spacing w:after="0" w:line="66" w:lineRule="exact"/>
        <w:rPr>
          <w:sz w:val="20"/>
          <w:szCs w:val="20"/>
          <w:color w:val="auto"/>
        </w:rPr>
      </w:pPr>
    </w:p>
    <w:p>
      <w:pPr>
        <w:ind w:left="680" w:right="140" w:firstLine="400"/>
        <w:spacing w:after="0" w:line="254" w:lineRule="auto"/>
        <w:rPr>
          <w:sz w:val="20"/>
          <w:szCs w:val="20"/>
          <w:color w:val="auto"/>
        </w:rPr>
      </w:pPr>
      <w:r>
        <w:rPr>
          <w:rFonts w:ascii="Arial" w:cs="Arial" w:eastAsia="Arial" w:hAnsi="Arial"/>
          <w:sz w:val="12"/>
          <w:szCs w:val="12"/>
          <w:color w:val="auto"/>
        </w:rPr>
        <w:t>Jeffrey A. Honickman, 53, has served as a director since December 2005. He has served since 1990 as the Chief Executive Officer of Pepsi-Cola &amp; National Brand Beverages, Ltd., a bottling and distribution company, which includes among its affiliates Pepsi-Cola Bottling Company of New York, Inc. and Canada Dry bottling companies from New York to Virginia. He is also the Vice President and Secretary of Antonio Origlio Inc., a beverage distributor based in Philadelphia, Pennsylvania, which does business as Origlio Beverages. He currently serves on the board of directors of the American Beverage Association and the Pepsi-Cola Bottlers Association. Mr. Honickman is a member of the board of trustees of Germantown Academy. He also serves on the board of governors of St. Joseph’s University Academy of Food Marketing, the board of trustees of the National Museum of American Jewish History, and the Dean’s Advisory Council of the Drexel University College of Business and Administration. We believe that Mr. Honickman’s significant experience in the retail and consumer products industries, including his experience as a chief executive officer as noted above, renders him qualified to serve as one of our directors.</w:t>
      </w:r>
    </w:p>
    <w:p>
      <w:pPr>
        <w:spacing w:after="0" w:line="68" w:lineRule="exact"/>
        <w:rPr>
          <w:sz w:val="20"/>
          <w:szCs w:val="20"/>
          <w:color w:val="auto"/>
        </w:rPr>
      </w:pPr>
    </w:p>
    <w:p>
      <w:pPr>
        <w:ind w:left="680" w:right="40" w:firstLine="400"/>
        <w:spacing w:after="0" w:line="259" w:lineRule="auto"/>
        <w:rPr>
          <w:sz w:val="20"/>
          <w:szCs w:val="20"/>
          <w:color w:val="auto"/>
        </w:rPr>
      </w:pPr>
      <w:r>
        <w:rPr>
          <w:rFonts w:ascii="Arial" w:cs="Arial" w:eastAsia="Arial" w:hAnsi="Arial"/>
          <w:sz w:val="12"/>
          <w:szCs w:val="12"/>
          <w:color w:val="auto"/>
        </w:rPr>
        <w:t>Dr. Judith Rodin, 65, has served as a director since November 2002. She is President of the Rockefeller Foundation. From 1994 to 2004, Dr. Rodin served as President of the University of Pennsylvania, as well as a professor of psychology and of medicine and psychiatry at the University of Pennsylvania. She also serves as a director of AMR Corporation and Citigroup Inc. Within the past five years, Dr. Rodin was a director of Aetna, Inc. until May 2005. We believe that Dr. Rodin’s extensive experience in the non-profit, educational and philanthropic communities, including her various experiences as a president as noted above, renders her qualified to serve as one of our directors.</w:t>
      </w:r>
    </w:p>
    <w:p>
      <w:pPr>
        <w:spacing w:after="0" w:line="62" w:lineRule="exact"/>
        <w:rPr>
          <w:sz w:val="20"/>
          <w:szCs w:val="20"/>
          <w:color w:val="auto"/>
        </w:rPr>
      </w:pPr>
    </w:p>
    <w:p>
      <w:pPr>
        <w:ind w:left="680" w:right="120" w:firstLine="400"/>
        <w:spacing w:after="0" w:line="259" w:lineRule="auto"/>
        <w:rPr>
          <w:sz w:val="20"/>
          <w:szCs w:val="20"/>
          <w:color w:val="auto"/>
        </w:rPr>
      </w:pPr>
      <w:r>
        <w:rPr>
          <w:rFonts w:ascii="Arial" w:cs="Arial" w:eastAsia="Arial" w:hAnsi="Arial"/>
          <w:sz w:val="12"/>
          <w:szCs w:val="12"/>
          <w:color w:val="auto"/>
        </w:rPr>
        <w:t>Michael I. Sovern, 78, has served as a director since November 2002. Mr. Sovern is Chairman of Sotheby’s. He is also President Emeritus and Chancellor Kent Professor of Law at Columbia University where he served as President for 13 years. He is President and a director of The Shubert Foundation and a director of The Shubert Organization. He is also a director of Sotheby’s. Within the past five years, Mr. Sovern was a director of Sequa Corp. until December 2007. We believe that Mr. Sovern’s extensive experience in the legal industry and in the non-profit, educational and philanthropic communities, including his various experiences as a president as noted above, renders him qualified to serve as one of our directors.</w:t>
      </w:r>
    </w:p>
    <w:p>
      <w:pPr>
        <w:spacing w:after="0" w:line="251"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97790</wp:posOffset>
            </wp:positionV>
            <wp:extent cx="7299325" cy="18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660"/>
          </w:cols>
          <w:pgMar w:left="220" w:top="327" w:right="101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38"/>
        </w:trPr>
        <w:tc>
          <w:tcPr>
            <w:tcW w:w="900" w:type="dxa"/>
            <w:vAlign w:val="bottom"/>
            <w:tcBorders>
              <w:bottom w:val="single" w:sz="8" w:color="0000EE"/>
            </w:tcBorders>
          </w:tcPr>
          <w:p>
            <w:pPr>
              <w:spacing w:after="0"/>
              <w:rPr>
                <w:rFonts w:ascii="Arial" w:cs="Arial" w:eastAsia="Arial" w:hAnsi="Arial"/>
                <w:sz w:val="12"/>
                <w:szCs w:val="12"/>
                <w:b w:val="1"/>
                <w:bCs w:val="1"/>
                <w:color w:val="0000EE"/>
                <w:w w:val="86"/>
              </w:rPr>
            </w:pPr>
            <w:hyperlink w:anchor="page4">
              <w:r>
                <w:rPr>
                  <w:rFonts w:ascii="Arial" w:cs="Arial" w:eastAsia="Arial" w:hAnsi="Arial"/>
                  <w:sz w:val="12"/>
                  <w:szCs w:val="12"/>
                  <w:b w:val="1"/>
                  <w:bCs w:val="1"/>
                  <w:color w:val="0000EE"/>
                  <w:w w:val="86"/>
                </w:rPr>
                <w:t>Table of Contents</w:t>
              </w:r>
            </w:hyperlink>
          </w:p>
        </w:tc>
        <w:tc>
          <w:tcPr>
            <w:tcW w:w="2580" w:type="dxa"/>
            <w:vAlign w:val="bottom"/>
          </w:tcPr>
          <w:p>
            <w:pPr>
              <w:spacing w:after="0"/>
              <w:rPr>
                <w:sz w:val="12"/>
                <w:szCs w:val="12"/>
                <w:color w:val="auto"/>
              </w:rPr>
            </w:pPr>
          </w:p>
        </w:tc>
        <w:tc>
          <w:tcPr>
            <w:tcW w:w="8000" w:type="dxa"/>
            <w:vAlign w:val="bottom"/>
          </w:tcPr>
          <w:p>
            <w:pPr>
              <w:spacing w:after="0"/>
              <w:rPr>
                <w:sz w:val="12"/>
                <w:szCs w:val="12"/>
                <w:color w:val="auto"/>
              </w:rPr>
            </w:pPr>
          </w:p>
        </w:tc>
      </w:tr>
      <w:tr>
        <w:trPr>
          <w:trHeight w:val="349"/>
        </w:trPr>
        <w:tc>
          <w:tcPr>
            <w:tcW w:w="3480" w:type="dxa"/>
            <w:vAlign w:val="bottom"/>
            <w:gridSpan w:val="2"/>
          </w:tcPr>
          <w:p>
            <w:pPr>
              <w:ind w:left="680"/>
              <w:spacing w:after="0"/>
              <w:rPr>
                <w:sz w:val="20"/>
                <w:szCs w:val="20"/>
                <w:color w:val="auto"/>
              </w:rPr>
            </w:pPr>
            <w:r>
              <w:rPr>
                <w:rFonts w:ascii="Arial" w:cs="Arial" w:eastAsia="Arial" w:hAnsi="Arial"/>
                <w:sz w:val="12"/>
                <w:szCs w:val="12"/>
                <w:b w:val="1"/>
                <w:bCs w:val="1"/>
                <w:color w:val="auto"/>
              </w:rPr>
              <w:t>About our Board and its Committees</w:t>
            </w:r>
          </w:p>
        </w:tc>
        <w:tc>
          <w:tcPr>
            <w:tcW w:w="8000" w:type="dxa"/>
            <w:vAlign w:val="bottom"/>
          </w:tcPr>
          <w:p>
            <w:pPr>
              <w:spacing w:after="0"/>
              <w:rPr>
                <w:sz w:val="24"/>
                <w:szCs w:val="24"/>
                <w:color w:val="auto"/>
              </w:rPr>
            </w:pPr>
          </w:p>
        </w:tc>
      </w:tr>
      <w:tr>
        <w:trPr>
          <w:trHeight w:val="216"/>
        </w:trPr>
        <w:tc>
          <w:tcPr>
            <w:tcW w:w="3480" w:type="dxa"/>
            <w:vAlign w:val="bottom"/>
            <w:gridSpan w:val="2"/>
          </w:tcPr>
          <w:p>
            <w:pPr>
              <w:ind w:left="680"/>
              <w:spacing w:after="0"/>
              <w:rPr>
                <w:sz w:val="20"/>
                <w:szCs w:val="20"/>
                <w:color w:val="auto"/>
              </w:rPr>
            </w:pPr>
            <w:r>
              <w:rPr>
                <w:rFonts w:ascii="Arial" w:cs="Arial" w:eastAsia="Arial" w:hAnsi="Arial"/>
                <w:sz w:val="12"/>
                <w:szCs w:val="12"/>
                <w:color w:val="auto"/>
              </w:rPr>
              <w:t>The Board</w:t>
            </w:r>
          </w:p>
        </w:tc>
        <w:tc>
          <w:tcPr>
            <w:tcW w:w="8000" w:type="dxa"/>
            <w:vAlign w:val="bottom"/>
          </w:tcPr>
          <w:p>
            <w:pPr>
              <w:ind w:left="900"/>
              <w:spacing w:after="0"/>
              <w:rPr>
                <w:sz w:val="20"/>
                <w:szCs w:val="20"/>
                <w:color w:val="auto"/>
              </w:rPr>
            </w:pPr>
            <w:r>
              <w:rPr>
                <w:rFonts w:ascii="Arial" w:cs="Arial" w:eastAsia="Arial" w:hAnsi="Arial"/>
                <w:sz w:val="12"/>
                <w:szCs w:val="12"/>
                <w:color w:val="auto"/>
              </w:rPr>
              <w:t>We are governed by a Board of Directors and various committees of the Board that meet throughout the year. During 2009, there</w:t>
            </w:r>
          </w:p>
        </w:tc>
      </w:tr>
      <w:tr>
        <w:trPr>
          <w:trHeight w:val="144"/>
        </w:trPr>
        <w:tc>
          <w:tcPr>
            <w:tcW w:w="9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8000" w:type="dxa"/>
            <w:vAlign w:val="bottom"/>
          </w:tcPr>
          <w:p>
            <w:pPr>
              <w:ind w:left="900"/>
              <w:spacing w:after="0"/>
              <w:rPr>
                <w:sz w:val="20"/>
                <w:szCs w:val="20"/>
                <w:color w:val="auto"/>
              </w:rPr>
            </w:pPr>
            <w:r>
              <w:rPr>
                <w:rFonts w:ascii="Arial" w:cs="Arial" w:eastAsia="Arial" w:hAnsi="Arial"/>
                <w:sz w:val="12"/>
                <w:szCs w:val="12"/>
                <w:color w:val="auto"/>
              </w:rPr>
              <w:t>were 10 meetings of our Board and a total of 19 committee meetings. Each director attended more than 75% of the aggregate of</w:t>
            </w:r>
          </w:p>
        </w:tc>
      </w:tr>
      <w:tr>
        <w:trPr>
          <w:trHeight w:val="144"/>
        </w:trPr>
        <w:tc>
          <w:tcPr>
            <w:tcW w:w="9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8000" w:type="dxa"/>
            <w:vAlign w:val="bottom"/>
          </w:tcPr>
          <w:p>
            <w:pPr>
              <w:ind w:left="900"/>
              <w:spacing w:after="0"/>
              <w:rPr>
                <w:sz w:val="20"/>
                <w:szCs w:val="20"/>
                <w:color w:val="auto"/>
              </w:rPr>
            </w:pPr>
            <w:r>
              <w:rPr>
                <w:rFonts w:ascii="Arial" w:cs="Arial" w:eastAsia="Arial" w:hAnsi="Arial"/>
                <w:sz w:val="12"/>
                <w:szCs w:val="12"/>
                <w:color w:val="auto"/>
              </w:rPr>
              <w:t>the number of Board meetings and the number of meetings held by all of the committees on which he or she served. Our</w:t>
            </w:r>
          </w:p>
        </w:tc>
      </w:tr>
      <w:tr>
        <w:trPr>
          <w:trHeight w:val="144"/>
        </w:trPr>
        <w:tc>
          <w:tcPr>
            <w:tcW w:w="9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8000" w:type="dxa"/>
            <w:vAlign w:val="bottom"/>
          </w:tcPr>
          <w:p>
            <w:pPr>
              <w:ind w:left="900"/>
              <w:spacing w:after="0"/>
              <w:rPr>
                <w:sz w:val="20"/>
                <w:szCs w:val="20"/>
                <w:color w:val="auto"/>
              </w:rPr>
            </w:pPr>
            <w:r>
              <w:rPr>
                <w:rFonts w:ascii="Arial" w:cs="Arial" w:eastAsia="Arial" w:hAnsi="Arial"/>
                <w:sz w:val="12"/>
                <w:szCs w:val="12"/>
                <w:color w:val="auto"/>
              </w:rPr>
              <w:t>independent directors have the opportunity to meet separately in an executive session following each regularly scheduled Board</w:t>
            </w:r>
          </w:p>
        </w:tc>
      </w:tr>
      <w:tr>
        <w:trPr>
          <w:trHeight w:val="144"/>
        </w:trPr>
        <w:tc>
          <w:tcPr>
            <w:tcW w:w="9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8000" w:type="dxa"/>
            <w:vAlign w:val="bottom"/>
          </w:tcPr>
          <w:p>
            <w:pPr>
              <w:ind w:left="900"/>
              <w:spacing w:after="0"/>
              <w:rPr>
                <w:sz w:val="20"/>
                <w:szCs w:val="20"/>
                <w:color w:val="auto"/>
              </w:rPr>
            </w:pPr>
            <w:r>
              <w:rPr>
                <w:rFonts w:ascii="Arial" w:cs="Arial" w:eastAsia="Arial" w:hAnsi="Arial"/>
                <w:sz w:val="12"/>
                <w:szCs w:val="12"/>
                <w:color w:val="auto"/>
              </w:rPr>
              <w:t>meeting and, under our corporate governance guidelines, are required to meet in executive session at least two times each year.</w:t>
            </w:r>
          </w:p>
        </w:tc>
      </w:tr>
      <w:tr>
        <w:trPr>
          <w:trHeight w:val="144"/>
        </w:trPr>
        <w:tc>
          <w:tcPr>
            <w:tcW w:w="9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8000" w:type="dxa"/>
            <w:vAlign w:val="bottom"/>
          </w:tcPr>
          <w:p>
            <w:pPr>
              <w:ind w:left="900"/>
              <w:spacing w:after="0"/>
              <w:rPr>
                <w:sz w:val="20"/>
                <w:szCs w:val="20"/>
                <w:color w:val="auto"/>
              </w:rPr>
            </w:pPr>
            <w:r>
              <w:rPr>
                <w:rFonts w:ascii="Arial" w:cs="Arial" w:eastAsia="Arial" w:hAnsi="Arial"/>
                <w:sz w:val="12"/>
                <w:szCs w:val="12"/>
                <w:color w:val="auto"/>
              </w:rPr>
              <w:t>During 2009, our independent directors held five executive sessions. Following the annual meeting of shareholders, if all director</w:t>
            </w:r>
          </w:p>
        </w:tc>
      </w:tr>
      <w:tr>
        <w:trPr>
          <w:trHeight w:val="144"/>
        </w:trPr>
        <w:tc>
          <w:tcPr>
            <w:tcW w:w="9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8000" w:type="dxa"/>
            <w:vAlign w:val="bottom"/>
          </w:tcPr>
          <w:p>
            <w:pPr>
              <w:ind w:left="900"/>
              <w:spacing w:after="0"/>
              <w:rPr>
                <w:sz w:val="20"/>
                <w:szCs w:val="20"/>
                <w:color w:val="auto"/>
              </w:rPr>
            </w:pPr>
            <w:r>
              <w:rPr>
                <w:rFonts w:ascii="Arial" w:cs="Arial" w:eastAsia="Arial" w:hAnsi="Arial"/>
                <w:sz w:val="12"/>
                <w:szCs w:val="12"/>
                <w:color w:val="auto"/>
              </w:rPr>
              <w:t>nominees are elected to serve as our directors, we will have nine independent directors. We require our directors to attend the</w:t>
            </w:r>
          </w:p>
        </w:tc>
      </w:tr>
      <w:tr>
        <w:trPr>
          <w:trHeight w:val="144"/>
        </w:trPr>
        <w:tc>
          <w:tcPr>
            <w:tcW w:w="9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8000" w:type="dxa"/>
            <w:vAlign w:val="bottom"/>
          </w:tcPr>
          <w:p>
            <w:pPr>
              <w:ind w:left="900"/>
              <w:spacing w:after="0"/>
              <w:rPr>
                <w:sz w:val="20"/>
                <w:szCs w:val="20"/>
                <w:color w:val="auto"/>
              </w:rPr>
            </w:pPr>
            <w:r>
              <w:rPr>
                <w:rFonts w:ascii="Arial" w:cs="Arial" w:eastAsia="Arial" w:hAnsi="Arial"/>
                <w:sz w:val="12"/>
                <w:szCs w:val="12"/>
                <w:color w:val="auto"/>
              </w:rPr>
              <w:t>annual meeting of shareholders, barring unusual circumstances. All of our directors attended the 2009 annual meeting of</w:t>
            </w:r>
          </w:p>
        </w:tc>
      </w:tr>
      <w:tr>
        <w:trPr>
          <w:trHeight w:val="153"/>
        </w:trPr>
        <w:tc>
          <w:tcPr>
            <w:tcW w:w="9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8000" w:type="dxa"/>
            <w:vAlign w:val="bottom"/>
          </w:tcPr>
          <w:p>
            <w:pPr>
              <w:ind w:left="900"/>
              <w:spacing w:after="0"/>
              <w:rPr>
                <w:sz w:val="20"/>
                <w:szCs w:val="20"/>
                <w:color w:val="auto"/>
              </w:rPr>
            </w:pPr>
            <w:r>
              <w:rPr>
                <w:rFonts w:ascii="Arial" w:cs="Arial" w:eastAsia="Arial" w:hAnsi="Arial"/>
                <w:sz w:val="12"/>
                <w:szCs w:val="12"/>
                <w:color w:val="auto"/>
              </w:rPr>
              <w:t>shareholders.</w:t>
            </w:r>
          </w:p>
        </w:tc>
      </w:tr>
      <w:tr>
        <w:trPr>
          <w:trHeight w:val="207"/>
        </w:trPr>
        <w:tc>
          <w:tcPr>
            <w:tcW w:w="9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8000" w:type="dxa"/>
            <w:vAlign w:val="bottom"/>
          </w:tcPr>
          <w:p>
            <w:pPr>
              <w:ind w:left="900"/>
              <w:spacing w:after="0"/>
              <w:rPr>
                <w:sz w:val="20"/>
                <w:szCs w:val="20"/>
                <w:color w:val="auto"/>
              </w:rPr>
            </w:pPr>
            <w:r>
              <w:rPr>
                <w:rFonts w:ascii="Arial" w:cs="Arial" w:eastAsia="Arial" w:hAnsi="Arial"/>
                <w:sz w:val="12"/>
                <w:szCs w:val="12"/>
                <w:color w:val="auto"/>
              </w:rPr>
              <w:t>During 2009, our management, with involvement and input from our Board, completed a companywide enterprise risk</w:t>
            </w:r>
          </w:p>
        </w:tc>
      </w:tr>
      <w:tr>
        <w:trPr>
          <w:trHeight w:val="144"/>
        </w:trPr>
        <w:tc>
          <w:tcPr>
            <w:tcW w:w="9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8000" w:type="dxa"/>
            <w:vAlign w:val="bottom"/>
          </w:tcPr>
          <w:p>
            <w:pPr>
              <w:ind w:left="900"/>
              <w:spacing w:after="0"/>
              <w:rPr>
                <w:sz w:val="20"/>
                <w:szCs w:val="20"/>
                <w:color w:val="auto"/>
              </w:rPr>
            </w:pPr>
            <w:r>
              <w:rPr>
                <w:rFonts w:ascii="Arial" w:cs="Arial" w:eastAsia="Arial" w:hAnsi="Arial"/>
                <w:sz w:val="12"/>
                <w:szCs w:val="12"/>
                <w:color w:val="auto"/>
              </w:rPr>
              <w:t>management assessment and identified the significant risk areas for our Board’s oversight. We believe that our Board understands</w:t>
            </w:r>
          </w:p>
        </w:tc>
      </w:tr>
      <w:tr>
        <w:trPr>
          <w:trHeight w:val="144"/>
        </w:trPr>
        <w:tc>
          <w:tcPr>
            <w:tcW w:w="9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8000" w:type="dxa"/>
            <w:vAlign w:val="bottom"/>
          </w:tcPr>
          <w:p>
            <w:pPr>
              <w:ind w:left="900"/>
              <w:spacing w:after="0"/>
              <w:rPr>
                <w:sz w:val="20"/>
                <w:szCs w:val="20"/>
                <w:color w:val="auto"/>
              </w:rPr>
            </w:pPr>
            <w:r>
              <w:rPr>
                <w:rFonts w:ascii="Arial" w:cs="Arial" w:eastAsia="Arial" w:hAnsi="Arial"/>
                <w:sz w:val="12"/>
                <w:szCs w:val="12"/>
                <w:color w:val="auto"/>
              </w:rPr>
              <w:t>the significant risks facing our company and exercises, as a whole and through its committees, an appropriate degree of risk</w:t>
            </w:r>
          </w:p>
        </w:tc>
      </w:tr>
      <w:tr>
        <w:trPr>
          <w:trHeight w:val="153"/>
        </w:trPr>
        <w:tc>
          <w:tcPr>
            <w:tcW w:w="9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8000" w:type="dxa"/>
            <w:vAlign w:val="bottom"/>
          </w:tcPr>
          <w:p>
            <w:pPr>
              <w:ind w:left="900"/>
              <w:spacing w:after="0"/>
              <w:rPr>
                <w:sz w:val="20"/>
                <w:szCs w:val="20"/>
                <w:color w:val="auto"/>
              </w:rPr>
            </w:pPr>
            <w:r>
              <w:rPr>
                <w:rFonts w:ascii="Arial" w:cs="Arial" w:eastAsia="Arial" w:hAnsi="Arial"/>
                <w:sz w:val="12"/>
                <w:szCs w:val="12"/>
                <w:color w:val="auto"/>
              </w:rPr>
              <w:t>oversight.</w:t>
            </w:r>
          </w:p>
        </w:tc>
      </w:tr>
      <w:tr>
        <w:trPr>
          <w:trHeight w:val="207"/>
        </w:trPr>
        <w:tc>
          <w:tcPr>
            <w:tcW w:w="9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8000" w:type="dxa"/>
            <w:vAlign w:val="bottom"/>
          </w:tcPr>
          <w:p>
            <w:pPr>
              <w:ind w:left="900"/>
              <w:spacing w:after="0"/>
              <w:rPr>
                <w:sz w:val="20"/>
                <w:szCs w:val="20"/>
                <w:color w:val="auto"/>
              </w:rPr>
            </w:pPr>
            <w:r>
              <w:rPr>
                <w:rFonts w:ascii="Arial" w:cs="Arial" w:eastAsia="Arial" w:hAnsi="Arial"/>
                <w:sz w:val="12"/>
                <w:szCs w:val="12"/>
                <w:color w:val="auto"/>
              </w:rPr>
              <w:t>Our Board believes that we and our shareholders are best served by having Brian L. Roberts serve as both our Chairman and Chief</w:t>
            </w:r>
          </w:p>
        </w:tc>
      </w:tr>
      <w:tr>
        <w:trPr>
          <w:trHeight w:val="144"/>
        </w:trPr>
        <w:tc>
          <w:tcPr>
            <w:tcW w:w="9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8000" w:type="dxa"/>
            <w:vAlign w:val="bottom"/>
          </w:tcPr>
          <w:p>
            <w:pPr>
              <w:ind w:left="900"/>
              <w:spacing w:after="0"/>
              <w:rPr>
                <w:sz w:val="20"/>
                <w:szCs w:val="20"/>
                <w:color w:val="auto"/>
              </w:rPr>
            </w:pPr>
            <w:r>
              <w:rPr>
                <w:rFonts w:ascii="Arial" w:cs="Arial" w:eastAsia="Arial" w:hAnsi="Arial"/>
                <w:sz w:val="12"/>
                <w:szCs w:val="12"/>
                <w:color w:val="auto"/>
              </w:rPr>
              <w:t>Executive Officer. We believe that Mr. Roberts is a strong and effective leader, at both the company and Board levels, who</w:t>
            </w:r>
          </w:p>
        </w:tc>
      </w:tr>
      <w:tr>
        <w:trPr>
          <w:trHeight w:val="144"/>
        </w:trPr>
        <w:tc>
          <w:tcPr>
            <w:tcW w:w="9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8000" w:type="dxa"/>
            <w:vAlign w:val="bottom"/>
          </w:tcPr>
          <w:p>
            <w:pPr>
              <w:ind w:left="900"/>
              <w:spacing w:after="0"/>
              <w:rPr>
                <w:sz w:val="20"/>
                <w:szCs w:val="20"/>
                <w:color w:val="auto"/>
              </w:rPr>
            </w:pPr>
            <w:r>
              <w:rPr>
                <w:rFonts w:ascii="Arial" w:cs="Arial" w:eastAsia="Arial" w:hAnsi="Arial"/>
                <w:sz w:val="12"/>
                <w:szCs w:val="12"/>
                <w:color w:val="auto"/>
              </w:rPr>
              <w:t>provides critical leadership for carrying out our strategic initiatives and confronting our challenges. He also serves as a bridge</w:t>
            </w:r>
          </w:p>
        </w:tc>
      </w:tr>
      <w:tr>
        <w:trPr>
          <w:trHeight w:val="144"/>
        </w:trPr>
        <w:tc>
          <w:tcPr>
            <w:tcW w:w="9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8000" w:type="dxa"/>
            <w:vAlign w:val="bottom"/>
          </w:tcPr>
          <w:p>
            <w:pPr>
              <w:ind w:left="900"/>
              <w:spacing w:after="0"/>
              <w:rPr>
                <w:sz w:val="20"/>
                <w:szCs w:val="20"/>
                <w:color w:val="auto"/>
              </w:rPr>
            </w:pPr>
            <w:r>
              <w:rPr>
                <w:rFonts w:ascii="Arial" w:cs="Arial" w:eastAsia="Arial" w:hAnsi="Arial"/>
                <w:sz w:val="12"/>
                <w:szCs w:val="12"/>
                <w:color w:val="auto"/>
              </w:rPr>
              <w:t>between the Board and management, facilitating strong collaboration and encouraging open lines of communication with the</w:t>
            </w:r>
          </w:p>
        </w:tc>
      </w:tr>
      <w:tr>
        <w:trPr>
          <w:trHeight w:val="144"/>
        </w:trPr>
        <w:tc>
          <w:tcPr>
            <w:tcW w:w="9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8000" w:type="dxa"/>
            <w:vAlign w:val="bottom"/>
          </w:tcPr>
          <w:p>
            <w:pPr>
              <w:ind w:left="900"/>
              <w:spacing w:after="0"/>
              <w:rPr>
                <w:sz w:val="20"/>
                <w:szCs w:val="20"/>
                <w:color w:val="auto"/>
              </w:rPr>
            </w:pPr>
            <w:r>
              <w:rPr>
                <w:rFonts w:ascii="Arial" w:cs="Arial" w:eastAsia="Arial" w:hAnsi="Arial"/>
                <w:sz w:val="12"/>
                <w:szCs w:val="12"/>
                <w:color w:val="auto"/>
              </w:rPr>
              <w:t>Board. As such, we believe that Mr. Roberts is the most appropriate person to serve as Chairman of our Board. Moreover, our</w:t>
            </w:r>
          </w:p>
        </w:tc>
      </w:tr>
      <w:tr>
        <w:trPr>
          <w:trHeight w:val="144"/>
        </w:trPr>
        <w:tc>
          <w:tcPr>
            <w:tcW w:w="9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8000" w:type="dxa"/>
            <w:vAlign w:val="bottom"/>
          </w:tcPr>
          <w:p>
            <w:pPr>
              <w:ind w:left="900"/>
              <w:spacing w:after="0"/>
              <w:rPr>
                <w:sz w:val="20"/>
                <w:szCs w:val="20"/>
                <w:color w:val="auto"/>
              </w:rPr>
            </w:pPr>
            <w:r>
              <w:rPr>
                <w:rFonts w:ascii="Arial" w:cs="Arial" w:eastAsia="Arial" w:hAnsi="Arial"/>
                <w:sz w:val="12"/>
                <w:szCs w:val="12"/>
                <w:color w:val="auto"/>
              </w:rPr>
              <w:t>Board believes that Board independence and oversight of management are effectively maintained through the Board’s current</w:t>
            </w:r>
          </w:p>
        </w:tc>
      </w:tr>
      <w:tr>
        <w:trPr>
          <w:trHeight w:val="144"/>
        </w:trPr>
        <w:tc>
          <w:tcPr>
            <w:tcW w:w="9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8000" w:type="dxa"/>
            <w:vAlign w:val="bottom"/>
          </w:tcPr>
          <w:p>
            <w:pPr>
              <w:ind w:left="900"/>
              <w:spacing w:after="0"/>
              <w:rPr>
                <w:sz w:val="20"/>
                <w:szCs w:val="20"/>
                <w:color w:val="auto"/>
              </w:rPr>
            </w:pPr>
            <w:r>
              <w:rPr>
                <w:rFonts w:ascii="Arial" w:cs="Arial" w:eastAsia="Arial" w:hAnsi="Arial"/>
                <w:sz w:val="12"/>
                <w:szCs w:val="12"/>
                <w:color w:val="auto"/>
              </w:rPr>
              <w:t>composition, where over two-thirds of our directors are independent, through our Audit, Compensation and Governance and</w:t>
            </w:r>
          </w:p>
        </w:tc>
      </w:tr>
      <w:tr>
        <w:trPr>
          <w:trHeight w:val="144"/>
        </w:trPr>
        <w:tc>
          <w:tcPr>
            <w:tcW w:w="9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8000" w:type="dxa"/>
            <w:vAlign w:val="bottom"/>
          </w:tcPr>
          <w:p>
            <w:pPr>
              <w:ind w:left="900"/>
              <w:spacing w:after="0"/>
              <w:rPr>
                <w:sz w:val="20"/>
                <w:szCs w:val="20"/>
                <w:color w:val="auto"/>
              </w:rPr>
            </w:pPr>
            <w:r>
              <w:rPr>
                <w:rFonts w:ascii="Arial" w:cs="Arial" w:eastAsia="Arial" w:hAnsi="Arial"/>
                <w:sz w:val="12"/>
                <w:szCs w:val="12"/>
                <w:color w:val="auto"/>
              </w:rPr>
              <w:t>Directors Nominating Committees, which are comprised entirely of independent directors, and through our Presiding Director,</w:t>
            </w:r>
          </w:p>
        </w:tc>
      </w:tr>
      <w:tr>
        <w:trPr>
          <w:trHeight w:val="153"/>
        </w:trPr>
        <w:tc>
          <w:tcPr>
            <w:tcW w:w="9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8000" w:type="dxa"/>
            <w:vAlign w:val="bottom"/>
          </w:tcPr>
          <w:p>
            <w:pPr>
              <w:ind w:left="900"/>
              <w:spacing w:after="0"/>
              <w:rPr>
                <w:sz w:val="20"/>
                <w:szCs w:val="20"/>
                <w:color w:val="auto"/>
              </w:rPr>
            </w:pPr>
            <w:r>
              <w:rPr>
                <w:rFonts w:ascii="Arial" w:cs="Arial" w:eastAsia="Arial" w:hAnsi="Arial"/>
                <w:sz w:val="12"/>
                <w:szCs w:val="12"/>
                <w:color w:val="auto"/>
              </w:rPr>
              <w:t>who, among other things and as more fully described below, presides at the executive sessions held by our independent directors.</w:t>
            </w:r>
          </w:p>
        </w:tc>
      </w:tr>
      <w:tr>
        <w:trPr>
          <w:trHeight w:val="207"/>
        </w:trPr>
        <w:tc>
          <w:tcPr>
            <w:tcW w:w="3480" w:type="dxa"/>
            <w:vAlign w:val="bottom"/>
            <w:gridSpan w:val="2"/>
          </w:tcPr>
          <w:p>
            <w:pPr>
              <w:ind w:left="680"/>
              <w:spacing w:after="0"/>
              <w:rPr>
                <w:sz w:val="20"/>
                <w:szCs w:val="20"/>
                <w:color w:val="auto"/>
              </w:rPr>
            </w:pPr>
            <w:r>
              <w:rPr>
                <w:rFonts w:ascii="Arial" w:cs="Arial" w:eastAsia="Arial" w:hAnsi="Arial"/>
                <w:sz w:val="12"/>
                <w:szCs w:val="12"/>
                <w:color w:val="auto"/>
              </w:rPr>
              <w:t>Presiding Director</w:t>
            </w:r>
          </w:p>
        </w:tc>
        <w:tc>
          <w:tcPr>
            <w:tcW w:w="8000" w:type="dxa"/>
            <w:vAlign w:val="bottom"/>
          </w:tcPr>
          <w:p>
            <w:pPr>
              <w:ind w:left="900"/>
              <w:spacing w:after="0"/>
              <w:rPr>
                <w:sz w:val="20"/>
                <w:szCs w:val="20"/>
                <w:color w:val="auto"/>
              </w:rPr>
            </w:pPr>
            <w:r>
              <w:rPr>
                <w:rFonts w:ascii="Arial" w:cs="Arial" w:eastAsia="Arial" w:hAnsi="Arial"/>
                <w:sz w:val="12"/>
                <w:szCs w:val="12"/>
                <w:color w:val="auto"/>
              </w:rPr>
              <w:t>In accordance with our corporate governance guidelines, our Board has a Presiding Director position, which is currently filled by</w:t>
            </w:r>
          </w:p>
        </w:tc>
      </w:tr>
      <w:tr>
        <w:trPr>
          <w:trHeight w:val="153"/>
        </w:trPr>
        <w:tc>
          <w:tcPr>
            <w:tcW w:w="9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8000" w:type="dxa"/>
            <w:vAlign w:val="bottom"/>
          </w:tcPr>
          <w:p>
            <w:pPr>
              <w:ind w:left="900"/>
              <w:spacing w:after="0"/>
              <w:rPr>
                <w:sz w:val="20"/>
                <w:szCs w:val="20"/>
                <w:color w:val="auto"/>
              </w:rPr>
            </w:pPr>
            <w:r>
              <w:rPr>
                <w:rFonts w:ascii="Arial" w:cs="Arial" w:eastAsia="Arial" w:hAnsi="Arial"/>
                <w:sz w:val="12"/>
                <w:szCs w:val="12"/>
                <w:color w:val="auto"/>
              </w:rPr>
              <w:t>Mr. Breen. The Presiding Director:</w:t>
            </w:r>
          </w:p>
        </w:tc>
      </w:tr>
      <w:tr>
        <w:trPr>
          <w:trHeight w:val="207"/>
        </w:trPr>
        <w:tc>
          <w:tcPr>
            <w:tcW w:w="9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8000" w:type="dxa"/>
            <w:vAlign w:val="bottom"/>
          </w:tcPr>
          <w:p>
            <w:pPr>
              <w:ind w:left="900"/>
              <w:spacing w:after="0"/>
              <w:rPr>
                <w:sz w:val="20"/>
                <w:szCs w:val="20"/>
                <w:color w:val="auto"/>
              </w:rPr>
            </w:pPr>
            <w:r>
              <w:rPr>
                <w:rFonts w:ascii="Arial" w:cs="Arial" w:eastAsia="Arial" w:hAnsi="Arial"/>
                <w:sz w:val="12"/>
                <w:szCs w:val="12"/>
                <w:color w:val="auto"/>
              </w:rPr>
              <w:t>• presides over executive sessions of our independent directors, including an annual executive session during which our</w:t>
            </w:r>
          </w:p>
        </w:tc>
      </w:tr>
      <w:tr>
        <w:trPr>
          <w:trHeight w:val="153"/>
        </w:trPr>
        <w:tc>
          <w:tcPr>
            <w:tcW w:w="9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8000" w:type="dxa"/>
            <w:vAlign w:val="bottom"/>
          </w:tcPr>
          <w:p>
            <w:pPr>
              <w:ind w:left="960"/>
              <w:spacing w:after="0"/>
              <w:rPr>
                <w:sz w:val="20"/>
                <w:szCs w:val="20"/>
                <w:color w:val="auto"/>
              </w:rPr>
            </w:pPr>
            <w:r>
              <w:rPr>
                <w:rFonts w:ascii="Arial" w:cs="Arial" w:eastAsia="Arial" w:hAnsi="Arial"/>
                <w:sz w:val="12"/>
                <w:szCs w:val="12"/>
                <w:color w:val="auto"/>
              </w:rPr>
              <w:t>independent directors review the performance of our Chief Executive Officer and senior management;</w:t>
            </w:r>
          </w:p>
        </w:tc>
      </w:tr>
      <w:tr>
        <w:trPr>
          <w:trHeight w:val="414"/>
        </w:trPr>
        <w:tc>
          <w:tcPr>
            <w:tcW w:w="9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8000" w:type="dxa"/>
            <w:vAlign w:val="bottom"/>
          </w:tcPr>
          <w:p>
            <w:pPr>
              <w:ind w:left="2140"/>
              <w:spacing w:after="0"/>
              <w:rPr>
                <w:sz w:val="20"/>
                <w:szCs w:val="20"/>
                <w:color w:val="auto"/>
              </w:rPr>
            </w:pPr>
            <w:r>
              <w:rPr>
                <w:rFonts w:ascii="Arial" w:cs="Arial" w:eastAsia="Arial" w:hAnsi="Arial"/>
                <w:sz w:val="12"/>
                <w:szCs w:val="12"/>
                <w:color w:val="auto"/>
              </w:rPr>
              <w:t>11</w:t>
            </w:r>
          </w:p>
        </w:tc>
      </w:tr>
      <w:tr>
        <w:trPr>
          <w:trHeight w:val="148"/>
        </w:trPr>
        <w:tc>
          <w:tcPr>
            <w:tcW w:w="900" w:type="dxa"/>
            <w:vAlign w:val="bottom"/>
            <w:tcBorders>
              <w:bottom w:val="single" w:sz="8" w:color="808080"/>
            </w:tcBorders>
          </w:tcPr>
          <w:p>
            <w:pPr>
              <w:spacing w:after="0"/>
              <w:rPr>
                <w:sz w:val="12"/>
                <w:szCs w:val="12"/>
                <w:color w:val="auto"/>
              </w:rPr>
            </w:pPr>
          </w:p>
        </w:tc>
        <w:tc>
          <w:tcPr>
            <w:tcW w:w="2580" w:type="dxa"/>
            <w:vAlign w:val="bottom"/>
            <w:tcBorders>
              <w:bottom w:val="single" w:sz="8" w:color="808080"/>
            </w:tcBorders>
          </w:tcPr>
          <w:p>
            <w:pPr>
              <w:spacing w:after="0"/>
              <w:rPr>
                <w:sz w:val="12"/>
                <w:szCs w:val="12"/>
                <w:color w:val="auto"/>
              </w:rPr>
            </w:pPr>
          </w:p>
        </w:tc>
        <w:tc>
          <w:tcPr>
            <w:tcW w:w="800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317" w:right="19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38"/>
        </w:trPr>
        <w:tc>
          <w:tcPr>
            <w:tcW w:w="3100" w:type="dxa"/>
            <w:vAlign w:val="bottom"/>
            <w:gridSpan w:val="2"/>
          </w:tcPr>
          <w:p>
            <w:pPr>
              <w:spacing w:after="0"/>
              <w:rPr>
                <w:rFonts w:ascii="Arial" w:cs="Arial" w:eastAsia="Arial" w:hAnsi="Arial"/>
                <w:sz w:val="12"/>
                <w:szCs w:val="12"/>
                <w:b w:val="1"/>
                <w:bCs w:val="1"/>
                <w:color w:val="0000EE"/>
              </w:rPr>
            </w:pPr>
            <w:hyperlink w:anchor="page4">
              <w:r>
                <w:rPr>
                  <w:rFonts w:ascii="Arial" w:cs="Arial" w:eastAsia="Arial" w:hAnsi="Arial"/>
                  <w:sz w:val="12"/>
                  <w:szCs w:val="12"/>
                  <w:b w:val="1"/>
                  <w:bCs w:val="1"/>
                  <w:color w:val="0000EE"/>
                </w:rPr>
                <w:t>Table of Contents</w:t>
              </w:r>
            </w:hyperlink>
          </w:p>
        </w:tc>
        <w:tc>
          <w:tcPr>
            <w:tcW w:w="8380" w:type="dxa"/>
            <w:vAlign w:val="bottom"/>
          </w:tcPr>
          <w:p>
            <w:pPr>
              <w:spacing w:after="0"/>
              <w:rPr>
                <w:sz w:val="12"/>
                <w:szCs w:val="12"/>
                <w:color w:val="auto"/>
              </w:rPr>
            </w:pPr>
          </w:p>
        </w:tc>
      </w:tr>
      <w:tr>
        <w:trPr>
          <w:trHeight w:val="349"/>
        </w:trPr>
        <w:tc>
          <w:tcPr>
            <w:tcW w:w="900" w:type="dxa"/>
            <w:vAlign w:val="bottom"/>
            <w:tcBorders>
              <w:top w:val="single" w:sz="8" w:color="0000EE"/>
            </w:tcBorders>
          </w:tcPr>
          <w:p>
            <w:pPr>
              <w:spacing w:after="0"/>
              <w:rPr>
                <w:sz w:val="24"/>
                <w:szCs w:val="24"/>
                <w:color w:val="auto"/>
              </w:rPr>
            </w:pPr>
          </w:p>
        </w:tc>
        <w:tc>
          <w:tcPr>
            <w:tcW w:w="2200" w:type="dxa"/>
            <w:vAlign w:val="bottom"/>
          </w:tcPr>
          <w:p>
            <w:pPr>
              <w:spacing w:after="0"/>
              <w:rPr>
                <w:sz w:val="24"/>
                <w:szCs w:val="24"/>
                <w:color w:val="auto"/>
              </w:rPr>
            </w:pPr>
          </w:p>
        </w:tc>
        <w:tc>
          <w:tcPr>
            <w:tcW w:w="8380" w:type="dxa"/>
            <w:vAlign w:val="bottom"/>
          </w:tcPr>
          <w:p>
            <w:pPr>
              <w:ind w:left="1080"/>
              <w:spacing w:after="0"/>
              <w:rPr>
                <w:sz w:val="20"/>
                <w:szCs w:val="20"/>
                <w:color w:val="auto"/>
              </w:rPr>
            </w:pPr>
            <w:r>
              <w:rPr>
                <w:rFonts w:ascii="Arial" w:cs="Arial" w:eastAsia="Arial" w:hAnsi="Arial"/>
                <w:sz w:val="12"/>
                <w:szCs w:val="12"/>
                <w:color w:val="auto"/>
              </w:rPr>
              <w:t>• consults in advance with our independent directors concerning the need for an executive session in connection with each regularly</w:t>
            </w:r>
          </w:p>
        </w:tc>
      </w:tr>
      <w:tr>
        <w:trPr>
          <w:trHeight w:val="153"/>
        </w:trPr>
        <w:tc>
          <w:tcPr>
            <w:tcW w:w="9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8380" w:type="dxa"/>
            <w:vAlign w:val="bottom"/>
          </w:tcPr>
          <w:p>
            <w:pPr>
              <w:ind w:left="1140"/>
              <w:spacing w:after="0"/>
              <w:rPr>
                <w:sz w:val="20"/>
                <w:szCs w:val="20"/>
                <w:color w:val="auto"/>
              </w:rPr>
            </w:pPr>
            <w:r>
              <w:rPr>
                <w:rFonts w:ascii="Arial" w:cs="Arial" w:eastAsia="Arial" w:hAnsi="Arial"/>
                <w:sz w:val="12"/>
                <w:szCs w:val="12"/>
                <w:color w:val="auto"/>
              </w:rPr>
              <w:t>scheduled Board meeting;</w:t>
            </w:r>
          </w:p>
        </w:tc>
      </w:tr>
      <w:tr>
        <w:trPr>
          <w:trHeight w:val="207"/>
        </w:trPr>
        <w:tc>
          <w:tcPr>
            <w:tcW w:w="9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8380" w:type="dxa"/>
            <w:vAlign w:val="bottom"/>
          </w:tcPr>
          <w:p>
            <w:pPr>
              <w:ind w:left="1080"/>
              <w:spacing w:after="0"/>
              <w:rPr>
                <w:sz w:val="20"/>
                <w:szCs w:val="20"/>
                <w:color w:val="auto"/>
              </w:rPr>
            </w:pPr>
            <w:r>
              <w:rPr>
                <w:rFonts w:ascii="Arial" w:cs="Arial" w:eastAsia="Arial" w:hAnsi="Arial"/>
                <w:sz w:val="12"/>
                <w:szCs w:val="12"/>
                <w:color w:val="auto"/>
              </w:rPr>
              <w:t>• communicates periodically between Board meetings and executive sessions with our independent directors, following discussions</w:t>
            </w:r>
          </w:p>
        </w:tc>
      </w:tr>
      <w:tr>
        <w:trPr>
          <w:trHeight w:val="153"/>
        </w:trPr>
        <w:tc>
          <w:tcPr>
            <w:tcW w:w="9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8380" w:type="dxa"/>
            <w:vAlign w:val="bottom"/>
          </w:tcPr>
          <w:p>
            <w:pPr>
              <w:ind w:left="1140"/>
              <w:spacing w:after="0"/>
              <w:rPr>
                <w:sz w:val="20"/>
                <w:szCs w:val="20"/>
                <w:color w:val="auto"/>
              </w:rPr>
            </w:pPr>
            <w:r>
              <w:rPr>
                <w:rFonts w:ascii="Arial" w:cs="Arial" w:eastAsia="Arial" w:hAnsi="Arial"/>
                <w:sz w:val="12"/>
                <w:szCs w:val="12"/>
                <w:color w:val="auto"/>
              </w:rPr>
              <w:t>with management and otherwise on topics of importance to our independent directors;</w:t>
            </w:r>
          </w:p>
        </w:tc>
      </w:tr>
      <w:tr>
        <w:trPr>
          <w:trHeight w:val="216"/>
        </w:trPr>
        <w:tc>
          <w:tcPr>
            <w:tcW w:w="9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8380" w:type="dxa"/>
            <w:vAlign w:val="bottom"/>
          </w:tcPr>
          <w:p>
            <w:pPr>
              <w:ind w:left="1080"/>
              <w:spacing w:after="0"/>
              <w:rPr>
                <w:sz w:val="20"/>
                <w:szCs w:val="20"/>
                <w:color w:val="auto"/>
              </w:rPr>
            </w:pPr>
            <w:r>
              <w:rPr>
                <w:rFonts w:ascii="Arial" w:cs="Arial" w:eastAsia="Arial" w:hAnsi="Arial"/>
                <w:sz w:val="12"/>
                <w:szCs w:val="12"/>
                <w:color w:val="auto"/>
              </w:rPr>
              <w:t>• reviews and approves the process for the annual self-assessment of our Board and its committees;</w:t>
            </w:r>
          </w:p>
        </w:tc>
      </w:tr>
      <w:tr>
        <w:trPr>
          <w:trHeight w:val="216"/>
        </w:trPr>
        <w:tc>
          <w:tcPr>
            <w:tcW w:w="9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8380" w:type="dxa"/>
            <w:vAlign w:val="bottom"/>
          </w:tcPr>
          <w:p>
            <w:pPr>
              <w:ind w:left="1080"/>
              <w:spacing w:after="0"/>
              <w:rPr>
                <w:sz w:val="20"/>
                <w:szCs w:val="20"/>
                <w:color w:val="auto"/>
              </w:rPr>
            </w:pPr>
            <w:r>
              <w:rPr>
                <w:rFonts w:ascii="Arial" w:cs="Arial" w:eastAsia="Arial" w:hAnsi="Arial"/>
                <w:sz w:val="12"/>
                <w:szCs w:val="12"/>
                <w:color w:val="auto"/>
              </w:rPr>
              <w:t>• organizes the annual Board evaluation of the performance of our Chief Executive Officer and senior management; and</w:t>
            </w:r>
          </w:p>
        </w:tc>
      </w:tr>
      <w:tr>
        <w:trPr>
          <w:trHeight w:val="216"/>
        </w:trPr>
        <w:tc>
          <w:tcPr>
            <w:tcW w:w="9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8380" w:type="dxa"/>
            <w:vAlign w:val="bottom"/>
          </w:tcPr>
          <w:p>
            <w:pPr>
              <w:ind w:left="1080"/>
              <w:spacing w:after="0"/>
              <w:rPr>
                <w:sz w:val="20"/>
                <w:szCs w:val="20"/>
                <w:color w:val="auto"/>
              </w:rPr>
            </w:pPr>
            <w:r>
              <w:rPr>
                <w:rFonts w:ascii="Arial" w:cs="Arial" w:eastAsia="Arial" w:hAnsi="Arial"/>
                <w:sz w:val="12"/>
                <w:szCs w:val="12"/>
                <w:color w:val="auto"/>
              </w:rPr>
              <w:t>• reviews and suggests topics for discussion and presentation at Board meetings.</w:t>
            </w:r>
          </w:p>
        </w:tc>
      </w:tr>
      <w:tr>
        <w:trPr>
          <w:trHeight w:val="207"/>
        </w:trPr>
        <w:tc>
          <w:tcPr>
            <w:tcW w:w="9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8380" w:type="dxa"/>
            <w:vAlign w:val="bottom"/>
          </w:tcPr>
          <w:p>
            <w:pPr>
              <w:ind w:left="1080"/>
              <w:spacing w:after="0"/>
              <w:rPr>
                <w:sz w:val="20"/>
                <w:szCs w:val="20"/>
                <w:color w:val="auto"/>
              </w:rPr>
            </w:pPr>
            <w:r>
              <w:rPr>
                <w:rFonts w:ascii="Arial" w:cs="Arial" w:eastAsia="Arial" w:hAnsi="Arial"/>
                <w:sz w:val="12"/>
                <w:szCs w:val="12"/>
                <w:color w:val="auto"/>
              </w:rPr>
              <w:t>The role of Presiding Director is filled by an independent director recommended by the Governance and Directors Nominating</w:t>
            </w:r>
          </w:p>
        </w:tc>
      </w:tr>
      <w:tr>
        <w:trPr>
          <w:trHeight w:val="153"/>
        </w:trPr>
        <w:tc>
          <w:tcPr>
            <w:tcW w:w="9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8380" w:type="dxa"/>
            <w:vAlign w:val="bottom"/>
          </w:tcPr>
          <w:p>
            <w:pPr>
              <w:ind w:left="1080"/>
              <w:spacing w:after="0"/>
              <w:rPr>
                <w:sz w:val="20"/>
                <w:szCs w:val="20"/>
                <w:color w:val="auto"/>
              </w:rPr>
            </w:pPr>
            <w:r>
              <w:rPr>
                <w:rFonts w:ascii="Arial" w:cs="Arial" w:eastAsia="Arial" w:hAnsi="Arial"/>
                <w:sz w:val="12"/>
                <w:szCs w:val="12"/>
                <w:color w:val="auto"/>
              </w:rPr>
              <w:t>Committee and appointed by the Board annually at the Board meeting immediately following the annual meeting of shareholders.</w:t>
            </w:r>
          </w:p>
        </w:tc>
      </w:tr>
      <w:tr>
        <w:trPr>
          <w:trHeight w:val="207"/>
        </w:trPr>
        <w:tc>
          <w:tcPr>
            <w:tcW w:w="3100" w:type="dxa"/>
            <w:vAlign w:val="bottom"/>
            <w:gridSpan w:val="2"/>
          </w:tcPr>
          <w:p>
            <w:pPr>
              <w:ind w:left="680"/>
              <w:spacing w:after="0"/>
              <w:rPr>
                <w:sz w:val="20"/>
                <w:szCs w:val="20"/>
                <w:color w:val="auto"/>
              </w:rPr>
            </w:pPr>
            <w:r>
              <w:rPr>
                <w:rFonts w:ascii="Arial" w:cs="Arial" w:eastAsia="Arial" w:hAnsi="Arial"/>
                <w:sz w:val="12"/>
                <w:szCs w:val="12"/>
                <w:color w:val="auto"/>
              </w:rPr>
              <w:t>Committees of our Board</w:t>
            </w:r>
          </w:p>
        </w:tc>
        <w:tc>
          <w:tcPr>
            <w:tcW w:w="8380" w:type="dxa"/>
            <w:vAlign w:val="bottom"/>
          </w:tcPr>
          <w:p>
            <w:pPr>
              <w:ind w:left="1080"/>
              <w:spacing w:after="0"/>
              <w:rPr>
                <w:sz w:val="20"/>
                <w:szCs w:val="20"/>
                <w:color w:val="auto"/>
              </w:rPr>
            </w:pPr>
            <w:r>
              <w:rPr>
                <w:rFonts w:ascii="Arial" w:cs="Arial" w:eastAsia="Arial" w:hAnsi="Arial"/>
                <w:sz w:val="12"/>
                <w:szCs w:val="12"/>
                <w:color w:val="auto"/>
              </w:rPr>
              <w:t>Our Board has four standing committees. The following describes for each committee its current membership, the number of meetings</w:t>
            </w:r>
          </w:p>
        </w:tc>
      </w:tr>
      <w:tr>
        <w:trPr>
          <w:trHeight w:val="153"/>
        </w:trPr>
        <w:tc>
          <w:tcPr>
            <w:tcW w:w="9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8380" w:type="dxa"/>
            <w:vAlign w:val="bottom"/>
          </w:tcPr>
          <w:p>
            <w:pPr>
              <w:ind w:left="1080"/>
              <w:spacing w:after="0"/>
              <w:rPr>
                <w:sz w:val="20"/>
                <w:szCs w:val="20"/>
                <w:color w:val="auto"/>
              </w:rPr>
            </w:pPr>
            <w:r>
              <w:rPr>
                <w:rFonts w:ascii="Arial" w:cs="Arial" w:eastAsia="Arial" w:hAnsi="Arial"/>
                <w:sz w:val="12"/>
                <w:szCs w:val="12"/>
                <w:color w:val="auto"/>
              </w:rPr>
              <w:t>held during 2009 and its mission.</w:t>
            </w:r>
          </w:p>
        </w:tc>
      </w:tr>
      <w:tr>
        <w:trPr>
          <w:trHeight w:val="207"/>
        </w:trPr>
        <w:tc>
          <w:tcPr>
            <w:tcW w:w="3100" w:type="dxa"/>
            <w:vAlign w:val="bottom"/>
            <w:gridSpan w:val="2"/>
          </w:tcPr>
          <w:p>
            <w:pPr>
              <w:ind w:left="740"/>
              <w:spacing w:after="0"/>
              <w:rPr>
                <w:sz w:val="20"/>
                <w:szCs w:val="20"/>
                <w:color w:val="auto"/>
              </w:rPr>
            </w:pPr>
            <w:r>
              <w:rPr>
                <w:rFonts w:ascii="Arial" w:cs="Arial" w:eastAsia="Arial" w:hAnsi="Arial"/>
                <w:sz w:val="12"/>
                <w:szCs w:val="12"/>
                <w:color w:val="auto"/>
              </w:rPr>
              <w:t>Audit Committee</w:t>
            </w:r>
          </w:p>
        </w:tc>
        <w:tc>
          <w:tcPr>
            <w:tcW w:w="8380" w:type="dxa"/>
            <w:vAlign w:val="bottom"/>
          </w:tcPr>
          <w:p>
            <w:pPr>
              <w:ind w:left="1080"/>
              <w:spacing w:after="0"/>
              <w:rPr>
                <w:sz w:val="20"/>
                <w:szCs w:val="20"/>
                <w:color w:val="auto"/>
              </w:rPr>
            </w:pPr>
            <w:r>
              <w:rPr>
                <w:rFonts w:ascii="Arial" w:cs="Arial" w:eastAsia="Arial" w:hAnsi="Arial"/>
                <w:sz w:val="12"/>
                <w:szCs w:val="12"/>
                <w:color w:val="auto"/>
              </w:rPr>
              <w:t>Joseph J. Collins, J. Michael Cook (Chair), Jeffrey A. Honickman and Dr. Judith Rodin. Each member of the committee is</w:t>
            </w:r>
          </w:p>
        </w:tc>
      </w:tr>
      <w:tr>
        <w:trPr>
          <w:trHeight w:val="144"/>
        </w:trPr>
        <w:tc>
          <w:tcPr>
            <w:tcW w:w="9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380" w:type="dxa"/>
            <w:vAlign w:val="bottom"/>
          </w:tcPr>
          <w:p>
            <w:pPr>
              <w:ind w:left="1080"/>
              <w:spacing w:after="0"/>
              <w:rPr>
                <w:sz w:val="20"/>
                <w:szCs w:val="20"/>
                <w:color w:val="auto"/>
              </w:rPr>
            </w:pPr>
            <w:r>
              <w:rPr>
                <w:rFonts w:ascii="Arial" w:cs="Arial" w:eastAsia="Arial" w:hAnsi="Arial"/>
                <w:sz w:val="12"/>
                <w:szCs w:val="12"/>
                <w:color w:val="auto"/>
              </w:rPr>
              <w:t>independent for audit committee purposes under NASDAQ Global Select Market rules. A copy of this committee’s charter is posted</w:t>
            </w:r>
          </w:p>
        </w:tc>
      </w:tr>
      <w:tr>
        <w:trPr>
          <w:trHeight w:val="153"/>
        </w:trPr>
        <w:tc>
          <w:tcPr>
            <w:tcW w:w="9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8380" w:type="dxa"/>
            <w:vAlign w:val="bottom"/>
          </w:tcPr>
          <w:p>
            <w:pPr>
              <w:ind w:left="1080"/>
              <w:spacing w:after="0"/>
              <w:rPr>
                <w:sz w:val="20"/>
                <w:szCs w:val="20"/>
                <w:color w:val="auto"/>
              </w:rPr>
            </w:pPr>
            <w:r>
              <w:rPr>
                <w:rFonts w:ascii="Arial" w:cs="Arial" w:eastAsia="Arial" w:hAnsi="Arial"/>
                <w:sz w:val="12"/>
                <w:szCs w:val="12"/>
                <w:color w:val="auto"/>
              </w:rPr>
              <w:t>under the “Governance” section of our website at www.cmcsa.com or www.cmcsk.com.</w:t>
            </w:r>
          </w:p>
        </w:tc>
      </w:tr>
      <w:tr>
        <w:trPr>
          <w:trHeight w:val="216"/>
        </w:trPr>
        <w:tc>
          <w:tcPr>
            <w:tcW w:w="9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8380" w:type="dxa"/>
            <w:vAlign w:val="bottom"/>
          </w:tcPr>
          <w:p>
            <w:pPr>
              <w:ind w:left="1080"/>
              <w:spacing w:after="0"/>
              <w:rPr>
                <w:sz w:val="20"/>
                <w:szCs w:val="20"/>
                <w:color w:val="auto"/>
              </w:rPr>
            </w:pPr>
            <w:r>
              <w:rPr>
                <w:rFonts w:ascii="Arial" w:cs="Arial" w:eastAsia="Arial" w:hAnsi="Arial"/>
                <w:sz w:val="12"/>
                <w:szCs w:val="12"/>
                <w:color w:val="auto"/>
              </w:rPr>
              <w:t>This committee met six times in 2009. The Audit Committee is responsible for the oversight and evaluation of:</w:t>
            </w:r>
          </w:p>
        </w:tc>
      </w:tr>
      <w:tr>
        <w:trPr>
          <w:trHeight w:val="216"/>
        </w:trPr>
        <w:tc>
          <w:tcPr>
            <w:tcW w:w="9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8380" w:type="dxa"/>
            <w:vAlign w:val="bottom"/>
          </w:tcPr>
          <w:p>
            <w:pPr>
              <w:ind w:left="1080"/>
              <w:spacing w:after="0"/>
              <w:rPr>
                <w:sz w:val="20"/>
                <w:szCs w:val="20"/>
                <w:color w:val="auto"/>
              </w:rPr>
            </w:pPr>
            <w:r>
              <w:rPr>
                <w:rFonts w:ascii="Arial" w:cs="Arial" w:eastAsia="Arial" w:hAnsi="Arial"/>
                <w:sz w:val="12"/>
                <w:szCs w:val="12"/>
                <w:color w:val="auto"/>
              </w:rPr>
              <w:t>• the qualifications, independence and performance of our independent auditors;</w:t>
            </w:r>
          </w:p>
        </w:tc>
      </w:tr>
      <w:tr>
        <w:trPr>
          <w:trHeight w:val="216"/>
        </w:trPr>
        <w:tc>
          <w:tcPr>
            <w:tcW w:w="9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8380" w:type="dxa"/>
            <w:vAlign w:val="bottom"/>
          </w:tcPr>
          <w:p>
            <w:pPr>
              <w:ind w:left="1080"/>
              <w:spacing w:after="0"/>
              <w:rPr>
                <w:sz w:val="20"/>
                <w:szCs w:val="20"/>
                <w:color w:val="auto"/>
              </w:rPr>
            </w:pPr>
            <w:r>
              <w:rPr>
                <w:rFonts w:ascii="Arial" w:cs="Arial" w:eastAsia="Arial" w:hAnsi="Arial"/>
                <w:sz w:val="12"/>
                <w:szCs w:val="12"/>
                <w:color w:val="auto"/>
              </w:rPr>
              <w:t>• the performance of our internal audit function; and</w:t>
            </w:r>
          </w:p>
        </w:tc>
      </w:tr>
      <w:tr>
        <w:trPr>
          <w:trHeight w:val="216"/>
        </w:trPr>
        <w:tc>
          <w:tcPr>
            <w:tcW w:w="9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8380" w:type="dxa"/>
            <w:vAlign w:val="bottom"/>
          </w:tcPr>
          <w:p>
            <w:pPr>
              <w:ind w:left="1080"/>
              <w:spacing w:after="0"/>
              <w:rPr>
                <w:sz w:val="20"/>
                <w:szCs w:val="20"/>
                <w:color w:val="auto"/>
              </w:rPr>
            </w:pPr>
            <w:r>
              <w:rPr>
                <w:rFonts w:ascii="Arial" w:cs="Arial" w:eastAsia="Arial" w:hAnsi="Arial"/>
                <w:sz w:val="12"/>
                <w:szCs w:val="12"/>
                <w:color w:val="auto"/>
              </w:rPr>
              <w:t>• the quality and integrity of our financial statements and the effectiveness of our internal control over financial reporting.</w:t>
            </w:r>
          </w:p>
        </w:tc>
      </w:tr>
      <w:tr>
        <w:trPr>
          <w:trHeight w:val="207"/>
        </w:trPr>
        <w:tc>
          <w:tcPr>
            <w:tcW w:w="9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8380" w:type="dxa"/>
            <w:vAlign w:val="bottom"/>
          </w:tcPr>
          <w:p>
            <w:pPr>
              <w:ind w:left="1080"/>
              <w:spacing w:after="0"/>
              <w:rPr>
                <w:sz w:val="20"/>
                <w:szCs w:val="20"/>
                <w:color w:val="auto"/>
              </w:rPr>
            </w:pPr>
            <w:r>
              <w:rPr>
                <w:rFonts w:ascii="Arial" w:cs="Arial" w:eastAsia="Arial" w:hAnsi="Arial"/>
                <w:sz w:val="12"/>
                <w:szCs w:val="12"/>
                <w:color w:val="auto"/>
              </w:rPr>
              <w:t>In addition, the Audit Committee is responsible for reviewing our processes and practices with respect to enterprise risk assessment</w:t>
            </w:r>
          </w:p>
        </w:tc>
      </w:tr>
      <w:tr>
        <w:trPr>
          <w:trHeight w:val="144"/>
        </w:trPr>
        <w:tc>
          <w:tcPr>
            <w:tcW w:w="9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380" w:type="dxa"/>
            <w:vAlign w:val="bottom"/>
          </w:tcPr>
          <w:p>
            <w:pPr>
              <w:ind w:left="1080"/>
              <w:spacing w:after="0"/>
              <w:rPr>
                <w:sz w:val="20"/>
                <w:szCs w:val="20"/>
                <w:color w:val="auto"/>
              </w:rPr>
            </w:pPr>
            <w:r>
              <w:rPr>
                <w:rFonts w:ascii="Arial" w:cs="Arial" w:eastAsia="Arial" w:hAnsi="Arial"/>
                <w:sz w:val="12"/>
                <w:szCs w:val="12"/>
                <w:color w:val="auto"/>
              </w:rPr>
              <w:t>and management. The Audit Committee is also responsible for preparing the Audit Committee report required by the rules of the SEC,</w:t>
            </w:r>
          </w:p>
        </w:tc>
      </w:tr>
      <w:tr>
        <w:trPr>
          <w:trHeight w:val="153"/>
        </w:trPr>
        <w:tc>
          <w:tcPr>
            <w:tcW w:w="9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8380" w:type="dxa"/>
            <w:vAlign w:val="bottom"/>
          </w:tcPr>
          <w:p>
            <w:pPr>
              <w:ind w:left="1080"/>
              <w:spacing w:after="0"/>
              <w:rPr>
                <w:sz w:val="20"/>
                <w:szCs w:val="20"/>
                <w:color w:val="auto"/>
              </w:rPr>
            </w:pPr>
            <w:r>
              <w:rPr>
                <w:rFonts w:ascii="Arial" w:cs="Arial" w:eastAsia="Arial" w:hAnsi="Arial"/>
                <w:sz w:val="12"/>
                <w:szCs w:val="12"/>
                <w:color w:val="auto"/>
              </w:rPr>
              <w:t>which is included on page 18.</w:t>
            </w:r>
          </w:p>
        </w:tc>
      </w:tr>
      <w:tr>
        <w:trPr>
          <w:trHeight w:val="216"/>
        </w:trPr>
        <w:tc>
          <w:tcPr>
            <w:tcW w:w="9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8380" w:type="dxa"/>
            <w:vAlign w:val="bottom"/>
          </w:tcPr>
          <w:p>
            <w:pPr>
              <w:ind w:left="1080"/>
              <w:spacing w:after="0"/>
              <w:rPr>
                <w:sz w:val="20"/>
                <w:szCs w:val="20"/>
                <w:color w:val="auto"/>
              </w:rPr>
            </w:pPr>
            <w:r>
              <w:rPr>
                <w:rFonts w:ascii="Arial" w:cs="Arial" w:eastAsia="Arial" w:hAnsi="Arial"/>
                <w:sz w:val="12"/>
                <w:szCs w:val="12"/>
                <w:color w:val="auto"/>
              </w:rPr>
              <w:t>Our Board has concluded that J. Michael Cook qualifies as an audit committee financial expert.</w:t>
            </w:r>
          </w:p>
        </w:tc>
      </w:tr>
      <w:tr>
        <w:trPr>
          <w:trHeight w:val="207"/>
        </w:trPr>
        <w:tc>
          <w:tcPr>
            <w:tcW w:w="3100" w:type="dxa"/>
            <w:vAlign w:val="bottom"/>
            <w:gridSpan w:val="2"/>
          </w:tcPr>
          <w:p>
            <w:pPr>
              <w:ind w:left="740"/>
              <w:spacing w:after="0"/>
              <w:rPr>
                <w:sz w:val="20"/>
                <w:szCs w:val="20"/>
                <w:color w:val="auto"/>
              </w:rPr>
            </w:pPr>
            <w:r>
              <w:rPr>
                <w:rFonts w:ascii="Arial" w:cs="Arial" w:eastAsia="Arial" w:hAnsi="Arial"/>
                <w:sz w:val="12"/>
                <w:szCs w:val="12"/>
                <w:color w:val="auto"/>
              </w:rPr>
              <w:t>Compensation Committee</w:t>
            </w:r>
          </w:p>
        </w:tc>
        <w:tc>
          <w:tcPr>
            <w:tcW w:w="8380" w:type="dxa"/>
            <w:vAlign w:val="bottom"/>
          </w:tcPr>
          <w:p>
            <w:pPr>
              <w:ind w:left="1080"/>
              <w:spacing w:after="0"/>
              <w:rPr>
                <w:sz w:val="20"/>
                <w:szCs w:val="20"/>
                <w:color w:val="auto"/>
              </w:rPr>
            </w:pPr>
            <w:r>
              <w:rPr>
                <w:rFonts w:ascii="Arial" w:cs="Arial" w:eastAsia="Arial" w:hAnsi="Arial"/>
                <w:sz w:val="12"/>
                <w:szCs w:val="12"/>
                <w:color w:val="auto"/>
              </w:rPr>
              <w:t>S. Decker Anstrom, Joseph J. Collins, Dr. Judith Rodin (Chair) and Michael I. Sovern. Each member of the committee is independent</w:t>
            </w:r>
          </w:p>
        </w:tc>
      </w:tr>
      <w:tr>
        <w:trPr>
          <w:trHeight w:val="144"/>
        </w:trPr>
        <w:tc>
          <w:tcPr>
            <w:tcW w:w="9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380" w:type="dxa"/>
            <w:vAlign w:val="bottom"/>
          </w:tcPr>
          <w:p>
            <w:pPr>
              <w:ind w:left="1080"/>
              <w:spacing w:after="0"/>
              <w:rPr>
                <w:sz w:val="20"/>
                <w:szCs w:val="20"/>
                <w:color w:val="auto"/>
              </w:rPr>
            </w:pPr>
            <w:r>
              <w:rPr>
                <w:rFonts w:ascii="Arial" w:cs="Arial" w:eastAsia="Arial" w:hAnsi="Arial"/>
                <w:sz w:val="12"/>
                <w:szCs w:val="12"/>
                <w:color w:val="auto"/>
              </w:rPr>
              <w:t>under NASDAQ Global Select Market rules and qualifies as a “non-employee director” (as defined under Rule 16b-3 under the</w:t>
            </w:r>
          </w:p>
        </w:tc>
      </w:tr>
      <w:tr>
        <w:trPr>
          <w:trHeight w:val="144"/>
        </w:trPr>
        <w:tc>
          <w:tcPr>
            <w:tcW w:w="9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380" w:type="dxa"/>
            <w:vAlign w:val="bottom"/>
          </w:tcPr>
          <w:p>
            <w:pPr>
              <w:ind w:left="1080"/>
              <w:spacing w:after="0"/>
              <w:rPr>
                <w:sz w:val="20"/>
                <w:szCs w:val="20"/>
                <w:color w:val="auto"/>
              </w:rPr>
            </w:pPr>
            <w:r>
              <w:rPr>
                <w:rFonts w:ascii="Arial" w:cs="Arial" w:eastAsia="Arial" w:hAnsi="Arial"/>
                <w:sz w:val="12"/>
                <w:szCs w:val="12"/>
                <w:color w:val="auto"/>
              </w:rPr>
              <w:t>Exchange Act) and an “outside director” (as defined in Section 162(m) of the Internal Revenue Code of 1986, as amended (the</w:t>
            </w:r>
          </w:p>
        </w:tc>
      </w:tr>
      <w:tr>
        <w:trPr>
          <w:trHeight w:val="153"/>
        </w:trPr>
        <w:tc>
          <w:tcPr>
            <w:tcW w:w="9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8380" w:type="dxa"/>
            <w:vAlign w:val="bottom"/>
          </w:tcPr>
          <w:p>
            <w:pPr>
              <w:ind w:left="1080"/>
              <w:spacing w:after="0"/>
              <w:rPr>
                <w:sz w:val="20"/>
                <w:szCs w:val="20"/>
                <w:color w:val="auto"/>
              </w:rPr>
            </w:pPr>
            <w:r>
              <w:rPr>
                <w:rFonts w:ascii="Arial" w:cs="Arial" w:eastAsia="Arial" w:hAnsi="Arial"/>
                <w:sz w:val="12"/>
                <w:szCs w:val="12"/>
                <w:color w:val="auto"/>
              </w:rPr>
              <w:t>“Code”)). A copy of</w:t>
            </w:r>
          </w:p>
        </w:tc>
      </w:tr>
      <w:tr>
        <w:trPr>
          <w:trHeight w:val="414"/>
        </w:trPr>
        <w:tc>
          <w:tcPr>
            <w:tcW w:w="9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8380" w:type="dxa"/>
            <w:vAlign w:val="bottom"/>
          </w:tcPr>
          <w:p>
            <w:pPr>
              <w:ind w:left="2520"/>
              <w:spacing w:after="0"/>
              <w:rPr>
                <w:sz w:val="20"/>
                <w:szCs w:val="20"/>
                <w:color w:val="auto"/>
              </w:rPr>
            </w:pPr>
            <w:r>
              <w:rPr>
                <w:rFonts w:ascii="Arial" w:cs="Arial" w:eastAsia="Arial" w:hAnsi="Arial"/>
                <w:sz w:val="12"/>
                <w:szCs w:val="12"/>
                <w:color w:val="auto"/>
              </w:rPr>
              <w:t>12</w:t>
            </w:r>
          </w:p>
        </w:tc>
      </w:tr>
      <w:tr>
        <w:trPr>
          <w:trHeight w:val="148"/>
        </w:trPr>
        <w:tc>
          <w:tcPr>
            <w:tcW w:w="900" w:type="dxa"/>
            <w:vAlign w:val="bottom"/>
            <w:tcBorders>
              <w:bottom w:val="single" w:sz="8" w:color="808080"/>
            </w:tcBorders>
          </w:tcPr>
          <w:p>
            <w:pPr>
              <w:spacing w:after="0"/>
              <w:rPr>
                <w:sz w:val="12"/>
                <w:szCs w:val="12"/>
                <w:color w:val="auto"/>
              </w:rPr>
            </w:pPr>
          </w:p>
        </w:tc>
        <w:tc>
          <w:tcPr>
            <w:tcW w:w="2200" w:type="dxa"/>
            <w:vAlign w:val="bottom"/>
            <w:tcBorders>
              <w:bottom w:val="single" w:sz="8" w:color="808080"/>
            </w:tcBorders>
          </w:tcPr>
          <w:p>
            <w:pPr>
              <w:spacing w:after="0"/>
              <w:rPr>
                <w:sz w:val="12"/>
                <w:szCs w:val="12"/>
                <w:color w:val="auto"/>
              </w:rPr>
            </w:pPr>
          </w:p>
        </w:tc>
        <w:tc>
          <w:tcPr>
            <w:tcW w:w="838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317" w:right="199" w:bottom="1440" w:gutter="0" w:footer="0" w:header="0"/>
        </w:sectPr>
      </w:pPr>
    </w:p>
    <w:bookmarkStart w:id="16" w:name="page17"/>
    <w:bookmarkEnd w:id="16"/>
    <w:p>
      <w:pPr>
        <w:spacing w:after="0"/>
        <w:rPr>
          <w:rFonts w:ascii="Arial" w:cs="Arial" w:eastAsia="Arial" w:hAnsi="Arial"/>
          <w:sz w:val="12"/>
          <w:szCs w:val="12"/>
          <w:b w:val="1"/>
          <w:bCs w:val="1"/>
          <w:u w:val="single" w:color="auto"/>
          <w:color w:val="0000EE"/>
        </w:rPr>
      </w:pP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4180"/>
        <w:spacing w:after="0"/>
        <w:rPr>
          <w:sz w:val="20"/>
          <w:szCs w:val="20"/>
          <w:color w:val="auto"/>
        </w:rPr>
      </w:pPr>
      <w:r>
        <w:rPr>
          <w:rFonts w:ascii="Arial" w:cs="Arial" w:eastAsia="Arial" w:hAnsi="Arial"/>
          <w:sz w:val="12"/>
          <w:szCs w:val="12"/>
          <w:color w:val="auto"/>
        </w:rPr>
        <w:t>this committee’s charter is posted under the “Governance” section of our website at www.cmcsa.com or www.cmcsk.com.</w:t>
      </w:r>
    </w:p>
    <w:p>
      <w:pPr>
        <w:spacing w:after="0" w:line="78" w:lineRule="exact"/>
        <w:rPr>
          <w:sz w:val="20"/>
          <w:szCs w:val="20"/>
          <w:color w:val="auto"/>
        </w:rPr>
      </w:pPr>
    </w:p>
    <w:p>
      <w:pPr>
        <w:ind w:left="4180"/>
        <w:spacing w:after="0" w:line="278" w:lineRule="auto"/>
        <w:rPr>
          <w:sz w:val="20"/>
          <w:szCs w:val="20"/>
          <w:color w:val="auto"/>
        </w:rPr>
      </w:pPr>
      <w:r>
        <w:rPr>
          <w:rFonts w:ascii="Arial" w:cs="Arial" w:eastAsia="Arial" w:hAnsi="Arial"/>
          <w:sz w:val="11"/>
          <w:szCs w:val="11"/>
          <w:color w:val="auto"/>
        </w:rPr>
        <w:t>This committee met seven times in 2009. The Compensation Committee reviews and approves our compensation and benefit programs, ensures the competitiveness of these programs and oversees and sets compensation for our senior executives. The Compensation Committee is responsible for approving the nature and amount of compensation paid to, and the employment and related agreements entered into with, our executives, establishing and evaluating performance-based goals related to compensation, overseeing our cash bonus and equity-based plans, approving guidelines for grants of awards under these plans and determining and overseeing our compensation and benefits policies generally. Each year, over the course of at least two meetings, the Compensation Committee performs a review of our compensation philosophy, our executive compensation programs and the performance of our named executive officers. The Compensation Committee’s determinations are reviewed annually by the independent directors. Also, together with the Governance and Directors Nominating Committee, it oversees succession planning for our senior management (including our Chief Executive Officer). The Compensation Committee is also responsible for preparing the Compensation Committee report required by the rules of the SEC, which is included on page 39.</w:t>
      </w:r>
    </w:p>
    <w:p>
      <w:pPr>
        <w:spacing w:after="0" w:line="46" w:lineRule="exact"/>
        <w:rPr>
          <w:sz w:val="20"/>
          <w:szCs w:val="20"/>
          <w:color w:val="auto"/>
        </w:rPr>
      </w:pPr>
    </w:p>
    <w:p>
      <w:pPr>
        <w:ind w:left="4180" w:right="20"/>
        <w:spacing w:after="0" w:line="280" w:lineRule="auto"/>
        <w:rPr>
          <w:sz w:val="20"/>
          <w:szCs w:val="20"/>
          <w:color w:val="auto"/>
        </w:rPr>
      </w:pPr>
      <w:r>
        <w:rPr>
          <w:rFonts w:ascii="Arial" w:cs="Arial" w:eastAsia="Arial" w:hAnsi="Arial"/>
          <w:sz w:val="11"/>
          <w:szCs w:val="11"/>
          <w:color w:val="auto"/>
        </w:rPr>
        <w:t>On a regular basis, we engage the services of a compensation consultant to provide research and analysis as to the form and amount of executive and director compensation. The consultant does not have any role in determining or recommending the form or amount of such compensation. We and the Compensation Committee request that the consultant provide market research utilizing information derived from proxy statements, surveys and its own consulting experience and that the consultant use other methodological standards and policies in accordance with its established procedures. The Compensation Committee determines or approves the parameters used by the consultant in its research and directs the work of the consultant. Parameters include such items as the composition of peer groups, the reference points within the data (</w:t>
      </w:r>
      <w:r>
        <w:rPr>
          <w:rFonts w:ascii="Arial" w:cs="Arial" w:eastAsia="Arial" w:hAnsi="Arial"/>
          <w:sz w:val="11"/>
          <w:szCs w:val="11"/>
          <w:i w:val="1"/>
          <w:iCs w:val="1"/>
          <w:color w:val="auto"/>
        </w:rPr>
        <w:t>e.g.</w:t>
      </w:r>
      <w:r>
        <w:rPr>
          <w:rFonts w:ascii="Arial" w:cs="Arial" w:eastAsia="Arial" w:hAnsi="Arial"/>
          <w:sz w:val="11"/>
          <w:szCs w:val="11"/>
          <w:color w:val="auto"/>
        </w:rPr>
        <w:t>, median, seventy-fifth percentile) and the elements of compensation. The compensation consultant we engaged with respect to 2009 was Mercer (US) Inc. (“Mercer”).</w:t>
      </w:r>
    </w:p>
    <w:p>
      <w:pPr>
        <w:spacing w:after="0" w:line="44" w:lineRule="exact"/>
        <w:rPr>
          <w:sz w:val="20"/>
          <w:szCs w:val="20"/>
          <w:color w:val="auto"/>
        </w:rPr>
      </w:pPr>
    </w:p>
    <w:p>
      <w:pPr>
        <w:ind w:left="4180"/>
        <w:spacing w:after="0" w:line="281" w:lineRule="auto"/>
        <w:rPr>
          <w:sz w:val="20"/>
          <w:szCs w:val="20"/>
          <w:color w:val="auto"/>
        </w:rPr>
      </w:pPr>
      <w:r>
        <w:rPr>
          <w:rFonts w:ascii="Arial" w:cs="Arial" w:eastAsia="Arial" w:hAnsi="Arial"/>
          <w:sz w:val="11"/>
          <w:szCs w:val="11"/>
          <w:color w:val="auto"/>
        </w:rPr>
        <w:t>Mercer received approximately $413,000 in fees from us in 2009 in connection with services related to executive and director compensation. Mercer also received approximately $1,878,000 in fees from us in 2009 in connection with its provision of other compensation-related services, which consisted primarily of services related to our and our subsidiaries’ generally available health and welfare plans. The Mercer teams that provide other compensation-related services for us are independently managed and are separate from the team that provides executive and director compensation services. In addition, Mercer is part of a global professional services firm and is affiliated with other companies whose businesses are unrelated to the provision of compensation-related consulting services. We paid these affiliates of Mercer approximately $5,280,000 in 2009,</w:t>
      </w:r>
    </w:p>
    <w:p>
      <w:pPr>
        <w:spacing w:after="0" w:line="242"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97790</wp:posOffset>
            </wp:positionV>
            <wp:extent cx="7299325" cy="18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660"/>
          </w:cols>
          <w:pgMar w:left="220" w:top="327" w:right="101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38"/>
        </w:trPr>
        <w:tc>
          <w:tcPr>
            <w:tcW w:w="3100" w:type="dxa"/>
            <w:vAlign w:val="bottom"/>
            <w:gridSpan w:val="2"/>
          </w:tcPr>
          <w:p>
            <w:pPr>
              <w:spacing w:after="0"/>
              <w:rPr>
                <w:rFonts w:ascii="Arial" w:cs="Arial" w:eastAsia="Arial" w:hAnsi="Arial"/>
                <w:sz w:val="12"/>
                <w:szCs w:val="12"/>
                <w:b w:val="1"/>
                <w:bCs w:val="1"/>
                <w:color w:val="0000EE"/>
              </w:rPr>
            </w:pPr>
            <w:hyperlink w:anchor="page4">
              <w:r>
                <w:rPr>
                  <w:rFonts w:ascii="Arial" w:cs="Arial" w:eastAsia="Arial" w:hAnsi="Arial"/>
                  <w:sz w:val="12"/>
                  <w:szCs w:val="12"/>
                  <w:b w:val="1"/>
                  <w:bCs w:val="1"/>
                  <w:color w:val="0000EE"/>
                </w:rPr>
                <w:t>Table of Contents</w:t>
              </w:r>
            </w:hyperlink>
          </w:p>
        </w:tc>
        <w:tc>
          <w:tcPr>
            <w:tcW w:w="8380" w:type="dxa"/>
            <w:vAlign w:val="bottom"/>
          </w:tcPr>
          <w:p>
            <w:pPr>
              <w:spacing w:after="0"/>
              <w:rPr>
                <w:sz w:val="12"/>
                <w:szCs w:val="12"/>
                <w:color w:val="auto"/>
              </w:rPr>
            </w:pPr>
          </w:p>
        </w:tc>
      </w:tr>
      <w:tr>
        <w:trPr>
          <w:trHeight w:val="340"/>
        </w:trPr>
        <w:tc>
          <w:tcPr>
            <w:tcW w:w="900" w:type="dxa"/>
            <w:vAlign w:val="bottom"/>
            <w:tcBorders>
              <w:top w:val="single" w:sz="8" w:color="0000EE"/>
            </w:tcBorders>
          </w:tcPr>
          <w:p>
            <w:pPr>
              <w:spacing w:after="0"/>
              <w:rPr>
                <w:sz w:val="24"/>
                <w:szCs w:val="24"/>
                <w:color w:val="auto"/>
              </w:rPr>
            </w:pPr>
          </w:p>
        </w:tc>
        <w:tc>
          <w:tcPr>
            <w:tcW w:w="2200" w:type="dxa"/>
            <w:vAlign w:val="bottom"/>
          </w:tcPr>
          <w:p>
            <w:pPr>
              <w:spacing w:after="0"/>
              <w:rPr>
                <w:sz w:val="24"/>
                <w:szCs w:val="24"/>
                <w:color w:val="auto"/>
              </w:rPr>
            </w:pPr>
          </w:p>
        </w:tc>
        <w:tc>
          <w:tcPr>
            <w:tcW w:w="8380" w:type="dxa"/>
            <w:vAlign w:val="bottom"/>
          </w:tcPr>
          <w:p>
            <w:pPr>
              <w:ind w:left="1080"/>
              <w:spacing w:after="0"/>
              <w:rPr>
                <w:sz w:val="20"/>
                <w:szCs w:val="20"/>
                <w:color w:val="auto"/>
              </w:rPr>
            </w:pPr>
            <w:r>
              <w:rPr>
                <w:rFonts w:ascii="Arial" w:cs="Arial" w:eastAsia="Arial" w:hAnsi="Arial"/>
                <w:sz w:val="12"/>
                <w:szCs w:val="12"/>
                <w:color w:val="auto"/>
              </w:rPr>
              <w:t>which primarily consisted of payments to Marsh for insurance-related matters and Lippincott Mercer for advertising-related matters.</w:t>
            </w:r>
          </w:p>
        </w:tc>
      </w:tr>
      <w:tr>
        <w:trPr>
          <w:trHeight w:val="144"/>
        </w:trPr>
        <w:tc>
          <w:tcPr>
            <w:tcW w:w="9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380" w:type="dxa"/>
            <w:vAlign w:val="bottom"/>
          </w:tcPr>
          <w:p>
            <w:pPr>
              <w:ind w:left="1080"/>
              <w:spacing w:after="0"/>
              <w:rPr>
                <w:sz w:val="20"/>
                <w:szCs w:val="20"/>
                <w:color w:val="auto"/>
              </w:rPr>
            </w:pPr>
            <w:r>
              <w:rPr>
                <w:rFonts w:ascii="Arial" w:cs="Arial" w:eastAsia="Arial" w:hAnsi="Arial"/>
                <w:sz w:val="12"/>
                <w:szCs w:val="12"/>
                <w:color w:val="auto"/>
              </w:rPr>
              <w:t>Our Compensation Committee annually reviews the fees paid to Mercer and its affiliates and has determined that the fees paid in</w:t>
            </w:r>
          </w:p>
        </w:tc>
      </w:tr>
      <w:tr>
        <w:trPr>
          <w:trHeight w:val="144"/>
        </w:trPr>
        <w:tc>
          <w:tcPr>
            <w:tcW w:w="9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380" w:type="dxa"/>
            <w:vAlign w:val="bottom"/>
          </w:tcPr>
          <w:p>
            <w:pPr>
              <w:ind w:left="1080"/>
              <w:spacing w:after="0"/>
              <w:rPr>
                <w:sz w:val="20"/>
                <w:szCs w:val="20"/>
                <w:color w:val="auto"/>
              </w:rPr>
            </w:pPr>
            <w:r>
              <w:rPr>
                <w:rFonts w:ascii="Arial" w:cs="Arial" w:eastAsia="Arial" w:hAnsi="Arial"/>
                <w:sz w:val="12"/>
                <w:szCs w:val="12"/>
                <w:color w:val="auto"/>
              </w:rPr>
              <w:t>respect of non-executive and director compensation-related services to Mercer, as well as the fees paid to Mercer’s affiliates for all</w:t>
            </w:r>
          </w:p>
        </w:tc>
      </w:tr>
      <w:tr>
        <w:trPr>
          <w:trHeight w:val="144"/>
        </w:trPr>
        <w:tc>
          <w:tcPr>
            <w:tcW w:w="9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380" w:type="dxa"/>
            <w:vAlign w:val="bottom"/>
          </w:tcPr>
          <w:p>
            <w:pPr>
              <w:ind w:left="1080"/>
              <w:spacing w:after="0"/>
              <w:rPr>
                <w:sz w:val="20"/>
                <w:szCs w:val="20"/>
                <w:color w:val="auto"/>
              </w:rPr>
            </w:pPr>
            <w:r>
              <w:rPr>
                <w:rFonts w:ascii="Arial" w:cs="Arial" w:eastAsia="Arial" w:hAnsi="Arial"/>
                <w:sz w:val="12"/>
                <w:szCs w:val="12"/>
                <w:color w:val="auto"/>
              </w:rPr>
              <w:t>other services, did not impair Mercer’s objectivity in providing services and advice on executive and director compensation matters.</w:t>
            </w:r>
          </w:p>
        </w:tc>
      </w:tr>
      <w:tr>
        <w:trPr>
          <w:trHeight w:val="144"/>
        </w:trPr>
        <w:tc>
          <w:tcPr>
            <w:tcW w:w="9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380" w:type="dxa"/>
            <w:vAlign w:val="bottom"/>
          </w:tcPr>
          <w:p>
            <w:pPr>
              <w:ind w:left="1080"/>
              <w:spacing w:after="0"/>
              <w:rPr>
                <w:sz w:val="20"/>
                <w:szCs w:val="20"/>
                <w:color w:val="auto"/>
              </w:rPr>
            </w:pPr>
            <w:r>
              <w:rPr>
                <w:rFonts w:ascii="Arial" w:cs="Arial" w:eastAsia="Arial" w:hAnsi="Arial"/>
                <w:sz w:val="12"/>
                <w:szCs w:val="12"/>
                <w:color w:val="auto"/>
              </w:rPr>
              <w:t>All of the non-executive and director compensation services were performed at the direction of management without Board oversight</w:t>
            </w:r>
          </w:p>
        </w:tc>
      </w:tr>
      <w:tr>
        <w:trPr>
          <w:trHeight w:val="144"/>
        </w:trPr>
        <w:tc>
          <w:tcPr>
            <w:tcW w:w="9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380" w:type="dxa"/>
            <w:vAlign w:val="bottom"/>
          </w:tcPr>
          <w:p>
            <w:pPr>
              <w:ind w:left="1080"/>
              <w:spacing w:after="0"/>
              <w:rPr>
                <w:sz w:val="20"/>
                <w:szCs w:val="20"/>
                <w:color w:val="auto"/>
              </w:rPr>
            </w:pPr>
            <w:r>
              <w:rPr>
                <w:rFonts w:ascii="Arial" w:cs="Arial" w:eastAsia="Arial" w:hAnsi="Arial"/>
                <w:sz w:val="12"/>
                <w:szCs w:val="12"/>
                <w:color w:val="auto"/>
              </w:rPr>
              <w:t>or approval in light of management’s view that such other services were rendered in the ordinary course of our business and were not</w:t>
            </w:r>
          </w:p>
        </w:tc>
      </w:tr>
      <w:tr>
        <w:trPr>
          <w:trHeight w:val="153"/>
        </w:trPr>
        <w:tc>
          <w:tcPr>
            <w:tcW w:w="9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8380" w:type="dxa"/>
            <w:vAlign w:val="bottom"/>
          </w:tcPr>
          <w:p>
            <w:pPr>
              <w:ind w:left="1080"/>
              <w:spacing w:after="0"/>
              <w:rPr>
                <w:sz w:val="20"/>
                <w:szCs w:val="20"/>
                <w:color w:val="auto"/>
              </w:rPr>
            </w:pPr>
            <w:r>
              <w:rPr>
                <w:rFonts w:ascii="Arial" w:cs="Arial" w:eastAsia="Arial" w:hAnsi="Arial"/>
                <w:sz w:val="12"/>
                <w:szCs w:val="12"/>
                <w:color w:val="auto"/>
              </w:rPr>
              <w:t>material in scope or nature.</w:t>
            </w:r>
          </w:p>
        </w:tc>
      </w:tr>
      <w:tr>
        <w:trPr>
          <w:trHeight w:val="207"/>
        </w:trPr>
        <w:tc>
          <w:tcPr>
            <w:tcW w:w="9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8380" w:type="dxa"/>
            <w:vAlign w:val="bottom"/>
          </w:tcPr>
          <w:p>
            <w:pPr>
              <w:ind w:left="1080"/>
              <w:spacing w:after="0"/>
              <w:rPr>
                <w:sz w:val="20"/>
                <w:szCs w:val="20"/>
                <w:color w:val="auto"/>
              </w:rPr>
            </w:pPr>
            <w:r>
              <w:rPr>
                <w:rFonts w:ascii="Arial" w:cs="Arial" w:eastAsia="Arial" w:hAnsi="Arial"/>
                <w:sz w:val="12"/>
                <w:szCs w:val="12"/>
                <w:color w:val="auto"/>
              </w:rPr>
              <w:t>In addition, the Compensation Committee engaged Independent Compensation Committee Advisors, LLC (“ICCA”) as its consultant</w:t>
            </w:r>
          </w:p>
        </w:tc>
      </w:tr>
      <w:tr>
        <w:trPr>
          <w:trHeight w:val="144"/>
        </w:trPr>
        <w:tc>
          <w:tcPr>
            <w:tcW w:w="9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380" w:type="dxa"/>
            <w:vAlign w:val="bottom"/>
          </w:tcPr>
          <w:p>
            <w:pPr>
              <w:ind w:left="1080"/>
              <w:spacing w:after="0"/>
              <w:rPr>
                <w:sz w:val="20"/>
                <w:szCs w:val="20"/>
                <w:color w:val="auto"/>
              </w:rPr>
            </w:pPr>
            <w:r>
              <w:rPr>
                <w:rFonts w:ascii="Arial" w:cs="Arial" w:eastAsia="Arial" w:hAnsi="Arial"/>
                <w:sz w:val="12"/>
                <w:szCs w:val="12"/>
                <w:color w:val="auto"/>
              </w:rPr>
              <w:t>in 2009 to assist with its compensation deliberations by reviewing Mercer’s work and providing recommendations for additional</w:t>
            </w:r>
          </w:p>
        </w:tc>
      </w:tr>
      <w:tr>
        <w:trPr>
          <w:trHeight w:val="153"/>
        </w:trPr>
        <w:tc>
          <w:tcPr>
            <w:tcW w:w="9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8380" w:type="dxa"/>
            <w:vAlign w:val="bottom"/>
          </w:tcPr>
          <w:p>
            <w:pPr>
              <w:ind w:left="1080"/>
              <w:spacing w:after="0"/>
              <w:rPr>
                <w:sz w:val="20"/>
                <w:szCs w:val="20"/>
                <w:color w:val="auto"/>
              </w:rPr>
            </w:pPr>
            <w:r>
              <w:rPr>
                <w:rFonts w:ascii="Arial" w:cs="Arial" w:eastAsia="Arial" w:hAnsi="Arial"/>
                <w:sz w:val="12"/>
                <w:szCs w:val="12"/>
                <w:color w:val="auto"/>
              </w:rPr>
              <w:t>analyses. ICCA did not have any role in determining or recommending the form or amount of compensation.</w:t>
            </w:r>
          </w:p>
        </w:tc>
      </w:tr>
      <w:tr>
        <w:trPr>
          <w:trHeight w:val="207"/>
        </w:trPr>
        <w:tc>
          <w:tcPr>
            <w:tcW w:w="9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8380" w:type="dxa"/>
            <w:vAlign w:val="bottom"/>
          </w:tcPr>
          <w:p>
            <w:pPr>
              <w:ind w:left="1080"/>
              <w:spacing w:after="0"/>
              <w:rPr>
                <w:sz w:val="20"/>
                <w:szCs w:val="20"/>
                <w:color w:val="auto"/>
              </w:rPr>
            </w:pPr>
            <w:r>
              <w:rPr>
                <w:rFonts w:ascii="Arial" w:cs="Arial" w:eastAsia="Arial" w:hAnsi="Arial"/>
                <w:sz w:val="12"/>
                <w:szCs w:val="12"/>
                <w:color w:val="auto"/>
              </w:rPr>
              <w:t>As part of their job responsibilities, certain of our named executive officers participate in gathering and presenting facts related to</w:t>
            </w:r>
          </w:p>
        </w:tc>
      </w:tr>
      <w:tr>
        <w:trPr>
          <w:trHeight w:val="144"/>
        </w:trPr>
        <w:tc>
          <w:tcPr>
            <w:tcW w:w="9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380" w:type="dxa"/>
            <w:vAlign w:val="bottom"/>
          </w:tcPr>
          <w:p>
            <w:pPr>
              <w:ind w:left="1080"/>
              <w:spacing w:after="0"/>
              <w:rPr>
                <w:sz w:val="20"/>
                <w:szCs w:val="20"/>
                <w:color w:val="auto"/>
              </w:rPr>
            </w:pPr>
            <w:r>
              <w:rPr>
                <w:rFonts w:ascii="Arial" w:cs="Arial" w:eastAsia="Arial" w:hAnsi="Arial"/>
                <w:sz w:val="12"/>
                <w:szCs w:val="12"/>
                <w:color w:val="auto"/>
              </w:rPr>
              <w:t>compensation and benefit matters as requested by the Compensation Committee and in formulating and making recommendations to</w:t>
            </w:r>
          </w:p>
        </w:tc>
      </w:tr>
      <w:tr>
        <w:trPr>
          <w:trHeight w:val="144"/>
        </w:trPr>
        <w:tc>
          <w:tcPr>
            <w:tcW w:w="9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380" w:type="dxa"/>
            <w:vAlign w:val="bottom"/>
          </w:tcPr>
          <w:p>
            <w:pPr>
              <w:ind w:left="1080"/>
              <w:spacing w:after="0"/>
              <w:rPr>
                <w:sz w:val="20"/>
                <w:szCs w:val="20"/>
                <w:color w:val="auto"/>
              </w:rPr>
            </w:pPr>
            <w:r>
              <w:rPr>
                <w:rFonts w:ascii="Arial" w:cs="Arial" w:eastAsia="Arial" w:hAnsi="Arial"/>
                <w:sz w:val="12"/>
                <w:szCs w:val="12"/>
                <w:color w:val="auto"/>
              </w:rPr>
              <w:t>the Compensation Committee in these areas. The executives, together with our employees who work in the compensation area and</w:t>
            </w:r>
          </w:p>
        </w:tc>
      </w:tr>
      <w:tr>
        <w:trPr>
          <w:trHeight w:val="144"/>
        </w:trPr>
        <w:tc>
          <w:tcPr>
            <w:tcW w:w="9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380" w:type="dxa"/>
            <w:vAlign w:val="bottom"/>
          </w:tcPr>
          <w:p>
            <w:pPr>
              <w:ind w:left="1080"/>
              <w:spacing w:after="0"/>
              <w:rPr>
                <w:sz w:val="20"/>
                <w:szCs w:val="20"/>
                <w:color w:val="auto"/>
              </w:rPr>
            </w:pPr>
            <w:r>
              <w:rPr>
                <w:rFonts w:ascii="Arial" w:cs="Arial" w:eastAsia="Arial" w:hAnsi="Arial"/>
                <w:sz w:val="12"/>
                <w:szCs w:val="12"/>
                <w:color w:val="auto"/>
              </w:rPr>
              <w:t>Mercer, also conduct research and consult with legal counsel and other expert sources to keep abreast of developments in these areas.</w:t>
            </w:r>
          </w:p>
        </w:tc>
      </w:tr>
      <w:tr>
        <w:trPr>
          <w:trHeight w:val="144"/>
        </w:trPr>
        <w:tc>
          <w:tcPr>
            <w:tcW w:w="9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380" w:type="dxa"/>
            <w:vAlign w:val="bottom"/>
          </w:tcPr>
          <w:p>
            <w:pPr>
              <w:ind w:left="1080"/>
              <w:spacing w:after="0"/>
              <w:rPr>
                <w:sz w:val="20"/>
                <w:szCs w:val="20"/>
                <w:color w:val="auto"/>
              </w:rPr>
            </w:pPr>
            <w:r>
              <w:rPr>
                <w:rFonts w:ascii="Arial" w:cs="Arial" w:eastAsia="Arial" w:hAnsi="Arial"/>
                <w:sz w:val="12"/>
                <w:szCs w:val="12"/>
                <w:color w:val="auto"/>
              </w:rPr>
              <w:t>All decisions, however, regarding the compensation of our named executive officers are made by the Compensation Committee and</w:t>
            </w:r>
          </w:p>
        </w:tc>
      </w:tr>
      <w:tr>
        <w:trPr>
          <w:trHeight w:val="153"/>
        </w:trPr>
        <w:tc>
          <w:tcPr>
            <w:tcW w:w="9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8380" w:type="dxa"/>
            <w:vAlign w:val="bottom"/>
          </w:tcPr>
          <w:p>
            <w:pPr>
              <w:ind w:left="1080"/>
              <w:spacing w:after="0"/>
              <w:rPr>
                <w:sz w:val="20"/>
                <w:szCs w:val="20"/>
                <w:color w:val="auto"/>
              </w:rPr>
            </w:pPr>
            <w:r>
              <w:rPr>
                <w:rFonts w:ascii="Arial" w:cs="Arial" w:eastAsia="Arial" w:hAnsi="Arial"/>
                <w:sz w:val="12"/>
                <w:szCs w:val="12"/>
                <w:color w:val="auto"/>
              </w:rPr>
              <w:t>are reviewed by the Board, following reviews and discussions held in executive sessions.</w:t>
            </w:r>
          </w:p>
        </w:tc>
      </w:tr>
      <w:tr>
        <w:trPr>
          <w:trHeight w:val="216"/>
        </w:trPr>
        <w:tc>
          <w:tcPr>
            <w:tcW w:w="3100" w:type="dxa"/>
            <w:vAlign w:val="bottom"/>
            <w:gridSpan w:val="2"/>
          </w:tcPr>
          <w:p>
            <w:pPr>
              <w:ind w:left="740"/>
              <w:spacing w:after="0"/>
              <w:rPr>
                <w:sz w:val="20"/>
                <w:szCs w:val="20"/>
                <w:color w:val="auto"/>
              </w:rPr>
            </w:pPr>
            <w:r>
              <w:rPr>
                <w:rFonts w:ascii="Arial" w:cs="Arial" w:eastAsia="Arial" w:hAnsi="Arial"/>
                <w:sz w:val="12"/>
                <w:szCs w:val="12"/>
                <w:color w:val="auto"/>
              </w:rPr>
              <w:t>Finance Committee</w:t>
            </w:r>
          </w:p>
        </w:tc>
        <w:tc>
          <w:tcPr>
            <w:tcW w:w="8380" w:type="dxa"/>
            <w:vAlign w:val="bottom"/>
          </w:tcPr>
          <w:p>
            <w:pPr>
              <w:ind w:left="1080"/>
              <w:spacing w:after="0"/>
              <w:rPr>
                <w:sz w:val="20"/>
                <w:szCs w:val="20"/>
                <w:color w:val="auto"/>
              </w:rPr>
            </w:pPr>
            <w:r>
              <w:rPr>
                <w:rFonts w:ascii="Arial" w:cs="Arial" w:eastAsia="Arial" w:hAnsi="Arial"/>
                <w:sz w:val="12"/>
                <w:szCs w:val="12"/>
                <w:color w:val="auto"/>
              </w:rPr>
              <w:t>Sheldon M. Bonovitz, Julian A. Brodsky, J. Michael Cook and Gerald L. Hassell (Chair).</w:t>
            </w:r>
          </w:p>
        </w:tc>
      </w:tr>
      <w:tr>
        <w:trPr>
          <w:trHeight w:val="207"/>
        </w:trPr>
        <w:tc>
          <w:tcPr>
            <w:tcW w:w="9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8380" w:type="dxa"/>
            <w:vAlign w:val="bottom"/>
          </w:tcPr>
          <w:p>
            <w:pPr>
              <w:ind w:left="1080"/>
              <w:spacing w:after="0"/>
              <w:rPr>
                <w:sz w:val="20"/>
                <w:szCs w:val="20"/>
                <w:color w:val="auto"/>
              </w:rPr>
            </w:pPr>
            <w:r>
              <w:rPr>
                <w:rFonts w:ascii="Arial" w:cs="Arial" w:eastAsia="Arial" w:hAnsi="Arial"/>
                <w:sz w:val="12"/>
                <w:szCs w:val="12"/>
                <w:color w:val="auto"/>
              </w:rPr>
              <w:t>This committee met one time in 2009. The Finance Committee provides advice and assistance to the Company, including as requested</w:t>
            </w:r>
          </w:p>
        </w:tc>
      </w:tr>
      <w:tr>
        <w:trPr>
          <w:trHeight w:val="144"/>
        </w:trPr>
        <w:tc>
          <w:tcPr>
            <w:tcW w:w="9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380" w:type="dxa"/>
            <w:vAlign w:val="bottom"/>
          </w:tcPr>
          <w:p>
            <w:pPr>
              <w:ind w:left="1080"/>
              <w:spacing w:after="0"/>
              <w:rPr>
                <w:sz w:val="20"/>
                <w:szCs w:val="20"/>
                <w:color w:val="auto"/>
              </w:rPr>
            </w:pPr>
            <w:r>
              <w:rPr>
                <w:rFonts w:ascii="Arial" w:cs="Arial" w:eastAsia="Arial" w:hAnsi="Arial"/>
                <w:sz w:val="12"/>
                <w:szCs w:val="12"/>
                <w:color w:val="auto"/>
              </w:rPr>
              <w:t>by the Board. It also acts for the directors in the intervals between Board meetings with respect to matters delegated to it from time to</w:t>
            </w:r>
          </w:p>
        </w:tc>
      </w:tr>
      <w:tr>
        <w:trPr>
          <w:trHeight w:val="144"/>
        </w:trPr>
        <w:tc>
          <w:tcPr>
            <w:tcW w:w="9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380" w:type="dxa"/>
            <w:vAlign w:val="bottom"/>
          </w:tcPr>
          <w:p>
            <w:pPr>
              <w:ind w:left="1080"/>
              <w:spacing w:after="0"/>
              <w:rPr>
                <w:sz w:val="20"/>
                <w:szCs w:val="20"/>
                <w:color w:val="auto"/>
              </w:rPr>
            </w:pPr>
            <w:r>
              <w:rPr>
                <w:rFonts w:ascii="Arial" w:cs="Arial" w:eastAsia="Arial" w:hAnsi="Arial"/>
                <w:sz w:val="12"/>
                <w:szCs w:val="12"/>
                <w:color w:val="auto"/>
              </w:rPr>
              <w:t>time by our Board in connection with a range of financial and related matters. Areas of the Finance Committee’s focus may include</w:t>
            </w:r>
          </w:p>
        </w:tc>
      </w:tr>
      <w:tr>
        <w:trPr>
          <w:trHeight w:val="144"/>
        </w:trPr>
        <w:tc>
          <w:tcPr>
            <w:tcW w:w="9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380" w:type="dxa"/>
            <w:vAlign w:val="bottom"/>
          </w:tcPr>
          <w:p>
            <w:pPr>
              <w:ind w:left="1080"/>
              <w:spacing w:after="0"/>
              <w:rPr>
                <w:sz w:val="20"/>
                <w:szCs w:val="20"/>
                <w:color w:val="auto"/>
              </w:rPr>
            </w:pPr>
            <w:r>
              <w:rPr>
                <w:rFonts w:ascii="Arial" w:cs="Arial" w:eastAsia="Arial" w:hAnsi="Arial"/>
                <w:sz w:val="12"/>
                <w:szCs w:val="12"/>
                <w:color w:val="auto"/>
              </w:rPr>
              <w:t>acquisitions, banking activities and relationships, capital allocation initiatives, capital structure, cash management, equity and debt</w:t>
            </w:r>
          </w:p>
        </w:tc>
      </w:tr>
      <w:tr>
        <w:trPr>
          <w:trHeight w:val="153"/>
        </w:trPr>
        <w:tc>
          <w:tcPr>
            <w:tcW w:w="9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8380" w:type="dxa"/>
            <w:vAlign w:val="bottom"/>
          </w:tcPr>
          <w:p>
            <w:pPr>
              <w:ind w:left="1080"/>
              <w:spacing w:after="0"/>
              <w:rPr>
                <w:sz w:val="20"/>
                <w:szCs w:val="20"/>
                <w:color w:val="auto"/>
              </w:rPr>
            </w:pPr>
            <w:r>
              <w:rPr>
                <w:rFonts w:ascii="Arial" w:cs="Arial" w:eastAsia="Arial" w:hAnsi="Arial"/>
                <w:sz w:val="12"/>
                <w:szCs w:val="12"/>
                <w:color w:val="auto"/>
              </w:rPr>
              <w:t>financings, investments and share repurchase activities.</w:t>
            </w:r>
          </w:p>
        </w:tc>
      </w:tr>
      <w:tr>
        <w:trPr>
          <w:trHeight w:val="207"/>
        </w:trPr>
        <w:tc>
          <w:tcPr>
            <w:tcW w:w="3100" w:type="dxa"/>
            <w:vAlign w:val="bottom"/>
            <w:gridSpan w:val="2"/>
          </w:tcPr>
          <w:p>
            <w:pPr>
              <w:ind w:left="740"/>
              <w:spacing w:after="0"/>
              <w:rPr>
                <w:sz w:val="20"/>
                <w:szCs w:val="20"/>
                <w:color w:val="auto"/>
              </w:rPr>
            </w:pPr>
            <w:r>
              <w:rPr>
                <w:rFonts w:ascii="Arial" w:cs="Arial" w:eastAsia="Arial" w:hAnsi="Arial"/>
                <w:sz w:val="12"/>
                <w:szCs w:val="12"/>
                <w:color w:val="auto"/>
              </w:rPr>
              <w:t>Governance and Directors</w:t>
            </w:r>
          </w:p>
        </w:tc>
        <w:tc>
          <w:tcPr>
            <w:tcW w:w="8380" w:type="dxa"/>
            <w:vAlign w:val="bottom"/>
          </w:tcPr>
          <w:p>
            <w:pPr>
              <w:ind w:left="1080"/>
              <w:spacing w:after="0"/>
              <w:rPr>
                <w:sz w:val="20"/>
                <w:szCs w:val="20"/>
                <w:color w:val="auto"/>
              </w:rPr>
            </w:pPr>
            <w:r>
              <w:rPr>
                <w:rFonts w:ascii="Arial" w:cs="Arial" w:eastAsia="Arial" w:hAnsi="Arial"/>
                <w:sz w:val="12"/>
                <w:szCs w:val="12"/>
                <w:color w:val="auto"/>
              </w:rPr>
              <w:t>S. Decker Anstrom (Chair), Kenneth J. Bacon, Edward D. Breen, Gerald L. Hassell, Jeffrey A. Honickman and Michael I. Sovern.</w:t>
            </w:r>
          </w:p>
        </w:tc>
      </w:tr>
      <w:tr>
        <w:trPr>
          <w:trHeight w:val="144"/>
        </w:trPr>
        <w:tc>
          <w:tcPr>
            <w:tcW w:w="3100" w:type="dxa"/>
            <w:vAlign w:val="bottom"/>
            <w:gridSpan w:val="2"/>
          </w:tcPr>
          <w:p>
            <w:pPr>
              <w:ind w:left="740"/>
              <w:spacing w:after="0"/>
              <w:rPr>
                <w:sz w:val="20"/>
                <w:szCs w:val="20"/>
                <w:color w:val="auto"/>
              </w:rPr>
            </w:pPr>
            <w:r>
              <w:rPr>
                <w:rFonts w:ascii="Arial" w:cs="Arial" w:eastAsia="Arial" w:hAnsi="Arial"/>
                <w:sz w:val="12"/>
                <w:szCs w:val="12"/>
                <w:color w:val="auto"/>
              </w:rPr>
              <w:t>Nominating Committee</w:t>
            </w:r>
          </w:p>
        </w:tc>
        <w:tc>
          <w:tcPr>
            <w:tcW w:w="8380" w:type="dxa"/>
            <w:vAlign w:val="bottom"/>
          </w:tcPr>
          <w:p>
            <w:pPr>
              <w:ind w:left="1080"/>
              <w:spacing w:after="0"/>
              <w:rPr>
                <w:sz w:val="20"/>
                <w:szCs w:val="20"/>
                <w:color w:val="auto"/>
              </w:rPr>
            </w:pPr>
            <w:r>
              <w:rPr>
                <w:rFonts w:ascii="Arial" w:cs="Arial" w:eastAsia="Arial" w:hAnsi="Arial"/>
                <w:sz w:val="12"/>
                <w:szCs w:val="12"/>
                <w:color w:val="auto"/>
              </w:rPr>
              <w:t>Each member of the committee is independent under NASDAQ Global Select Market rules. A copy of this committee’s charter is</w:t>
            </w:r>
          </w:p>
        </w:tc>
      </w:tr>
      <w:tr>
        <w:trPr>
          <w:trHeight w:val="153"/>
        </w:trPr>
        <w:tc>
          <w:tcPr>
            <w:tcW w:w="9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8380" w:type="dxa"/>
            <w:vAlign w:val="bottom"/>
          </w:tcPr>
          <w:p>
            <w:pPr>
              <w:ind w:left="1080"/>
              <w:spacing w:after="0"/>
              <w:rPr>
                <w:sz w:val="20"/>
                <w:szCs w:val="20"/>
                <w:color w:val="auto"/>
              </w:rPr>
            </w:pPr>
            <w:r>
              <w:rPr>
                <w:rFonts w:ascii="Arial" w:cs="Arial" w:eastAsia="Arial" w:hAnsi="Arial"/>
                <w:sz w:val="12"/>
                <w:szCs w:val="12"/>
                <w:color w:val="auto"/>
              </w:rPr>
              <w:t>posted under the “Governance” section of our website at www.cmcsa.com or www.cmcsk.com.</w:t>
            </w:r>
          </w:p>
        </w:tc>
      </w:tr>
      <w:tr>
        <w:trPr>
          <w:trHeight w:val="216"/>
        </w:trPr>
        <w:tc>
          <w:tcPr>
            <w:tcW w:w="9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8380" w:type="dxa"/>
            <w:vAlign w:val="bottom"/>
          </w:tcPr>
          <w:p>
            <w:pPr>
              <w:ind w:left="1080"/>
              <w:spacing w:after="0"/>
              <w:rPr>
                <w:sz w:val="20"/>
                <w:szCs w:val="20"/>
                <w:color w:val="auto"/>
              </w:rPr>
            </w:pPr>
            <w:r>
              <w:rPr>
                <w:rFonts w:ascii="Arial" w:cs="Arial" w:eastAsia="Arial" w:hAnsi="Arial"/>
                <w:sz w:val="12"/>
                <w:szCs w:val="12"/>
                <w:color w:val="auto"/>
              </w:rPr>
              <w:t>This committee met five times in 2009. The Governance and Directors Nominating Committee exercises general oversight with</w:t>
            </w:r>
          </w:p>
        </w:tc>
      </w:tr>
      <w:tr>
        <w:trPr>
          <w:trHeight w:val="414"/>
        </w:trPr>
        <w:tc>
          <w:tcPr>
            <w:tcW w:w="9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8380" w:type="dxa"/>
            <w:vAlign w:val="bottom"/>
          </w:tcPr>
          <w:p>
            <w:pPr>
              <w:ind w:left="2520"/>
              <w:spacing w:after="0"/>
              <w:rPr>
                <w:sz w:val="20"/>
                <w:szCs w:val="20"/>
                <w:color w:val="auto"/>
              </w:rPr>
            </w:pPr>
            <w:r>
              <w:rPr>
                <w:rFonts w:ascii="Arial" w:cs="Arial" w:eastAsia="Arial" w:hAnsi="Arial"/>
                <w:sz w:val="12"/>
                <w:szCs w:val="12"/>
                <w:color w:val="auto"/>
              </w:rPr>
              <w:t>14</w:t>
            </w:r>
          </w:p>
        </w:tc>
      </w:tr>
      <w:tr>
        <w:trPr>
          <w:trHeight w:val="148"/>
        </w:trPr>
        <w:tc>
          <w:tcPr>
            <w:tcW w:w="900" w:type="dxa"/>
            <w:vAlign w:val="bottom"/>
            <w:tcBorders>
              <w:bottom w:val="single" w:sz="8" w:color="808080"/>
            </w:tcBorders>
          </w:tcPr>
          <w:p>
            <w:pPr>
              <w:spacing w:after="0"/>
              <w:rPr>
                <w:sz w:val="12"/>
                <w:szCs w:val="12"/>
                <w:color w:val="auto"/>
              </w:rPr>
            </w:pPr>
          </w:p>
        </w:tc>
        <w:tc>
          <w:tcPr>
            <w:tcW w:w="2200" w:type="dxa"/>
            <w:vAlign w:val="bottom"/>
            <w:tcBorders>
              <w:bottom w:val="single" w:sz="8" w:color="808080"/>
            </w:tcBorders>
          </w:tcPr>
          <w:p>
            <w:pPr>
              <w:spacing w:after="0"/>
              <w:rPr>
                <w:sz w:val="12"/>
                <w:szCs w:val="12"/>
                <w:color w:val="auto"/>
              </w:rPr>
            </w:pPr>
          </w:p>
        </w:tc>
        <w:tc>
          <w:tcPr>
            <w:tcW w:w="838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317" w:right="199" w:bottom="1440" w:gutter="0" w:footer="0" w:header="0"/>
        </w:sectPr>
      </w:pPr>
    </w:p>
    <w:bookmarkStart w:id="18" w:name="page19"/>
    <w:bookmarkEnd w:id="18"/>
    <w:p>
      <w:pPr>
        <w:spacing w:after="0"/>
        <w:rPr>
          <w:rFonts w:ascii="Arial" w:cs="Arial" w:eastAsia="Arial" w:hAnsi="Arial"/>
          <w:sz w:val="12"/>
          <w:szCs w:val="12"/>
          <w:b w:val="1"/>
          <w:bCs w:val="1"/>
          <w:u w:val="single" w:color="auto"/>
          <w:color w:val="0000EE"/>
        </w:rPr>
      </w:pP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both"/>
        <w:ind w:left="4180" w:right="20"/>
        <w:spacing w:after="0" w:line="259" w:lineRule="auto"/>
        <w:rPr>
          <w:sz w:val="20"/>
          <w:szCs w:val="20"/>
          <w:color w:val="auto"/>
        </w:rPr>
      </w:pPr>
      <w:r>
        <w:rPr>
          <w:rFonts w:ascii="Arial" w:cs="Arial" w:eastAsia="Arial" w:hAnsi="Arial"/>
          <w:sz w:val="12"/>
          <w:szCs w:val="12"/>
          <w:color w:val="auto"/>
        </w:rPr>
        <w:t>respect to the governance of our Board, as well as corporate governance matters involving us and our directors and executive officers. It also is responsible for periodically leading reviews and evaluations of the performance, size and responsibilities of our Board and its committees and, together with the Compensation Committee, oversees succession planning for our senior management (including our Chief Executive Officer).</w:t>
      </w:r>
    </w:p>
    <w:p>
      <w:pPr>
        <w:spacing w:after="0" w:line="53" w:lineRule="exact"/>
        <w:rPr>
          <w:sz w:val="20"/>
          <w:szCs w:val="20"/>
          <w:color w:val="auto"/>
        </w:rPr>
      </w:pPr>
    </w:p>
    <w:p>
      <w:pPr>
        <w:ind w:left="4180"/>
        <w:spacing w:after="0" w:line="283" w:lineRule="auto"/>
        <w:rPr>
          <w:sz w:val="20"/>
          <w:szCs w:val="20"/>
          <w:color w:val="auto"/>
        </w:rPr>
      </w:pPr>
      <w:r>
        <w:rPr>
          <w:rFonts w:ascii="Arial" w:cs="Arial" w:eastAsia="Arial" w:hAnsi="Arial"/>
          <w:sz w:val="11"/>
          <w:szCs w:val="11"/>
          <w:color w:val="auto"/>
        </w:rPr>
        <w:t>The Governance and Directors Nominating Committee also identifies and recommends director nominees. In assessing candidates, whether recommended by the committee or by shareholders (as described below), the committee considers an individual’s professional knowledge, business, financial and management expertise, industry knowledge and entrepreneurial background and experience, as well as applicable independence requirements. The committee also gives significant consideration to the current composition and diversity of our Board. Our Board strives to balance the need of having directors with a variety of experiences and areas of expertise and knowledge, such as those noted above, while maintaining appropriate gender and minority representation.</w:t>
      </w:r>
    </w:p>
    <w:p>
      <w:pPr>
        <w:spacing w:after="0" w:line="42" w:lineRule="exact"/>
        <w:rPr>
          <w:sz w:val="20"/>
          <w:szCs w:val="20"/>
          <w:color w:val="auto"/>
        </w:rPr>
      </w:pPr>
    </w:p>
    <w:p>
      <w:pPr>
        <w:ind w:left="4180"/>
        <w:spacing w:after="0" w:line="276" w:lineRule="auto"/>
        <w:rPr>
          <w:sz w:val="20"/>
          <w:szCs w:val="20"/>
          <w:color w:val="auto"/>
        </w:rPr>
      </w:pPr>
      <w:r>
        <w:rPr>
          <w:rFonts w:ascii="Arial" w:cs="Arial" w:eastAsia="Arial" w:hAnsi="Arial"/>
          <w:sz w:val="11"/>
          <w:szCs w:val="11"/>
          <w:color w:val="auto"/>
        </w:rPr>
        <w:t>The Governance and Directors Nominating Committee will consider director candidates nominated by shareholders. In order for a shareholder to make a nomination, the shareholder must provide a written notice along with the additional information listed below required by our by-laws within the following time periods. For election of directors at the 2011 annual meeting of shareholders, if such meeting is called for a date between April 20, 2011 and June 19, 2011, we must receive written notice on or after January 20, 2011 and on or before February 21, 2011. For election of directors at the 2011 annual meeting of shareholders, if such meeting is called for any other date, we must receive written notice by the close of business on the tenth day following the day we mailed notice of, or announced publicly, the date of the meeting, whichever occurs first. Our by-laws require that a written notice set forth: (i) the name and address of the shareholder intending to make the nomination and of the person or persons to be nominated; (ii) a representation that the shareholder is a holder of record of our shares entitled to vote at such meeting and intends to appear in person or by proxy at the meeting to nominate the person or persons specified in the notice; (iii) a description of all arrangements or understandings between the shareholder and each nominee and any other person or persons (naming such person or persons) pursuant to which the nomination or nominations are to be made by the shareholder; (iv) such other information regarding each nominee proposed by such shareholder as would have been required to be included in a proxy statement filed pursuant to the proxy rules of the SEC had the nominee been nominated by our Board; and (v) the written consent of each nominee to serve as a director if so elected. You can obtain a copy of the full text of the relevant by-laws provision by writing to Arthur R. Block, Secretary, Comcast Corporation, at the address given on page 3. A copy of our by-laws has also been filed with the SEC as an exhibit to our Quarterly Report on Form 10-Q filed on August 6, 2009 and is posted on our website at www.cmcsa.com or www.cmcsk.com.</w:t>
      </w:r>
    </w:p>
    <w:p>
      <w:pPr>
        <w:spacing w:after="0" w:line="247"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97790</wp:posOffset>
            </wp:positionV>
            <wp:extent cx="7299325" cy="18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660"/>
          </w:cols>
          <w:pgMar w:left="220" w:top="327" w:right="1019" w:bottom="1440" w:gutter="0" w:footer="0" w:header="0"/>
        </w:sectPr>
      </w:pPr>
    </w:p>
    <w:bookmarkStart w:id="19" w:name="page20"/>
    <w:bookmarkEnd w:id="19"/>
    <w:p>
      <w:pPr>
        <w:spacing w:after="0"/>
        <w:rPr>
          <w:rFonts w:ascii="Arial" w:cs="Arial" w:eastAsia="Arial" w:hAnsi="Arial"/>
          <w:sz w:val="12"/>
          <w:szCs w:val="12"/>
          <w:b w:val="1"/>
          <w:bCs w:val="1"/>
          <w:u w:val="single" w:color="auto"/>
          <w:color w:val="0000EE"/>
        </w:rPr>
      </w:pPr>
      <w:hyperlink w:anchor="page4">
        <w:r>
          <w:rPr>
            <w:rFonts w:ascii="Arial" w:cs="Arial" w:eastAsia="Arial" w:hAnsi="Arial"/>
            <w:sz w:val="12"/>
            <w:szCs w:val="12"/>
            <w:b w:val="1"/>
            <w:bCs w:val="1"/>
            <w:u w:val="single" w:color="auto"/>
            <w:color w:val="0000EE"/>
          </w:rPr>
          <w:t>Table of Contents</w:t>
        </w:r>
      </w:hyperlink>
    </w:p>
    <w:p>
      <w:pPr>
        <w:spacing w:after="0" w:line="211" w:lineRule="exact"/>
        <w:rPr>
          <w:sz w:val="20"/>
          <w:szCs w:val="20"/>
          <w:color w:val="auto"/>
        </w:rPr>
      </w:pPr>
    </w:p>
    <w:p>
      <w:pPr>
        <w:ind w:left="680"/>
        <w:spacing w:after="0"/>
        <w:rPr>
          <w:sz w:val="20"/>
          <w:szCs w:val="20"/>
          <w:color w:val="auto"/>
        </w:rPr>
      </w:pPr>
      <w:r>
        <w:rPr>
          <w:rFonts w:ascii="Arial" w:cs="Arial" w:eastAsia="Arial" w:hAnsi="Arial"/>
          <w:sz w:val="12"/>
          <w:szCs w:val="12"/>
          <w:b w:val="1"/>
          <w:bCs w:val="1"/>
          <w:color w:val="auto"/>
        </w:rPr>
        <w:t>Director Compensation</w:t>
      </w:r>
    </w:p>
    <w:p>
      <w:pPr>
        <w:spacing w:after="0" w:line="91" w:lineRule="exact"/>
        <w:rPr>
          <w:sz w:val="20"/>
          <w:szCs w:val="20"/>
          <w:color w:val="auto"/>
        </w:rPr>
      </w:pPr>
    </w:p>
    <w:p>
      <w:pPr>
        <w:ind w:left="680" w:firstLine="400"/>
        <w:spacing w:after="0" w:line="263" w:lineRule="auto"/>
        <w:rPr>
          <w:sz w:val="20"/>
          <w:szCs w:val="20"/>
          <w:color w:val="auto"/>
        </w:rPr>
      </w:pPr>
      <w:r>
        <w:rPr>
          <w:rFonts w:ascii="Arial" w:cs="Arial" w:eastAsia="Arial" w:hAnsi="Arial"/>
          <w:sz w:val="12"/>
          <w:szCs w:val="12"/>
          <w:color w:val="auto"/>
        </w:rPr>
        <w:t>As has been the case for the last several years, in doing its work with respect to determining 2009 nonemployee director compensation, the Compensation Committee directs Mercer to provide analyses with respect to various nonemployee director compensation data. Mercer, however, does not recommend or determine compensation levels or elements. The 2009 nonemployee director compensation program approved by the Compensation Committee is described below.</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Board and Committee Fees and Equity Awards</w:t>
      </w:r>
    </w:p>
    <w:p>
      <w:pPr>
        <w:spacing w:after="0" w:line="87" w:lineRule="exact"/>
        <w:rPr>
          <w:sz w:val="20"/>
          <w:szCs w:val="20"/>
          <w:color w:val="auto"/>
        </w:rPr>
      </w:pPr>
    </w:p>
    <w:p>
      <w:pPr>
        <w:ind w:left="680" w:right="40" w:firstLine="400"/>
        <w:spacing w:after="0" w:line="312" w:lineRule="auto"/>
        <w:rPr>
          <w:sz w:val="20"/>
          <w:szCs w:val="20"/>
          <w:color w:val="auto"/>
        </w:rPr>
      </w:pPr>
      <w:r>
        <w:rPr>
          <w:rFonts w:ascii="Arial" w:cs="Arial" w:eastAsia="Arial" w:hAnsi="Arial"/>
          <w:sz w:val="10"/>
          <w:szCs w:val="10"/>
          <w:color w:val="auto"/>
        </w:rPr>
        <w:t>Directors who are our employees do not receive any fees for their services as directors, including for any service on any Board committee. Each nonemployee director receives a $60,000 annual retainer and $2,500 for each Board meeting or other meeting (except a Board committee meeting as described below) attended in his or her capacity as director or for any other business conducted on our behalf, $2,500 for each Audit, Compensation or Governance and Directors Nominating Committee meeting attended and $1,000 for each Finance Committee meeting attended. The Chair of the Audit Committee receives an additional annual retainer of $20,000, and the Chairs of the Compensation Committee and the Governance and Directors Nominating Committee receive an additional annual retainer of $10,000. Other members of the Audit Committee receive an additional annual retainer of $10,000 and other members of the Compensation Committee and the Governance and Directors Nominating Committee receive an additional annual retainer of $5,000. The Chair of the Finance Committee receives an additional annual retainer of $5,000 and the other members of this committee receive an additional annual retainer of $2,500. Fees received by a director may be deferred in whole or in part under our deferred compensation plans. Up to one-half of the Board annual retainer may be received, at the election of the nonemployee director, in shares of Class A common stock, the receipt of which may be deferred in whole or in part. If deferred, such shares accrue dividend equivalents during the deferral period.</w:t>
      </w:r>
    </w:p>
    <w:p>
      <w:pPr>
        <w:spacing w:after="0" w:line="38" w:lineRule="exact"/>
        <w:rPr>
          <w:sz w:val="20"/>
          <w:szCs w:val="20"/>
          <w:color w:val="auto"/>
        </w:rPr>
      </w:pPr>
    </w:p>
    <w:p>
      <w:pPr>
        <w:jc w:val="both"/>
        <w:ind w:left="680" w:right="20" w:firstLine="400"/>
        <w:spacing w:after="0" w:line="276" w:lineRule="auto"/>
        <w:rPr>
          <w:sz w:val="20"/>
          <w:szCs w:val="20"/>
          <w:color w:val="auto"/>
        </w:rPr>
      </w:pPr>
      <w:r>
        <w:rPr>
          <w:rFonts w:ascii="Arial" w:cs="Arial" w:eastAsia="Arial" w:hAnsi="Arial"/>
          <w:sz w:val="12"/>
          <w:szCs w:val="12"/>
          <w:color w:val="auto"/>
        </w:rPr>
        <w:t>Nonemployee directors are reimbursed for travel expenses for meetings attended. Nonemployee directors are provided with our video, high-speed Internet and phone services at no cost (if available in the area in which they live) during the time they serve on our Board and for five years thereafter.</w:t>
      </w:r>
    </w:p>
    <w:p>
      <w:pPr>
        <w:spacing w:after="0" w:line="52" w:lineRule="exact"/>
        <w:rPr>
          <w:sz w:val="20"/>
          <w:szCs w:val="20"/>
          <w:color w:val="auto"/>
        </w:rPr>
      </w:pPr>
    </w:p>
    <w:p>
      <w:pPr>
        <w:jc w:val="both"/>
        <w:ind w:left="680" w:right="20" w:firstLine="400"/>
        <w:spacing w:after="0" w:line="263" w:lineRule="auto"/>
        <w:rPr>
          <w:sz w:val="20"/>
          <w:szCs w:val="20"/>
          <w:color w:val="auto"/>
        </w:rPr>
      </w:pPr>
      <w:r>
        <w:rPr>
          <w:rFonts w:ascii="Arial" w:cs="Arial" w:eastAsia="Arial" w:hAnsi="Arial"/>
          <w:sz w:val="12"/>
          <w:szCs w:val="12"/>
          <w:color w:val="auto"/>
        </w:rPr>
        <w:t>Each nonemployee director is granted annually, on November 20, an award of share units with respect to shares of Class A common stock having a fair market value on the date of grant of $125,000, the receipt of which may be deferred in whole or in part under our restricted stock plan. If deferred, such shares accrue dividend equivalents during the deferral period. These share units are fully vested on the grant date. It is the practice of our Board to review nonemployee director compensation on a biennial basis.</w:t>
      </w:r>
    </w:p>
    <w:p>
      <w:pPr>
        <w:spacing w:after="0" w:line="6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For details regarding director compensation for 2009, see the “Director Compensation for 2009” table on page 58.</w:t>
      </w:r>
    </w:p>
    <w:p>
      <w:pPr>
        <w:spacing w:after="0" w:line="123"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Director Stock Ownership Policy</w:t>
      </w:r>
    </w:p>
    <w:p>
      <w:pPr>
        <w:spacing w:after="0" w:line="87" w:lineRule="exact"/>
        <w:rPr>
          <w:sz w:val="20"/>
          <w:szCs w:val="20"/>
          <w:color w:val="auto"/>
        </w:rPr>
      </w:pPr>
    </w:p>
    <w:p>
      <w:pPr>
        <w:ind w:left="680" w:right="80" w:firstLine="400"/>
        <w:spacing w:after="0" w:line="283" w:lineRule="auto"/>
        <w:rPr>
          <w:sz w:val="20"/>
          <w:szCs w:val="20"/>
          <w:color w:val="auto"/>
        </w:rPr>
      </w:pPr>
      <w:r>
        <w:rPr>
          <w:rFonts w:ascii="Arial" w:cs="Arial" w:eastAsia="Arial" w:hAnsi="Arial"/>
          <w:sz w:val="11"/>
          <w:szCs w:val="11"/>
          <w:color w:val="auto"/>
        </w:rPr>
        <w:t>Our nonemployee director stock ownership policy requires our nonemployee directors to hold a number of shares of our common stock having a value equal to five times the director’s annual cash retainer. Each nonemployee director has a period of five years to reach this ownership requirement. For purposes of this policy, “ownership” is defined to include stock owned directly or indirectly by the director and shares underlying deferred stock units under our deferred stock option plan. In addition, 60% of each of the following types of ownership also count: the market value of the director’s stock fund under our deferred compensation plans, deferred shares under our restricted stock plan and the difference between the market price and exercise price of vested stock options. In determining compliance, the Compensation Committee may take into account any noncompliance that occurs solely or primarily as a result of a decline in the market price of our stock. Our nonemployee director stock ownership policy is posted under the “Governance” section of our website at www.cmcsa.com or www.cmcsk.com. All nonemployee directors satisfy the requirements of our stock ownership policy.</w:t>
      </w:r>
    </w:p>
    <w:p>
      <w:pPr>
        <w:spacing w:after="0" w:line="83" w:lineRule="exact"/>
        <w:rPr>
          <w:sz w:val="20"/>
          <w:szCs w:val="20"/>
          <w:color w:val="auto"/>
        </w:rPr>
      </w:pPr>
    </w:p>
    <w:p>
      <w:pPr>
        <w:ind w:left="680"/>
        <w:spacing w:after="0"/>
        <w:rPr>
          <w:sz w:val="20"/>
          <w:szCs w:val="20"/>
          <w:color w:val="auto"/>
        </w:rPr>
      </w:pPr>
      <w:r>
        <w:rPr>
          <w:rFonts w:ascii="Arial" w:cs="Arial" w:eastAsia="Arial" w:hAnsi="Arial"/>
          <w:sz w:val="12"/>
          <w:szCs w:val="12"/>
          <w:b w:val="1"/>
          <w:bCs w:val="1"/>
          <w:color w:val="auto"/>
        </w:rPr>
        <w:t>Transactions between the Company and our Directors</w:t>
      </w:r>
    </w:p>
    <w:p>
      <w:pPr>
        <w:spacing w:after="0" w:line="91"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For information regarding our related party transaction policy and details regarding certain related party transactions, please see “Related Party Transaction Policy and Certain Transactions” below.</w:t>
      </w:r>
    </w:p>
    <w:p>
      <w:pPr>
        <w:spacing w:after="0" w:line="288"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97790</wp:posOffset>
            </wp:positionV>
            <wp:extent cx="7299325" cy="18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680"/>
          </w:cols>
          <w:pgMar w:left="220" w:top="327" w:right="999" w:bottom="1440" w:gutter="0" w:footer="0" w:header="0"/>
        </w:sectPr>
      </w:pPr>
    </w:p>
    <w:bookmarkStart w:id="20" w:name="page21"/>
    <w:bookmarkEnd w:id="20"/>
    <w:p>
      <w:pPr>
        <w:spacing w:after="0"/>
        <w:rPr>
          <w:rFonts w:ascii="Arial" w:cs="Arial" w:eastAsia="Arial" w:hAnsi="Arial"/>
          <w:sz w:val="12"/>
          <w:szCs w:val="12"/>
          <w:b w:val="1"/>
          <w:bCs w:val="1"/>
          <w:u w:val="single" w:color="auto"/>
          <w:color w:val="0000EE"/>
        </w:rPr>
      </w:pPr>
      <w:hyperlink w:anchor="page4">
        <w:r>
          <w:rPr>
            <w:rFonts w:ascii="Arial" w:cs="Arial" w:eastAsia="Arial" w:hAnsi="Arial"/>
            <w:sz w:val="12"/>
            <w:szCs w:val="12"/>
            <w:b w:val="1"/>
            <w:bCs w:val="1"/>
            <w:u w:val="single" w:color="auto"/>
            <w:color w:val="0000EE"/>
          </w:rPr>
          <w:t>Table of Contents</w:t>
        </w:r>
      </w:hyperlink>
    </w:p>
    <w:p>
      <w:pPr>
        <w:spacing w:after="0" w:line="229" w:lineRule="exact"/>
        <w:rPr>
          <w:sz w:val="20"/>
          <w:szCs w:val="20"/>
          <w:color w:val="auto"/>
        </w:rPr>
      </w:pPr>
    </w:p>
    <w:p>
      <w:pPr>
        <w:jc w:val="center"/>
        <w:ind w:right="-699"/>
        <w:spacing w:after="0"/>
        <w:rPr>
          <w:sz w:val="20"/>
          <w:szCs w:val="20"/>
          <w:color w:val="auto"/>
        </w:rPr>
      </w:pPr>
      <w:r>
        <w:rPr>
          <w:rFonts w:ascii="Arial" w:cs="Arial" w:eastAsia="Arial" w:hAnsi="Arial"/>
          <w:sz w:val="12"/>
          <w:szCs w:val="12"/>
          <w:b w:val="1"/>
          <w:bCs w:val="1"/>
          <w:color w:val="auto"/>
        </w:rPr>
        <w:t>PROPOSAL 2: RATIFICATION OF THE APPOINTMENT</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2"/>
          <w:szCs w:val="12"/>
          <w:b w:val="1"/>
          <w:bCs w:val="1"/>
          <w:color w:val="auto"/>
        </w:rPr>
        <w:t>OF OUR INDEPENDENT AUDITORS</w:t>
      </w:r>
    </w:p>
    <w:p>
      <w:pPr>
        <w:spacing w:after="0" w:line="78" w:lineRule="exact"/>
        <w:rPr>
          <w:sz w:val="20"/>
          <w:szCs w:val="20"/>
          <w:color w:val="auto"/>
        </w:rPr>
      </w:pPr>
    </w:p>
    <w:p>
      <w:pPr>
        <w:ind w:left="680" w:right="20" w:firstLine="400"/>
        <w:spacing w:after="0" w:line="263" w:lineRule="auto"/>
        <w:rPr>
          <w:sz w:val="20"/>
          <w:szCs w:val="20"/>
          <w:color w:val="auto"/>
        </w:rPr>
      </w:pPr>
      <w:r>
        <w:rPr>
          <w:rFonts w:ascii="Arial" w:cs="Arial" w:eastAsia="Arial" w:hAnsi="Arial"/>
          <w:sz w:val="12"/>
          <w:szCs w:val="12"/>
          <w:color w:val="auto"/>
        </w:rPr>
        <w:t>The Audit Committee has appointed Deloitte &amp; Touche LLP to serve as our independent auditors for the fiscal year ending December 31, 2010. We are asking you to ratify this appointment, although your ratification is not required. A representative of Deloitte &amp; Touche LLP will be present at the meeting, will have the opportunity to make a statement and will be available to respond to appropriate questions.</w:t>
      </w:r>
    </w:p>
    <w:p>
      <w:pPr>
        <w:spacing w:after="0" w:line="56" w:lineRule="exact"/>
        <w:rPr>
          <w:sz w:val="20"/>
          <w:szCs w:val="20"/>
          <w:color w:val="auto"/>
        </w:rPr>
      </w:pPr>
    </w:p>
    <w:p>
      <w:pPr>
        <w:ind w:left="680" w:right="220" w:firstLine="400"/>
        <w:spacing w:after="0" w:line="283" w:lineRule="auto"/>
        <w:rPr>
          <w:sz w:val="20"/>
          <w:szCs w:val="20"/>
          <w:color w:val="auto"/>
        </w:rPr>
      </w:pPr>
      <w:r>
        <w:rPr>
          <w:rFonts w:ascii="Arial" w:cs="Arial" w:eastAsia="Arial" w:hAnsi="Arial"/>
          <w:sz w:val="12"/>
          <w:szCs w:val="12"/>
          <w:b w:val="1"/>
          <w:bCs w:val="1"/>
          <w:color w:val="auto"/>
        </w:rPr>
        <w:t>OUR BOARD UNANIMOUSLY RECOMMENDS THAT SHAREHOLDERS VOTE “FOR” RATIFICATION OF THE APPOINTMENT OF DELOITTE &amp; TOUCHE LLP AS OUR INDEPENDENT AUDITORS.</w:t>
      </w:r>
    </w:p>
    <w:p>
      <w:pPr>
        <w:spacing w:after="0" w:line="48"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Set forth below are the fees paid or accrued for the services of Deloitte &amp; Touche LLP, the member firms of Deloitte Touche Tohmatsu and their respective affiliates in 2009 and 2008.</w:t>
      </w:r>
    </w:p>
    <w:p>
      <w:pPr>
        <w:spacing w:after="0" w:line="101" w:lineRule="exact"/>
        <w:rPr>
          <w:sz w:val="20"/>
          <w:szCs w:val="20"/>
          <w:color w:val="auto"/>
        </w:rPr>
      </w:pPr>
    </w:p>
    <w:tbl>
      <w:tblPr>
        <w:tblLayout w:type="fixed"/>
        <w:tblInd w:w="3240" w:type="dxa"/>
        <w:tblCellMar>
          <w:top w:w="0" w:type="dxa"/>
          <w:left w:w="0" w:type="dxa"/>
          <w:bottom w:w="0" w:type="dxa"/>
          <w:right w:w="0" w:type="dxa"/>
        </w:tblCellMar>
      </w:tblPr>
      <w:tr>
        <w:trPr>
          <w:trHeight w:val="115"/>
        </w:trPr>
        <w:tc>
          <w:tcPr>
            <w:tcW w:w="2480" w:type="dxa"/>
            <w:vAlign w:val="bottom"/>
          </w:tcPr>
          <w:p>
            <w:pPr>
              <w:spacing w:after="0"/>
              <w:rPr>
                <w:sz w:val="10"/>
                <w:szCs w:val="10"/>
                <w:color w:val="auto"/>
              </w:rPr>
            </w:pPr>
          </w:p>
        </w:tc>
        <w:tc>
          <w:tcPr>
            <w:tcW w:w="1980" w:type="dxa"/>
            <w:vAlign w:val="bottom"/>
            <w:gridSpan w:val="2"/>
          </w:tcPr>
          <w:p>
            <w:pPr>
              <w:jc w:val="center"/>
              <w:ind w:left="1732"/>
              <w:spacing w:after="0"/>
              <w:rPr>
                <w:sz w:val="20"/>
                <w:szCs w:val="20"/>
                <w:color w:val="auto"/>
              </w:rPr>
            </w:pPr>
            <w:r>
              <w:rPr>
                <w:rFonts w:ascii="Arial" w:cs="Arial" w:eastAsia="Arial" w:hAnsi="Arial"/>
                <w:sz w:val="10"/>
                <w:szCs w:val="10"/>
                <w:b w:val="1"/>
                <w:bCs w:val="1"/>
                <w:color w:val="auto"/>
                <w:w w:val="89"/>
              </w:rPr>
              <w:t>2009</w:t>
            </w:r>
          </w:p>
        </w:tc>
        <w:tc>
          <w:tcPr>
            <w:tcW w:w="380" w:type="dxa"/>
            <w:vAlign w:val="bottom"/>
            <w:gridSpan w:val="2"/>
          </w:tcPr>
          <w:p>
            <w:pPr>
              <w:jc w:val="right"/>
              <w:spacing w:after="0"/>
              <w:rPr>
                <w:sz w:val="20"/>
                <w:szCs w:val="20"/>
                <w:color w:val="auto"/>
              </w:rPr>
            </w:pPr>
            <w:r>
              <w:rPr>
                <w:rFonts w:ascii="Arial" w:cs="Arial" w:eastAsia="Arial" w:hAnsi="Arial"/>
                <w:sz w:val="10"/>
                <w:szCs w:val="10"/>
                <w:b w:val="1"/>
                <w:bCs w:val="1"/>
                <w:color w:val="auto"/>
              </w:rPr>
              <w:t>2008</w:t>
            </w:r>
          </w:p>
        </w:tc>
        <w:tc>
          <w:tcPr>
            <w:tcW w:w="40" w:type="dxa"/>
            <w:vAlign w:val="bottom"/>
          </w:tcPr>
          <w:p>
            <w:pPr>
              <w:spacing w:after="0"/>
              <w:rPr>
                <w:sz w:val="10"/>
                <w:szCs w:val="10"/>
                <w:color w:val="auto"/>
              </w:rPr>
            </w:pPr>
          </w:p>
        </w:tc>
      </w:tr>
      <w:tr>
        <w:trPr>
          <w:trHeight w:val="20"/>
        </w:trPr>
        <w:tc>
          <w:tcPr>
            <w:tcW w:w="24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18"/>
        </w:trPr>
        <w:tc>
          <w:tcPr>
            <w:tcW w:w="24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80" w:type="dxa"/>
            <w:vAlign w:val="bottom"/>
          </w:tcPr>
          <w:p>
            <w:pPr>
              <w:jc w:val="center"/>
              <w:spacing w:after="0"/>
              <w:rPr>
                <w:sz w:val="20"/>
                <w:szCs w:val="20"/>
                <w:color w:val="auto"/>
              </w:rPr>
            </w:pPr>
            <w:r>
              <w:rPr>
                <w:rFonts w:ascii="Arial" w:cs="Arial" w:eastAsia="Arial" w:hAnsi="Arial"/>
                <w:sz w:val="10"/>
                <w:szCs w:val="10"/>
                <w:b w:val="1"/>
                <w:bCs w:val="1"/>
                <w:color w:val="auto"/>
                <w:w w:val="97"/>
              </w:rPr>
              <w:t>(in</w:t>
            </w:r>
          </w:p>
        </w:tc>
        <w:tc>
          <w:tcPr>
            <w:tcW w:w="380" w:type="dxa"/>
            <w:vAlign w:val="bottom"/>
            <w:gridSpan w:val="2"/>
          </w:tcPr>
          <w:p>
            <w:pPr>
              <w:jc w:val="right"/>
              <w:ind w:right="40"/>
              <w:spacing w:after="0"/>
              <w:rPr>
                <w:sz w:val="20"/>
                <w:szCs w:val="20"/>
                <w:color w:val="auto"/>
              </w:rPr>
            </w:pPr>
            <w:r>
              <w:rPr>
                <w:rFonts w:ascii="Arial" w:cs="Arial" w:eastAsia="Arial" w:hAnsi="Arial"/>
                <w:sz w:val="10"/>
                <w:szCs w:val="10"/>
                <w:b w:val="1"/>
                <w:bCs w:val="1"/>
                <w:color w:val="auto"/>
                <w:w w:val="77"/>
              </w:rPr>
              <w:t>millions)</w:t>
            </w:r>
          </w:p>
        </w:tc>
        <w:tc>
          <w:tcPr>
            <w:tcW w:w="40" w:type="dxa"/>
            <w:vAlign w:val="bottom"/>
          </w:tcPr>
          <w:p>
            <w:pPr>
              <w:spacing w:after="0"/>
              <w:rPr>
                <w:sz w:val="10"/>
                <w:szCs w:val="10"/>
                <w:color w:val="auto"/>
              </w:rPr>
            </w:pPr>
          </w:p>
        </w:tc>
      </w:tr>
      <w:tr>
        <w:trPr>
          <w:trHeight w:val="105"/>
        </w:trPr>
        <w:tc>
          <w:tcPr>
            <w:tcW w:w="2480" w:type="dxa"/>
            <w:vAlign w:val="bottom"/>
            <w:shd w:val="clear" w:color="auto" w:fill="CCEEFF"/>
          </w:tcPr>
          <w:p>
            <w:pPr>
              <w:spacing w:after="0" w:line="105" w:lineRule="exact"/>
              <w:rPr>
                <w:sz w:val="20"/>
                <w:szCs w:val="20"/>
                <w:color w:val="auto"/>
              </w:rPr>
            </w:pPr>
            <w:r>
              <w:rPr>
                <w:rFonts w:ascii="Arial" w:cs="Arial" w:eastAsia="Arial" w:hAnsi="Arial"/>
                <w:sz w:val="10"/>
                <w:szCs w:val="10"/>
                <w:color w:val="auto"/>
              </w:rPr>
              <w:t>Audit fees</w:t>
            </w:r>
          </w:p>
        </w:tc>
        <w:tc>
          <w:tcPr>
            <w:tcW w:w="1980" w:type="dxa"/>
            <w:vAlign w:val="bottom"/>
            <w:gridSpan w:val="2"/>
            <w:shd w:val="clear" w:color="auto" w:fill="CCEEFF"/>
          </w:tcPr>
          <w:p>
            <w:pPr>
              <w:jc w:val="center"/>
              <w:ind w:left="1732"/>
              <w:spacing w:after="0" w:line="105" w:lineRule="exact"/>
              <w:rPr>
                <w:sz w:val="20"/>
                <w:szCs w:val="20"/>
                <w:color w:val="auto"/>
              </w:rPr>
            </w:pPr>
            <w:r>
              <w:rPr>
                <w:rFonts w:ascii="Arial" w:cs="Arial" w:eastAsia="Arial" w:hAnsi="Arial"/>
                <w:sz w:val="10"/>
                <w:szCs w:val="10"/>
                <w:color w:val="auto"/>
                <w:w w:val="89"/>
              </w:rPr>
              <w:t>$ 4.9</w:t>
            </w:r>
          </w:p>
        </w:tc>
        <w:tc>
          <w:tcPr>
            <w:tcW w:w="380" w:type="dxa"/>
            <w:vAlign w:val="bottom"/>
            <w:gridSpan w:val="2"/>
            <w:shd w:val="clear" w:color="auto" w:fill="CCEEFF"/>
          </w:tcPr>
          <w:p>
            <w:pPr>
              <w:jc w:val="right"/>
              <w:spacing w:after="0" w:line="105" w:lineRule="exact"/>
              <w:rPr>
                <w:sz w:val="20"/>
                <w:szCs w:val="20"/>
                <w:color w:val="auto"/>
              </w:rPr>
            </w:pPr>
            <w:r>
              <w:rPr>
                <w:rFonts w:ascii="Arial" w:cs="Arial" w:eastAsia="Arial" w:hAnsi="Arial"/>
                <w:sz w:val="10"/>
                <w:szCs w:val="10"/>
                <w:color w:val="auto"/>
              </w:rPr>
              <w:t>$ 5.1</w:t>
            </w:r>
          </w:p>
        </w:tc>
        <w:tc>
          <w:tcPr>
            <w:tcW w:w="40" w:type="dxa"/>
            <w:vAlign w:val="bottom"/>
            <w:shd w:val="clear" w:color="auto" w:fill="CCEEFF"/>
          </w:tcPr>
          <w:p>
            <w:pPr>
              <w:spacing w:after="0"/>
              <w:rPr>
                <w:sz w:val="9"/>
                <w:szCs w:val="9"/>
                <w:color w:val="auto"/>
              </w:rPr>
            </w:pPr>
          </w:p>
        </w:tc>
      </w:tr>
      <w:tr>
        <w:trPr>
          <w:trHeight w:val="99"/>
        </w:trPr>
        <w:tc>
          <w:tcPr>
            <w:tcW w:w="2480" w:type="dxa"/>
            <w:vAlign w:val="bottom"/>
          </w:tcPr>
          <w:p>
            <w:pPr>
              <w:spacing w:after="0" w:line="99" w:lineRule="exact"/>
              <w:rPr>
                <w:sz w:val="20"/>
                <w:szCs w:val="20"/>
                <w:color w:val="auto"/>
              </w:rPr>
            </w:pPr>
            <w:r>
              <w:rPr>
                <w:rFonts w:ascii="Arial" w:cs="Arial" w:eastAsia="Arial" w:hAnsi="Arial"/>
                <w:sz w:val="10"/>
                <w:szCs w:val="10"/>
                <w:color w:val="auto"/>
              </w:rPr>
              <w:t>Audit-related fees</w:t>
            </w:r>
          </w:p>
        </w:tc>
        <w:tc>
          <w:tcPr>
            <w:tcW w:w="1980" w:type="dxa"/>
            <w:vAlign w:val="bottom"/>
            <w:gridSpan w:val="2"/>
          </w:tcPr>
          <w:p>
            <w:pPr>
              <w:jc w:val="center"/>
              <w:ind w:left="1732"/>
              <w:spacing w:after="0" w:line="99" w:lineRule="exact"/>
              <w:rPr>
                <w:sz w:val="20"/>
                <w:szCs w:val="20"/>
                <w:color w:val="auto"/>
              </w:rPr>
            </w:pPr>
            <w:r>
              <w:rPr>
                <w:rFonts w:ascii="Arial" w:cs="Arial" w:eastAsia="Arial" w:hAnsi="Arial"/>
                <w:sz w:val="10"/>
                <w:szCs w:val="10"/>
                <w:color w:val="auto"/>
                <w:w w:val="89"/>
              </w:rPr>
              <w:t>$ 0.7</w:t>
            </w:r>
          </w:p>
        </w:tc>
        <w:tc>
          <w:tcPr>
            <w:tcW w:w="380" w:type="dxa"/>
            <w:vAlign w:val="bottom"/>
            <w:gridSpan w:val="2"/>
          </w:tcPr>
          <w:p>
            <w:pPr>
              <w:jc w:val="right"/>
              <w:spacing w:after="0" w:line="99" w:lineRule="exact"/>
              <w:rPr>
                <w:sz w:val="20"/>
                <w:szCs w:val="20"/>
                <w:color w:val="auto"/>
              </w:rPr>
            </w:pPr>
            <w:r>
              <w:rPr>
                <w:rFonts w:ascii="Arial" w:cs="Arial" w:eastAsia="Arial" w:hAnsi="Arial"/>
                <w:sz w:val="10"/>
                <w:szCs w:val="10"/>
                <w:color w:val="auto"/>
              </w:rPr>
              <w:t>$ 0.5</w:t>
            </w:r>
          </w:p>
        </w:tc>
        <w:tc>
          <w:tcPr>
            <w:tcW w:w="40" w:type="dxa"/>
            <w:vAlign w:val="bottom"/>
          </w:tcPr>
          <w:p>
            <w:pPr>
              <w:spacing w:after="0"/>
              <w:rPr>
                <w:sz w:val="8"/>
                <w:szCs w:val="8"/>
                <w:color w:val="auto"/>
              </w:rPr>
            </w:pPr>
          </w:p>
        </w:tc>
      </w:tr>
      <w:tr>
        <w:trPr>
          <w:trHeight w:val="99"/>
        </w:trPr>
        <w:tc>
          <w:tcPr>
            <w:tcW w:w="248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Tax fees</w:t>
            </w:r>
          </w:p>
        </w:tc>
        <w:tc>
          <w:tcPr>
            <w:tcW w:w="1980" w:type="dxa"/>
            <w:vAlign w:val="bottom"/>
            <w:gridSpan w:val="2"/>
            <w:shd w:val="clear" w:color="auto" w:fill="CCEEFF"/>
          </w:tcPr>
          <w:p>
            <w:pPr>
              <w:jc w:val="center"/>
              <w:ind w:left="1732"/>
              <w:spacing w:after="0" w:line="99" w:lineRule="exact"/>
              <w:rPr>
                <w:sz w:val="20"/>
                <w:szCs w:val="20"/>
                <w:color w:val="auto"/>
              </w:rPr>
            </w:pPr>
            <w:r>
              <w:rPr>
                <w:rFonts w:ascii="Arial" w:cs="Arial" w:eastAsia="Arial" w:hAnsi="Arial"/>
                <w:sz w:val="10"/>
                <w:szCs w:val="10"/>
                <w:color w:val="auto"/>
                <w:w w:val="89"/>
              </w:rPr>
              <w:t>$ 0.3</w:t>
            </w:r>
          </w:p>
        </w:tc>
        <w:tc>
          <w:tcPr>
            <w:tcW w:w="380" w:type="dxa"/>
            <w:vAlign w:val="bottom"/>
            <w:gridSpan w:val="2"/>
            <w:shd w:val="clear" w:color="auto" w:fill="CCEEFF"/>
          </w:tcPr>
          <w:p>
            <w:pPr>
              <w:jc w:val="right"/>
              <w:spacing w:after="0" w:line="99" w:lineRule="exact"/>
              <w:rPr>
                <w:sz w:val="20"/>
                <w:szCs w:val="20"/>
                <w:color w:val="auto"/>
              </w:rPr>
            </w:pPr>
            <w:r>
              <w:rPr>
                <w:rFonts w:ascii="Arial" w:cs="Arial" w:eastAsia="Arial" w:hAnsi="Arial"/>
                <w:sz w:val="10"/>
                <w:szCs w:val="10"/>
                <w:color w:val="auto"/>
              </w:rPr>
              <w:t>$ 0.4</w:t>
            </w:r>
          </w:p>
        </w:tc>
        <w:tc>
          <w:tcPr>
            <w:tcW w:w="40" w:type="dxa"/>
            <w:vAlign w:val="bottom"/>
            <w:shd w:val="clear" w:color="auto" w:fill="CCEEFF"/>
          </w:tcPr>
          <w:p>
            <w:pPr>
              <w:spacing w:after="0"/>
              <w:rPr>
                <w:sz w:val="8"/>
                <w:szCs w:val="8"/>
                <w:color w:val="auto"/>
              </w:rPr>
            </w:pPr>
          </w:p>
        </w:tc>
      </w:tr>
      <w:tr>
        <w:trPr>
          <w:trHeight w:val="99"/>
        </w:trPr>
        <w:tc>
          <w:tcPr>
            <w:tcW w:w="2480" w:type="dxa"/>
            <w:vAlign w:val="bottom"/>
          </w:tcPr>
          <w:p>
            <w:pPr>
              <w:spacing w:after="0" w:line="99" w:lineRule="exact"/>
              <w:rPr>
                <w:sz w:val="20"/>
                <w:szCs w:val="20"/>
                <w:color w:val="auto"/>
              </w:rPr>
            </w:pPr>
            <w:r>
              <w:rPr>
                <w:rFonts w:ascii="Arial" w:cs="Arial" w:eastAsia="Arial" w:hAnsi="Arial"/>
                <w:sz w:val="10"/>
                <w:szCs w:val="10"/>
                <w:color w:val="auto"/>
              </w:rPr>
              <w:t>All other fees</w:t>
            </w:r>
          </w:p>
        </w:tc>
        <w:tc>
          <w:tcPr>
            <w:tcW w:w="1980" w:type="dxa"/>
            <w:vAlign w:val="bottom"/>
            <w:gridSpan w:val="2"/>
          </w:tcPr>
          <w:p>
            <w:pPr>
              <w:jc w:val="center"/>
              <w:ind w:left="1732"/>
              <w:spacing w:after="0" w:line="99" w:lineRule="exact"/>
              <w:rPr>
                <w:sz w:val="20"/>
                <w:szCs w:val="20"/>
                <w:color w:val="auto"/>
              </w:rPr>
            </w:pPr>
            <w:r>
              <w:rPr>
                <w:rFonts w:ascii="Arial" w:cs="Arial" w:eastAsia="Arial" w:hAnsi="Arial"/>
                <w:sz w:val="10"/>
                <w:szCs w:val="10"/>
                <w:color w:val="auto"/>
                <w:w w:val="89"/>
              </w:rPr>
              <w:t>$ 0.9</w:t>
            </w:r>
          </w:p>
        </w:tc>
        <w:tc>
          <w:tcPr>
            <w:tcW w:w="380" w:type="dxa"/>
            <w:vAlign w:val="bottom"/>
            <w:gridSpan w:val="2"/>
          </w:tcPr>
          <w:p>
            <w:pPr>
              <w:jc w:val="right"/>
              <w:spacing w:after="0" w:line="99" w:lineRule="exact"/>
              <w:rPr>
                <w:sz w:val="20"/>
                <w:szCs w:val="20"/>
                <w:color w:val="auto"/>
              </w:rPr>
            </w:pPr>
            <w:r>
              <w:rPr>
                <w:rFonts w:ascii="Arial" w:cs="Arial" w:eastAsia="Arial" w:hAnsi="Arial"/>
                <w:sz w:val="10"/>
                <w:szCs w:val="10"/>
                <w:color w:val="auto"/>
              </w:rPr>
              <w:t>$ 0.1</w:t>
            </w:r>
          </w:p>
        </w:tc>
        <w:tc>
          <w:tcPr>
            <w:tcW w:w="40" w:type="dxa"/>
            <w:vAlign w:val="bottom"/>
          </w:tcPr>
          <w:p>
            <w:pPr>
              <w:spacing w:after="0"/>
              <w:rPr>
                <w:sz w:val="8"/>
                <w:szCs w:val="8"/>
                <w:color w:val="auto"/>
              </w:rPr>
            </w:pPr>
          </w:p>
        </w:tc>
      </w:tr>
      <w:tr>
        <w:trPr>
          <w:trHeight w:val="20"/>
        </w:trPr>
        <w:tc>
          <w:tcPr>
            <w:tcW w:w="24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97"/>
        </w:trPr>
        <w:tc>
          <w:tcPr>
            <w:tcW w:w="2480" w:type="dxa"/>
            <w:vAlign w:val="bottom"/>
            <w:shd w:val="clear" w:color="auto" w:fill="CCEEFF"/>
          </w:tcPr>
          <w:p>
            <w:pPr>
              <w:spacing w:after="0"/>
              <w:rPr>
                <w:sz w:val="8"/>
                <w:szCs w:val="8"/>
                <w:color w:val="auto"/>
              </w:rPr>
            </w:pPr>
          </w:p>
        </w:tc>
        <w:tc>
          <w:tcPr>
            <w:tcW w:w="1980" w:type="dxa"/>
            <w:vAlign w:val="bottom"/>
            <w:gridSpan w:val="2"/>
            <w:shd w:val="clear" w:color="auto" w:fill="CCEEFF"/>
          </w:tcPr>
          <w:p>
            <w:pPr>
              <w:jc w:val="center"/>
              <w:ind w:left="1732"/>
              <w:spacing w:after="0" w:line="97" w:lineRule="exact"/>
              <w:rPr>
                <w:sz w:val="20"/>
                <w:szCs w:val="20"/>
                <w:color w:val="auto"/>
              </w:rPr>
            </w:pPr>
            <w:r>
              <w:rPr>
                <w:rFonts w:ascii="Arial" w:cs="Arial" w:eastAsia="Arial" w:hAnsi="Arial"/>
                <w:sz w:val="10"/>
                <w:szCs w:val="10"/>
                <w:color w:val="auto"/>
                <w:w w:val="89"/>
              </w:rPr>
              <w:t>$ 6.8</w:t>
            </w:r>
          </w:p>
        </w:tc>
        <w:tc>
          <w:tcPr>
            <w:tcW w:w="380" w:type="dxa"/>
            <w:vAlign w:val="bottom"/>
            <w:gridSpan w:val="2"/>
            <w:shd w:val="clear" w:color="auto" w:fill="CCEEFF"/>
          </w:tcPr>
          <w:p>
            <w:pPr>
              <w:jc w:val="right"/>
              <w:spacing w:after="0" w:line="97" w:lineRule="exact"/>
              <w:rPr>
                <w:sz w:val="20"/>
                <w:szCs w:val="20"/>
                <w:color w:val="auto"/>
              </w:rPr>
            </w:pPr>
            <w:r>
              <w:rPr>
                <w:rFonts w:ascii="Arial" w:cs="Arial" w:eastAsia="Arial" w:hAnsi="Arial"/>
                <w:sz w:val="10"/>
                <w:szCs w:val="10"/>
                <w:color w:val="auto"/>
              </w:rPr>
              <w:t>$ 6.1</w:t>
            </w:r>
          </w:p>
        </w:tc>
        <w:tc>
          <w:tcPr>
            <w:tcW w:w="40" w:type="dxa"/>
            <w:vAlign w:val="bottom"/>
            <w:shd w:val="clear" w:color="auto" w:fill="CCEEFF"/>
          </w:tcPr>
          <w:p>
            <w:pPr>
              <w:spacing w:after="0"/>
              <w:rPr>
                <w:sz w:val="8"/>
                <w:szCs w:val="8"/>
                <w:color w:val="auto"/>
              </w:rPr>
            </w:pPr>
          </w:p>
        </w:tc>
      </w:tr>
      <w:tr>
        <w:trPr>
          <w:trHeight w:val="27"/>
        </w:trPr>
        <w:tc>
          <w:tcPr>
            <w:tcW w:w="24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81" w:lineRule="exact"/>
        <w:rPr>
          <w:sz w:val="20"/>
          <w:szCs w:val="20"/>
          <w:color w:val="auto"/>
        </w:rPr>
      </w:pPr>
    </w:p>
    <w:p>
      <w:pPr>
        <w:ind w:left="680" w:right="100" w:firstLine="400"/>
        <w:spacing w:after="0" w:line="323" w:lineRule="auto"/>
        <w:rPr>
          <w:sz w:val="20"/>
          <w:szCs w:val="20"/>
          <w:color w:val="auto"/>
        </w:rPr>
      </w:pPr>
      <w:r>
        <w:rPr>
          <w:rFonts w:ascii="Arial" w:cs="Arial" w:eastAsia="Arial" w:hAnsi="Arial"/>
          <w:sz w:val="11"/>
          <w:szCs w:val="11"/>
          <w:color w:val="auto"/>
        </w:rPr>
        <w:t>Audit fees consisted of fees paid or accrued for services rendered to us and our subsidiaries for the audits of our annual financial statements, audits of our internal control over financial reporting (as required by Section 404 of the Sarbanes-Oxley Act of 2002), reviews of our quarterly financial statements and audit services provided in connection with other statutory or regulatory filings.</w:t>
      </w:r>
    </w:p>
    <w:p>
      <w:pPr>
        <w:spacing w:after="0" w:line="29" w:lineRule="exact"/>
        <w:rPr>
          <w:sz w:val="20"/>
          <w:szCs w:val="20"/>
          <w:color w:val="auto"/>
        </w:rPr>
      </w:pPr>
    </w:p>
    <w:p>
      <w:pPr>
        <w:ind w:left="680" w:right="20" w:firstLine="400"/>
        <w:spacing w:after="0" w:line="323" w:lineRule="auto"/>
        <w:rPr>
          <w:sz w:val="20"/>
          <w:szCs w:val="20"/>
          <w:color w:val="auto"/>
        </w:rPr>
      </w:pPr>
      <w:r>
        <w:rPr>
          <w:rFonts w:ascii="Arial" w:cs="Arial" w:eastAsia="Arial" w:hAnsi="Arial"/>
          <w:sz w:val="11"/>
          <w:szCs w:val="11"/>
          <w:color w:val="auto"/>
        </w:rPr>
        <w:t>Audit-related fees consisted primarily of fees paid or accrued for attestation services related to contractual and regulatory compliance and, in 2009, also included accounting consultation related to the NBCU Transaction (as defined below in “Executive Compensation — Compensation Discussion and Analysis — Overview of Our Compensation Program Philosophy and Process”).</w:t>
      </w:r>
    </w:p>
    <w:p>
      <w:pPr>
        <w:spacing w:after="0" w:line="29" w:lineRule="exact"/>
        <w:rPr>
          <w:sz w:val="20"/>
          <w:szCs w:val="20"/>
          <w:color w:val="auto"/>
        </w:rPr>
      </w:pPr>
    </w:p>
    <w:p>
      <w:pPr>
        <w:ind w:left="680" w:firstLine="400"/>
        <w:spacing w:after="0" w:line="276" w:lineRule="auto"/>
        <w:rPr>
          <w:sz w:val="20"/>
          <w:szCs w:val="20"/>
          <w:color w:val="auto"/>
        </w:rPr>
      </w:pPr>
      <w:r>
        <w:rPr>
          <w:rFonts w:ascii="Arial" w:cs="Arial" w:eastAsia="Arial" w:hAnsi="Arial"/>
          <w:sz w:val="12"/>
          <w:szCs w:val="12"/>
          <w:color w:val="auto"/>
        </w:rPr>
        <w:t>Tax fees consisted of fees paid or accrued for domestic and foreign tax compliance services, including tax examination assistance and expatriate administration and tax preparation. There were no fees paid or accrued in 2009 and 2008 for tax planning.</w:t>
      </w:r>
    </w:p>
    <w:p>
      <w:pPr>
        <w:spacing w:after="0" w:line="52" w:lineRule="exact"/>
        <w:rPr>
          <w:sz w:val="20"/>
          <w:szCs w:val="20"/>
          <w:color w:val="auto"/>
        </w:rPr>
      </w:pPr>
    </w:p>
    <w:p>
      <w:pPr>
        <w:ind w:left="1080"/>
        <w:spacing w:after="0"/>
        <w:rPr>
          <w:sz w:val="20"/>
          <w:szCs w:val="20"/>
          <w:color w:val="auto"/>
        </w:rPr>
      </w:pPr>
      <w:r>
        <w:rPr>
          <w:rFonts w:ascii="Arial" w:cs="Arial" w:eastAsia="Arial" w:hAnsi="Arial"/>
          <w:sz w:val="10"/>
          <w:szCs w:val="10"/>
          <w:color w:val="auto"/>
        </w:rPr>
        <w:t>Other fees consisted of fees paid or accrued for consulting services regarding the hierarchy of jobs and job titles in our human resources database and enterprise risk management consulting services.</w:t>
      </w:r>
    </w:p>
    <w:p>
      <w:pPr>
        <w:spacing w:after="0" w:line="178" w:lineRule="exact"/>
        <w:rPr>
          <w:sz w:val="20"/>
          <w:szCs w:val="20"/>
          <w:color w:val="auto"/>
        </w:rPr>
      </w:pPr>
    </w:p>
    <w:p>
      <w:pPr>
        <w:ind w:left="680"/>
        <w:spacing w:after="0"/>
        <w:rPr>
          <w:sz w:val="20"/>
          <w:szCs w:val="20"/>
          <w:color w:val="auto"/>
        </w:rPr>
      </w:pPr>
      <w:r>
        <w:rPr>
          <w:rFonts w:ascii="Arial" w:cs="Arial" w:eastAsia="Arial" w:hAnsi="Arial"/>
          <w:sz w:val="12"/>
          <w:szCs w:val="12"/>
          <w:b w:val="1"/>
          <w:bCs w:val="1"/>
          <w:color w:val="auto"/>
        </w:rPr>
        <w:t>Preapproval Policy of Audit Committee of Services Performed by Independent Auditors</w:t>
      </w:r>
    </w:p>
    <w:p>
      <w:pPr>
        <w:spacing w:after="0" w:line="91" w:lineRule="exact"/>
        <w:rPr>
          <w:sz w:val="20"/>
          <w:szCs w:val="20"/>
          <w:color w:val="auto"/>
        </w:rPr>
      </w:pPr>
    </w:p>
    <w:p>
      <w:pPr>
        <w:ind w:left="680" w:firstLine="400"/>
        <w:spacing w:after="0" w:line="259" w:lineRule="auto"/>
        <w:rPr>
          <w:sz w:val="20"/>
          <w:szCs w:val="20"/>
          <w:color w:val="auto"/>
        </w:rPr>
      </w:pPr>
      <w:r>
        <w:rPr>
          <w:rFonts w:ascii="Arial" w:cs="Arial" w:eastAsia="Arial" w:hAnsi="Arial"/>
          <w:sz w:val="12"/>
          <w:szCs w:val="12"/>
          <w:color w:val="auto"/>
        </w:rPr>
        <w:t>The Audit Committee’s policy requires that the committee preapprove audit and non-audit services performed by the independent auditors to assure that the services do not impair the auditors’ independence. Unless a type of service has received general preapproval, it requires separate preapproval by the Audit Committee. Even if a service has received general preapproval, if the fee associated with the service exceeds $250,000 in a single engagement or series of related engagements or relates to tax planning, it requires separate preapproval. The Audit Committee has delegated its preapproval authority to its Chair.</w:t>
      </w:r>
    </w:p>
    <w:p>
      <w:pPr>
        <w:spacing w:after="0" w:line="251"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97790</wp:posOffset>
            </wp:positionV>
            <wp:extent cx="7299325" cy="18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660"/>
          </w:cols>
          <w:pgMar w:left="220" w:top="327" w:right="1019" w:bottom="1440" w:gutter="0" w:footer="0" w:header="0"/>
        </w:sectPr>
      </w:pPr>
    </w:p>
    <w:bookmarkStart w:id="21" w:name="page22"/>
    <w:bookmarkEnd w:id="21"/>
    <w:p>
      <w:pPr>
        <w:spacing w:after="0"/>
        <w:rPr>
          <w:rFonts w:ascii="Arial" w:cs="Arial" w:eastAsia="Arial" w:hAnsi="Arial"/>
          <w:sz w:val="12"/>
          <w:szCs w:val="12"/>
          <w:b w:val="1"/>
          <w:bCs w:val="1"/>
          <w:u w:val="single" w:color="auto"/>
          <w:color w:val="0000EE"/>
        </w:rPr>
      </w:pPr>
      <w:hyperlink w:anchor="page4">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680"/>
        <w:spacing w:after="0"/>
        <w:rPr>
          <w:sz w:val="20"/>
          <w:szCs w:val="20"/>
          <w:color w:val="auto"/>
        </w:rPr>
      </w:pPr>
      <w:r>
        <w:rPr>
          <w:rFonts w:ascii="Arial" w:cs="Arial" w:eastAsia="Arial" w:hAnsi="Arial"/>
          <w:sz w:val="12"/>
          <w:szCs w:val="12"/>
          <w:b w:val="1"/>
          <w:bCs w:val="1"/>
          <w:color w:val="auto"/>
        </w:rPr>
        <w:t>Report of the Audit Committee</w:t>
      </w:r>
    </w:p>
    <w:p>
      <w:pPr>
        <w:spacing w:after="0" w:line="91" w:lineRule="exact"/>
        <w:rPr>
          <w:sz w:val="20"/>
          <w:szCs w:val="20"/>
          <w:color w:val="auto"/>
        </w:rPr>
      </w:pPr>
    </w:p>
    <w:p>
      <w:pPr>
        <w:ind w:left="680" w:right="80" w:firstLine="400"/>
        <w:spacing w:after="0" w:line="323" w:lineRule="auto"/>
        <w:rPr>
          <w:sz w:val="20"/>
          <w:szCs w:val="20"/>
          <w:color w:val="auto"/>
        </w:rPr>
      </w:pPr>
      <w:r>
        <w:rPr>
          <w:rFonts w:ascii="Arial" w:cs="Arial" w:eastAsia="Arial" w:hAnsi="Arial"/>
          <w:sz w:val="11"/>
          <w:szCs w:val="11"/>
          <w:color w:val="auto"/>
        </w:rPr>
        <w:t>The Audit Committee is comprised solely of independent directors meeting the requirements of applicable SEC and NASDAQ Global Select Market rules. The key responsibilities of our committee are set forth in our charter, which was adopted by us and approved by the Board and is posted under the “Governance” section of Comcast’s website at www.cmcsa.com or www.cmcsk.com.</w:t>
      </w:r>
    </w:p>
    <w:p>
      <w:pPr>
        <w:spacing w:after="0" w:line="29" w:lineRule="exact"/>
        <w:rPr>
          <w:sz w:val="20"/>
          <w:szCs w:val="20"/>
          <w:color w:val="auto"/>
        </w:rPr>
      </w:pPr>
    </w:p>
    <w:p>
      <w:pPr>
        <w:jc w:val="both"/>
        <w:ind w:left="680" w:right="40" w:firstLine="400"/>
        <w:spacing w:after="0" w:line="263" w:lineRule="auto"/>
        <w:rPr>
          <w:sz w:val="20"/>
          <w:szCs w:val="20"/>
          <w:color w:val="auto"/>
        </w:rPr>
      </w:pPr>
      <w:r>
        <w:rPr>
          <w:rFonts w:ascii="Arial" w:cs="Arial" w:eastAsia="Arial" w:hAnsi="Arial"/>
          <w:sz w:val="12"/>
          <w:szCs w:val="12"/>
          <w:color w:val="auto"/>
        </w:rPr>
        <w:t>We serve in an oversight capacity and are not intended to be part of Comcast’s operational or managerial decision-making process. Comcast’s management is responsible for the preparation, integrity and fair presentation of information in the consolidated financial statements, the financial reporting process and internal control over financial reporting. The independent auditors are responsible for auditing the consolidated financial statements and internal control over financial reporting. Our principal purpose is to monitor these processes.</w:t>
      </w:r>
    </w:p>
    <w:p>
      <w:pPr>
        <w:spacing w:after="0" w:line="60" w:lineRule="exact"/>
        <w:rPr>
          <w:sz w:val="20"/>
          <w:szCs w:val="20"/>
          <w:color w:val="auto"/>
        </w:rPr>
      </w:pPr>
    </w:p>
    <w:p>
      <w:pPr>
        <w:ind w:left="680" w:firstLine="400"/>
        <w:spacing w:after="0" w:line="257" w:lineRule="auto"/>
        <w:rPr>
          <w:sz w:val="20"/>
          <w:szCs w:val="20"/>
          <w:color w:val="auto"/>
        </w:rPr>
      </w:pPr>
      <w:r>
        <w:rPr>
          <w:rFonts w:ascii="Arial" w:cs="Arial" w:eastAsia="Arial" w:hAnsi="Arial"/>
          <w:sz w:val="12"/>
          <w:szCs w:val="12"/>
          <w:color w:val="auto"/>
        </w:rPr>
        <w:t>In this context, at each regularly scheduled meeting, we met and held discussions with management and the independent auditors. Management represented to us that Comcast’s consolidated financial statements were prepared in accordance with generally accepted accounting principles applied on a consistent basis. Prior to their issuance, we reviewed and discussed the quarterly and annual earnings press releases and consolidated financial statements (including the presentation of non-GAAP financial information) with management and the independent auditors. We also discussed with the independent auditors matters required to be discussed by Statement on Auditing Standards No. 61 (Communication with Audit Committees), as amended, and Rule 2-07 (Communication with Audit Committees) of Regulation S-X.</w:t>
      </w:r>
    </w:p>
    <w:p>
      <w:pPr>
        <w:spacing w:after="0" w:line="63" w:lineRule="exact"/>
        <w:rPr>
          <w:sz w:val="20"/>
          <w:szCs w:val="20"/>
          <w:color w:val="auto"/>
        </w:rPr>
      </w:pPr>
    </w:p>
    <w:p>
      <w:pPr>
        <w:ind w:left="680" w:right="40" w:firstLine="400"/>
        <w:spacing w:after="0" w:line="263" w:lineRule="auto"/>
        <w:rPr>
          <w:sz w:val="20"/>
          <w:szCs w:val="20"/>
          <w:color w:val="auto"/>
        </w:rPr>
      </w:pPr>
      <w:r>
        <w:rPr>
          <w:rFonts w:ascii="Arial" w:cs="Arial" w:eastAsia="Arial" w:hAnsi="Arial"/>
          <w:sz w:val="12"/>
          <w:szCs w:val="12"/>
          <w:color w:val="auto"/>
        </w:rPr>
        <w:t>We discussed with the independent auditors the auditors’ independence from Comcast and its management, including the matters, if any, in the written disclosures delivered pursuant to the applicable requirements of the Public Company Accounting Oversight Board. We pre-approved all services provided by the independent auditors and considered whether their provision of such services to Comcast is compatible with maintaining the auditors’ independence.</w:t>
      </w:r>
    </w:p>
    <w:p>
      <w:pPr>
        <w:spacing w:after="0" w:line="60" w:lineRule="exact"/>
        <w:rPr>
          <w:sz w:val="20"/>
          <w:szCs w:val="20"/>
          <w:color w:val="auto"/>
        </w:rPr>
      </w:pPr>
    </w:p>
    <w:p>
      <w:pPr>
        <w:ind w:left="680" w:right="560" w:firstLine="400"/>
        <w:spacing w:after="0" w:line="323" w:lineRule="auto"/>
        <w:rPr>
          <w:sz w:val="20"/>
          <w:szCs w:val="20"/>
          <w:color w:val="auto"/>
        </w:rPr>
      </w:pPr>
      <w:r>
        <w:rPr>
          <w:rFonts w:ascii="Arial" w:cs="Arial" w:eastAsia="Arial" w:hAnsi="Arial"/>
          <w:sz w:val="11"/>
          <w:szCs w:val="11"/>
          <w:color w:val="auto"/>
        </w:rPr>
        <w:t>We discussed with Comcast’s internal and independent auditors the overall scope and plans for their respective audits. We met with the internal and independent auditors, with and without management present, to discuss the results of their examinations, the evaluations of Comcast’s internal controls and the overall quality and integrity of Comcast’s financial reporting.</w:t>
      </w:r>
    </w:p>
    <w:p>
      <w:pPr>
        <w:spacing w:after="0" w:line="29" w:lineRule="exact"/>
        <w:rPr>
          <w:sz w:val="20"/>
          <w:szCs w:val="20"/>
          <w:color w:val="auto"/>
        </w:rPr>
      </w:pPr>
    </w:p>
    <w:p>
      <w:pPr>
        <w:ind w:left="680" w:right="240" w:firstLine="400"/>
        <w:spacing w:after="0" w:line="276" w:lineRule="auto"/>
        <w:rPr>
          <w:sz w:val="20"/>
          <w:szCs w:val="20"/>
          <w:color w:val="auto"/>
        </w:rPr>
      </w:pPr>
      <w:r>
        <w:rPr>
          <w:rFonts w:ascii="Arial" w:cs="Arial" w:eastAsia="Arial" w:hAnsi="Arial"/>
          <w:sz w:val="12"/>
          <w:szCs w:val="12"/>
          <w:color w:val="auto"/>
        </w:rPr>
        <w:t>Based on the reviews and discussions referred to above, we recommended to the Board, and the Board approved, that the audited financial statements be included in Comcast’s Annual Report on Form 10-K for the year ended December 31, 2009, filed with the SEC.</w:t>
      </w:r>
    </w:p>
    <w:p>
      <w:pPr>
        <w:spacing w:after="0" w:line="52"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have appointed Deloitte &amp; Touche LLP as Comcast’s independent auditors for 2010.</w:t>
      </w:r>
    </w:p>
    <w:p>
      <w:pPr>
        <w:spacing w:after="0" w:line="299" w:lineRule="exact"/>
        <w:rPr>
          <w:sz w:val="20"/>
          <w:szCs w:val="20"/>
          <w:color w:val="auto"/>
        </w:rPr>
      </w:pPr>
    </w:p>
    <w:p>
      <w:pPr>
        <w:ind w:left="4820"/>
        <w:spacing w:after="0"/>
        <w:rPr>
          <w:sz w:val="20"/>
          <w:szCs w:val="20"/>
          <w:color w:val="auto"/>
        </w:rPr>
      </w:pPr>
      <w:r>
        <w:rPr>
          <w:rFonts w:ascii="Arial" w:cs="Arial" w:eastAsia="Arial" w:hAnsi="Arial"/>
          <w:sz w:val="12"/>
          <w:szCs w:val="12"/>
          <w:b w:val="1"/>
          <w:bCs w:val="1"/>
          <w:color w:val="auto"/>
        </w:rPr>
        <w:t>Members of the Audit Committee</w:t>
      </w:r>
    </w:p>
    <w:p>
      <w:pPr>
        <w:spacing w:after="0" w:line="91" w:lineRule="exact"/>
        <w:rPr>
          <w:sz w:val="20"/>
          <w:szCs w:val="20"/>
          <w:color w:val="auto"/>
        </w:rPr>
      </w:pPr>
    </w:p>
    <w:p>
      <w:pPr>
        <w:ind w:left="5100"/>
        <w:spacing w:after="0"/>
        <w:rPr>
          <w:sz w:val="20"/>
          <w:szCs w:val="20"/>
          <w:color w:val="auto"/>
        </w:rPr>
      </w:pPr>
      <w:r>
        <w:rPr>
          <w:rFonts w:ascii="Arial" w:cs="Arial" w:eastAsia="Arial" w:hAnsi="Arial"/>
          <w:sz w:val="12"/>
          <w:szCs w:val="12"/>
          <w:color w:val="auto"/>
        </w:rPr>
        <w:t>J. Michael Cook (Chair)</w:t>
      </w:r>
    </w:p>
    <w:p>
      <w:pPr>
        <w:spacing w:after="0" w:line="15" w:lineRule="exact"/>
        <w:rPr>
          <w:sz w:val="20"/>
          <w:szCs w:val="20"/>
          <w:color w:val="auto"/>
        </w:rPr>
      </w:pPr>
    </w:p>
    <w:p>
      <w:pPr>
        <w:jc w:val="center"/>
        <w:ind w:right="-719"/>
        <w:spacing w:after="0"/>
        <w:rPr>
          <w:sz w:val="20"/>
          <w:szCs w:val="20"/>
          <w:color w:val="auto"/>
        </w:rPr>
      </w:pPr>
      <w:r>
        <w:rPr>
          <w:rFonts w:ascii="Arial" w:cs="Arial" w:eastAsia="Arial" w:hAnsi="Arial"/>
          <w:sz w:val="12"/>
          <w:szCs w:val="12"/>
          <w:color w:val="auto"/>
        </w:rPr>
        <w:t>Joseph J. Collins</w:t>
      </w:r>
    </w:p>
    <w:p>
      <w:pPr>
        <w:spacing w:after="0" w:line="6" w:lineRule="exact"/>
        <w:rPr>
          <w:sz w:val="20"/>
          <w:szCs w:val="20"/>
          <w:color w:val="auto"/>
        </w:rPr>
      </w:pPr>
    </w:p>
    <w:p>
      <w:pPr>
        <w:jc w:val="center"/>
        <w:ind w:right="-719"/>
        <w:spacing w:after="0"/>
        <w:rPr>
          <w:sz w:val="20"/>
          <w:szCs w:val="20"/>
          <w:color w:val="auto"/>
        </w:rPr>
      </w:pPr>
      <w:r>
        <w:rPr>
          <w:rFonts w:ascii="Arial" w:cs="Arial" w:eastAsia="Arial" w:hAnsi="Arial"/>
          <w:sz w:val="12"/>
          <w:szCs w:val="12"/>
          <w:color w:val="auto"/>
        </w:rPr>
        <w:t>Jeffrey A. Honickman</w:t>
      </w:r>
    </w:p>
    <w:p>
      <w:pPr>
        <w:spacing w:after="0" w:line="6" w:lineRule="exact"/>
        <w:rPr>
          <w:sz w:val="20"/>
          <w:szCs w:val="20"/>
          <w:color w:val="auto"/>
        </w:rPr>
      </w:pPr>
    </w:p>
    <w:p>
      <w:pPr>
        <w:jc w:val="center"/>
        <w:ind w:right="-719"/>
        <w:spacing w:after="0"/>
        <w:rPr>
          <w:sz w:val="20"/>
          <w:szCs w:val="20"/>
          <w:color w:val="auto"/>
        </w:rPr>
      </w:pPr>
      <w:r>
        <w:rPr>
          <w:rFonts w:ascii="Arial" w:cs="Arial" w:eastAsia="Arial" w:hAnsi="Arial"/>
          <w:sz w:val="12"/>
          <w:szCs w:val="12"/>
          <w:color w:val="auto"/>
        </w:rPr>
        <w:t>Dr. Judith Rodin</w:t>
      </w:r>
    </w:p>
    <w:p>
      <w:pPr>
        <w:spacing w:after="0" w:line="267"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97790</wp:posOffset>
            </wp:positionV>
            <wp:extent cx="7299325" cy="18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640"/>
          </w:cols>
          <w:pgMar w:left="220" w:top="327" w:right="1039" w:bottom="1440" w:gutter="0" w:footer="0" w:header="0"/>
        </w:sectPr>
      </w:pPr>
    </w:p>
    <w:bookmarkStart w:id="22" w:name="page23"/>
    <w:bookmarkEnd w:id="22"/>
    <w:p>
      <w:pPr>
        <w:spacing w:after="0"/>
        <w:rPr>
          <w:rFonts w:ascii="Arial" w:cs="Arial" w:eastAsia="Arial" w:hAnsi="Arial"/>
          <w:sz w:val="12"/>
          <w:szCs w:val="12"/>
          <w:b w:val="1"/>
          <w:bCs w:val="1"/>
          <w:u w:val="single" w:color="auto"/>
          <w:color w:val="0000EE"/>
        </w:rPr>
      </w:pPr>
      <w:hyperlink w:anchor="page4">
        <w:r>
          <w:rPr>
            <w:rFonts w:ascii="Arial" w:cs="Arial" w:eastAsia="Arial" w:hAnsi="Arial"/>
            <w:sz w:val="12"/>
            <w:szCs w:val="12"/>
            <w:b w:val="1"/>
            <w:bCs w:val="1"/>
            <w:u w:val="single" w:color="auto"/>
            <w:color w:val="0000EE"/>
          </w:rPr>
          <w:t>Table of Contents</w:t>
        </w:r>
      </w:hyperlink>
    </w:p>
    <w:p>
      <w:pPr>
        <w:spacing w:after="0" w:line="229" w:lineRule="exact"/>
        <w:rPr>
          <w:sz w:val="20"/>
          <w:szCs w:val="20"/>
          <w:color w:val="auto"/>
        </w:rPr>
      </w:pPr>
    </w:p>
    <w:p>
      <w:pPr>
        <w:jc w:val="center"/>
        <w:ind w:right="-699"/>
        <w:spacing w:after="0"/>
        <w:rPr>
          <w:sz w:val="20"/>
          <w:szCs w:val="20"/>
          <w:color w:val="auto"/>
        </w:rPr>
      </w:pPr>
      <w:r>
        <w:rPr>
          <w:rFonts w:ascii="Arial" w:cs="Arial" w:eastAsia="Arial" w:hAnsi="Arial"/>
          <w:sz w:val="12"/>
          <w:szCs w:val="12"/>
          <w:b w:val="1"/>
          <w:bCs w:val="1"/>
          <w:color w:val="auto"/>
        </w:rPr>
        <w:t>PROPOSAL 3: APPROVAL OF OUR 2006 CASH BONUS PLAN</w:t>
      </w:r>
    </w:p>
    <w:p>
      <w:pPr>
        <w:spacing w:after="0" w:line="91" w:lineRule="exact"/>
        <w:rPr>
          <w:sz w:val="20"/>
          <w:szCs w:val="20"/>
          <w:color w:val="auto"/>
        </w:rPr>
      </w:pPr>
    </w:p>
    <w:p>
      <w:pPr>
        <w:ind w:left="680" w:right="160" w:firstLine="400"/>
        <w:spacing w:after="0" w:line="263" w:lineRule="auto"/>
        <w:rPr>
          <w:sz w:val="20"/>
          <w:szCs w:val="20"/>
          <w:color w:val="auto"/>
        </w:rPr>
      </w:pPr>
      <w:r>
        <w:rPr>
          <w:rFonts w:ascii="Arial" w:cs="Arial" w:eastAsia="Arial" w:hAnsi="Arial"/>
          <w:sz w:val="12"/>
          <w:szCs w:val="12"/>
          <w:color w:val="auto"/>
        </w:rPr>
        <w:t>Our 2006 Cash Bonus Plan, as amended and restated (the “Bonus Plan”), became effective on January 1, 2006 upon its adoption by our Compensation Committee and has been amended thereafter from time to time. The Bonus Plan was approved by our shareholders on May 18, 2006. The purpose of the Bonus Plan is to provide performance-based cash incentive compensation to certain of our management employees.</w:t>
      </w:r>
    </w:p>
    <w:p>
      <w:pPr>
        <w:spacing w:after="0" w:line="60" w:lineRule="exact"/>
        <w:rPr>
          <w:sz w:val="20"/>
          <w:szCs w:val="20"/>
          <w:color w:val="auto"/>
        </w:rPr>
      </w:pPr>
    </w:p>
    <w:p>
      <w:pPr>
        <w:ind w:left="680" w:right="100" w:firstLine="400"/>
        <w:spacing w:after="0" w:line="281" w:lineRule="auto"/>
        <w:rPr>
          <w:sz w:val="20"/>
          <w:szCs w:val="20"/>
          <w:color w:val="auto"/>
        </w:rPr>
      </w:pPr>
      <w:r>
        <w:rPr>
          <w:rFonts w:ascii="Arial" w:cs="Arial" w:eastAsia="Arial" w:hAnsi="Arial"/>
          <w:sz w:val="11"/>
          <w:szCs w:val="11"/>
          <w:color w:val="auto"/>
        </w:rPr>
        <w:t>Section 162(m) of the Code requires that plans such as the Bonus Plan be approved by shareholders not less than once every five years in order to have amounts paid under such plans that are based on the achievement of quantitative performance goals or other objectively determinable goals treated as qualified performance-based compensation. Qualified performance-based compensation amounts payable under the Bonus Plan are deductible by us for federal income tax purposes. Accordingly, our Board is seeking shareholder approval of the Bonus Plan. If the Bonus Plan is not approved by our shareholders, we may continue to pay bonuses under the Bonus Plan that are based on qualitative performance goals. In addition, if the Bonus Plan is not approved by our shareholders, we will not pay any bonuses to our named executive officers under the Bonus Plan in respect of years after 2010 that are based on quantitative performance goals, but we may continue to pay bonuses to our named executive officers under other incentive arrangements or on a discretionary basis as we may determine are necessary to recruit and retain employees based on performance standards established by the Board or the Compensation Committee from time to time; the amount of such bonuses will not be deductible for federal tax purposes.</w:t>
      </w:r>
    </w:p>
    <w:p>
      <w:pPr>
        <w:spacing w:after="0" w:line="121" w:lineRule="exact"/>
        <w:rPr>
          <w:sz w:val="20"/>
          <w:szCs w:val="20"/>
          <w:color w:val="auto"/>
        </w:rPr>
      </w:pPr>
    </w:p>
    <w:p>
      <w:pPr>
        <w:ind w:left="680"/>
        <w:spacing w:after="0"/>
        <w:rPr>
          <w:sz w:val="20"/>
          <w:szCs w:val="20"/>
          <w:color w:val="auto"/>
        </w:rPr>
      </w:pPr>
      <w:r>
        <w:rPr>
          <w:rFonts w:ascii="Arial" w:cs="Arial" w:eastAsia="Arial" w:hAnsi="Arial"/>
          <w:sz w:val="12"/>
          <w:szCs w:val="12"/>
          <w:b w:val="1"/>
          <w:bCs w:val="1"/>
          <w:color w:val="auto"/>
        </w:rPr>
        <w:t>Description of our 2006 Cash Bonus Plan</w:t>
      </w:r>
    </w:p>
    <w:p>
      <w:pPr>
        <w:spacing w:after="0" w:line="91" w:lineRule="exact"/>
        <w:rPr>
          <w:sz w:val="20"/>
          <w:szCs w:val="20"/>
          <w:color w:val="auto"/>
        </w:rPr>
      </w:pPr>
    </w:p>
    <w:p>
      <w:pPr>
        <w:ind w:left="680" w:right="100" w:firstLine="400"/>
        <w:spacing w:after="0" w:line="276" w:lineRule="auto"/>
        <w:rPr>
          <w:sz w:val="20"/>
          <w:szCs w:val="20"/>
          <w:color w:val="auto"/>
        </w:rPr>
      </w:pPr>
      <w:r>
        <w:rPr>
          <w:rFonts w:ascii="Arial" w:cs="Arial" w:eastAsia="Arial" w:hAnsi="Arial"/>
          <w:sz w:val="12"/>
          <w:szCs w:val="12"/>
          <w:color w:val="auto"/>
        </w:rPr>
        <w:t>The following is a summary of the material features of the Bonus Plan. The following summary does not purport to be complete and is qualified in its entirety by reference to the terms of the Bonus Plan, which is attached to this proxy statement as Appendix A.</w:t>
      </w:r>
    </w:p>
    <w:p>
      <w:pPr>
        <w:spacing w:after="0" w:line="52" w:lineRule="exact"/>
        <w:rPr>
          <w:sz w:val="20"/>
          <w:szCs w:val="20"/>
          <w:color w:val="auto"/>
        </w:rPr>
      </w:pPr>
    </w:p>
    <w:p>
      <w:pPr>
        <w:ind w:left="680" w:right="100" w:firstLine="400"/>
        <w:spacing w:after="0" w:line="276" w:lineRule="auto"/>
        <w:rPr>
          <w:sz w:val="20"/>
          <w:szCs w:val="20"/>
          <w:color w:val="auto"/>
        </w:rPr>
      </w:pPr>
      <w:r>
        <w:rPr>
          <w:rFonts w:ascii="Arial" w:cs="Arial" w:eastAsia="Arial" w:hAnsi="Arial"/>
          <w:sz w:val="12"/>
          <w:szCs w:val="12"/>
          <w:i w:val="1"/>
          <w:iCs w:val="1"/>
          <w:color w:val="auto"/>
        </w:rPr>
        <w:t xml:space="preserve">Types of Awards; Eligibility. </w:t>
      </w:r>
      <w:r>
        <w:rPr>
          <w:rFonts w:ascii="Arial" w:cs="Arial" w:eastAsia="Arial" w:hAnsi="Arial"/>
          <w:sz w:val="12"/>
          <w:szCs w:val="12"/>
          <w:color w:val="auto"/>
        </w:rPr>
        <w:t>The Bonus Plan provides for the payment of annual cash bonuses to management employees of the company and its affiliates. The number of employees, including our</w:t>
      </w:r>
      <w:r>
        <w:rPr>
          <w:rFonts w:ascii="Arial" w:cs="Arial" w:eastAsia="Arial" w:hAnsi="Arial"/>
          <w:sz w:val="12"/>
          <w:szCs w:val="12"/>
          <w:i w:val="1"/>
          <w:iCs w:val="1"/>
          <w:color w:val="auto"/>
        </w:rPr>
        <w:t xml:space="preserve"> </w:t>
      </w:r>
      <w:r>
        <w:rPr>
          <w:rFonts w:ascii="Arial" w:cs="Arial" w:eastAsia="Arial" w:hAnsi="Arial"/>
          <w:sz w:val="12"/>
          <w:szCs w:val="12"/>
          <w:color w:val="auto"/>
        </w:rPr>
        <w:t>named executive officers, currently eligible to participate in the Bonus Plan is approximately 42,000.</w:t>
      </w:r>
    </w:p>
    <w:p>
      <w:pPr>
        <w:spacing w:after="0" w:line="52" w:lineRule="exact"/>
        <w:rPr>
          <w:sz w:val="20"/>
          <w:szCs w:val="20"/>
          <w:color w:val="auto"/>
        </w:rPr>
      </w:pPr>
    </w:p>
    <w:p>
      <w:pPr>
        <w:ind w:left="680" w:firstLine="400"/>
        <w:spacing w:after="0" w:line="276" w:lineRule="auto"/>
        <w:rPr>
          <w:sz w:val="20"/>
          <w:szCs w:val="20"/>
          <w:color w:val="auto"/>
        </w:rPr>
      </w:pPr>
      <w:r>
        <w:rPr>
          <w:rFonts w:ascii="Arial" w:cs="Arial" w:eastAsia="Arial" w:hAnsi="Arial"/>
          <w:sz w:val="12"/>
          <w:szCs w:val="12"/>
          <w:i w:val="1"/>
          <w:iCs w:val="1"/>
          <w:color w:val="auto"/>
        </w:rPr>
        <w:t xml:space="preserve">Amount Subject to the Plan. </w:t>
      </w:r>
      <w:r>
        <w:rPr>
          <w:rFonts w:ascii="Arial" w:cs="Arial" w:eastAsia="Arial" w:hAnsi="Arial"/>
          <w:sz w:val="12"/>
          <w:szCs w:val="12"/>
          <w:color w:val="auto"/>
        </w:rPr>
        <w:t>Target awards under the Bonus Plan are expressed as a percentage of an eligible employee’s base salary. The maximum amount payable to any employee under the Bonus</w:t>
      </w:r>
      <w:r>
        <w:rPr>
          <w:rFonts w:ascii="Arial" w:cs="Arial" w:eastAsia="Arial" w:hAnsi="Arial"/>
          <w:sz w:val="12"/>
          <w:szCs w:val="12"/>
          <w:i w:val="1"/>
          <w:iCs w:val="1"/>
          <w:color w:val="auto"/>
        </w:rPr>
        <w:t xml:space="preserve"> </w:t>
      </w:r>
      <w:r>
        <w:rPr>
          <w:rFonts w:ascii="Arial" w:cs="Arial" w:eastAsia="Arial" w:hAnsi="Arial"/>
          <w:sz w:val="12"/>
          <w:szCs w:val="12"/>
          <w:color w:val="auto"/>
        </w:rPr>
        <w:t>Plan with respect to any calendar year cannot exceed $12 million.</w:t>
      </w:r>
    </w:p>
    <w:p>
      <w:pPr>
        <w:spacing w:after="0" w:line="52" w:lineRule="exact"/>
        <w:rPr>
          <w:sz w:val="20"/>
          <w:szCs w:val="20"/>
          <w:color w:val="auto"/>
        </w:rPr>
      </w:pPr>
    </w:p>
    <w:p>
      <w:pPr>
        <w:ind w:left="680" w:right="20" w:firstLine="400"/>
        <w:spacing w:after="0" w:line="263" w:lineRule="auto"/>
        <w:rPr>
          <w:sz w:val="20"/>
          <w:szCs w:val="20"/>
          <w:color w:val="auto"/>
        </w:rPr>
      </w:pPr>
      <w:r>
        <w:rPr>
          <w:rFonts w:ascii="Arial" w:cs="Arial" w:eastAsia="Arial" w:hAnsi="Arial"/>
          <w:sz w:val="12"/>
          <w:szCs w:val="12"/>
          <w:i w:val="1"/>
          <w:iCs w:val="1"/>
          <w:color w:val="auto"/>
        </w:rPr>
        <w:t xml:space="preserve">Term of the Plan. </w:t>
      </w:r>
      <w:r>
        <w:rPr>
          <w:rFonts w:ascii="Arial" w:cs="Arial" w:eastAsia="Arial" w:hAnsi="Arial"/>
          <w:sz w:val="12"/>
          <w:szCs w:val="12"/>
          <w:color w:val="auto"/>
        </w:rPr>
        <w:t>No awards will be made under the Bonus Plan with respect to any calendar year beginning after December 31, 2015. Awards granted after December 31, 2010 to our named</w:t>
      </w:r>
      <w:r>
        <w:rPr>
          <w:rFonts w:ascii="Arial" w:cs="Arial" w:eastAsia="Arial" w:hAnsi="Arial"/>
          <w:sz w:val="12"/>
          <w:szCs w:val="12"/>
          <w:i w:val="1"/>
          <w:iCs w:val="1"/>
          <w:color w:val="auto"/>
        </w:rPr>
        <w:t xml:space="preserve"> </w:t>
      </w:r>
      <w:r>
        <w:rPr>
          <w:rFonts w:ascii="Arial" w:cs="Arial" w:eastAsia="Arial" w:hAnsi="Arial"/>
          <w:sz w:val="12"/>
          <w:szCs w:val="12"/>
          <w:color w:val="auto"/>
        </w:rPr>
        <w:t>executive officers that are based on the satisfaction of quantitative performance goals for which we seek a tax deduction for federal tax purposes will be conditioned on the prior re-approval of the Bonus Plan by our shareholders.</w:t>
      </w:r>
    </w:p>
    <w:p>
      <w:pPr>
        <w:spacing w:after="0" w:line="60" w:lineRule="exact"/>
        <w:rPr>
          <w:sz w:val="20"/>
          <w:szCs w:val="20"/>
          <w:color w:val="auto"/>
        </w:rPr>
      </w:pPr>
    </w:p>
    <w:p>
      <w:pPr>
        <w:ind w:left="1080"/>
        <w:spacing w:after="0"/>
        <w:rPr>
          <w:sz w:val="20"/>
          <w:szCs w:val="20"/>
          <w:color w:val="auto"/>
        </w:rPr>
      </w:pPr>
      <w:r>
        <w:rPr>
          <w:rFonts w:ascii="Arial" w:cs="Arial" w:eastAsia="Arial" w:hAnsi="Arial"/>
          <w:sz w:val="11"/>
          <w:szCs w:val="11"/>
          <w:i w:val="1"/>
          <w:iCs w:val="1"/>
          <w:color w:val="auto"/>
        </w:rPr>
        <w:t xml:space="preserve">Administration. </w:t>
      </w:r>
      <w:r>
        <w:rPr>
          <w:rFonts w:ascii="Arial" w:cs="Arial" w:eastAsia="Arial" w:hAnsi="Arial"/>
          <w:sz w:val="11"/>
          <w:szCs w:val="11"/>
          <w:color w:val="auto"/>
        </w:rPr>
        <w:t>The Bonus Plan is administered by the Compensation Committee, which has the authority to select employees to participate in the Bonus Plan, set applicable performance goals,</w:t>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0"/>
          <w:szCs w:val="10"/>
          <w:color w:val="auto"/>
        </w:rPr>
        <w:t>determine whether the performance goals have been satisfied, interpret the Bonus Plan and provide rules and regulations relating to the Bonus Plan. The Compensation Committee may delegate to one of our</w:t>
      </w:r>
    </w:p>
    <w:p>
      <w:pPr>
        <w:spacing w:after="0" w:line="2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officers or a committee of two or more of our officers its discretion under the Bonus Plan to grant awards to any eligible employee other than an individual who, at the time of grant, has a base salary of</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1"/>
          <w:szCs w:val="11"/>
          <w:color w:val="auto"/>
        </w:rPr>
        <w:t>$500,000 or more, holds a position with us of Senior Vice President or higher, is one of our named executive officers or is subject to the short-swing profit recapture rules of the Securities Exchange Act of</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1"/>
          <w:szCs w:val="11"/>
          <w:color w:val="auto"/>
        </w:rPr>
        <w:t>1934, as amended. In addition, the Compensation Committee may delegate to a committee, comprised of the chairman of the Compensation Committee and one or more of our officers designated by the</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0"/>
          <w:szCs w:val="10"/>
          <w:color w:val="auto"/>
        </w:rPr>
        <w:t>Compensation Committee, its discretion under the Bonus Plan to grant awards to eligible employees who, at the time of grant, have a base salary of $500,000 or more or hold a position with us of Senior Vice</w:t>
      </w:r>
    </w:p>
    <w:p>
      <w:pPr>
        <w:spacing w:after="0" w:line="2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President or higher.</w:t>
      </w:r>
    </w:p>
    <w:p>
      <w:pPr>
        <w:spacing w:after="0" w:line="78" w:lineRule="exact"/>
        <w:rPr>
          <w:sz w:val="20"/>
          <w:szCs w:val="20"/>
          <w:color w:val="auto"/>
        </w:rPr>
      </w:pPr>
    </w:p>
    <w:p>
      <w:pPr>
        <w:ind w:left="680" w:right="140" w:firstLine="400"/>
        <w:spacing w:after="0" w:line="263" w:lineRule="auto"/>
        <w:rPr>
          <w:sz w:val="20"/>
          <w:szCs w:val="20"/>
          <w:color w:val="auto"/>
        </w:rPr>
      </w:pPr>
      <w:r>
        <w:rPr>
          <w:rFonts w:ascii="Arial" w:cs="Arial" w:eastAsia="Arial" w:hAnsi="Arial"/>
          <w:sz w:val="12"/>
          <w:szCs w:val="12"/>
          <w:i w:val="1"/>
          <w:iCs w:val="1"/>
          <w:color w:val="auto"/>
        </w:rPr>
        <w:t xml:space="preserve">Terms of Awards; Performance Goals. </w:t>
      </w:r>
      <w:r>
        <w:rPr>
          <w:rFonts w:ascii="Arial" w:cs="Arial" w:eastAsia="Arial" w:hAnsi="Arial"/>
          <w:sz w:val="12"/>
          <w:szCs w:val="12"/>
          <w:color w:val="auto"/>
        </w:rPr>
        <w:t>The Compensation Committee will determine the terms and conditions of each award under the Bonus Plan. No award will be payable to a participant under</w:t>
      </w:r>
      <w:r>
        <w:rPr>
          <w:rFonts w:ascii="Arial" w:cs="Arial" w:eastAsia="Arial" w:hAnsi="Arial"/>
          <w:sz w:val="12"/>
          <w:szCs w:val="12"/>
          <w:i w:val="1"/>
          <w:iCs w:val="1"/>
          <w:color w:val="auto"/>
        </w:rPr>
        <w:t xml:space="preserve"> </w:t>
      </w:r>
      <w:r>
        <w:rPr>
          <w:rFonts w:ascii="Arial" w:cs="Arial" w:eastAsia="Arial" w:hAnsi="Arial"/>
          <w:sz w:val="12"/>
          <w:szCs w:val="12"/>
          <w:color w:val="auto"/>
        </w:rPr>
        <w:t>the Bonus Plan until the Compensation Committee certifies that the performance goals associated with the award have been satisfied. Awards are paid as soon as practicable following the end of each applicable calendar year.</w:t>
      </w:r>
    </w:p>
    <w:p>
      <w:pPr>
        <w:spacing w:after="0" w:line="249"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97790</wp:posOffset>
            </wp:positionV>
            <wp:extent cx="7299325" cy="18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640"/>
          </w:cols>
          <w:pgMar w:left="220" w:top="327" w:right="1039" w:bottom="1440" w:gutter="0" w:footer="0" w:header="0"/>
        </w:sectPr>
      </w:pPr>
    </w:p>
    <w:bookmarkStart w:id="23" w:name="page24"/>
    <w:bookmarkEnd w:id="23"/>
    <w:p>
      <w:pPr>
        <w:spacing w:after="0"/>
        <w:rPr>
          <w:rFonts w:ascii="Arial" w:cs="Arial" w:eastAsia="Arial" w:hAnsi="Arial"/>
          <w:sz w:val="12"/>
          <w:szCs w:val="12"/>
          <w:b w:val="1"/>
          <w:bCs w:val="1"/>
          <w:u w:val="single" w:color="auto"/>
          <w:color w:val="0000EE"/>
        </w:rPr>
      </w:pP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680" w:firstLine="400"/>
        <w:spacing w:after="0" w:line="286" w:lineRule="auto"/>
        <w:rPr>
          <w:sz w:val="20"/>
          <w:szCs w:val="20"/>
          <w:color w:val="auto"/>
        </w:rPr>
      </w:pPr>
      <w:r>
        <w:rPr>
          <w:rFonts w:ascii="Arial" w:cs="Arial" w:eastAsia="Arial" w:hAnsi="Arial"/>
          <w:sz w:val="11"/>
          <w:szCs w:val="11"/>
          <w:color w:val="auto"/>
        </w:rPr>
        <w:t>The Compensation Committee may establish company-wide, division-wide or individual goals for each calendar year, which may be quantitative performance standards or qualitative performance standards. The quantitative performance standards may include, but are not limited to, financial measurements such as income, expense, operating cash flow, capital spending, numbers of customers of, or subscribers for, various services and products offered by us or one of our divisions, quantitative customer service measurements and other objective financial or service-based standards relevant to our businesses as may be established by the Compensation Committee. The qualitative performance standards may include, but are not limited to, customer service, management effectiveness, workforce diversity and other qualitative performance standards relevant to our businesses as may be established by the Compensation Committee.</w:t>
      </w:r>
    </w:p>
    <w:p>
      <w:pPr>
        <w:spacing w:after="0" w:line="48" w:lineRule="exact"/>
        <w:rPr>
          <w:sz w:val="20"/>
          <w:szCs w:val="20"/>
          <w:color w:val="auto"/>
        </w:rPr>
      </w:pPr>
    </w:p>
    <w:p>
      <w:pPr>
        <w:ind w:left="680" w:right="20" w:firstLine="400"/>
        <w:spacing w:after="0" w:line="276" w:lineRule="auto"/>
        <w:rPr>
          <w:sz w:val="20"/>
          <w:szCs w:val="20"/>
          <w:color w:val="auto"/>
        </w:rPr>
      </w:pPr>
      <w:r>
        <w:rPr>
          <w:rFonts w:ascii="Arial" w:cs="Arial" w:eastAsia="Arial" w:hAnsi="Arial"/>
          <w:sz w:val="12"/>
          <w:szCs w:val="12"/>
          <w:color w:val="auto"/>
        </w:rPr>
        <w:t>For each calendar year, the quantitative performance goals for cash bonus awards to our named executive officers will be established by the Compensation Committee by not later than the 90th day of that year. The Compensation Committee will also determine whether the performance goals have been satisfied and the amount of awards paid under the Bonus Plan.</w:t>
      </w:r>
    </w:p>
    <w:p>
      <w:pPr>
        <w:spacing w:after="0" w:line="52"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auto"/>
        </w:rPr>
        <w:t xml:space="preserve">Withholding. </w:t>
      </w:r>
      <w:r>
        <w:rPr>
          <w:rFonts w:ascii="Arial" w:cs="Arial" w:eastAsia="Arial" w:hAnsi="Arial"/>
          <w:sz w:val="12"/>
          <w:szCs w:val="12"/>
          <w:color w:val="auto"/>
        </w:rPr>
        <w:t>All award payments will be subject to withholding of applicable federal, state, local or other taxes.</w:t>
      </w:r>
    </w:p>
    <w:p>
      <w:pPr>
        <w:spacing w:after="0" w:line="87" w:lineRule="exact"/>
        <w:rPr>
          <w:sz w:val="20"/>
          <w:szCs w:val="20"/>
          <w:color w:val="auto"/>
        </w:rPr>
      </w:pPr>
    </w:p>
    <w:p>
      <w:pPr>
        <w:ind w:left="680" w:right="100" w:firstLine="400"/>
        <w:spacing w:after="0" w:line="263" w:lineRule="auto"/>
        <w:rPr>
          <w:sz w:val="20"/>
          <w:szCs w:val="20"/>
          <w:color w:val="auto"/>
        </w:rPr>
      </w:pPr>
      <w:r>
        <w:rPr>
          <w:rFonts w:ascii="Arial" w:cs="Arial" w:eastAsia="Arial" w:hAnsi="Arial"/>
          <w:sz w:val="12"/>
          <w:szCs w:val="12"/>
          <w:i w:val="1"/>
          <w:iCs w:val="1"/>
          <w:color w:val="auto"/>
        </w:rPr>
        <w:t xml:space="preserve">Terminating Events. </w:t>
      </w:r>
      <w:r>
        <w:rPr>
          <w:rFonts w:ascii="Arial" w:cs="Arial" w:eastAsia="Arial" w:hAnsi="Arial"/>
          <w:sz w:val="12"/>
          <w:szCs w:val="12"/>
          <w:color w:val="auto"/>
        </w:rPr>
        <w:t>In the event of a liquidation of our company or a transaction or series of transactions that results in a change in control of our company (as determined by our Board), the</w:t>
      </w:r>
      <w:r>
        <w:rPr>
          <w:rFonts w:ascii="Arial" w:cs="Arial" w:eastAsia="Arial" w:hAnsi="Arial"/>
          <w:sz w:val="12"/>
          <w:szCs w:val="12"/>
          <w:i w:val="1"/>
          <w:iCs w:val="1"/>
          <w:color w:val="auto"/>
        </w:rPr>
        <w:t xml:space="preserve"> </w:t>
      </w:r>
      <w:r>
        <w:rPr>
          <w:rFonts w:ascii="Arial" w:cs="Arial" w:eastAsia="Arial" w:hAnsi="Arial"/>
          <w:sz w:val="12"/>
          <w:szCs w:val="12"/>
          <w:color w:val="auto"/>
        </w:rPr>
        <w:t>Compensation Committee will give at least 30 days notice to plan participants prior to the anticipated date of any such occurrence. The Compensation Committee may, in its discretion, provide in this notice that upon the completion of this event, any remaining conditions to the payment of an award under the Bonus Plan will be waived in whole or in part.</w:t>
      </w:r>
    </w:p>
    <w:p>
      <w:pPr>
        <w:spacing w:after="0" w:line="60" w:lineRule="exact"/>
        <w:rPr>
          <w:sz w:val="20"/>
          <w:szCs w:val="20"/>
          <w:color w:val="auto"/>
        </w:rPr>
      </w:pPr>
    </w:p>
    <w:p>
      <w:pPr>
        <w:ind w:left="680" w:right="200" w:firstLine="400"/>
        <w:spacing w:after="0" w:line="263" w:lineRule="auto"/>
        <w:rPr>
          <w:sz w:val="20"/>
          <w:szCs w:val="20"/>
          <w:color w:val="auto"/>
        </w:rPr>
      </w:pPr>
      <w:r>
        <w:rPr>
          <w:rFonts w:ascii="Arial" w:cs="Arial" w:eastAsia="Arial" w:hAnsi="Arial"/>
          <w:sz w:val="12"/>
          <w:szCs w:val="12"/>
          <w:i w:val="1"/>
          <w:iCs w:val="1"/>
          <w:color w:val="auto"/>
        </w:rPr>
        <w:t xml:space="preserve">Amendment or Termination. </w:t>
      </w:r>
      <w:r>
        <w:rPr>
          <w:rFonts w:ascii="Arial" w:cs="Arial" w:eastAsia="Arial" w:hAnsi="Arial"/>
          <w:sz w:val="12"/>
          <w:szCs w:val="12"/>
          <w:color w:val="auto"/>
        </w:rPr>
        <w:t>Our Board or our Compensation Committee may amend or terminate the Bonus Plan at any time. No award then granted under the Bonus Plan will be affected by any</w:t>
      </w:r>
      <w:r>
        <w:rPr>
          <w:rFonts w:ascii="Arial" w:cs="Arial" w:eastAsia="Arial" w:hAnsi="Arial"/>
          <w:sz w:val="12"/>
          <w:szCs w:val="12"/>
          <w:i w:val="1"/>
          <w:iCs w:val="1"/>
          <w:color w:val="auto"/>
        </w:rPr>
        <w:t xml:space="preserve"> </w:t>
      </w:r>
      <w:r>
        <w:rPr>
          <w:rFonts w:ascii="Arial" w:cs="Arial" w:eastAsia="Arial" w:hAnsi="Arial"/>
          <w:sz w:val="12"/>
          <w:szCs w:val="12"/>
          <w:color w:val="auto"/>
        </w:rPr>
        <w:t>such amendment or termination without the written consent of the participant. Shareholder approval will be obtained for an amendment if it is determined to be required by applicable law, regulation or NASDAQ Global Select Market rules.</w:t>
      </w:r>
    </w:p>
    <w:p>
      <w:pPr>
        <w:spacing w:after="0" w:line="60" w:lineRule="exact"/>
        <w:rPr>
          <w:sz w:val="20"/>
          <w:szCs w:val="20"/>
          <w:color w:val="auto"/>
        </w:rPr>
      </w:pPr>
    </w:p>
    <w:p>
      <w:pPr>
        <w:ind w:left="680" w:right="180" w:firstLine="400"/>
        <w:spacing w:after="0" w:line="276" w:lineRule="auto"/>
        <w:rPr>
          <w:sz w:val="20"/>
          <w:szCs w:val="20"/>
          <w:color w:val="auto"/>
        </w:rPr>
      </w:pPr>
      <w:r>
        <w:rPr>
          <w:rFonts w:ascii="Arial" w:cs="Arial" w:eastAsia="Arial" w:hAnsi="Arial"/>
          <w:sz w:val="12"/>
          <w:szCs w:val="12"/>
          <w:i w:val="1"/>
          <w:iCs w:val="1"/>
          <w:color w:val="auto"/>
        </w:rPr>
        <w:t xml:space="preserve">New Plan Benefits. </w:t>
      </w:r>
      <w:r>
        <w:rPr>
          <w:rFonts w:ascii="Arial" w:cs="Arial" w:eastAsia="Arial" w:hAnsi="Arial"/>
          <w:sz w:val="12"/>
          <w:szCs w:val="12"/>
          <w:color w:val="auto"/>
        </w:rPr>
        <w:t>Future grants of awards, if any, that will be made to eligible employees are subject to the discretion of the Compensation Committee and, therefore, are not determinable at this</w:t>
      </w:r>
      <w:r>
        <w:rPr>
          <w:rFonts w:ascii="Arial" w:cs="Arial" w:eastAsia="Arial" w:hAnsi="Arial"/>
          <w:sz w:val="12"/>
          <w:szCs w:val="12"/>
          <w:i w:val="1"/>
          <w:iCs w:val="1"/>
          <w:color w:val="auto"/>
        </w:rPr>
        <w:t xml:space="preserve"> </w:t>
      </w:r>
      <w:r>
        <w:rPr>
          <w:rFonts w:ascii="Arial" w:cs="Arial" w:eastAsia="Arial" w:hAnsi="Arial"/>
          <w:sz w:val="12"/>
          <w:szCs w:val="12"/>
          <w:color w:val="auto"/>
        </w:rPr>
        <w:t>time. The following table reflects the awards granted under the Bonus Plan in 2009.</w:t>
      </w:r>
    </w:p>
    <w:p>
      <w:pPr>
        <w:spacing w:after="0" w:line="192" w:lineRule="exact"/>
        <w:rPr>
          <w:sz w:val="20"/>
          <w:szCs w:val="20"/>
          <w:color w:val="auto"/>
        </w:rPr>
      </w:pPr>
    </w:p>
    <w:tbl>
      <w:tblPr>
        <w:tblLayout w:type="fixed"/>
        <w:tblInd w:w="1120" w:type="dxa"/>
        <w:tblCellMar>
          <w:top w:w="0" w:type="dxa"/>
          <w:left w:w="0" w:type="dxa"/>
          <w:bottom w:w="0" w:type="dxa"/>
          <w:right w:w="0" w:type="dxa"/>
        </w:tblCellMar>
      </w:tblPr>
      <w:tr>
        <w:trPr>
          <w:trHeight w:val="157"/>
        </w:trPr>
        <w:tc>
          <w:tcPr>
            <w:tcW w:w="3240" w:type="dxa"/>
            <w:vAlign w:val="bottom"/>
          </w:tcPr>
          <w:p>
            <w:pPr>
              <w:spacing w:after="0"/>
              <w:rPr>
                <w:sz w:val="13"/>
                <w:szCs w:val="13"/>
                <w:color w:val="auto"/>
              </w:rPr>
            </w:pPr>
          </w:p>
        </w:tc>
        <w:tc>
          <w:tcPr>
            <w:tcW w:w="6160" w:type="dxa"/>
            <w:vAlign w:val="bottom"/>
            <w:gridSpan w:val="3"/>
          </w:tcPr>
          <w:p>
            <w:pPr>
              <w:jc w:val="right"/>
              <w:ind w:right="4232"/>
              <w:spacing w:after="0"/>
              <w:rPr>
                <w:sz w:val="20"/>
                <w:szCs w:val="20"/>
                <w:color w:val="auto"/>
              </w:rPr>
            </w:pPr>
            <w:r>
              <w:rPr>
                <w:rFonts w:ascii="Arial" w:cs="Arial" w:eastAsia="Arial" w:hAnsi="Arial"/>
                <w:sz w:val="12"/>
                <w:szCs w:val="12"/>
                <w:b w:val="1"/>
                <w:bCs w:val="1"/>
                <w:color w:val="auto"/>
              </w:rPr>
              <w:t>2006 Cash Bonus Plan</w:t>
            </w:r>
          </w:p>
        </w:tc>
      </w:tr>
      <w:tr>
        <w:trPr>
          <w:trHeight w:val="189"/>
        </w:trPr>
        <w:tc>
          <w:tcPr>
            <w:tcW w:w="32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Name and Position</w:t>
            </w:r>
          </w:p>
        </w:tc>
        <w:tc>
          <w:tcPr>
            <w:tcW w:w="4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b w:val="1"/>
                <w:bCs w:val="1"/>
                <w:color w:val="auto"/>
              </w:rPr>
              <w:t>2009 Awards ($)</w:t>
            </w:r>
            <w:r>
              <w:rPr>
                <w:rFonts w:ascii="Arial" w:cs="Arial" w:eastAsia="Arial" w:hAnsi="Arial"/>
                <w:sz w:val="8"/>
                <w:szCs w:val="8"/>
                <w:b w:val="1"/>
                <w:bCs w:val="1"/>
                <w:color w:val="auto"/>
              </w:rPr>
              <w:t>(1)</w:t>
            </w:r>
          </w:p>
        </w:tc>
      </w:tr>
      <w:tr>
        <w:trPr>
          <w:trHeight w:val="25"/>
        </w:trPr>
        <w:tc>
          <w:tcPr>
            <w:tcW w:w="324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87"/>
        </w:trPr>
        <w:tc>
          <w:tcPr>
            <w:tcW w:w="3240" w:type="dxa"/>
            <w:vAlign w:val="bottom"/>
            <w:shd w:val="clear" w:color="auto" w:fill="CCEEFF"/>
          </w:tcPr>
          <w:p>
            <w:pPr>
              <w:spacing w:after="0" w:line="87" w:lineRule="exact"/>
              <w:rPr>
                <w:sz w:val="20"/>
                <w:szCs w:val="20"/>
                <w:color w:val="auto"/>
              </w:rPr>
            </w:pPr>
            <w:r>
              <w:rPr>
                <w:rFonts w:ascii="Arial" w:cs="Arial" w:eastAsia="Arial" w:hAnsi="Arial"/>
                <w:sz w:val="10"/>
                <w:szCs w:val="10"/>
                <w:b w:val="1"/>
                <w:bCs w:val="1"/>
                <w:color w:val="auto"/>
              </w:rPr>
              <w:t>Brian L. Roberts</w:t>
            </w:r>
          </w:p>
        </w:tc>
        <w:tc>
          <w:tcPr>
            <w:tcW w:w="4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580" w:type="dxa"/>
            <w:vAlign w:val="bottom"/>
            <w:shd w:val="clear" w:color="auto" w:fill="CCEEFF"/>
          </w:tcPr>
          <w:p>
            <w:pPr>
              <w:spacing w:after="0"/>
              <w:rPr>
                <w:sz w:val="7"/>
                <w:szCs w:val="7"/>
                <w:color w:val="auto"/>
              </w:rPr>
            </w:pPr>
          </w:p>
        </w:tc>
      </w:tr>
      <w:tr>
        <w:trPr>
          <w:trHeight w:val="112"/>
        </w:trPr>
        <w:tc>
          <w:tcPr>
            <w:tcW w:w="3240" w:type="dxa"/>
            <w:vAlign w:val="bottom"/>
            <w:shd w:val="clear" w:color="auto" w:fill="CCEEFF"/>
          </w:tcPr>
          <w:p>
            <w:pPr>
              <w:ind w:left="100"/>
              <w:spacing w:after="0" w:line="112" w:lineRule="exact"/>
              <w:rPr>
                <w:sz w:val="20"/>
                <w:szCs w:val="20"/>
                <w:color w:val="auto"/>
              </w:rPr>
            </w:pPr>
            <w:r>
              <w:rPr>
                <w:rFonts w:ascii="Arial" w:cs="Arial" w:eastAsia="Arial" w:hAnsi="Arial"/>
                <w:sz w:val="10"/>
                <w:szCs w:val="10"/>
                <w:color w:val="auto"/>
              </w:rPr>
              <w:t>Chairman of the Board, President and Chief Executive Officer</w:t>
            </w:r>
          </w:p>
        </w:tc>
        <w:tc>
          <w:tcPr>
            <w:tcW w:w="6160" w:type="dxa"/>
            <w:vAlign w:val="bottom"/>
            <w:gridSpan w:val="3"/>
            <w:shd w:val="clear" w:color="auto" w:fill="CCEEFF"/>
          </w:tcPr>
          <w:p>
            <w:pPr>
              <w:jc w:val="right"/>
              <w:ind w:right="492"/>
              <w:spacing w:after="0" w:line="112" w:lineRule="exact"/>
              <w:rPr>
                <w:sz w:val="20"/>
                <w:szCs w:val="20"/>
                <w:color w:val="auto"/>
              </w:rPr>
            </w:pPr>
            <w:r>
              <w:rPr>
                <w:rFonts w:ascii="Arial" w:cs="Arial" w:eastAsia="Arial" w:hAnsi="Arial"/>
                <w:sz w:val="10"/>
                <w:szCs w:val="10"/>
                <w:color w:val="auto"/>
              </w:rPr>
              <w:t>$  8,234,238</w:t>
            </w:r>
          </w:p>
        </w:tc>
      </w:tr>
      <w:tr>
        <w:trPr>
          <w:trHeight w:val="87"/>
        </w:trPr>
        <w:tc>
          <w:tcPr>
            <w:tcW w:w="3240" w:type="dxa"/>
            <w:vAlign w:val="bottom"/>
          </w:tcPr>
          <w:p>
            <w:pPr>
              <w:spacing w:after="0" w:line="87" w:lineRule="exact"/>
              <w:rPr>
                <w:sz w:val="20"/>
                <w:szCs w:val="20"/>
                <w:color w:val="auto"/>
              </w:rPr>
            </w:pPr>
            <w:r>
              <w:rPr>
                <w:rFonts w:ascii="Arial" w:cs="Arial" w:eastAsia="Arial" w:hAnsi="Arial"/>
                <w:sz w:val="10"/>
                <w:szCs w:val="10"/>
                <w:b w:val="1"/>
                <w:bCs w:val="1"/>
                <w:color w:val="auto"/>
              </w:rPr>
              <w:t>Michael J. Angelakis</w:t>
            </w:r>
          </w:p>
        </w:tc>
        <w:tc>
          <w:tcPr>
            <w:tcW w:w="4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80" w:type="dxa"/>
            <w:vAlign w:val="bottom"/>
          </w:tcPr>
          <w:p>
            <w:pPr>
              <w:spacing w:after="0"/>
              <w:rPr>
                <w:sz w:val="7"/>
                <w:szCs w:val="7"/>
                <w:color w:val="auto"/>
              </w:rPr>
            </w:pPr>
          </w:p>
        </w:tc>
      </w:tr>
      <w:tr>
        <w:trPr>
          <w:trHeight w:val="112"/>
        </w:trPr>
        <w:tc>
          <w:tcPr>
            <w:tcW w:w="3240" w:type="dxa"/>
            <w:vAlign w:val="bottom"/>
          </w:tcPr>
          <w:p>
            <w:pPr>
              <w:ind w:left="100"/>
              <w:spacing w:after="0" w:line="112" w:lineRule="exact"/>
              <w:rPr>
                <w:sz w:val="20"/>
                <w:szCs w:val="20"/>
                <w:color w:val="auto"/>
              </w:rPr>
            </w:pPr>
            <w:r>
              <w:rPr>
                <w:rFonts w:ascii="Arial" w:cs="Arial" w:eastAsia="Arial" w:hAnsi="Arial"/>
                <w:sz w:val="10"/>
                <w:szCs w:val="10"/>
                <w:color w:val="auto"/>
              </w:rPr>
              <w:t>Executive Vice President and Chief Financial Officer</w:t>
            </w:r>
          </w:p>
        </w:tc>
        <w:tc>
          <w:tcPr>
            <w:tcW w:w="6160" w:type="dxa"/>
            <w:vAlign w:val="bottom"/>
            <w:gridSpan w:val="3"/>
          </w:tcPr>
          <w:p>
            <w:pPr>
              <w:jc w:val="right"/>
              <w:ind w:right="492"/>
              <w:spacing w:after="0" w:line="112" w:lineRule="exact"/>
              <w:rPr>
                <w:sz w:val="20"/>
                <w:szCs w:val="20"/>
                <w:color w:val="auto"/>
              </w:rPr>
            </w:pPr>
            <w:r>
              <w:rPr>
                <w:rFonts w:ascii="Arial" w:cs="Arial" w:eastAsia="Arial" w:hAnsi="Arial"/>
                <w:sz w:val="10"/>
                <w:szCs w:val="10"/>
                <w:color w:val="auto"/>
              </w:rPr>
              <w:t>4,946,396</w:t>
            </w:r>
          </w:p>
        </w:tc>
      </w:tr>
      <w:tr>
        <w:trPr>
          <w:trHeight w:val="87"/>
        </w:trPr>
        <w:tc>
          <w:tcPr>
            <w:tcW w:w="3240" w:type="dxa"/>
            <w:vAlign w:val="bottom"/>
            <w:shd w:val="clear" w:color="auto" w:fill="CCEEFF"/>
          </w:tcPr>
          <w:p>
            <w:pPr>
              <w:spacing w:after="0" w:line="87" w:lineRule="exact"/>
              <w:rPr>
                <w:sz w:val="20"/>
                <w:szCs w:val="20"/>
                <w:color w:val="auto"/>
              </w:rPr>
            </w:pPr>
            <w:r>
              <w:rPr>
                <w:rFonts w:ascii="Arial" w:cs="Arial" w:eastAsia="Arial" w:hAnsi="Arial"/>
                <w:sz w:val="10"/>
                <w:szCs w:val="10"/>
                <w:b w:val="1"/>
                <w:bCs w:val="1"/>
                <w:color w:val="auto"/>
              </w:rPr>
              <w:t>Stephen B. Burke</w:t>
            </w:r>
          </w:p>
        </w:tc>
        <w:tc>
          <w:tcPr>
            <w:tcW w:w="4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580" w:type="dxa"/>
            <w:vAlign w:val="bottom"/>
            <w:shd w:val="clear" w:color="auto" w:fill="CCEEFF"/>
          </w:tcPr>
          <w:p>
            <w:pPr>
              <w:spacing w:after="0"/>
              <w:rPr>
                <w:sz w:val="7"/>
                <w:szCs w:val="7"/>
                <w:color w:val="auto"/>
              </w:rPr>
            </w:pPr>
          </w:p>
        </w:tc>
      </w:tr>
      <w:tr>
        <w:trPr>
          <w:trHeight w:val="112"/>
        </w:trPr>
        <w:tc>
          <w:tcPr>
            <w:tcW w:w="3240" w:type="dxa"/>
            <w:vAlign w:val="bottom"/>
            <w:shd w:val="clear" w:color="auto" w:fill="CCEEFF"/>
          </w:tcPr>
          <w:p>
            <w:pPr>
              <w:ind w:left="100"/>
              <w:spacing w:after="0" w:line="112" w:lineRule="exact"/>
              <w:rPr>
                <w:sz w:val="20"/>
                <w:szCs w:val="20"/>
                <w:color w:val="auto"/>
              </w:rPr>
            </w:pPr>
            <w:r>
              <w:rPr>
                <w:rFonts w:ascii="Arial" w:cs="Arial" w:eastAsia="Arial" w:hAnsi="Arial"/>
                <w:sz w:val="10"/>
                <w:szCs w:val="10"/>
                <w:color w:val="auto"/>
              </w:rPr>
              <w:t>Executive Vice President and Chief Operating Officer</w:t>
            </w:r>
          </w:p>
        </w:tc>
        <w:tc>
          <w:tcPr>
            <w:tcW w:w="6160" w:type="dxa"/>
            <w:vAlign w:val="bottom"/>
            <w:gridSpan w:val="3"/>
            <w:shd w:val="clear" w:color="auto" w:fill="CCEEFF"/>
          </w:tcPr>
          <w:p>
            <w:pPr>
              <w:jc w:val="right"/>
              <w:ind w:right="492"/>
              <w:spacing w:after="0" w:line="112" w:lineRule="exact"/>
              <w:rPr>
                <w:sz w:val="20"/>
                <w:szCs w:val="20"/>
                <w:color w:val="auto"/>
              </w:rPr>
            </w:pPr>
            <w:r>
              <w:rPr>
                <w:rFonts w:ascii="Arial" w:cs="Arial" w:eastAsia="Arial" w:hAnsi="Arial"/>
                <w:sz w:val="10"/>
                <w:szCs w:val="10"/>
                <w:color w:val="auto"/>
              </w:rPr>
              <w:t>6,595,196</w:t>
            </w:r>
          </w:p>
        </w:tc>
      </w:tr>
      <w:tr>
        <w:trPr>
          <w:trHeight w:val="87"/>
        </w:trPr>
        <w:tc>
          <w:tcPr>
            <w:tcW w:w="3240" w:type="dxa"/>
            <w:vAlign w:val="bottom"/>
          </w:tcPr>
          <w:p>
            <w:pPr>
              <w:spacing w:after="0" w:line="87" w:lineRule="exact"/>
              <w:rPr>
                <w:sz w:val="20"/>
                <w:szCs w:val="20"/>
                <w:color w:val="auto"/>
              </w:rPr>
            </w:pPr>
            <w:r>
              <w:rPr>
                <w:rFonts w:ascii="Arial" w:cs="Arial" w:eastAsia="Arial" w:hAnsi="Arial"/>
                <w:sz w:val="10"/>
                <w:szCs w:val="10"/>
                <w:b w:val="1"/>
                <w:bCs w:val="1"/>
                <w:color w:val="auto"/>
              </w:rPr>
              <w:t>David L. Cohen</w:t>
            </w:r>
          </w:p>
        </w:tc>
        <w:tc>
          <w:tcPr>
            <w:tcW w:w="4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80" w:type="dxa"/>
            <w:vAlign w:val="bottom"/>
          </w:tcPr>
          <w:p>
            <w:pPr>
              <w:spacing w:after="0"/>
              <w:rPr>
                <w:sz w:val="7"/>
                <w:szCs w:val="7"/>
                <w:color w:val="auto"/>
              </w:rPr>
            </w:pPr>
          </w:p>
        </w:tc>
      </w:tr>
      <w:tr>
        <w:trPr>
          <w:trHeight w:val="112"/>
        </w:trPr>
        <w:tc>
          <w:tcPr>
            <w:tcW w:w="3240" w:type="dxa"/>
            <w:vAlign w:val="bottom"/>
          </w:tcPr>
          <w:p>
            <w:pPr>
              <w:ind w:left="100"/>
              <w:spacing w:after="0" w:line="112" w:lineRule="exact"/>
              <w:rPr>
                <w:sz w:val="20"/>
                <w:szCs w:val="20"/>
                <w:color w:val="auto"/>
              </w:rPr>
            </w:pPr>
            <w:r>
              <w:rPr>
                <w:rFonts w:ascii="Arial" w:cs="Arial" w:eastAsia="Arial" w:hAnsi="Arial"/>
                <w:sz w:val="10"/>
                <w:szCs w:val="10"/>
                <w:color w:val="auto"/>
              </w:rPr>
              <w:t>Executive Vice President</w:t>
            </w:r>
          </w:p>
        </w:tc>
        <w:tc>
          <w:tcPr>
            <w:tcW w:w="6160" w:type="dxa"/>
            <w:vAlign w:val="bottom"/>
            <w:gridSpan w:val="3"/>
          </w:tcPr>
          <w:p>
            <w:pPr>
              <w:jc w:val="right"/>
              <w:ind w:right="492"/>
              <w:spacing w:after="0" w:line="112" w:lineRule="exact"/>
              <w:rPr>
                <w:sz w:val="20"/>
                <w:szCs w:val="20"/>
                <w:color w:val="auto"/>
              </w:rPr>
            </w:pPr>
            <w:r>
              <w:rPr>
                <w:rFonts w:ascii="Arial" w:cs="Arial" w:eastAsia="Arial" w:hAnsi="Arial"/>
                <w:sz w:val="10"/>
                <w:szCs w:val="10"/>
                <w:color w:val="auto"/>
              </w:rPr>
              <w:t>1,639,043</w:t>
            </w:r>
          </w:p>
        </w:tc>
      </w:tr>
      <w:tr>
        <w:trPr>
          <w:trHeight w:val="87"/>
        </w:trPr>
        <w:tc>
          <w:tcPr>
            <w:tcW w:w="3240" w:type="dxa"/>
            <w:vAlign w:val="bottom"/>
            <w:shd w:val="clear" w:color="auto" w:fill="CCEEFF"/>
          </w:tcPr>
          <w:p>
            <w:pPr>
              <w:spacing w:after="0" w:line="87" w:lineRule="exact"/>
              <w:rPr>
                <w:sz w:val="20"/>
                <w:szCs w:val="20"/>
                <w:color w:val="auto"/>
              </w:rPr>
            </w:pPr>
            <w:r>
              <w:rPr>
                <w:rFonts w:ascii="Arial" w:cs="Arial" w:eastAsia="Arial" w:hAnsi="Arial"/>
                <w:sz w:val="10"/>
                <w:szCs w:val="10"/>
                <w:b w:val="1"/>
                <w:bCs w:val="1"/>
                <w:color w:val="auto"/>
              </w:rPr>
              <w:t>Arthur R. Block</w:t>
            </w:r>
          </w:p>
        </w:tc>
        <w:tc>
          <w:tcPr>
            <w:tcW w:w="4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580" w:type="dxa"/>
            <w:vAlign w:val="bottom"/>
            <w:shd w:val="clear" w:color="auto" w:fill="CCEEFF"/>
          </w:tcPr>
          <w:p>
            <w:pPr>
              <w:spacing w:after="0"/>
              <w:rPr>
                <w:sz w:val="7"/>
                <w:szCs w:val="7"/>
                <w:color w:val="auto"/>
              </w:rPr>
            </w:pPr>
          </w:p>
        </w:tc>
      </w:tr>
      <w:tr>
        <w:trPr>
          <w:trHeight w:val="112"/>
        </w:trPr>
        <w:tc>
          <w:tcPr>
            <w:tcW w:w="3240" w:type="dxa"/>
            <w:vAlign w:val="bottom"/>
            <w:shd w:val="clear" w:color="auto" w:fill="CCEEFF"/>
          </w:tcPr>
          <w:p>
            <w:pPr>
              <w:ind w:left="100"/>
              <w:spacing w:after="0" w:line="112" w:lineRule="exact"/>
              <w:rPr>
                <w:sz w:val="20"/>
                <w:szCs w:val="20"/>
                <w:color w:val="auto"/>
              </w:rPr>
            </w:pPr>
            <w:r>
              <w:rPr>
                <w:rFonts w:ascii="Arial" w:cs="Arial" w:eastAsia="Arial" w:hAnsi="Arial"/>
                <w:sz w:val="10"/>
                <w:szCs w:val="10"/>
                <w:color w:val="auto"/>
              </w:rPr>
              <w:t>Senior Vice President, General Counsel and Secretary</w:t>
            </w:r>
          </w:p>
        </w:tc>
        <w:tc>
          <w:tcPr>
            <w:tcW w:w="6160" w:type="dxa"/>
            <w:vAlign w:val="bottom"/>
            <w:gridSpan w:val="3"/>
            <w:shd w:val="clear" w:color="auto" w:fill="CCEEFF"/>
          </w:tcPr>
          <w:p>
            <w:pPr>
              <w:jc w:val="right"/>
              <w:ind w:right="492"/>
              <w:spacing w:after="0" w:line="112" w:lineRule="exact"/>
              <w:rPr>
                <w:sz w:val="20"/>
                <w:szCs w:val="20"/>
                <w:color w:val="auto"/>
              </w:rPr>
            </w:pPr>
            <w:r>
              <w:rPr>
                <w:rFonts w:ascii="Arial" w:cs="Arial" w:eastAsia="Arial" w:hAnsi="Arial"/>
                <w:sz w:val="10"/>
                <w:szCs w:val="10"/>
                <w:color w:val="auto"/>
              </w:rPr>
              <w:t>799,696</w:t>
            </w:r>
          </w:p>
        </w:tc>
      </w:tr>
      <w:tr>
        <w:trPr>
          <w:trHeight w:val="99"/>
        </w:trPr>
        <w:tc>
          <w:tcPr>
            <w:tcW w:w="3240" w:type="dxa"/>
            <w:vAlign w:val="bottom"/>
          </w:tcPr>
          <w:p>
            <w:pPr>
              <w:spacing w:after="0" w:line="99" w:lineRule="exact"/>
              <w:rPr>
                <w:sz w:val="20"/>
                <w:szCs w:val="20"/>
                <w:color w:val="auto"/>
              </w:rPr>
            </w:pPr>
            <w:r>
              <w:rPr>
                <w:rFonts w:ascii="Arial" w:cs="Arial" w:eastAsia="Arial" w:hAnsi="Arial"/>
                <w:sz w:val="10"/>
                <w:szCs w:val="10"/>
                <w:b w:val="1"/>
                <w:bCs w:val="1"/>
                <w:color w:val="auto"/>
              </w:rPr>
              <w:t>All Executive Officers</w:t>
            </w:r>
          </w:p>
        </w:tc>
        <w:tc>
          <w:tcPr>
            <w:tcW w:w="6160" w:type="dxa"/>
            <w:vAlign w:val="bottom"/>
            <w:gridSpan w:val="3"/>
          </w:tcPr>
          <w:p>
            <w:pPr>
              <w:jc w:val="right"/>
              <w:ind w:right="492"/>
              <w:spacing w:after="0" w:line="99" w:lineRule="exact"/>
              <w:rPr>
                <w:sz w:val="20"/>
                <w:szCs w:val="20"/>
                <w:color w:val="auto"/>
              </w:rPr>
            </w:pPr>
            <w:r>
              <w:rPr>
                <w:rFonts w:ascii="Arial" w:cs="Arial" w:eastAsia="Arial" w:hAnsi="Arial"/>
                <w:sz w:val="10"/>
                <w:szCs w:val="10"/>
                <w:color w:val="auto"/>
              </w:rPr>
              <w:t>22,932,092</w:t>
            </w:r>
          </w:p>
        </w:tc>
      </w:tr>
      <w:tr>
        <w:trPr>
          <w:trHeight w:val="99"/>
        </w:trPr>
        <w:tc>
          <w:tcPr>
            <w:tcW w:w="3240" w:type="dxa"/>
            <w:vAlign w:val="bottom"/>
            <w:shd w:val="clear" w:color="auto" w:fill="CCEEFF"/>
          </w:tcPr>
          <w:p>
            <w:pPr>
              <w:spacing w:after="0" w:line="99" w:lineRule="exact"/>
              <w:rPr>
                <w:sz w:val="20"/>
                <w:szCs w:val="20"/>
                <w:color w:val="auto"/>
              </w:rPr>
            </w:pPr>
            <w:r>
              <w:rPr>
                <w:rFonts w:ascii="Arial" w:cs="Arial" w:eastAsia="Arial" w:hAnsi="Arial"/>
                <w:sz w:val="10"/>
                <w:szCs w:val="10"/>
                <w:b w:val="1"/>
                <w:bCs w:val="1"/>
                <w:color w:val="auto"/>
              </w:rPr>
              <w:t>Non-Executive Officer Director Group</w:t>
            </w:r>
          </w:p>
        </w:tc>
        <w:tc>
          <w:tcPr>
            <w:tcW w:w="4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580" w:type="dxa"/>
            <w:vAlign w:val="bottom"/>
            <w:shd w:val="clear" w:color="auto" w:fill="CCEEFF"/>
          </w:tcPr>
          <w:p>
            <w:pPr>
              <w:jc w:val="right"/>
              <w:ind w:right="492"/>
              <w:spacing w:after="0" w:line="99" w:lineRule="exact"/>
              <w:rPr>
                <w:sz w:val="20"/>
                <w:szCs w:val="20"/>
                <w:color w:val="auto"/>
              </w:rPr>
            </w:pPr>
            <w:r>
              <w:rPr>
                <w:rFonts w:ascii="Arial" w:cs="Arial" w:eastAsia="Arial" w:hAnsi="Arial"/>
                <w:sz w:val="10"/>
                <w:szCs w:val="10"/>
                <w:color w:val="auto"/>
              </w:rPr>
              <w:t>—</w:t>
            </w:r>
          </w:p>
        </w:tc>
      </w:tr>
      <w:tr>
        <w:trPr>
          <w:trHeight w:val="124"/>
        </w:trPr>
        <w:tc>
          <w:tcPr>
            <w:tcW w:w="3240" w:type="dxa"/>
            <w:vAlign w:val="bottom"/>
          </w:tcPr>
          <w:p>
            <w:pPr>
              <w:spacing w:after="0"/>
              <w:rPr>
                <w:sz w:val="20"/>
                <w:szCs w:val="20"/>
                <w:color w:val="auto"/>
              </w:rPr>
            </w:pPr>
            <w:r>
              <w:rPr>
                <w:rFonts w:ascii="Arial" w:cs="Arial" w:eastAsia="Arial" w:hAnsi="Arial"/>
                <w:sz w:val="10"/>
                <w:szCs w:val="10"/>
                <w:b w:val="1"/>
                <w:bCs w:val="1"/>
                <w:color w:val="auto"/>
              </w:rPr>
              <w:t>Non-Executive Officer Employee Group</w:t>
            </w:r>
          </w:p>
        </w:tc>
        <w:tc>
          <w:tcPr>
            <w:tcW w:w="6160" w:type="dxa"/>
            <w:vAlign w:val="bottom"/>
            <w:gridSpan w:val="3"/>
          </w:tcPr>
          <w:p>
            <w:pPr>
              <w:jc w:val="right"/>
              <w:ind w:right="492"/>
              <w:spacing w:after="0"/>
              <w:rPr>
                <w:sz w:val="20"/>
                <w:szCs w:val="20"/>
                <w:color w:val="auto"/>
              </w:rPr>
            </w:pPr>
            <w:r>
              <w:rPr>
                <w:rFonts w:ascii="Arial" w:cs="Arial" w:eastAsia="Arial" w:hAnsi="Arial"/>
                <w:sz w:val="10"/>
                <w:szCs w:val="10"/>
                <w:color w:val="auto"/>
              </w:rPr>
              <w:t>247,306,733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624205</wp:posOffset>
            </wp:positionH>
            <wp:positionV relativeFrom="paragraph">
              <wp:posOffset>41910</wp:posOffset>
            </wp:positionV>
            <wp:extent cx="823595"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3595" cy="5715"/>
                    </a:xfrm>
                    <a:prstGeom prst="rect">
                      <a:avLst/>
                    </a:prstGeom>
                    <a:noFill/>
                  </pic:spPr>
                </pic:pic>
              </a:graphicData>
            </a:graphic>
          </wp:anchor>
        </w:drawing>
      </w:r>
    </w:p>
    <w:p>
      <w:pPr>
        <w:spacing w:after="0" w:line="91" w:lineRule="exact"/>
        <w:rPr>
          <w:sz w:val="20"/>
          <w:szCs w:val="20"/>
          <w:color w:val="auto"/>
        </w:rPr>
      </w:pPr>
    </w:p>
    <w:p>
      <w:pPr>
        <w:ind w:left="1280" w:right="80" w:hanging="234"/>
        <w:spacing w:after="0" w:line="263" w:lineRule="auto"/>
        <w:tabs>
          <w:tab w:leader="none" w:pos="128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amounts in this column represent annual performance-based bonuses earned by our named executive officers under our 2006 Cash Bonus Plan. Based on achievement of specified metrics in 2009, our named executive officers were entitled to receive 109% of their respective target bonus amounts for the year; however, prior to their bonuses being determined, the named executive officers advised the Compensation Committee of their recommendation that they only receive 98% of their</w:t>
      </w:r>
    </w:p>
    <w:p>
      <w:pPr>
        <w:spacing w:after="0" w:line="240"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97790</wp:posOffset>
            </wp:positionV>
            <wp:extent cx="7299325" cy="18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660"/>
          </w:cols>
          <w:pgMar w:left="220" w:top="327" w:right="1019" w:bottom="1440" w:gutter="0" w:footer="0" w:header="0"/>
        </w:sectPr>
      </w:pPr>
    </w:p>
    <w:bookmarkStart w:id="24" w:name="page25"/>
    <w:bookmarkEnd w:id="24"/>
    <w:p>
      <w:pPr>
        <w:spacing w:after="0"/>
        <w:rPr>
          <w:rFonts w:ascii="Arial" w:cs="Arial" w:eastAsia="Arial" w:hAnsi="Arial"/>
          <w:sz w:val="12"/>
          <w:szCs w:val="12"/>
          <w:b w:val="1"/>
          <w:bCs w:val="1"/>
          <w:u w:val="single" w:color="auto"/>
          <w:color w:val="0000EE"/>
        </w:rPr>
      </w:pP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280" w:right="180"/>
        <w:spacing w:after="0" w:line="276" w:lineRule="auto"/>
        <w:rPr>
          <w:sz w:val="20"/>
          <w:szCs w:val="20"/>
          <w:color w:val="auto"/>
        </w:rPr>
      </w:pPr>
      <w:r>
        <w:rPr>
          <w:rFonts w:ascii="Arial" w:cs="Arial" w:eastAsia="Arial" w:hAnsi="Arial"/>
          <w:sz w:val="12"/>
          <w:szCs w:val="12"/>
          <w:color w:val="auto"/>
        </w:rPr>
        <w:t>target amounts, as discussed more fully in “Executive Compensation — Compensation Discussion and Analysis — Elements and Mix of Our Compensation Program — Cash Bonus Incentive Compensation.”</w:t>
      </w:r>
    </w:p>
    <w:p>
      <w:pPr>
        <w:spacing w:after="0" w:line="48" w:lineRule="exact"/>
        <w:rPr>
          <w:sz w:val="20"/>
          <w:szCs w:val="20"/>
          <w:color w:val="auto"/>
        </w:rPr>
      </w:pPr>
    </w:p>
    <w:p>
      <w:pPr>
        <w:ind w:left="1080"/>
        <w:spacing w:after="0"/>
        <w:rPr>
          <w:sz w:val="20"/>
          <w:szCs w:val="20"/>
          <w:color w:val="auto"/>
        </w:rPr>
      </w:pPr>
      <w:r>
        <w:rPr>
          <w:rFonts w:ascii="Arial" w:cs="Arial" w:eastAsia="Arial" w:hAnsi="Arial"/>
          <w:sz w:val="12"/>
          <w:szCs w:val="12"/>
          <w:b w:val="1"/>
          <w:bCs w:val="1"/>
          <w:color w:val="auto"/>
        </w:rPr>
        <w:t>OUR BOARD UNANIMOUSLY RECOMMENDS THAT SHAREHOLDERS VOTE “FOR” APPROVAL OF OUR 2006 CASH BONUS PLAN.</w:t>
      </w:r>
    </w:p>
    <w:p>
      <w:pPr>
        <w:spacing w:after="0" w:line="231" w:lineRule="exact"/>
        <w:rPr>
          <w:sz w:val="20"/>
          <w:szCs w:val="20"/>
          <w:color w:val="auto"/>
        </w:rPr>
      </w:pPr>
    </w:p>
    <w:p>
      <w:pPr>
        <w:jc w:val="center"/>
        <w:ind w:right="-679"/>
        <w:spacing w:after="0"/>
        <w:rPr>
          <w:sz w:val="20"/>
          <w:szCs w:val="20"/>
          <w:color w:val="auto"/>
        </w:rPr>
      </w:pPr>
      <w:r>
        <w:rPr>
          <w:rFonts w:ascii="Arial" w:cs="Arial" w:eastAsia="Arial" w:hAnsi="Arial"/>
          <w:sz w:val="12"/>
          <w:szCs w:val="12"/>
          <w:b w:val="1"/>
          <w:bCs w:val="1"/>
          <w:color w:val="auto"/>
        </w:rPr>
        <w:t>SHAREHOLDER PROPOSALS</w:t>
      </w:r>
    </w:p>
    <w:p>
      <w:pPr>
        <w:spacing w:after="0" w:line="91" w:lineRule="exact"/>
        <w:rPr>
          <w:sz w:val="20"/>
          <w:szCs w:val="20"/>
          <w:color w:val="auto"/>
        </w:rPr>
      </w:pPr>
    </w:p>
    <w:p>
      <w:pPr>
        <w:ind w:left="680" w:right="320" w:firstLine="400"/>
        <w:spacing w:after="0" w:line="298" w:lineRule="auto"/>
        <w:rPr>
          <w:sz w:val="20"/>
          <w:szCs w:val="20"/>
          <w:color w:val="auto"/>
        </w:rPr>
      </w:pPr>
      <w:r>
        <w:rPr>
          <w:rFonts w:ascii="Arial" w:cs="Arial" w:eastAsia="Arial" w:hAnsi="Arial"/>
          <w:sz w:val="11"/>
          <w:szCs w:val="11"/>
          <w:color w:val="auto"/>
        </w:rPr>
        <w:t>We received the following three shareholder proposals. The proponent of each proposal has represented to us that the proponent has continuously held at least $2,000 in market value of Class A common stock for at least one year and will continue to hold these securities through the date of the annual meeting of shareholders. To be voted upon at our 2010 annual meeting of shareholders, the proponent of a proposal, or a representative of the proponent qualified under Pennsylvania law, must attend the meeting to present the proposal.</w:t>
      </w:r>
    </w:p>
    <w:p>
      <w:pPr>
        <w:spacing w:after="0" w:line="42" w:lineRule="exact"/>
        <w:rPr>
          <w:sz w:val="20"/>
          <w:szCs w:val="20"/>
          <w:color w:val="auto"/>
        </w:rPr>
      </w:pPr>
    </w:p>
    <w:p>
      <w:pPr>
        <w:ind w:left="680" w:right="80" w:firstLine="400"/>
        <w:spacing w:after="0" w:line="276" w:lineRule="auto"/>
        <w:rPr>
          <w:sz w:val="20"/>
          <w:szCs w:val="20"/>
          <w:color w:val="auto"/>
        </w:rPr>
      </w:pPr>
      <w:r>
        <w:rPr>
          <w:rFonts w:ascii="Arial" w:cs="Arial" w:eastAsia="Arial" w:hAnsi="Arial"/>
          <w:sz w:val="12"/>
          <w:szCs w:val="12"/>
          <w:color w:val="auto"/>
        </w:rPr>
        <w:t xml:space="preserve">For each of the shareholder proposals, other than adding a brief title for the proposal, we have included the proposal and shareholder’s supporting statement exactly as we received it. Following each proposal, we explain why our Board recommends a vote </w:t>
      </w:r>
      <w:r>
        <w:rPr>
          <w:rFonts w:ascii="Arial" w:cs="Arial" w:eastAsia="Arial" w:hAnsi="Arial"/>
          <w:sz w:val="12"/>
          <w:szCs w:val="12"/>
          <w:b w:val="1"/>
          <w:bCs w:val="1"/>
          <w:color w:val="auto"/>
        </w:rPr>
        <w:t>AGAINST</w:t>
      </w:r>
      <w:r>
        <w:rPr>
          <w:rFonts w:ascii="Arial" w:cs="Arial" w:eastAsia="Arial" w:hAnsi="Arial"/>
          <w:sz w:val="12"/>
          <w:szCs w:val="12"/>
          <w:color w:val="auto"/>
        </w:rPr>
        <w:t xml:space="preserve"> the proposal.</w:t>
      </w:r>
    </w:p>
    <w:p>
      <w:pPr>
        <w:spacing w:after="0" w:line="192" w:lineRule="exact"/>
        <w:rPr>
          <w:sz w:val="20"/>
          <w:szCs w:val="20"/>
          <w:color w:val="auto"/>
        </w:rPr>
      </w:pPr>
    </w:p>
    <w:p>
      <w:pPr>
        <w:ind w:left="3040"/>
        <w:spacing w:after="0"/>
        <w:rPr>
          <w:sz w:val="20"/>
          <w:szCs w:val="20"/>
          <w:color w:val="auto"/>
        </w:rPr>
      </w:pPr>
      <w:r>
        <w:rPr>
          <w:rFonts w:ascii="Arial" w:cs="Arial" w:eastAsia="Arial" w:hAnsi="Arial"/>
          <w:sz w:val="12"/>
          <w:szCs w:val="12"/>
          <w:b w:val="1"/>
          <w:bCs w:val="1"/>
          <w:color w:val="auto"/>
        </w:rPr>
        <w:t>PROPOSAL 4: TO PROVIDE FOR CUMULATIVE VOTING IN THE ELECTION OF DIRECTORS</w:t>
      </w:r>
    </w:p>
    <w:p>
      <w:pPr>
        <w:spacing w:after="0" w:line="91" w:lineRule="exact"/>
        <w:rPr>
          <w:sz w:val="20"/>
          <w:szCs w:val="20"/>
          <w:color w:val="auto"/>
        </w:rPr>
      </w:pPr>
    </w:p>
    <w:p>
      <w:pPr>
        <w:ind w:left="680" w:firstLine="400"/>
        <w:spacing w:after="0" w:line="276" w:lineRule="auto"/>
        <w:rPr>
          <w:sz w:val="20"/>
          <w:szCs w:val="20"/>
          <w:color w:val="auto"/>
        </w:rPr>
      </w:pPr>
      <w:r>
        <w:rPr>
          <w:rFonts w:ascii="Arial" w:cs="Arial" w:eastAsia="Arial" w:hAnsi="Arial"/>
          <w:sz w:val="12"/>
          <w:szCs w:val="12"/>
          <w:color w:val="auto"/>
        </w:rPr>
        <w:t>The following proposal and supporting statement were submitted by Evelyn Y. Davis, 2600 Virginia Ave., N.W. Suite 215, Washington, DC 20037, who has advised us that she holds 500 shares of our Class A common stock.</w:t>
      </w:r>
    </w:p>
    <w:p>
      <w:pPr>
        <w:spacing w:after="0" w:line="52" w:lineRule="exact"/>
        <w:rPr>
          <w:sz w:val="20"/>
          <w:szCs w:val="20"/>
          <w:color w:val="auto"/>
        </w:rPr>
      </w:pPr>
    </w:p>
    <w:p>
      <w:pPr>
        <w:ind w:left="680" w:right="80" w:firstLine="400"/>
        <w:spacing w:after="0" w:line="263" w:lineRule="auto"/>
        <w:rPr>
          <w:sz w:val="20"/>
          <w:szCs w:val="20"/>
          <w:color w:val="auto"/>
        </w:rPr>
      </w:pPr>
      <w:r>
        <w:rPr>
          <w:rFonts w:ascii="Arial" w:cs="Arial" w:eastAsia="Arial" w:hAnsi="Arial"/>
          <w:sz w:val="12"/>
          <w:szCs w:val="12"/>
          <w:color w:val="auto"/>
        </w:rPr>
        <w:t>RESOLVED: “That the stockholders of Comcast, assembled in Annual Meeting in person and by proxy, hereby request the Board of Directors to take the necessary steps to provide for cumulative voting in the election of directors, which means each stockholder shall be entitled to as many votes as shall equal the number of shares he or she owns multiplied by the number of directors to be elected, and he or she may cast all of such votes for a single candidate, or any two or more of them as he or she may see fit.”</w:t>
      </w:r>
    </w:p>
    <w:p>
      <w:pPr>
        <w:spacing w:after="0" w:line="6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REASONS: “Many states have mandatory cumulative voting, so do National Banks.”</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addition, many corporations have adopted cumulative voting.”</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“If you AGREE, please mark your proxy FOR this resolution.”</w:t>
      </w:r>
    </w:p>
    <w:p>
      <w:pPr>
        <w:spacing w:after="0" w:line="155" w:lineRule="exact"/>
        <w:rPr>
          <w:sz w:val="20"/>
          <w:szCs w:val="20"/>
          <w:color w:val="auto"/>
        </w:rPr>
      </w:pPr>
    </w:p>
    <w:p>
      <w:pPr>
        <w:ind w:left="680"/>
        <w:spacing w:after="0"/>
        <w:rPr>
          <w:sz w:val="20"/>
          <w:szCs w:val="20"/>
          <w:color w:val="auto"/>
        </w:rPr>
      </w:pPr>
      <w:r>
        <w:rPr>
          <w:rFonts w:ascii="Arial" w:cs="Arial" w:eastAsia="Arial" w:hAnsi="Arial"/>
          <w:sz w:val="12"/>
          <w:szCs w:val="12"/>
          <w:b w:val="1"/>
          <w:bCs w:val="1"/>
          <w:color w:val="auto"/>
        </w:rPr>
        <w:t>Company Response to Shareholder Proposal</w:t>
      </w:r>
    </w:p>
    <w:p>
      <w:pPr>
        <w:spacing w:after="0" w:line="91" w:lineRule="exact"/>
        <w:rPr>
          <w:sz w:val="20"/>
          <w:szCs w:val="20"/>
          <w:color w:val="auto"/>
        </w:rPr>
      </w:pPr>
    </w:p>
    <w:p>
      <w:pPr>
        <w:ind w:left="680" w:right="160" w:firstLine="400"/>
        <w:spacing w:after="0" w:line="286" w:lineRule="auto"/>
        <w:rPr>
          <w:sz w:val="20"/>
          <w:szCs w:val="20"/>
          <w:color w:val="auto"/>
        </w:rPr>
      </w:pPr>
      <w:r>
        <w:rPr>
          <w:rFonts w:ascii="Arial" w:cs="Arial" w:eastAsia="Arial" w:hAnsi="Arial"/>
          <w:sz w:val="11"/>
          <w:szCs w:val="11"/>
          <w:color w:val="auto"/>
        </w:rPr>
        <w:t>We oppose this proposal because we do not believe cumulative voting is in the best interests of our company and our shareholders. The Governance and Directors Nominating Committee, which is responsible for identifying and recommending qualified individuals for director nomination, consists solely of independent nonmanagement directors. This ensures that the Board will continue to exercise independent judgment and remain accountable to all of our shareholders, rather than to a particular group. The current Board is committed to continuing its strong oversight of management and progressive corporate governance practices, which include such safeguards as an annually elected Board, a substantial majority of independent directors, a highly effective independent Presiding Director, key Board committees composed exclusively of independent directors and fully transparent corporate governance guidelines and committee charters.</w:t>
      </w:r>
    </w:p>
    <w:p>
      <w:pPr>
        <w:spacing w:after="0" w:line="48" w:lineRule="exact"/>
        <w:rPr>
          <w:sz w:val="20"/>
          <w:szCs w:val="20"/>
          <w:color w:val="auto"/>
        </w:rPr>
      </w:pPr>
    </w:p>
    <w:p>
      <w:pPr>
        <w:ind w:left="680" w:firstLine="400"/>
        <w:spacing w:after="0" w:line="298" w:lineRule="auto"/>
        <w:rPr>
          <w:sz w:val="20"/>
          <w:szCs w:val="20"/>
          <w:color w:val="auto"/>
        </w:rPr>
      </w:pPr>
      <w:r>
        <w:rPr>
          <w:rFonts w:ascii="Arial" w:cs="Arial" w:eastAsia="Arial" w:hAnsi="Arial"/>
          <w:sz w:val="11"/>
          <w:szCs w:val="11"/>
          <w:color w:val="auto"/>
        </w:rPr>
        <w:t>Cumulative voting could impair the effective functioning of the Board by electing a director obligated to represent the interests of a group of shareholders rather than all of our shareholders. We are concerned that any director elected by a limited constituency may have difficulty fulfilling his or her fiduciary duty of loyalty to us and all of our shareholders. The Board believes that these potential conflicts might create factionalism and undermine the ability of Board members to work effectively for the best interests of all shareholders and not a selected few.</w:t>
      </w:r>
    </w:p>
    <w:p>
      <w:pPr>
        <w:spacing w:after="0" w:line="38" w:lineRule="exact"/>
        <w:rPr>
          <w:sz w:val="20"/>
          <w:szCs w:val="20"/>
          <w:color w:val="auto"/>
        </w:rPr>
      </w:pPr>
    </w:p>
    <w:p>
      <w:pPr>
        <w:ind w:left="1080"/>
        <w:spacing w:after="0"/>
        <w:rPr>
          <w:sz w:val="20"/>
          <w:szCs w:val="20"/>
          <w:color w:val="auto"/>
        </w:rPr>
      </w:pPr>
      <w:r>
        <w:rPr>
          <w:rFonts w:ascii="Arial" w:cs="Arial" w:eastAsia="Arial" w:hAnsi="Arial"/>
          <w:sz w:val="12"/>
          <w:szCs w:val="12"/>
          <w:b w:val="1"/>
          <w:bCs w:val="1"/>
          <w:color w:val="auto"/>
        </w:rPr>
        <w:t>FOR THESE REASONS, OUR BOARD UNANIMOUSLY RECOMMENDS THAT SHAREHOLDERS VOTE “AGAINST” THIS PROPOSAL.</w:t>
      </w:r>
    </w:p>
    <w:p>
      <w:pPr>
        <w:spacing w:after="0" w:line="280"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97790</wp:posOffset>
            </wp:positionV>
            <wp:extent cx="7299325" cy="18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660"/>
          </w:cols>
          <w:pgMar w:left="220" w:top="327" w:right="1019" w:bottom="1440" w:gutter="0" w:footer="0" w:header="0"/>
        </w:sectPr>
      </w:pPr>
    </w:p>
    <w:bookmarkStart w:id="25" w:name="page26"/>
    <w:bookmarkEnd w:id="25"/>
    <w:p>
      <w:pPr>
        <w:spacing w:after="0"/>
        <w:rPr>
          <w:rFonts w:ascii="Arial" w:cs="Arial" w:eastAsia="Arial" w:hAnsi="Arial"/>
          <w:sz w:val="12"/>
          <w:szCs w:val="12"/>
          <w:b w:val="1"/>
          <w:bCs w:val="1"/>
          <w:u w:val="single" w:color="auto"/>
          <w:color w:val="0000EE"/>
        </w:rPr>
      </w:pPr>
      <w:hyperlink w:anchor="page4">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740"/>
        <w:spacing w:after="0"/>
        <w:rPr>
          <w:sz w:val="20"/>
          <w:szCs w:val="20"/>
          <w:color w:val="auto"/>
        </w:rPr>
      </w:pPr>
      <w:r>
        <w:rPr>
          <w:rFonts w:ascii="Arial" w:cs="Arial" w:eastAsia="Arial" w:hAnsi="Arial"/>
          <w:sz w:val="12"/>
          <w:szCs w:val="12"/>
          <w:b w:val="1"/>
          <w:bCs w:val="1"/>
          <w:color w:val="auto"/>
        </w:rPr>
        <w:t>PROPOSAL 5: TO ADOPT AND DISCLOSE A SUCCESSION PLANNING POLICY AND ISSUE ANNUAL REPORTS ON ITS SUCCESSION PLAN</w:t>
      </w:r>
    </w:p>
    <w:p>
      <w:pPr>
        <w:spacing w:after="0" w:line="91" w:lineRule="exact"/>
        <w:rPr>
          <w:sz w:val="20"/>
          <w:szCs w:val="20"/>
          <w:color w:val="auto"/>
        </w:rPr>
      </w:pPr>
    </w:p>
    <w:p>
      <w:pPr>
        <w:ind w:left="680" w:right="100" w:firstLine="400"/>
        <w:spacing w:after="0" w:line="276" w:lineRule="auto"/>
        <w:rPr>
          <w:sz w:val="20"/>
          <w:szCs w:val="20"/>
          <w:color w:val="auto"/>
        </w:rPr>
      </w:pPr>
      <w:r>
        <w:rPr>
          <w:rFonts w:ascii="Arial" w:cs="Arial" w:eastAsia="Arial" w:hAnsi="Arial"/>
          <w:sz w:val="12"/>
          <w:szCs w:val="12"/>
          <w:color w:val="auto"/>
        </w:rPr>
        <w:t>The following proposal and supporting statement were submitted by the Central Laborers’ Pension Fund, P.O. Box 1267, Jacksonville, IL 62651, which has advised us that it holds 18,071 shares of our Class A common stock.</w:t>
      </w:r>
    </w:p>
    <w:p>
      <w:pPr>
        <w:spacing w:after="0" w:line="52" w:lineRule="exact"/>
        <w:rPr>
          <w:sz w:val="20"/>
          <w:szCs w:val="20"/>
          <w:color w:val="auto"/>
        </w:rPr>
      </w:pPr>
    </w:p>
    <w:p>
      <w:pPr>
        <w:ind w:left="680" w:right="40" w:firstLine="400"/>
        <w:spacing w:after="0" w:line="276" w:lineRule="auto"/>
        <w:rPr>
          <w:sz w:val="20"/>
          <w:szCs w:val="20"/>
          <w:color w:val="auto"/>
        </w:rPr>
      </w:pPr>
      <w:r>
        <w:rPr>
          <w:rFonts w:ascii="Arial" w:cs="Arial" w:eastAsia="Arial" w:hAnsi="Arial"/>
          <w:sz w:val="12"/>
          <w:szCs w:val="12"/>
          <w:color w:val="auto"/>
        </w:rPr>
        <w:t>RESOLVED: That the shareholders of Comcast Corporation (“Company”) hereby request that the Board of Directors initiate the appropriate process to amend the Company’s Corporate Governance Guidelines (“Guidelines”) to adopt and disclose a written and detailed succession planning policy, including the following specific features:</w:t>
      </w:r>
    </w:p>
    <w:p>
      <w:pPr>
        <w:spacing w:after="0" w:line="52" w:lineRule="exact"/>
        <w:rPr>
          <w:sz w:val="20"/>
          <w:szCs w:val="20"/>
          <w:color w:val="auto"/>
        </w:rPr>
      </w:pPr>
    </w:p>
    <w:p>
      <w:pPr>
        <w:ind w:left="1380" w:hanging="294"/>
        <w:spacing w:after="0"/>
        <w:tabs>
          <w:tab w:leader="none" w:pos="1380"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Board of Directors will review the plan annually;</w:t>
      </w:r>
    </w:p>
    <w:p>
      <w:pPr>
        <w:spacing w:after="0" w:line="78" w:lineRule="exact"/>
        <w:rPr>
          <w:rFonts w:ascii="Arial" w:cs="Arial" w:eastAsia="Arial" w:hAnsi="Arial"/>
          <w:sz w:val="12"/>
          <w:szCs w:val="12"/>
          <w:color w:val="auto"/>
        </w:rPr>
      </w:pPr>
    </w:p>
    <w:p>
      <w:pPr>
        <w:ind w:left="1380" w:hanging="294"/>
        <w:spacing w:after="0"/>
        <w:tabs>
          <w:tab w:leader="none" w:pos="1380"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Board will develop criteria for the CEO position which will reflect the Company’s business strategy and will use a formal assessment process to evaluate candidates;</w:t>
      </w:r>
    </w:p>
    <w:p>
      <w:pPr>
        <w:spacing w:after="0" w:line="78" w:lineRule="exact"/>
        <w:rPr>
          <w:rFonts w:ascii="Arial" w:cs="Arial" w:eastAsia="Arial" w:hAnsi="Arial"/>
          <w:sz w:val="12"/>
          <w:szCs w:val="12"/>
          <w:color w:val="auto"/>
        </w:rPr>
      </w:pPr>
    </w:p>
    <w:p>
      <w:pPr>
        <w:ind w:left="1380" w:hanging="294"/>
        <w:spacing w:after="0"/>
        <w:tabs>
          <w:tab w:leader="none" w:pos="1380"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Board will identify and develop internal candidates;</w:t>
      </w:r>
    </w:p>
    <w:p>
      <w:pPr>
        <w:spacing w:after="0" w:line="78" w:lineRule="exact"/>
        <w:rPr>
          <w:rFonts w:ascii="Arial" w:cs="Arial" w:eastAsia="Arial" w:hAnsi="Arial"/>
          <w:sz w:val="12"/>
          <w:szCs w:val="12"/>
          <w:color w:val="auto"/>
        </w:rPr>
      </w:pPr>
    </w:p>
    <w:p>
      <w:pPr>
        <w:ind w:left="1380" w:hanging="294"/>
        <w:spacing w:after="0"/>
        <w:tabs>
          <w:tab w:leader="none" w:pos="1380" w:val="left"/>
        </w:tabs>
        <w:numPr>
          <w:ilvl w:val="0"/>
          <w:numId w:val="15"/>
        </w:numPr>
        <w:rPr>
          <w:rFonts w:ascii="Arial" w:cs="Arial" w:eastAsia="Arial" w:hAnsi="Arial"/>
          <w:sz w:val="11"/>
          <w:szCs w:val="11"/>
          <w:color w:val="auto"/>
        </w:rPr>
      </w:pPr>
      <w:r>
        <w:rPr>
          <w:rFonts w:ascii="Arial" w:cs="Arial" w:eastAsia="Arial" w:hAnsi="Arial"/>
          <w:sz w:val="11"/>
          <w:szCs w:val="11"/>
          <w:color w:val="auto"/>
        </w:rPr>
        <w:t>The Board will begin non-emergency CEO succession planning at least 3 years before an expected transition and will maintain an emergency succession plan that is reviewed annually;</w:t>
      </w:r>
    </w:p>
    <w:p>
      <w:pPr>
        <w:spacing w:after="0" w:line="89" w:lineRule="exact"/>
        <w:rPr>
          <w:rFonts w:ascii="Arial" w:cs="Arial" w:eastAsia="Arial" w:hAnsi="Arial"/>
          <w:sz w:val="11"/>
          <w:szCs w:val="11"/>
          <w:color w:val="auto"/>
        </w:rPr>
      </w:pPr>
    </w:p>
    <w:p>
      <w:pPr>
        <w:ind w:left="1380" w:hanging="294"/>
        <w:spacing w:after="0"/>
        <w:tabs>
          <w:tab w:leader="none" w:pos="1380"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Board will annually produce a report on its succession plan to shareholders.</w:t>
      </w:r>
    </w:p>
    <w:p>
      <w:pPr>
        <w:spacing w:after="0" w:line="155" w:lineRule="exact"/>
        <w:rPr>
          <w:sz w:val="20"/>
          <w:szCs w:val="20"/>
          <w:color w:val="auto"/>
        </w:rPr>
      </w:pPr>
    </w:p>
    <w:p>
      <w:pPr>
        <w:ind w:left="680"/>
        <w:spacing w:after="0"/>
        <w:rPr>
          <w:sz w:val="20"/>
          <w:szCs w:val="20"/>
          <w:color w:val="auto"/>
        </w:rPr>
      </w:pPr>
      <w:r>
        <w:rPr>
          <w:rFonts w:ascii="Arial" w:cs="Arial" w:eastAsia="Arial" w:hAnsi="Arial"/>
          <w:sz w:val="12"/>
          <w:szCs w:val="12"/>
          <w:b w:val="1"/>
          <w:bCs w:val="1"/>
          <w:color w:val="auto"/>
        </w:rPr>
        <w:t>Supporting Statement</w:t>
      </w:r>
    </w:p>
    <w:p>
      <w:pPr>
        <w:spacing w:after="0" w:line="91" w:lineRule="exact"/>
        <w:rPr>
          <w:sz w:val="20"/>
          <w:szCs w:val="20"/>
          <w:color w:val="auto"/>
        </w:rPr>
      </w:pPr>
    </w:p>
    <w:p>
      <w:pPr>
        <w:ind w:left="680" w:right="60" w:firstLine="400"/>
        <w:spacing w:after="0" w:line="259" w:lineRule="auto"/>
        <w:rPr>
          <w:sz w:val="20"/>
          <w:szCs w:val="20"/>
          <w:color w:val="auto"/>
        </w:rPr>
      </w:pPr>
      <w:r>
        <w:rPr>
          <w:rFonts w:ascii="Arial" w:cs="Arial" w:eastAsia="Arial" w:hAnsi="Arial"/>
          <w:sz w:val="12"/>
          <w:szCs w:val="12"/>
          <w:color w:val="auto"/>
        </w:rPr>
        <w:t>CEO succession is one of the primary responsibilities of the board of directors. A recent study published by the NACD quoted a director of a large technology firm: “A board’s biggest responsibility is succession planning. It’s the one area where the board is completely accountable, and the choice has significant consequences, good and bad, for the corporation’s future.” (</w:t>
      </w:r>
      <w:r>
        <w:rPr>
          <w:rFonts w:ascii="Arial" w:cs="Arial" w:eastAsia="Arial" w:hAnsi="Arial"/>
          <w:sz w:val="12"/>
          <w:szCs w:val="12"/>
          <w:i w:val="1"/>
          <w:iCs w:val="1"/>
          <w:color w:val="auto"/>
        </w:rPr>
        <w:t>The Role of the Board in CEO</w:t>
      </w:r>
      <w:r>
        <w:rPr>
          <w:rFonts w:ascii="Arial" w:cs="Arial" w:eastAsia="Arial" w:hAnsi="Arial"/>
          <w:sz w:val="12"/>
          <w:szCs w:val="12"/>
          <w:color w:val="auto"/>
        </w:rPr>
        <w:t xml:space="preserve"> </w:t>
      </w:r>
      <w:r>
        <w:rPr>
          <w:rFonts w:ascii="Arial" w:cs="Arial" w:eastAsia="Arial" w:hAnsi="Arial"/>
          <w:sz w:val="12"/>
          <w:szCs w:val="12"/>
          <w:i w:val="1"/>
          <w:iCs w:val="1"/>
          <w:color w:val="auto"/>
        </w:rPr>
        <w:t>Succession: A Best Practices Study, 2006</w:t>
      </w:r>
      <w:r>
        <w:rPr>
          <w:rFonts w:ascii="Arial" w:cs="Arial" w:eastAsia="Arial" w:hAnsi="Arial"/>
          <w:sz w:val="12"/>
          <w:szCs w:val="12"/>
          <w:color w:val="auto"/>
        </w:rPr>
        <w:t>). The study also cited research by Challenger, Gray &amp; Christmas that “CEO departures doubled in 2005, with 1228 departures recorded from the beginning of 2005</w:t>
      </w:r>
      <w:r>
        <w:rPr>
          <w:rFonts w:ascii="Arial" w:cs="Arial" w:eastAsia="Arial" w:hAnsi="Arial"/>
          <w:sz w:val="12"/>
          <w:szCs w:val="12"/>
          <w:i w:val="1"/>
          <w:iCs w:val="1"/>
          <w:color w:val="auto"/>
        </w:rPr>
        <w:t xml:space="preserve"> </w:t>
      </w:r>
      <w:r>
        <w:rPr>
          <w:rFonts w:ascii="Arial" w:cs="Arial" w:eastAsia="Arial" w:hAnsi="Arial"/>
          <w:sz w:val="12"/>
          <w:szCs w:val="12"/>
          <w:color w:val="auto"/>
        </w:rPr>
        <w:t>through November, up 102 percent from the same period in 2004.”</w:t>
      </w:r>
    </w:p>
    <w:p>
      <w:pPr>
        <w:spacing w:after="0" w:line="62" w:lineRule="exact"/>
        <w:rPr>
          <w:sz w:val="20"/>
          <w:szCs w:val="20"/>
          <w:color w:val="auto"/>
        </w:rPr>
      </w:pPr>
    </w:p>
    <w:p>
      <w:pPr>
        <w:jc w:val="both"/>
        <w:ind w:left="680" w:right="20" w:firstLine="400"/>
        <w:spacing w:after="0" w:line="263" w:lineRule="auto"/>
        <w:rPr>
          <w:sz w:val="20"/>
          <w:szCs w:val="20"/>
          <w:color w:val="auto"/>
        </w:rPr>
      </w:pPr>
      <w:r>
        <w:rPr>
          <w:rFonts w:ascii="Arial" w:cs="Arial" w:eastAsia="Arial" w:hAnsi="Arial"/>
          <w:sz w:val="12"/>
          <w:szCs w:val="12"/>
          <w:color w:val="auto"/>
        </w:rPr>
        <w:t xml:space="preserve">In its 2007 study </w:t>
      </w:r>
      <w:r>
        <w:rPr>
          <w:rFonts w:ascii="Arial" w:cs="Arial" w:eastAsia="Arial" w:hAnsi="Arial"/>
          <w:sz w:val="12"/>
          <w:szCs w:val="12"/>
          <w:i w:val="1"/>
          <w:iCs w:val="1"/>
          <w:color w:val="auto"/>
        </w:rPr>
        <w:t>What Makes the Most Admired Companies Great: Board Governance and Effective Human Capital Management</w:t>
      </w:r>
      <w:r>
        <w:rPr>
          <w:rFonts w:ascii="Arial" w:cs="Arial" w:eastAsia="Arial" w:hAnsi="Arial"/>
          <w:sz w:val="12"/>
          <w:szCs w:val="12"/>
          <w:color w:val="auto"/>
        </w:rPr>
        <w:t>, Hay Group found that 85% of the Most Admired Company boards have a well defined CEO succession plan to prepare for replacement of the CEO on a long-term basis and that 91% have a well defined plan to cover the emergency loss of the CEO that is discussed at least annually by the board.</w:t>
      </w:r>
    </w:p>
    <w:p>
      <w:pPr>
        <w:spacing w:after="0" w:line="60" w:lineRule="exact"/>
        <w:rPr>
          <w:sz w:val="20"/>
          <w:szCs w:val="20"/>
          <w:color w:val="auto"/>
        </w:rPr>
      </w:pPr>
    </w:p>
    <w:p>
      <w:pPr>
        <w:ind w:left="680" w:firstLine="400"/>
        <w:spacing w:after="0" w:line="259" w:lineRule="auto"/>
        <w:rPr>
          <w:sz w:val="20"/>
          <w:szCs w:val="20"/>
          <w:color w:val="auto"/>
        </w:rPr>
      </w:pPr>
      <w:r>
        <w:rPr>
          <w:rFonts w:ascii="Arial" w:cs="Arial" w:eastAsia="Arial" w:hAnsi="Arial"/>
          <w:sz w:val="12"/>
          <w:szCs w:val="12"/>
          <w:color w:val="auto"/>
        </w:rPr>
        <w:t xml:space="preserve">The NACD report identified several best practices and innovations in CEO succession planning. The report found that boards of companies with successful CEO transitions are more likely to have well-developed succession plans that are put in place well before a transition, are focused on developing internal candidates and include clear candidate criteria and a formal assessment process. Our proposal is intended to have the board adopt a written policy containing several specific best practices in order to ensure a smooth transition in the event of the CEO’s departure. We urge shareholders to vote </w:t>
      </w:r>
      <w:r>
        <w:rPr>
          <w:rFonts w:ascii="Arial" w:cs="Arial" w:eastAsia="Arial" w:hAnsi="Arial"/>
          <w:sz w:val="12"/>
          <w:szCs w:val="12"/>
          <w:b w:val="1"/>
          <w:bCs w:val="1"/>
          <w:color w:val="auto"/>
        </w:rPr>
        <w:t>FOR</w:t>
      </w:r>
      <w:r>
        <w:rPr>
          <w:rFonts w:ascii="Arial" w:cs="Arial" w:eastAsia="Arial" w:hAnsi="Arial"/>
          <w:sz w:val="12"/>
          <w:szCs w:val="12"/>
          <w:color w:val="auto"/>
        </w:rPr>
        <w:t xml:space="preserve"> our proposal.</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2"/>
          <w:szCs w:val="12"/>
          <w:b w:val="1"/>
          <w:bCs w:val="1"/>
          <w:color w:val="auto"/>
        </w:rPr>
        <w:t>Company Response to Shareholder Proposal</w:t>
      </w:r>
    </w:p>
    <w:p>
      <w:pPr>
        <w:spacing w:after="0" w:line="91" w:lineRule="exact"/>
        <w:rPr>
          <w:sz w:val="20"/>
          <w:szCs w:val="20"/>
          <w:color w:val="auto"/>
        </w:rPr>
      </w:pPr>
    </w:p>
    <w:p>
      <w:pPr>
        <w:ind w:left="680" w:right="20" w:firstLine="400"/>
        <w:spacing w:after="0" w:line="263" w:lineRule="auto"/>
        <w:rPr>
          <w:sz w:val="20"/>
          <w:szCs w:val="20"/>
          <w:color w:val="auto"/>
        </w:rPr>
      </w:pPr>
      <w:r>
        <w:rPr>
          <w:rFonts w:ascii="Arial" w:cs="Arial" w:eastAsia="Arial" w:hAnsi="Arial"/>
          <w:sz w:val="12"/>
          <w:szCs w:val="12"/>
          <w:color w:val="auto"/>
        </w:rPr>
        <w:t>We oppose this proposal because we believe it is unnecessary and not in the best interests of our shareholders. The Board, led by its independent directors, already actively engages in succession planning pursuant to a well-developed process. We believe that our current approach to succession planning is superior to the approach prescribed by the proposal, which could have an adverse impact on our company and our competitive position.</w:t>
      </w:r>
    </w:p>
    <w:p>
      <w:pPr>
        <w:spacing w:after="0" w:line="60" w:lineRule="exact"/>
        <w:rPr>
          <w:sz w:val="20"/>
          <w:szCs w:val="20"/>
          <w:color w:val="auto"/>
        </w:rPr>
      </w:pPr>
    </w:p>
    <w:p>
      <w:pPr>
        <w:ind w:left="680" w:right="120" w:firstLine="400"/>
        <w:spacing w:after="0" w:line="263" w:lineRule="auto"/>
        <w:rPr>
          <w:sz w:val="20"/>
          <w:szCs w:val="20"/>
          <w:color w:val="auto"/>
        </w:rPr>
      </w:pPr>
      <w:r>
        <w:rPr>
          <w:rFonts w:ascii="Arial" w:cs="Arial" w:eastAsia="Arial" w:hAnsi="Arial"/>
          <w:sz w:val="12"/>
          <w:szCs w:val="12"/>
          <w:color w:val="auto"/>
        </w:rPr>
        <w:t>The Board believes that succession planning is one of its essential functions. Accordingly, two different committees of the Board, each composed exclusively of independent directors, focus on succession planning. As addressed in “About our Board and its Committees” beginning on page 11, the Compensation Committee and the Governance and Directors Nominating Committee jointly oversee our succession planning. Additionally, while the proposal addresses succession planning only for a Chief Executive Officer, the Board</w:t>
      </w:r>
    </w:p>
    <w:p>
      <w:pPr>
        <w:spacing w:after="0" w:line="249"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97790</wp:posOffset>
            </wp:positionV>
            <wp:extent cx="7299325" cy="18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620"/>
          </w:cols>
          <w:pgMar w:left="220" w:top="327" w:right="1059" w:bottom="1440" w:gutter="0" w:footer="0" w:header="0"/>
        </w:sectPr>
      </w:pPr>
    </w:p>
    <w:bookmarkStart w:id="26" w:name="page27"/>
    <w:bookmarkEnd w:id="26"/>
    <w:p>
      <w:pPr>
        <w:spacing w:after="0"/>
        <w:rPr>
          <w:rFonts w:ascii="Arial" w:cs="Arial" w:eastAsia="Arial" w:hAnsi="Arial"/>
          <w:sz w:val="12"/>
          <w:szCs w:val="12"/>
          <w:b w:val="1"/>
          <w:bCs w:val="1"/>
          <w:u w:val="single" w:color="auto"/>
          <w:color w:val="0000EE"/>
        </w:rPr>
      </w:pP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and its committees currently engage in succession planning for our senior executive management, including — but not limited to — the Chief Executive Officer.</w:t>
      </w:r>
    </w:p>
    <w:p>
      <w:pPr>
        <w:spacing w:after="0" w:line="87" w:lineRule="exact"/>
        <w:rPr>
          <w:sz w:val="20"/>
          <w:szCs w:val="20"/>
          <w:color w:val="auto"/>
        </w:rPr>
      </w:pPr>
    </w:p>
    <w:p>
      <w:pPr>
        <w:ind w:left="680" w:firstLine="400"/>
        <w:spacing w:after="0" w:line="263" w:lineRule="auto"/>
        <w:rPr>
          <w:sz w:val="20"/>
          <w:szCs w:val="20"/>
          <w:color w:val="auto"/>
        </w:rPr>
      </w:pPr>
      <w:r>
        <w:rPr>
          <w:rFonts w:ascii="Arial" w:cs="Arial" w:eastAsia="Arial" w:hAnsi="Arial"/>
          <w:sz w:val="12"/>
          <w:szCs w:val="12"/>
          <w:color w:val="auto"/>
        </w:rPr>
        <w:t>Our current succession planning process does include certain of the features contemplated by the proposal. We regularly review our process, including an annual review with our Board. We develop criteria for the Chief Executive Officer position which reflect our business strategy and use a formal assessment process to evaluate candidates. We identify and develop internal candidates. And we recognize the importance of maintaining and reviewing both a long-term transition plan and an emergency transition plan.</w:t>
      </w:r>
    </w:p>
    <w:p>
      <w:pPr>
        <w:spacing w:after="0" w:line="60" w:lineRule="exact"/>
        <w:rPr>
          <w:sz w:val="20"/>
          <w:szCs w:val="20"/>
          <w:color w:val="auto"/>
        </w:rPr>
      </w:pPr>
    </w:p>
    <w:p>
      <w:pPr>
        <w:ind w:left="680" w:right="120" w:firstLine="400"/>
        <w:spacing w:after="0" w:line="286" w:lineRule="auto"/>
        <w:rPr>
          <w:sz w:val="20"/>
          <w:szCs w:val="20"/>
          <w:color w:val="auto"/>
        </w:rPr>
      </w:pPr>
      <w:r>
        <w:rPr>
          <w:rFonts w:ascii="Arial" w:cs="Arial" w:eastAsia="Arial" w:hAnsi="Arial"/>
          <w:sz w:val="11"/>
          <w:szCs w:val="11"/>
          <w:color w:val="auto"/>
        </w:rPr>
        <w:t>However, we believe that the requirement included in the proposal that the Board produce and disclose annually to our shareholders a detailed succession planning policy could adversely affect our shareholders. For an annual report to be meaningful, it would have to include detailed information that could harm our competitive position. We do not believe it would be in the best interests of our shareholders to provide detailed information to our competitors about our business strategy and outlook, our most promising internal candidates, any desirable external candidates and other factors that our directors currently consider in the succession planning process. Any such information that we elect or are required to disclose should be disclosed at the time we deem it advisable or required. If we omitted the competitively sensitive information that would be required by the report contemplated by the proposal, the report would consist only of general statements containing little substance.</w:t>
      </w:r>
    </w:p>
    <w:p>
      <w:pPr>
        <w:spacing w:after="0" w:line="48" w:lineRule="exact"/>
        <w:rPr>
          <w:sz w:val="20"/>
          <w:szCs w:val="20"/>
          <w:color w:val="auto"/>
        </w:rPr>
      </w:pPr>
    </w:p>
    <w:p>
      <w:pPr>
        <w:ind w:left="680" w:right="40" w:firstLine="400"/>
        <w:spacing w:after="0" w:line="276" w:lineRule="auto"/>
        <w:rPr>
          <w:sz w:val="20"/>
          <w:szCs w:val="20"/>
          <w:color w:val="auto"/>
        </w:rPr>
      </w:pPr>
      <w:r>
        <w:rPr>
          <w:rFonts w:ascii="Arial" w:cs="Arial" w:eastAsia="Arial" w:hAnsi="Arial"/>
          <w:sz w:val="12"/>
          <w:szCs w:val="12"/>
          <w:color w:val="auto"/>
        </w:rPr>
        <w:t>The Board has been, and will continue to be, fully engaged in thoughtful and timely succession planning. We believe, however, that the amount of disclosure contemplated by this proposal would not be in the best interests of our shareholders.</w:t>
      </w:r>
    </w:p>
    <w:p>
      <w:pPr>
        <w:spacing w:after="0" w:line="48" w:lineRule="exact"/>
        <w:rPr>
          <w:sz w:val="20"/>
          <w:szCs w:val="20"/>
          <w:color w:val="auto"/>
        </w:rPr>
      </w:pPr>
    </w:p>
    <w:p>
      <w:pPr>
        <w:ind w:left="1080"/>
        <w:spacing w:after="0"/>
        <w:rPr>
          <w:sz w:val="20"/>
          <w:szCs w:val="20"/>
          <w:color w:val="auto"/>
        </w:rPr>
      </w:pPr>
      <w:r>
        <w:rPr>
          <w:rFonts w:ascii="Arial" w:cs="Arial" w:eastAsia="Arial" w:hAnsi="Arial"/>
          <w:sz w:val="12"/>
          <w:szCs w:val="12"/>
          <w:b w:val="1"/>
          <w:bCs w:val="1"/>
          <w:color w:val="auto"/>
        </w:rPr>
        <w:t>FOR THESE REASONS, OUR BOARD UNANIMOUSLY RECOMMENDS THAT SHAREHOLDERS VOTE “AGAINST” THIS PROPOSAL.</w:t>
      </w:r>
    </w:p>
    <w:p>
      <w:pPr>
        <w:spacing w:after="0" w:line="231"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auto"/>
        </w:rPr>
        <w:t>PROPOSAL 6: TO REQUIRE THAT THE CHAIRMAN OF THE BOARD NOT BE A CURRENT OR FORMER EXECUTIVE OFFICER</w:t>
      </w:r>
    </w:p>
    <w:p>
      <w:pPr>
        <w:spacing w:after="0" w:line="91" w:lineRule="exact"/>
        <w:rPr>
          <w:sz w:val="20"/>
          <w:szCs w:val="20"/>
          <w:color w:val="auto"/>
        </w:rPr>
      </w:pPr>
    </w:p>
    <w:p>
      <w:pPr>
        <w:ind w:left="680" w:right="80" w:firstLine="400"/>
        <w:spacing w:after="0" w:line="276" w:lineRule="auto"/>
        <w:rPr>
          <w:sz w:val="20"/>
          <w:szCs w:val="20"/>
          <w:color w:val="auto"/>
        </w:rPr>
      </w:pPr>
      <w:r>
        <w:rPr>
          <w:rFonts w:ascii="Arial" w:cs="Arial" w:eastAsia="Arial" w:hAnsi="Arial"/>
          <w:sz w:val="12"/>
          <w:szCs w:val="12"/>
          <w:color w:val="auto"/>
        </w:rPr>
        <w:t>The following proposal and supporting statement were submitted by the AFL-CIO Reserve Fund, 815 Sixteenth Street, N.W., Washington, DC 20006, which has advised us that it holds 2,171 shares of our Class A common stock.</w:t>
      </w:r>
    </w:p>
    <w:p>
      <w:pPr>
        <w:spacing w:after="0" w:line="52" w:lineRule="exact"/>
        <w:rPr>
          <w:sz w:val="20"/>
          <w:szCs w:val="20"/>
          <w:color w:val="auto"/>
        </w:rPr>
      </w:pPr>
    </w:p>
    <w:p>
      <w:pPr>
        <w:ind w:left="680" w:right="80" w:firstLine="400"/>
        <w:spacing w:after="0" w:line="276" w:lineRule="auto"/>
        <w:rPr>
          <w:sz w:val="20"/>
          <w:szCs w:val="20"/>
          <w:color w:val="auto"/>
        </w:rPr>
      </w:pPr>
      <w:r>
        <w:rPr>
          <w:rFonts w:ascii="Arial" w:cs="Arial" w:eastAsia="Arial" w:hAnsi="Arial"/>
          <w:sz w:val="12"/>
          <w:szCs w:val="12"/>
          <w:color w:val="auto"/>
        </w:rPr>
        <w:t>RESOLVED: That stockholders of Comcast Corporation (the “Company”), urge the Board of Directors (the “Board”) to take the steps necessary to amend the Company’s articles of incorporation to require that an independent director, who has not previously served as an executive officer of the Company, be its Chairman.</w:t>
      </w:r>
    </w:p>
    <w:p>
      <w:pPr>
        <w:spacing w:after="0" w:line="52" w:lineRule="exact"/>
        <w:rPr>
          <w:sz w:val="20"/>
          <w:szCs w:val="20"/>
          <w:color w:val="auto"/>
        </w:rPr>
      </w:pPr>
    </w:p>
    <w:p>
      <w:pPr>
        <w:ind w:left="680" w:right="40" w:firstLine="400"/>
        <w:spacing w:after="0" w:line="276" w:lineRule="auto"/>
        <w:rPr>
          <w:sz w:val="20"/>
          <w:szCs w:val="20"/>
          <w:color w:val="auto"/>
        </w:rPr>
      </w:pPr>
      <w:r>
        <w:rPr>
          <w:rFonts w:ascii="Arial" w:cs="Arial" w:eastAsia="Arial" w:hAnsi="Arial"/>
          <w:sz w:val="12"/>
          <w:szCs w:val="12"/>
          <w:color w:val="auto"/>
        </w:rPr>
        <w:t>The policy should be implemented so as not to violate any contractual obligations. The policy should also specify the process for selecting a new independent chairman if the current chairman ceases to be independent between annual meetings of shareholders; or if no independent director is available and willing to serve as chairman.</w:t>
      </w:r>
    </w:p>
    <w:p>
      <w:pPr>
        <w:spacing w:after="0" w:line="120" w:lineRule="exact"/>
        <w:rPr>
          <w:sz w:val="20"/>
          <w:szCs w:val="20"/>
          <w:color w:val="auto"/>
        </w:rPr>
      </w:pPr>
    </w:p>
    <w:p>
      <w:pPr>
        <w:ind w:left="680"/>
        <w:spacing w:after="0"/>
        <w:rPr>
          <w:sz w:val="20"/>
          <w:szCs w:val="20"/>
          <w:color w:val="auto"/>
        </w:rPr>
      </w:pPr>
      <w:r>
        <w:rPr>
          <w:rFonts w:ascii="Arial" w:cs="Arial" w:eastAsia="Arial" w:hAnsi="Arial"/>
          <w:sz w:val="12"/>
          <w:szCs w:val="12"/>
          <w:b w:val="1"/>
          <w:bCs w:val="1"/>
          <w:color w:val="auto"/>
        </w:rPr>
        <w:t>Supporting Statement</w:t>
      </w:r>
    </w:p>
    <w:p>
      <w:pPr>
        <w:spacing w:after="0" w:line="91" w:lineRule="exact"/>
        <w:rPr>
          <w:sz w:val="20"/>
          <w:szCs w:val="20"/>
          <w:color w:val="auto"/>
        </w:rPr>
      </w:pPr>
    </w:p>
    <w:p>
      <w:pPr>
        <w:ind w:left="680" w:right="240" w:firstLine="400"/>
        <w:spacing w:after="0" w:line="276" w:lineRule="auto"/>
        <w:rPr>
          <w:sz w:val="20"/>
          <w:szCs w:val="20"/>
          <w:color w:val="auto"/>
        </w:rPr>
      </w:pPr>
      <w:r>
        <w:rPr>
          <w:rFonts w:ascii="Arial" w:cs="Arial" w:eastAsia="Arial" w:hAnsi="Arial"/>
          <w:sz w:val="12"/>
          <w:szCs w:val="12"/>
          <w:color w:val="auto"/>
        </w:rPr>
        <w:t>We believe it is the responsibility of the Board to protect shareholders’ long-term interests by providing independent oversight of management, including the Chief Executive Officer (“CEO”), in directing the corporation’s business and affairs.</w:t>
      </w:r>
    </w:p>
    <w:p>
      <w:pPr>
        <w:spacing w:after="0" w:line="52" w:lineRule="exact"/>
        <w:rPr>
          <w:sz w:val="20"/>
          <w:szCs w:val="20"/>
          <w:color w:val="auto"/>
        </w:rPr>
      </w:pPr>
    </w:p>
    <w:p>
      <w:pPr>
        <w:ind w:left="680" w:right="60" w:firstLine="400"/>
        <w:spacing w:after="0" w:line="298" w:lineRule="auto"/>
        <w:rPr>
          <w:sz w:val="20"/>
          <w:szCs w:val="20"/>
          <w:color w:val="auto"/>
        </w:rPr>
      </w:pPr>
      <w:r>
        <w:rPr>
          <w:rFonts w:ascii="Arial" w:cs="Arial" w:eastAsia="Arial" w:hAnsi="Arial"/>
          <w:sz w:val="11"/>
          <w:szCs w:val="11"/>
          <w:color w:val="auto"/>
        </w:rPr>
        <w:t>The Millstein Center for Corporate Governance and Performance at the Yale School of Management and the Chairmen’s Forum endorsed a policy in March 2009 calling on U.S. public companies to separate the roles of chairman of the board and CEO. An independent chairman “curbs conflicts of interest, promotes oversight of risk, manages the relationship between the board and the CEO, serves as a conduit for regular communication with shareowners, and is a logical next step in the development of an independent board,” the policy notes.</w:t>
      </w:r>
    </w:p>
    <w:p>
      <w:pPr>
        <w:spacing w:after="0" w:line="231"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97790</wp:posOffset>
            </wp:positionV>
            <wp:extent cx="7299325" cy="18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640"/>
          </w:cols>
          <w:pgMar w:left="220" w:top="327" w:right="1039" w:bottom="1440" w:gutter="0" w:footer="0" w:header="0"/>
        </w:sectPr>
      </w:pPr>
    </w:p>
    <w:bookmarkStart w:id="27" w:name="page28"/>
    <w:bookmarkEnd w:id="27"/>
    <w:p>
      <w:pPr>
        <w:spacing w:after="0"/>
        <w:rPr>
          <w:rFonts w:ascii="Arial" w:cs="Arial" w:eastAsia="Arial" w:hAnsi="Arial"/>
          <w:sz w:val="12"/>
          <w:szCs w:val="12"/>
          <w:b w:val="1"/>
          <w:bCs w:val="1"/>
          <w:u w:val="single" w:color="auto"/>
          <w:color w:val="0000EE"/>
        </w:rPr>
      </w:pP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680" w:firstLine="400"/>
        <w:spacing w:after="0" w:line="298" w:lineRule="auto"/>
        <w:rPr>
          <w:sz w:val="20"/>
          <w:szCs w:val="20"/>
          <w:color w:val="auto"/>
        </w:rPr>
      </w:pPr>
      <w:r>
        <w:rPr>
          <w:rFonts w:ascii="Arial" w:cs="Arial" w:eastAsia="Arial" w:hAnsi="Arial"/>
          <w:sz w:val="11"/>
          <w:szCs w:val="11"/>
          <w:color w:val="auto"/>
        </w:rPr>
        <w:t>We believe that when the top executive serves as board chairman, this arrangement may hinder the board’s ability to monitor the CEO’s performance. Andrew Grove, former chairman and CEO of Intel Corporation, recognized this and relinquished the CEO’s position. “The separation of the two jobs goes to the heart of the conception of a corporation. Is a company a sandbox for the CEO, or is the CEO an employee? If he’s an employee, he needs a boss, and that boss is the board. The chairman runs the board. How can the CEO be his own boss?” (</w:t>
      </w:r>
      <w:r>
        <w:rPr>
          <w:rFonts w:ascii="Arial" w:cs="Arial" w:eastAsia="Arial" w:hAnsi="Arial"/>
          <w:sz w:val="11"/>
          <w:szCs w:val="11"/>
          <w:i w:val="1"/>
          <w:iCs w:val="1"/>
          <w:color w:val="auto"/>
        </w:rPr>
        <w:t>Business Week</w:t>
      </w:r>
      <w:r>
        <w:rPr>
          <w:rFonts w:ascii="Arial" w:cs="Arial" w:eastAsia="Arial" w:hAnsi="Arial"/>
          <w:sz w:val="11"/>
          <w:szCs w:val="11"/>
          <w:color w:val="auto"/>
        </w:rPr>
        <w:t>, November 11, 2002.)</w:t>
      </w:r>
    </w:p>
    <w:p>
      <w:pPr>
        <w:spacing w:after="0" w:line="42" w:lineRule="exact"/>
        <w:rPr>
          <w:sz w:val="20"/>
          <w:szCs w:val="20"/>
          <w:color w:val="auto"/>
        </w:rPr>
      </w:pPr>
    </w:p>
    <w:p>
      <w:pPr>
        <w:ind w:left="680" w:firstLine="400"/>
        <w:spacing w:after="0" w:line="298" w:lineRule="auto"/>
        <w:rPr>
          <w:sz w:val="20"/>
          <w:szCs w:val="20"/>
          <w:color w:val="auto"/>
        </w:rPr>
      </w:pPr>
      <w:r>
        <w:rPr>
          <w:rFonts w:ascii="Arial" w:cs="Arial" w:eastAsia="Arial" w:hAnsi="Arial"/>
          <w:sz w:val="11"/>
          <w:szCs w:val="11"/>
          <w:color w:val="auto"/>
        </w:rPr>
        <w:t>Comcast’s articles of incorporation personally name Brian Roberts as Chairman. We believe that this unique provision — combined with Comcast’s dual class stock that provides Brian Roberts a non-dilutable one-third vote despite owning less than one percent of all of Comcast’s outstanding voting shares — reduces management’s accountability to shareholders. In our opinion, the designation of a presiding director as required by the NASDAQ listing standards is simply not an adequate substitution for a truly independent board chair that has no other connection to the Company.</w:t>
      </w:r>
    </w:p>
    <w:p>
      <w:pPr>
        <w:spacing w:after="0" w:line="42"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believe an independent Chairman can enhance investor confidence in our Company and strengthen the integrity of the Board.</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urge you to vote FOR this resolution.</w:t>
      </w:r>
    </w:p>
    <w:p>
      <w:pPr>
        <w:spacing w:after="0" w:line="155" w:lineRule="exact"/>
        <w:rPr>
          <w:sz w:val="20"/>
          <w:szCs w:val="20"/>
          <w:color w:val="auto"/>
        </w:rPr>
      </w:pPr>
    </w:p>
    <w:p>
      <w:pPr>
        <w:ind w:left="680"/>
        <w:spacing w:after="0"/>
        <w:rPr>
          <w:sz w:val="20"/>
          <w:szCs w:val="20"/>
          <w:color w:val="auto"/>
        </w:rPr>
      </w:pPr>
      <w:r>
        <w:rPr>
          <w:rFonts w:ascii="Arial" w:cs="Arial" w:eastAsia="Arial" w:hAnsi="Arial"/>
          <w:sz w:val="12"/>
          <w:szCs w:val="12"/>
          <w:b w:val="1"/>
          <w:bCs w:val="1"/>
          <w:color w:val="auto"/>
        </w:rPr>
        <w:t>Company Response to Shareholder Proposal</w:t>
      </w:r>
    </w:p>
    <w:p>
      <w:pPr>
        <w:spacing w:after="0" w:line="91" w:lineRule="exact"/>
        <w:rPr>
          <w:sz w:val="20"/>
          <w:szCs w:val="20"/>
          <w:color w:val="auto"/>
        </w:rPr>
      </w:pPr>
    </w:p>
    <w:p>
      <w:pPr>
        <w:ind w:left="680" w:right="140" w:firstLine="400"/>
        <w:spacing w:after="0" w:line="327" w:lineRule="auto"/>
        <w:rPr>
          <w:sz w:val="20"/>
          <w:szCs w:val="20"/>
          <w:color w:val="auto"/>
        </w:rPr>
      </w:pPr>
      <w:r>
        <w:rPr>
          <w:rFonts w:ascii="Arial" w:cs="Arial" w:eastAsia="Arial" w:hAnsi="Arial"/>
          <w:sz w:val="10"/>
          <w:szCs w:val="10"/>
          <w:color w:val="auto"/>
        </w:rPr>
        <w:t>Our Board believes that we and our shareholders are best served by having Brian L. Roberts serve as Chairman and Chief Executive Officer. Our Board also believes that Board independence and oversight of management are effectively maintained through the Board’s current composition, our Board committees’ structure and composition and our Presiding Director, who is an independent director appointed annually by the Board after being recommended by the Governance and Directors Nominating Committee. Furthermore, having one individual perform the role of Chairman and Chief Executive Officer is both consistent with the practice of many major companies and not restricted or prohibited by current laws (including the Sarbanes-Oxley Act of 2002 and recently promulgated SEC regulations).</w:t>
      </w:r>
    </w:p>
    <w:p>
      <w:pPr>
        <w:spacing w:after="0" w:line="31" w:lineRule="exact"/>
        <w:rPr>
          <w:sz w:val="20"/>
          <w:szCs w:val="20"/>
          <w:color w:val="auto"/>
        </w:rPr>
      </w:pPr>
    </w:p>
    <w:p>
      <w:pPr>
        <w:ind w:left="680" w:firstLine="400"/>
        <w:spacing w:after="0" w:line="257" w:lineRule="auto"/>
        <w:rPr>
          <w:sz w:val="20"/>
          <w:szCs w:val="20"/>
          <w:color w:val="auto"/>
        </w:rPr>
      </w:pPr>
      <w:r>
        <w:rPr>
          <w:rFonts w:ascii="Arial" w:cs="Arial" w:eastAsia="Arial" w:hAnsi="Arial"/>
          <w:sz w:val="12"/>
          <w:szCs w:val="12"/>
          <w:color w:val="auto"/>
        </w:rPr>
        <w:t>Only three of the 13 members of our Board are currently our employees, and all of our Board committees, other than the Finance Committee, consist entirely of independent directors. Therefore, there are ample outside directors to offer critical review of management plans. Moreover, our Presiding Director, among other things and as more fully described above under “Proposal 1: Election of Directors — About our Board and its Committees — Presiding Director,” presides over executive sessions of our independent directors and reviews and suggests topics for discussion and presentation at our Board meetings. Furthermore, Mr. Roberts has his performance evaluated annually by our Compensation Committee in accordance with its charter, as well as by our independent directors in an executive session in accordance with our corporate governance guidelines.</w:t>
      </w:r>
    </w:p>
    <w:p>
      <w:pPr>
        <w:spacing w:after="0" w:line="63" w:lineRule="exact"/>
        <w:rPr>
          <w:sz w:val="20"/>
          <w:szCs w:val="20"/>
          <w:color w:val="auto"/>
        </w:rPr>
      </w:pPr>
    </w:p>
    <w:p>
      <w:pPr>
        <w:ind w:left="680" w:right="380" w:firstLine="400"/>
        <w:spacing w:after="0" w:line="276" w:lineRule="auto"/>
        <w:rPr>
          <w:sz w:val="20"/>
          <w:szCs w:val="20"/>
          <w:color w:val="auto"/>
        </w:rPr>
      </w:pPr>
      <w:r>
        <w:rPr>
          <w:rFonts w:ascii="Arial" w:cs="Arial" w:eastAsia="Arial" w:hAnsi="Arial"/>
          <w:sz w:val="12"/>
          <w:szCs w:val="12"/>
          <w:color w:val="auto"/>
        </w:rPr>
        <w:t>Our directors, including the Chairman of the Board, are also bound by fiduciary obligations under law to act in a manner that they believe to be in our best interests and the best interests of our shareholders. Separating the offices of Chairman of the Board and Chief Executive Officer would not serve to augment or diminish this fiduciary duty.</w:t>
      </w:r>
    </w:p>
    <w:p>
      <w:pPr>
        <w:spacing w:after="0" w:line="52" w:lineRule="exact"/>
        <w:rPr>
          <w:sz w:val="20"/>
          <w:szCs w:val="20"/>
          <w:color w:val="auto"/>
        </w:rPr>
      </w:pPr>
    </w:p>
    <w:p>
      <w:pPr>
        <w:ind w:left="680" w:right="260" w:firstLine="400"/>
        <w:spacing w:after="0" w:line="276" w:lineRule="auto"/>
        <w:rPr>
          <w:sz w:val="20"/>
          <w:szCs w:val="20"/>
          <w:color w:val="auto"/>
        </w:rPr>
      </w:pPr>
      <w:r>
        <w:rPr>
          <w:rFonts w:ascii="Arial" w:cs="Arial" w:eastAsia="Arial" w:hAnsi="Arial"/>
          <w:sz w:val="12"/>
          <w:szCs w:val="12"/>
          <w:color w:val="auto"/>
        </w:rPr>
        <w:t>Rather, our Board believes that Mr. Roberts, in his capacities as Chairman and Chief Executive Officer, serves as a bridge between the Board and management and provides critical leadership for carrying out our strategic initiatives and confronting our challenges.</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97790</wp:posOffset>
            </wp:positionV>
            <wp:extent cx="7299325" cy="18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660"/>
          </w:cols>
          <w:pgMar w:left="220" w:top="327" w:right="1019" w:bottom="1440" w:gutter="0" w:footer="0" w:header="0"/>
        </w:sectPr>
      </w:pPr>
    </w:p>
    <w:bookmarkStart w:id="28" w:name="page29"/>
    <w:bookmarkEnd w:id="28"/>
    <w:p>
      <w:pPr>
        <w:spacing w:after="0"/>
        <w:rPr>
          <w:rFonts w:ascii="Arial" w:cs="Arial" w:eastAsia="Arial" w:hAnsi="Arial"/>
          <w:sz w:val="12"/>
          <w:szCs w:val="12"/>
          <w:b w:val="1"/>
          <w:bCs w:val="1"/>
          <w:u w:val="single" w:color="auto"/>
          <w:color w:val="0000EE"/>
        </w:rPr>
      </w:pP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680" w:firstLine="400"/>
        <w:spacing w:after="0" w:line="263" w:lineRule="auto"/>
        <w:rPr>
          <w:sz w:val="20"/>
          <w:szCs w:val="20"/>
          <w:color w:val="auto"/>
        </w:rPr>
      </w:pPr>
      <w:r>
        <w:rPr>
          <w:rFonts w:ascii="Arial" w:cs="Arial" w:eastAsia="Arial" w:hAnsi="Arial"/>
          <w:sz w:val="12"/>
          <w:szCs w:val="12"/>
          <w:color w:val="auto"/>
        </w:rPr>
        <w:t>In addition, the Board believes that it should not be constrained by an inflexible, formal requirement that the offices of Chairman of the Board and Chief Executive Officer be separated, even if such a requirement applied only to successors of Mr. Roberts. We and our shareholders are best served by maintaining the flexibility to have the same individual serve as Chairman and Chief Executive Officer, based on what is in the best interests of our company at a given point in time.</w:t>
      </w:r>
    </w:p>
    <w:p>
      <w:pPr>
        <w:spacing w:after="0" w:line="60" w:lineRule="exact"/>
        <w:rPr>
          <w:sz w:val="20"/>
          <w:szCs w:val="20"/>
          <w:color w:val="auto"/>
        </w:rPr>
      </w:pPr>
    </w:p>
    <w:p>
      <w:pPr>
        <w:ind w:left="680" w:right="400" w:firstLine="400"/>
        <w:spacing w:after="0" w:line="276" w:lineRule="auto"/>
        <w:rPr>
          <w:sz w:val="20"/>
          <w:szCs w:val="20"/>
          <w:color w:val="auto"/>
        </w:rPr>
      </w:pPr>
      <w:r>
        <w:rPr>
          <w:rFonts w:ascii="Arial" w:cs="Arial" w:eastAsia="Arial" w:hAnsi="Arial"/>
          <w:sz w:val="12"/>
          <w:szCs w:val="12"/>
          <w:color w:val="auto"/>
        </w:rPr>
        <w:t>Our Board believes that the adoption of a policy requiring the election of a non-management Chairman of the Board would not enhance its independence or performance, and is not in the best interests of our shareholders.</w:t>
      </w:r>
    </w:p>
    <w:p>
      <w:pPr>
        <w:spacing w:after="0" w:line="48" w:lineRule="exact"/>
        <w:rPr>
          <w:sz w:val="20"/>
          <w:szCs w:val="20"/>
          <w:color w:val="auto"/>
        </w:rPr>
      </w:pPr>
    </w:p>
    <w:p>
      <w:pPr>
        <w:ind w:left="1080"/>
        <w:spacing w:after="0"/>
        <w:rPr>
          <w:sz w:val="20"/>
          <w:szCs w:val="20"/>
          <w:color w:val="auto"/>
        </w:rPr>
      </w:pPr>
      <w:r>
        <w:rPr>
          <w:rFonts w:ascii="Arial" w:cs="Arial" w:eastAsia="Arial" w:hAnsi="Arial"/>
          <w:sz w:val="12"/>
          <w:szCs w:val="12"/>
          <w:b w:val="1"/>
          <w:bCs w:val="1"/>
          <w:color w:val="auto"/>
        </w:rPr>
        <w:t>FOR THESE REASONS, OUR BOARD UNANIMOUSLY RECOMMENDS THAT SHAREHOLDERS VOTE “AGAINST” THIS PROPOSAL.</w:t>
      </w:r>
    </w:p>
    <w:p>
      <w:pPr>
        <w:spacing w:after="0" w:line="280"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97790</wp:posOffset>
            </wp:positionV>
            <wp:extent cx="7299325" cy="18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640"/>
          </w:cols>
          <w:pgMar w:left="220" w:top="327" w:right="1039" w:bottom="1440" w:gutter="0" w:footer="0" w:header="0"/>
        </w:sectPr>
      </w:pPr>
    </w:p>
    <w:bookmarkStart w:id="29" w:name="page30"/>
    <w:bookmarkEnd w:id="29"/>
    <w:p>
      <w:pPr>
        <w:spacing w:after="0"/>
        <w:rPr>
          <w:rFonts w:ascii="Arial" w:cs="Arial" w:eastAsia="Arial" w:hAnsi="Arial"/>
          <w:sz w:val="12"/>
          <w:szCs w:val="12"/>
          <w:b w:val="1"/>
          <w:bCs w:val="1"/>
          <w:u w:val="single" w:color="auto"/>
          <w:color w:val="0000EE"/>
        </w:rPr>
      </w:pPr>
      <w:hyperlink w:anchor="page4">
        <w:r>
          <w:rPr>
            <w:rFonts w:ascii="Arial" w:cs="Arial" w:eastAsia="Arial" w:hAnsi="Arial"/>
            <w:sz w:val="12"/>
            <w:szCs w:val="12"/>
            <w:b w:val="1"/>
            <w:bCs w:val="1"/>
            <w:u w:val="single" w:color="auto"/>
            <w:color w:val="0000EE"/>
          </w:rPr>
          <w:t>Table of Contents</w:t>
        </w:r>
      </w:hyperlink>
    </w:p>
    <w:p>
      <w:pPr>
        <w:spacing w:after="0" w:line="229" w:lineRule="exact"/>
        <w:rPr>
          <w:sz w:val="20"/>
          <w:szCs w:val="20"/>
          <w:color w:val="auto"/>
        </w:rPr>
      </w:pPr>
    </w:p>
    <w:p>
      <w:pPr>
        <w:ind w:left="4820"/>
        <w:spacing w:after="0"/>
        <w:rPr>
          <w:sz w:val="20"/>
          <w:szCs w:val="20"/>
          <w:color w:val="auto"/>
        </w:rPr>
      </w:pPr>
      <w:r>
        <w:rPr>
          <w:rFonts w:ascii="Arial" w:cs="Arial" w:eastAsia="Arial" w:hAnsi="Arial"/>
          <w:sz w:val="12"/>
          <w:szCs w:val="12"/>
          <w:b w:val="1"/>
          <w:bCs w:val="1"/>
          <w:color w:val="auto"/>
        </w:rPr>
        <w:t>EXECUTIVE COMPENSATION</w:t>
      </w:r>
    </w:p>
    <w:p>
      <w:pPr>
        <w:spacing w:after="0" w:line="159" w:lineRule="exact"/>
        <w:rPr>
          <w:sz w:val="20"/>
          <w:szCs w:val="20"/>
          <w:color w:val="auto"/>
        </w:rPr>
      </w:pPr>
    </w:p>
    <w:p>
      <w:pPr>
        <w:ind w:left="680"/>
        <w:spacing w:after="0"/>
        <w:rPr>
          <w:sz w:val="20"/>
          <w:szCs w:val="20"/>
          <w:color w:val="auto"/>
        </w:rPr>
      </w:pPr>
      <w:r>
        <w:rPr>
          <w:rFonts w:ascii="Arial" w:cs="Arial" w:eastAsia="Arial" w:hAnsi="Arial"/>
          <w:sz w:val="12"/>
          <w:szCs w:val="12"/>
          <w:b w:val="1"/>
          <w:bCs w:val="1"/>
          <w:color w:val="auto"/>
        </w:rPr>
        <w:t>Compensation Discussion and Analysis</w:t>
      </w:r>
    </w:p>
    <w:p>
      <w:pPr>
        <w:spacing w:after="0" w:line="91" w:lineRule="exact"/>
        <w:rPr>
          <w:sz w:val="20"/>
          <w:szCs w:val="20"/>
          <w:color w:val="auto"/>
        </w:rPr>
      </w:pPr>
    </w:p>
    <w:p>
      <w:pPr>
        <w:ind w:left="680" w:right="160" w:firstLine="400"/>
        <w:spacing w:after="0" w:line="276" w:lineRule="auto"/>
        <w:rPr>
          <w:sz w:val="20"/>
          <w:szCs w:val="20"/>
          <w:color w:val="auto"/>
        </w:rPr>
      </w:pPr>
      <w:r>
        <w:rPr>
          <w:rFonts w:ascii="Arial" w:cs="Arial" w:eastAsia="Arial" w:hAnsi="Arial"/>
          <w:sz w:val="12"/>
          <w:szCs w:val="12"/>
          <w:color w:val="auto"/>
        </w:rPr>
        <w:t>This discussion and analysis describes our executive compensation philosophy, process, plans and practices, and gives the context for understanding and evaluating the more specific compensation information contained in the tables and related disclosures that follow.</w:t>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Overview of Our Compensation Program Philosophy and Process</w:t>
      </w:r>
    </w:p>
    <w:p>
      <w:pPr>
        <w:spacing w:after="0" w:line="87" w:lineRule="exact"/>
        <w:rPr>
          <w:sz w:val="20"/>
          <w:szCs w:val="20"/>
          <w:color w:val="auto"/>
        </w:rPr>
      </w:pPr>
    </w:p>
    <w:p>
      <w:pPr>
        <w:ind w:left="680" w:right="40" w:firstLine="400"/>
        <w:spacing w:after="0" w:line="263" w:lineRule="auto"/>
        <w:rPr>
          <w:sz w:val="20"/>
          <w:szCs w:val="20"/>
          <w:color w:val="auto"/>
        </w:rPr>
      </w:pPr>
      <w:r>
        <w:rPr>
          <w:rFonts w:ascii="Arial" w:cs="Arial" w:eastAsia="Arial" w:hAnsi="Arial"/>
          <w:sz w:val="12"/>
          <w:szCs w:val="12"/>
          <w:color w:val="auto"/>
        </w:rPr>
        <w:t>We are a leading provider of video, high-speed Internet and phone services, offering a variety of entertainment, information and communications services to residential and commercial customers. As of December 31, 2009, we served approximately 23.6 million video customers, 15.9 million high-speed Internet customers and 7.6 million phone customers, and passed over 51.2 million homes in 39 states and the District of Columbia.</w:t>
      </w:r>
    </w:p>
    <w:p>
      <w:pPr>
        <w:spacing w:after="0" w:line="60" w:lineRule="exact"/>
        <w:rPr>
          <w:sz w:val="20"/>
          <w:szCs w:val="20"/>
          <w:color w:val="auto"/>
        </w:rPr>
      </w:pPr>
    </w:p>
    <w:p>
      <w:pPr>
        <w:ind w:left="680" w:firstLine="400"/>
        <w:spacing w:after="0" w:line="255" w:lineRule="auto"/>
        <w:rPr>
          <w:sz w:val="20"/>
          <w:szCs w:val="20"/>
          <w:color w:val="auto"/>
        </w:rPr>
      </w:pPr>
      <w:r>
        <w:rPr>
          <w:rFonts w:ascii="Arial" w:cs="Arial" w:eastAsia="Arial" w:hAnsi="Arial"/>
          <w:sz w:val="12"/>
          <w:szCs w:val="12"/>
          <w:color w:val="auto"/>
        </w:rPr>
        <w:t>We operate our businesses in an intensely competitive, extensively regulated and rapidly changing and complex technological environment. Our strategy of differentiating our products and services requires us to continuously improve the quality and value of our offerings by consistently introducing new and advanced features, products and services. Our customer base and market capitalization, as well as our annual capital expenditure and total debt levels, rank us among the largest companies in our industries and in the country. We sell our services primarily to consumers, exposing our revenues to the risks of the decline in consumer spending and demand in the current economy. Our expected formation of a joint venture (the “NBCU Joint Venture”) with General Electric Company, in which the businesses of NBC Universal and certain of our program networks and other assets will be contributed to a new subsidiary that we will control and manage (the “NBCU Transaction”), will materially expand the number, size and complexity of the businesses we operate when closed.</w:t>
      </w:r>
    </w:p>
    <w:p>
      <w:pPr>
        <w:spacing w:after="0" w:line="66" w:lineRule="exact"/>
        <w:rPr>
          <w:sz w:val="20"/>
          <w:szCs w:val="20"/>
          <w:color w:val="auto"/>
        </w:rPr>
      </w:pPr>
    </w:p>
    <w:p>
      <w:pPr>
        <w:ind w:left="680" w:right="80" w:firstLine="400"/>
        <w:spacing w:after="0" w:line="298" w:lineRule="auto"/>
        <w:rPr>
          <w:sz w:val="20"/>
          <w:szCs w:val="20"/>
          <w:color w:val="auto"/>
        </w:rPr>
      </w:pPr>
      <w:r>
        <w:rPr>
          <w:rFonts w:ascii="Arial" w:cs="Arial" w:eastAsia="Arial" w:hAnsi="Arial"/>
          <w:sz w:val="11"/>
          <w:szCs w:val="11"/>
          <w:color w:val="auto"/>
        </w:rPr>
        <w:t>Our ability to attract and retain the highest caliber executive talent in the marketplace is a key to continuing our long-term track record of strong financial performance, particularly in light of the extraordinary challenges and growth opportunities described in the prior paragraph. We have been recognized within our industries as having one of the best and most stable senior management teams of any company over the years. Our compensation practices are a major factor in our success in attracting and retaining the talent necessary to achieve our goals.</w:t>
      </w:r>
    </w:p>
    <w:p>
      <w:pPr>
        <w:spacing w:after="0" w:line="42" w:lineRule="exact"/>
        <w:rPr>
          <w:sz w:val="20"/>
          <w:szCs w:val="20"/>
          <w:color w:val="auto"/>
        </w:rPr>
      </w:pPr>
    </w:p>
    <w:p>
      <w:pPr>
        <w:ind w:left="680" w:right="40" w:firstLine="400"/>
        <w:spacing w:after="0" w:line="298" w:lineRule="auto"/>
        <w:rPr>
          <w:sz w:val="20"/>
          <w:szCs w:val="20"/>
          <w:color w:val="auto"/>
        </w:rPr>
      </w:pPr>
      <w:r>
        <w:rPr>
          <w:rFonts w:ascii="Arial" w:cs="Arial" w:eastAsia="Arial" w:hAnsi="Arial"/>
          <w:sz w:val="11"/>
          <w:szCs w:val="11"/>
          <w:color w:val="auto"/>
        </w:rPr>
        <w:t>Consistent with this view of our position in the business landscape, the great importance we place on the quality and consistency of our senior management in achieving results that build long-term shareholder value and the significance we attach to using compensation as a tool in talent management, we seek to offer those types and amounts of compensation that will serve to attract, motivate and retain the most highly qualified executive officers and key employees and provide these employees with the opportunity to build a meaningful ownership stake in our company.</w:t>
      </w:r>
    </w:p>
    <w:p>
      <w:pPr>
        <w:spacing w:after="0" w:line="42" w:lineRule="exact"/>
        <w:rPr>
          <w:sz w:val="20"/>
          <w:szCs w:val="20"/>
          <w:color w:val="auto"/>
        </w:rPr>
      </w:pPr>
    </w:p>
    <w:p>
      <w:pPr>
        <w:ind w:left="680" w:right="60" w:firstLine="400"/>
        <w:spacing w:after="0" w:line="263" w:lineRule="auto"/>
        <w:rPr>
          <w:sz w:val="20"/>
          <w:szCs w:val="20"/>
          <w:color w:val="auto"/>
        </w:rPr>
      </w:pPr>
      <w:r>
        <w:rPr>
          <w:rFonts w:ascii="Arial" w:cs="Arial" w:eastAsia="Arial" w:hAnsi="Arial"/>
          <w:sz w:val="12"/>
          <w:szCs w:val="12"/>
          <w:color w:val="auto"/>
        </w:rPr>
        <w:t>The Compensation Committee is responsible for approving the nature and amount of compensation paid to, and the employment and related agreements entered into with, our executive officers, and, for all of our employees, overseeing our cash bonus and equity-based plans, approving guidelines for grants of awards under these plans and determining and overseeing our compensation and benefits policies generally.</w:t>
      </w:r>
    </w:p>
    <w:p>
      <w:pPr>
        <w:spacing w:after="0" w:line="60" w:lineRule="exact"/>
        <w:rPr>
          <w:sz w:val="20"/>
          <w:szCs w:val="20"/>
          <w:color w:val="auto"/>
        </w:rPr>
      </w:pPr>
    </w:p>
    <w:p>
      <w:pPr>
        <w:ind w:left="680" w:right="20" w:firstLine="400"/>
        <w:spacing w:after="0" w:line="286" w:lineRule="auto"/>
        <w:rPr>
          <w:sz w:val="20"/>
          <w:szCs w:val="20"/>
          <w:color w:val="auto"/>
        </w:rPr>
      </w:pPr>
      <w:r>
        <w:rPr>
          <w:rFonts w:ascii="Arial" w:cs="Arial" w:eastAsia="Arial" w:hAnsi="Arial"/>
          <w:sz w:val="11"/>
          <w:szCs w:val="11"/>
          <w:color w:val="auto"/>
        </w:rPr>
        <w:t>Each year the Compensation Committee reviews the nature and amounts of all elements of the named executive officers’ compensation, both separately and in the aggregate, using comprehensive tally sheets that include the current value of outstanding stock option and RSU awards (as compared to their grant date value) and deferred compensation account balances. The Compensation Committee also reviews compensation data from peer groups and surveys and takes into account our prior year performance (including as compared to the prior year performance of our peer groups). The Compensation Committee as well reviews each element of each named executive officer’s compensation for internal consistency. As described below under this caption, in 2009, the Compensation Committee considered an expanded set of analyses in reviewing its overall philosophy and making specific compensation determinations.</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97790</wp:posOffset>
            </wp:positionV>
            <wp:extent cx="7299325" cy="18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660"/>
          </w:cols>
          <w:pgMar w:left="220" w:top="327" w:right="1019" w:bottom="1440" w:gutter="0" w:footer="0" w:header="0"/>
        </w:sectPr>
      </w:pPr>
    </w:p>
    <w:bookmarkStart w:id="30" w:name="page31"/>
    <w:bookmarkEnd w:id="30"/>
    <w:p>
      <w:pPr>
        <w:spacing w:after="0"/>
        <w:rPr>
          <w:rFonts w:ascii="Arial" w:cs="Arial" w:eastAsia="Arial" w:hAnsi="Arial"/>
          <w:sz w:val="12"/>
          <w:szCs w:val="12"/>
          <w:b w:val="1"/>
          <w:bCs w:val="1"/>
          <w:u w:val="single" w:color="auto"/>
          <w:color w:val="0000EE"/>
        </w:rPr>
      </w:pP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680" w:right="40" w:firstLine="400"/>
        <w:spacing w:after="0" w:line="259" w:lineRule="auto"/>
        <w:rPr>
          <w:sz w:val="20"/>
          <w:szCs w:val="20"/>
          <w:color w:val="auto"/>
        </w:rPr>
      </w:pPr>
      <w:r>
        <w:rPr>
          <w:rFonts w:ascii="Arial" w:cs="Arial" w:eastAsia="Arial" w:hAnsi="Arial"/>
          <w:sz w:val="12"/>
          <w:szCs w:val="12"/>
          <w:color w:val="auto"/>
        </w:rPr>
        <w:t>In determining individual compensation, the Compensation Committee assesses each named executive officer’s responsibilities and roles with respect to overall corporate policy-making, management, operations and administration, and the importance of retaining the named executive officer. The Compensation Committee also evaluates the named executive officer’s prior year performance, both in terms of his contribution to our performance and as compared to his individual performance goals (as to the latter item, each year the Compensation Committee agrees on specific factors to be used in evaluating Mr. Brian L. Roberts, our Chairman and Chief Executive Officer).</w:t>
      </w:r>
    </w:p>
    <w:p>
      <w:pPr>
        <w:spacing w:after="0" w:line="62" w:lineRule="exact"/>
        <w:rPr>
          <w:sz w:val="20"/>
          <w:szCs w:val="20"/>
          <w:color w:val="auto"/>
        </w:rPr>
      </w:pPr>
    </w:p>
    <w:p>
      <w:pPr>
        <w:jc w:val="both"/>
        <w:ind w:left="680" w:firstLine="400"/>
        <w:spacing w:after="0" w:line="298" w:lineRule="auto"/>
        <w:rPr>
          <w:sz w:val="20"/>
          <w:szCs w:val="20"/>
          <w:color w:val="auto"/>
        </w:rPr>
      </w:pPr>
      <w:r>
        <w:rPr>
          <w:rFonts w:ascii="Arial" w:cs="Arial" w:eastAsia="Arial" w:hAnsi="Arial"/>
          <w:sz w:val="11"/>
          <w:szCs w:val="11"/>
          <w:color w:val="auto"/>
        </w:rPr>
        <w:t>The Compensation Committee’s objectives in this process are to ensure that both total compensation and its individual components are strongly competitive with respect to the companies in our peer groups, there is a significant portion of total compensation that is performance based, there is an appropriate balance in performance-based compensation between short-term cash-based and long-term equity-based components, the compensation program aligns the interests of our executives with our shareholders and the program does not contain incentives to take inappropriate business risks.</w:t>
      </w:r>
    </w:p>
    <w:p>
      <w:pPr>
        <w:spacing w:after="0" w:line="42" w:lineRule="exact"/>
        <w:rPr>
          <w:sz w:val="20"/>
          <w:szCs w:val="20"/>
          <w:color w:val="auto"/>
        </w:rPr>
      </w:pPr>
    </w:p>
    <w:p>
      <w:pPr>
        <w:ind w:left="680" w:firstLine="400"/>
        <w:spacing w:after="0" w:line="283" w:lineRule="auto"/>
        <w:rPr>
          <w:sz w:val="20"/>
          <w:szCs w:val="20"/>
          <w:color w:val="auto"/>
        </w:rPr>
      </w:pPr>
      <w:r>
        <w:rPr>
          <w:rFonts w:ascii="Arial" w:cs="Arial" w:eastAsia="Arial" w:hAnsi="Arial"/>
          <w:sz w:val="11"/>
          <w:szCs w:val="11"/>
          <w:color w:val="auto"/>
        </w:rPr>
        <w:t>Following these reviews and assessments, and with these goals in mind, the Compensation Committee determines what it believes to be an appropriate current year compensation package for each named executive officer. This process is subjective and involves the exercise of discretion and judgment. While the Compensation Committee considers the various quantitative data described in this discussion and analysis, it does not use a mathematical or other formula in which stated factors or their interrelationship are quantified and weighted (either in general or as to each named executive officer). As discussed below under “— Elements and Mix of Our Compensation Program,” in addition to setting 2009 compensation at the start of the year, in December 2009, the Compensation Committee provided additional compensation to Messrs. Michael J. Angelakis (our Executive Vice President and Chief Financial Officer), Stephen B. Burke (our Executive Vice President and Chief Operating Officer) and Arthur R. Block (our Senior Vice President, General Counsel and Secretary), as consideration for their entering into new employment agreements.</w:t>
      </w:r>
    </w:p>
    <w:p>
      <w:pPr>
        <w:spacing w:after="0" w:line="51" w:lineRule="exact"/>
        <w:rPr>
          <w:sz w:val="20"/>
          <w:szCs w:val="20"/>
          <w:color w:val="auto"/>
        </w:rPr>
      </w:pPr>
    </w:p>
    <w:p>
      <w:pPr>
        <w:ind w:left="680" w:right="140" w:firstLine="400"/>
        <w:spacing w:after="0" w:line="283" w:lineRule="auto"/>
        <w:rPr>
          <w:sz w:val="20"/>
          <w:szCs w:val="20"/>
          <w:color w:val="auto"/>
        </w:rPr>
      </w:pPr>
      <w:r>
        <w:rPr>
          <w:rFonts w:ascii="Arial" w:cs="Arial" w:eastAsia="Arial" w:hAnsi="Arial"/>
          <w:sz w:val="11"/>
          <w:szCs w:val="11"/>
          <w:color w:val="auto"/>
        </w:rPr>
        <w:t>As has been the case for the last several years, in doing its work with respect to determining 2009 compensation, the Compensation Committee directed Mercer, the Company’s compensation consultant, with respect to the various compensation analyses it performed. Mercer, however, does not recommend or determine compensation levels or elements, performance targets or compensation plan design. Each year, the Compensation Committee reviews our various engagements of Mercer and its affiliates (and the related fees) to assure it of Mercer’s objectivity with respect to its work for the Compensation Committee. The Compensation Committee’s review addresses both: (i) the basis for selecting Mercer or any of its affiliates for a particular engagement; and (ii) the mechanisms in place at Mercer to ensure objectivity in performing its executive compensation consulting services. See “Proposal 1: Election of Directors — About our Board and its Committees — Committees of our Board — Compensation Committee” for information on Mercer’s services and fees in 2009.</w:t>
      </w:r>
    </w:p>
    <w:p>
      <w:pPr>
        <w:spacing w:after="0" w:line="51" w:lineRule="exact"/>
        <w:rPr>
          <w:sz w:val="20"/>
          <w:szCs w:val="20"/>
          <w:color w:val="auto"/>
        </w:rPr>
      </w:pPr>
    </w:p>
    <w:p>
      <w:pPr>
        <w:ind w:left="680" w:firstLine="400"/>
        <w:spacing w:after="0" w:line="280" w:lineRule="auto"/>
        <w:rPr>
          <w:sz w:val="20"/>
          <w:szCs w:val="20"/>
          <w:color w:val="auto"/>
        </w:rPr>
      </w:pPr>
      <w:r>
        <w:rPr>
          <w:rFonts w:ascii="Arial" w:cs="Arial" w:eastAsia="Arial" w:hAnsi="Arial"/>
          <w:sz w:val="11"/>
          <w:szCs w:val="11"/>
          <w:color w:val="auto"/>
        </w:rPr>
        <w:t>In November 2008, the Compensation Committee directly engaged ICCA as an additional consultant to assist with respect to the Compensation Committee’s 2009 compensation deliberations. The Compensation Committee asked ICCA to review and comment on, and make any recommendations for changes to: (i) the peer groups used for benchmarking compensation and performance data; and (ii) the compensation program for the named executive officers, including by analyzing the congruence of the components of the program with the Compensation Committee’s philosophy and by suggesting additional analyses for Mercer to conduct. As a result of ICCA’s work, the Compensation Committee requested that Mercer perform a variety of supplemental analyses, which are included in those described in the following paragraph. These analyses, together with ICCA’s comments and recommendations, were taken into account by the Compensation Committee in making its determinations with respect to the appropriate peer groups as well as the compensation program for the named executive officers for 2009. The Compensation Committee has decided that it will consider retaining an additional consultant from time to time as a means of periodically reviewing Mercer’s work to ensure that the Compensation Committee remains current in its understanding and evaluation of developments and trends in executive compensation. The Compensation Committee did not retain ICCA (or any other additional advisor) for 2010.</w:t>
      </w:r>
    </w:p>
    <w:p>
      <w:pPr>
        <w:spacing w:after="0" w:line="243"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97790</wp:posOffset>
            </wp:positionV>
            <wp:extent cx="7299325" cy="18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640"/>
          </w:cols>
          <w:pgMar w:left="220" w:top="327" w:right="1039" w:bottom="1440" w:gutter="0" w:footer="0" w:header="0"/>
        </w:sectPr>
      </w:pPr>
    </w:p>
    <w:bookmarkStart w:id="31" w:name="page32"/>
    <w:bookmarkEnd w:id="31"/>
    <w:p>
      <w:pPr>
        <w:spacing w:after="0"/>
        <w:rPr>
          <w:rFonts w:ascii="Arial" w:cs="Arial" w:eastAsia="Arial" w:hAnsi="Arial"/>
          <w:sz w:val="12"/>
          <w:szCs w:val="12"/>
          <w:b w:val="1"/>
          <w:bCs w:val="1"/>
          <w:u w:val="single" w:color="auto"/>
          <w:color w:val="0000EE"/>
        </w:rPr>
      </w:pP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680" w:firstLine="400"/>
        <w:spacing w:after="0" w:line="280" w:lineRule="auto"/>
        <w:rPr>
          <w:sz w:val="20"/>
          <w:szCs w:val="20"/>
          <w:color w:val="auto"/>
        </w:rPr>
      </w:pPr>
      <w:r>
        <w:rPr>
          <w:rFonts w:ascii="Arial" w:cs="Arial" w:eastAsia="Arial" w:hAnsi="Arial"/>
          <w:sz w:val="11"/>
          <w:szCs w:val="11"/>
          <w:color w:val="auto"/>
        </w:rPr>
        <w:t>Mercer provided the following analyses for 2009: a peer group assessment, including a performance sensitivity analysis (correlating our stock price movement to that of our peer group companies); a proxy pay analysis (comparing named executive officer compensation to proxy statement data for executives holding comparable positions in our peer group companies); a compensation survey analysis (analyzing named executive officer compensation against that of executives holding comparable positions in broad groups of companies in non-customized published surveys); a pay mix analysis (analyzing components of pay compared to other components (</w:t>
      </w:r>
      <w:r>
        <w:rPr>
          <w:rFonts w:ascii="Arial" w:cs="Arial" w:eastAsia="Arial" w:hAnsi="Arial"/>
          <w:sz w:val="11"/>
          <w:szCs w:val="11"/>
          <w:i w:val="1"/>
          <w:iCs w:val="1"/>
          <w:color w:val="auto"/>
        </w:rPr>
        <w:t>e.g.</w:t>
      </w:r>
      <w:r>
        <w:rPr>
          <w:rFonts w:ascii="Arial" w:cs="Arial" w:eastAsia="Arial" w:hAnsi="Arial"/>
          <w:sz w:val="11"/>
          <w:szCs w:val="11"/>
          <w:color w:val="auto"/>
        </w:rPr>
        <w:t>, fixed vs. variable, cash vs. equity-based), and how this mix has changed over time); an analysis of share dilution resulting from, and annual usage rates in, our equity-based compensation plans; an internal equity valuation (analyzing how closely paid our other named executive officers are to the Chief Executive Officer); a compensation sharing analysis (analyzing the portion of our cash flow that is used for named executive officer compensation); a historical performance analysis (comparing our performance relative to our peer group companies with respect to growth in operating cash flow, free cash flow, earnings per share and revenues); and a correlation to shareholder value analysis (evaluating the relationship of operating cash flow growth, free cash flow growth, earnings per share growth and revenue growth to total shareholder returns, as compared to our peer group companies).</w:t>
      </w:r>
    </w:p>
    <w:p>
      <w:pPr>
        <w:spacing w:after="0" w:line="125"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Our Named Executive Officers for 2009</w:t>
      </w:r>
    </w:p>
    <w:p>
      <w:pPr>
        <w:spacing w:after="0" w:line="87" w:lineRule="exact"/>
        <w:rPr>
          <w:sz w:val="20"/>
          <w:szCs w:val="20"/>
          <w:color w:val="auto"/>
        </w:rPr>
      </w:pPr>
    </w:p>
    <w:p>
      <w:pPr>
        <w:ind w:left="680" w:right="20" w:firstLine="400"/>
        <w:spacing w:after="0" w:line="259" w:lineRule="auto"/>
        <w:rPr>
          <w:sz w:val="20"/>
          <w:szCs w:val="20"/>
          <w:color w:val="auto"/>
        </w:rPr>
      </w:pPr>
      <w:r>
        <w:rPr>
          <w:rFonts w:ascii="Arial" w:cs="Arial" w:eastAsia="Arial" w:hAnsi="Arial"/>
          <w:sz w:val="12"/>
          <w:szCs w:val="12"/>
          <w:color w:val="auto"/>
        </w:rPr>
        <w:t>Our named executive officers for 2009 are Mr. Roberts, Mr. Angelakis, Mr. Burke, Mr. David L. Cohen (our Executive Vice President), and Mr. Block. Mr. Burke was also President of our Cable Division in 2009. In March 2010, Mr. Burke relinquished his day-to-day responsibilities in his role as President of our Cable Division to dedicate full time to his role as our Chief Operating Officer, in recognition of his leading the transition planning and post-closing integration efforts relating to the NBCU Transaction, and having supervisory responsibility for operations of both the Cable Division and the NBCU Joint Venture.</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Use of Compensation and Performance Data</w:t>
      </w:r>
    </w:p>
    <w:p>
      <w:pPr>
        <w:spacing w:after="0" w:line="87" w:lineRule="exact"/>
        <w:rPr>
          <w:sz w:val="20"/>
          <w:szCs w:val="20"/>
          <w:color w:val="auto"/>
        </w:rPr>
      </w:pPr>
    </w:p>
    <w:p>
      <w:pPr>
        <w:jc w:val="both"/>
        <w:ind w:left="680" w:right="20" w:firstLine="400"/>
        <w:spacing w:after="0" w:line="263" w:lineRule="auto"/>
        <w:rPr>
          <w:sz w:val="20"/>
          <w:szCs w:val="20"/>
          <w:color w:val="auto"/>
        </w:rPr>
      </w:pPr>
      <w:r>
        <w:rPr>
          <w:rFonts w:ascii="Arial" w:cs="Arial" w:eastAsia="Arial" w:hAnsi="Arial"/>
          <w:sz w:val="12"/>
          <w:szCs w:val="12"/>
          <w:color w:val="auto"/>
        </w:rPr>
        <w:t>As described above under “— Overview of Our Compensation Program Philosophy and Process,” the Compensation Committee uses data disclosed in SEC filings and contained in published surveys to inform its judgment, by comparing: (i) our compensation levels to those of named executive officers of our competitors for executive talent, customers and capital; and (ii) our financial performance to that of the same competitors.</w:t>
      </w:r>
    </w:p>
    <w:p>
      <w:pPr>
        <w:spacing w:after="0" w:line="60" w:lineRule="exact"/>
        <w:rPr>
          <w:sz w:val="20"/>
          <w:szCs w:val="20"/>
          <w:color w:val="auto"/>
        </w:rPr>
      </w:pPr>
    </w:p>
    <w:p>
      <w:pPr>
        <w:jc w:val="both"/>
        <w:ind w:left="680" w:right="40" w:firstLine="400"/>
        <w:spacing w:after="0" w:line="340" w:lineRule="auto"/>
        <w:rPr>
          <w:sz w:val="20"/>
          <w:szCs w:val="20"/>
          <w:color w:val="auto"/>
        </w:rPr>
      </w:pPr>
      <w:r>
        <w:rPr>
          <w:rFonts w:ascii="Arial" w:cs="Arial" w:eastAsia="Arial" w:hAnsi="Arial"/>
          <w:sz w:val="10"/>
          <w:szCs w:val="10"/>
          <w:color w:val="auto"/>
        </w:rPr>
        <w:t>We believe that these competitors are comprised of companies in, as well as outside, the cable and communications industries, resulting in a broader range of companies than those with which we are often compared by analysts and others for stock performance purposes (in which the focus is only on competition for capital). For example, the companies with which the Compensation Committee compares named executive officer compensation levels is a broader group than the companies included in the peer group index in the stock performance graph contained in our Annual Report on Form 10-K.</w:t>
      </w:r>
    </w:p>
    <w:p>
      <w:pPr>
        <w:spacing w:after="0" w:line="25" w:lineRule="exact"/>
        <w:rPr>
          <w:sz w:val="20"/>
          <w:szCs w:val="20"/>
          <w:color w:val="auto"/>
        </w:rPr>
      </w:pPr>
    </w:p>
    <w:p>
      <w:pPr>
        <w:ind w:left="680" w:right="40" w:firstLine="400"/>
        <w:spacing w:after="0" w:line="303" w:lineRule="auto"/>
        <w:rPr>
          <w:sz w:val="20"/>
          <w:szCs w:val="20"/>
          <w:color w:val="auto"/>
        </w:rPr>
      </w:pPr>
      <w:r>
        <w:rPr>
          <w:rFonts w:ascii="Arial" w:cs="Arial" w:eastAsia="Arial" w:hAnsi="Arial"/>
          <w:sz w:val="10"/>
          <w:szCs w:val="10"/>
          <w:color w:val="auto"/>
        </w:rPr>
        <w:t>In 2009, the Compensation Committee conducted a thorough review of its prior peer group determinations and considered various potential adjustments. While the Compensation Committee found it difficult (as in prior years) to find a single peer group (having a meaningful number of companies) that reflects our prominence in our industries and the size, scope, complexity and variety of our businesses, this effort confirmed the Compensation Committee’s prior conclusion that three separate groups of companies each represented one or more meaningful aspects of our profile and that the use of three peer groups lends value to the Compensation Committee’s deliberations. In addition, the Compensation Committee believes that it would not be useful to consolidate the three peer groups into a single group because the practices and outcomes that are unique to each group would be lost. Finally, Mercer’s analysis demonstrated that over recent years the correlation of our share price movement with each of the three peer groups has increased substantially. Accordingly, as in the last several years, the following peer groups were used in 2009 as sources for comparative compensation and performance data:</w:t>
      </w:r>
    </w:p>
    <w:p>
      <w:pPr>
        <w:spacing w:after="0" w:line="2" w:lineRule="exact"/>
        <w:rPr>
          <w:sz w:val="20"/>
          <w:szCs w:val="20"/>
          <w:color w:val="auto"/>
        </w:rPr>
      </w:pPr>
    </w:p>
    <w:p>
      <w:pPr>
        <w:ind w:left="680" w:firstLine="1"/>
        <w:spacing w:after="0" w:line="255" w:lineRule="auto"/>
        <w:tabs>
          <w:tab w:leader="none" w:pos="823" w:val="left"/>
        </w:tabs>
        <w:numPr>
          <w:ilvl w:val="0"/>
          <w:numId w:val="16"/>
        </w:numPr>
        <w:rPr>
          <w:rFonts w:ascii="Arial" w:cs="Arial" w:eastAsia="Arial" w:hAnsi="Arial"/>
          <w:sz w:val="12"/>
          <w:szCs w:val="12"/>
          <w:color w:val="auto"/>
        </w:rPr>
      </w:pPr>
      <w:r>
        <w:rPr>
          <w:rFonts w:ascii="Arial" w:cs="Arial" w:eastAsia="Arial" w:hAnsi="Arial"/>
          <w:sz w:val="12"/>
          <w:szCs w:val="12"/>
          <w:color w:val="auto"/>
        </w:rPr>
        <w:t>companies in the entertainment/media industry (CBS Corporation, News Corporation, Time Warner Inc., Viacom Inc. and The Walt Disney Company); (ii) companies in the communications industry (AT&amp;T Inc., DIRECTV Group, Inc., Qwest Communications International Inc., Sprint Nextel Corporation, Time Warner Inc. and Verizon Communications Inc.); and (iii) “general industry” companies having comparable revenues and total market capitalization (3M Company,</w:t>
      </w:r>
    </w:p>
    <w:p>
      <w:pPr>
        <w:spacing w:after="0" w:line="254"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97790</wp:posOffset>
            </wp:positionV>
            <wp:extent cx="7299325" cy="18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660"/>
          </w:cols>
          <w:pgMar w:left="220" w:top="327" w:right="1019" w:bottom="1440" w:gutter="0" w:footer="0" w:header="0"/>
        </w:sectPr>
      </w:pPr>
    </w:p>
    <w:bookmarkStart w:id="32" w:name="page33"/>
    <w:bookmarkEnd w:id="32"/>
    <w:p>
      <w:pPr>
        <w:spacing w:after="0"/>
        <w:rPr>
          <w:rFonts w:ascii="Arial" w:cs="Arial" w:eastAsia="Arial" w:hAnsi="Arial"/>
          <w:sz w:val="12"/>
          <w:szCs w:val="12"/>
          <w:b w:val="1"/>
          <w:bCs w:val="1"/>
          <w:u w:val="single" w:color="auto"/>
          <w:color w:val="0000EE"/>
        </w:rPr>
      </w:pP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680" w:right="40"/>
        <w:spacing w:after="0" w:line="257" w:lineRule="auto"/>
        <w:rPr>
          <w:sz w:val="20"/>
          <w:szCs w:val="20"/>
          <w:color w:val="auto"/>
        </w:rPr>
      </w:pPr>
      <w:r>
        <w:rPr>
          <w:rFonts w:ascii="Arial" w:cs="Arial" w:eastAsia="Arial" w:hAnsi="Arial"/>
          <w:sz w:val="12"/>
          <w:szCs w:val="12"/>
          <w:color w:val="auto"/>
        </w:rPr>
        <w:t>Abbott Laboratories, American Express Company, Apple Inc., Bristol-Myers Squibb Company, Capital One Financial Corporation, Cisco Systems, Inc., The Coca-Cola Company, Deere &amp; Company, The Dow Chemical Company, E.I. du Pont de Nemours and Company, Eli Lilly &amp; Company, Exelon Corporation, Google Inc., Honeywell International Inc., Intel Corporation, Kraft Foods Inc., Lockheed Martin Corporation, McDonald’s Corporation, Merck &amp; Co. Inc., MetLife, Inc., News Corporation, Occidental Petroleum Corporation, Oracle Corporation, Pepsico, Inc., Pfizer Inc., Prudential Financial, Inc., Time Warner Inc., U.S. Bancorp, United Parcel Service, Inc., United Technologies Corporation, The Walt Disney Company, Washington Mutual Inc. and Wyeth Pharmaceuticals). Each year Mercer reviews the composition of the peer groups based upon merger activity and other changes in size or lines of business.</w:t>
      </w:r>
    </w:p>
    <w:p>
      <w:pPr>
        <w:spacing w:after="0" w:line="63" w:lineRule="exact"/>
        <w:rPr>
          <w:sz w:val="20"/>
          <w:szCs w:val="20"/>
          <w:color w:val="auto"/>
        </w:rPr>
      </w:pPr>
    </w:p>
    <w:p>
      <w:pPr>
        <w:ind w:left="680" w:right="60" w:firstLine="400"/>
        <w:spacing w:after="0" w:line="254" w:lineRule="auto"/>
        <w:rPr>
          <w:sz w:val="20"/>
          <w:szCs w:val="20"/>
          <w:color w:val="auto"/>
        </w:rPr>
      </w:pPr>
      <w:r>
        <w:rPr>
          <w:rFonts w:ascii="Arial" w:cs="Arial" w:eastAsia="Arial" w:hAnsi="Arial"/>
          <w:sz w:val="12"/>
          <w:szCs w:val="12"/>
          <w:color w:val="auto"/>
        </w:rPr>
        <w:t>Among the three peer groups, the Compensation Committee pays particular attention to the entertainment/media peer group because of its special relevance with respect to competition for executive talent. The business expertise of employees in that industry is highly correlated to our needs: our principal business is content distribution (meaning we are one of the world’s largest buyers and licensees of content). We also own and manage several program and sports networks, one of the largest broadband Internet portals and several entertainment-based Internet sites (meaning that we are a substantial seller and licensor of content as well). It is also increasingly the case that traditional content providers in the entertainment/media industry are looking for new ways to distribute content, both directly to consumers through the Internet and indirectly through alliances with wireless companies and video distributors. Following the closing of the NBCU Transaction, we will be a much more significant direct participant in the entertainment/media industry as a major content producer and licensor. For all of these reasons, our executives are attractive candidates to entertainment/media companies, in addition to such companies’ executives being attractive to us.</w:t>
      </w:r>
    </w:p>
    <w:p>
      <w:pPr>
        <w:spacing w:after="0" w:line="68" w:lineRule="exact"/>
        <w:rPr>
          <w:sz w:val="20"/>
          <w:szCs w:val="20"/>
          <w:color w:val="auto"/>
        </w:rPr>
      </w:pPr>
    </w:p>
    <w:p>
      <w:pPr>
        <w:ind w:left="680" w:right="200" w:firstLine="400"/>
        <w:spacing w:after="0" w:line="263" w:lineRule="auto"/>
        <w:rPr>
          <w:sz w:val="20"/>
          <w:szCs w:val="20"/>
          <w:color w:val="auto"/>
        </w:rPr>
      </w:pPr>
      <w:r>
        <w:rPr>
          <w:rFonts w:ascii="Arial" w:cs="Arial" w:eastAsia="Arial" w:hAnsi="Arial"/>
          <w:sz w:val="12"/>
          <w:szCs w:val="12"/>
          <w:color w:val="auto"/>
        </w:rPr>
        <w:t>Comparisons for Mr. Roberts were made to peer chief executive officers. Comparisons for Mr. Angelakis were made to peer chief financial officers and by ordinal rank (</w:t>
      </w:r>
      <w:r>
        <w:rPr>
          <w:rFonts w:ascii="Arial" w:cs="Arial" w:eastAsia="Arial" w:hAnsi="Arial"/>
          <w:sz w:val="12"/>
          <w:szCs w:val="12"/>
          <w:i w:val="1"/>
          <w:iCs w:val="1"/>
          <w:color w:val="auto"/>
        </w:rPr>
        <w:t>i.e.</w:t>
      </w:r>
      <w:r>
        <w:rPr>
          <w:rFonts w:ascii="Arial" w:cs="Arial" w:eastAsia="Arial" w:hAnsi="Arial"/>
          <w:sz w:val="12"/>
          <w:szCs w:val="12"/>
          <w:color w:val="auto"/>
        </w:rPr>
        <w:t>, the position in the Summary Compensation Table on page 40). Comparisons for Mr. Burke were made to peer chief operating officers and by ordinal rank. Comparisons for Mr. Cohen were made by ordinal rank and, where available, to peer chief administrative officers. Comparisons for Mr. Block were made to peer general counsels and by ordinal rank.</w:t>
      </w:r>
    </w:p>
    <w:p>
      <w:pPr>
        <w:spacing w:after="0" w:line="60" w:lineRule="exact"/>
        <w:rPr>
          <w:sz w:val="20"/>
          <w:szCs w:val="20"/>
          <w:color w:val="auto"/>
        </w:rPr>
      </w:pPr>
    </w:p>
    <w:p>
      <w:pPr>
        <w:ind w:left="680" w:firstLine="400"/>
        <w:spacing w:after="0" w:line="327" w:lineRule="auto"/>
        <w:rPr>
          <w:sz w:val="20"/>
          <w:szCs w:val="20"/>
          <w:color w:val="auto"/>
        </w:rPr>
      </w:pPr>
      <w:r>
        <w:rPr>
          <w:rFonts w:ascii="Arial" w:cs="Arial" w:eastAsia="Arial" w:hAnsi="Arial"/>
          <w:sz w:val="10"/>
          <w:szCs w:val="10"/>
          <w:color w:val="auto"/>
        </w:rPr>
        <w:t>As a result of its strong belief in the importance of using compensation as a tool to attract and retain the best senior executives, in reviewing peer group data the Compensation Committee targets compensation to be competitive with the entertainment/media peer group and at the 75</w:t>
      </w:r>
      <w:r>
        <w:rPr>
          <w:rFonts w:ascii="Arial" w:cs="Arial" w:eastAsia="Arial" w:hAnsi="Arial"/>
          <w:sz w:val="8"/>
          <w:szCs w:val="8"/>
          <w:color w:val="auto"/>
        </w:rPr>
        <w:t>th</w:t>
      </w:r>
      <w:r>
        <w:rPr>
          <w:rFonts w:ascii="Arial" w:cs="Arial" w:eastAsia="Arial" w:hAnsi="Arial"/>
          <w:sz w:val="10"/>
          <w:szCs w:val="10"/>
          <w:color w:val="auto"/>
        </w:rPr>
        <w:t xml:space="preserve"> percentile for the communications and general industry peer groups. In the Compensation Committee’s view, it is appropriate for a company that has as its goal a high level of performance relative to its peers to set high reference points for its executive compensation targets. The compensation we deliver varies among the groups, and the individual companies within a group, in its relationship to the reference points. Our named executive officers’ total compensation for 2009 met or exceeded the reference points in most cases.</w:t>
      </w:r>
    </w:p>
    <w:p>
      <w:pPr>
        <w:spacing w:after="0" w:line="31" w:lineRule="exact"/>
        <w:rPr>
          <w:sz w:val="20"/>
          <w:szCs w:val="20"/>
          <w:color w:val="auto"/>
        </w:rPr>
      </w:pPr>
    </w:p>
    <w:p>
      <w:pPr>
        <w:ind w:left="680" w:right="20" w:firstLine="400"/>
        <w:spacing w:after="0" w:line="254" w:lineRule="auto"/>
        <w:rPr>
          <w:sz w:val="20"/>
          <w:szCs w:val="20"/>
          <w:color w:val="auto"/>
        </w:rPr>
      </w:pPr>
      <w:r>
        <w:rPr>
          <w:rFonts w:ascii="Arial" w:cs="Arial" w:eastAsia="Arial" w:hAnsi="Arial"/>
          <w:sz w:val="12"/>
          <w:szCs w:val="12"/>
          <w:color w:val="auto"/>
        </w:rPr>
        <w:t>As a secondary means to inform its judgment, the Compensation Committee reviewed a Mercer compensation survey analysis in which base salary, total cash compensation (base salary plus target annual cash bonus) and total direct compensation (total cash compensation plus equity-based compensation) for each named executive officer were measured against published compensation survey data for functionally comparable positions among broad groups of companies of similar size to us. The Compensation Committee did not use this Mercer analysis, or any of the surveys included in this Mercer analysis, to benchmark our named executive officer compensation, but instead it used the analysis to understand the current compensation practices for comparable job functions of a broad view of companies across varied industry lines but with revenue sizes that are within a range close to ours. This analysis indicated that our named executive officers’ total compensation was relatively high, consistent with the Compensation Committee’s philosophy as stated above of correlating its goals of achieving high Company performance and attracting and retaining the highest quality executives with its executive compensation outcomes.</w:t>
      </w:r>
    </w:p>
    <w:p>
      <w:pPr>
        <w:spacing w:after="0" w:line="68" w:lineRule="exact"/>
        <w:rPr>
          <w:sz w:val="20"/>
          <w:szCs w:val="20"/>
          <w:color w:val="auto"/>
        </w:rPr>
      </w:pPr>
    </w:p>
    <w:p>
      <w:pPr>
        <w:ind w:left="680" w:right="20" w:firstLine="400"/>
        <w:spacing w:after="0" w:line="263" w:lineRule="auto"/>
        <w:rPr>
          <w:sz w:val="20"/>
          <w:szCs w:val="20"/>
          <w:color w:val="auto"/>
        </w:rPr>
      </w:pPr>
      <w:r>
        <w:rPr>
          <w:rFonts w:ascii="Arial" w:cs="Arial" w:eastAsia="Arial" w:hAnsi="Arial"/>
          <w:sz w:val="12"/>
          <w:szCs w:val="12"/>
          <w:color w:val="auto"/>
        </w:rPr>
        <w:t>In determining total compensation levels for the named executive officers, the Compensation Committee also considered our prior year performance. Despite the weakening economy and intensifying competition, in 2008 we delivered healthy growth in revenue and operating cash flow, added meaningful numbers of customers, generated substantial free cash flow and returned significant capital to shareholders through stock</w:t>
      </w:r>
    </w:p>
    <w:p>
      <w:pPr>
        <w:spacing w:after="0" w:line="249"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97790</wp:posOffset>
            </wp:positionV>
            <wp:extent cx="7299325" cy="18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660"/>
          </w:cols>
          <w:pgMar w:left="220" w:top="327" w:right="1019" w:bottom="1440" w:gutter="0" w:footer="0" w:header="0"/>
        </w:sectPr>
      </w:pPr>
    </w:p>
    <w:bookmarkStart w:id="33" w:name="page34"/>
    <w:bookmarkEnd w:id="33"/>
    <w:p>
      <w:pPr>
        <w:spacing w:after="0"/>
        <w:rPr>
          <w:rFonts w:ascii="Arial" w:cs="Arial" w:eastAsia="Arial" w:hAnsi="Arial"/>
          <w:sz w:val="12"/>
          <w:szCs w:val="12"/>
          <w:b w:val="1"/>
          <w:bCs w:val="1"/>
          <w:u w:val="single" w:color="auto"/>
          <w:color w:val="0000EE"/>
        </w:rPr>
      </w:pP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680" w:right="120"/>
        <w:spacing w:after="0" w:line="276" w:lineRule="auto"/>
        <w:rPr>
          <w:sz w:val="20"/>
          <w:szCs w:val="20"/>
          <w:color w:val="auto"/>
        </w:rPr>
      </w:pPr>
      <w:r>
        <w:rPr>
          <w:rFonts w:ascii="Arial" w:cs="Arial" w:eastAsia="Arial" w:hAnsi="Arial"/>
          <w:sz w:val="12"/>
          <w:szCs w:val="12"/>
          <w:color w:val="auto"/>
        </w:rPr>
        <w:t>repurchases and the institution of a quarterly cash dividend. In addition, the Compensation Committee noted that we achieved these results while continuing the successful management of our balance sheet, allowing us liquidity and access to capital when needed during the year and avoiding any near or medium-term risk associated with debt repayment requirements.</w:t>
      </w:r>
    </w:p>
    <w:p>
      <w:pPr>
        <w:spacing w:after="0" w:line="52" w:lineRule="exact"/>
        <w:rPr>
          <w:sz w:val="20"/>
          <w:szCs w:val="20"/>
          <w:color w:val="auto"/>
        </w:rPr>
      </w:pPr>
    </w:p>
    <w:p>
      <w:pPr>
        <w:ind w:left="680" w:right="20" w:firstLine="400"/>
        <w:spacing w:after="0" w:line="254" w:lineRule="auto"/>
        <w:rPr>
          <w:sz w:val="20"/>
          <w:szCs w:val="20"/>
          <w:color w:val="auto"/>
        </w:rPr>
      </w:pPr>
      <w:r>
        <w:rPr>
          <w:rFonts w:ascii="Arial" w:cs="Arial" w:eastAsia="Arial" w:hAnsi="Arial"/>
          <w:sz w:val="12"/>
          <w:szCs w:val="12"/>
          <w:color w:val="auto"/>
        </w:rPr>
        <w:t>With respect to comparative financial performance, Mercer conducted an analysis of our performance relative to our peer groups using various financial metrics as well as total shareholder return, in each case over one year and longer periods of time. In general, the Compensation Committee’s expectation is that our performance as compared to our peers over time should be consistent with its strongly competitive compensation philosophy. Over the past several years, our operating cash flow growth (the predominant measure that drives the annual cash bonuses described below under “— Elements and Mix of Our Compensation Program — Cash Bonus Incentive Compensation”) has generally fallen in the upper third of our peers, as has our revenue growth. Comparisons could not be readily made for free cash flow growth (due to varying investment decisions from year to year and by company) or earnings per share growth (due to many years of negative earnings by various companies). The analysis also indicated that while we allocate a relatively high portion of operating cash flow and free cash flow to pay named executive officers’ annual incentives and total compensation, it is directionally aligned with our performance relative to our peers.</w:t>
      </w:r>
    </w:p>
    <w:p>
      <w:pPr>
        <w:spacing w:after="0" w:line="68" w:lineRule="exact"/>
        <w:rPr>
          <w:sz w:val="20"/>
          <w:szCs w:val="20"/>
          <w:color w:val="auto"/>
        </w:rPr>
      </w:pPr>
    </w:p>
    <w:p>
      <w:pPr>
        <w:ind w:left="680" w:right="20" w:firstLine="400"/>
        <w:spacing w:after="0" w:line="263" w:lineRule="auto"/>
        <w:rPr>
          <w:sz w:val="20"/>
          <w:szCs w:val="20"/>
          <w:color w:val="auto"/>
        </w:rPr>
      </w:pPr>
      <w:r>
        <w:rPr>
          <w:rFonts w:ascii="Arial" w:cs="Arial" w:eastAsia="Arial" w:hAnsi="Arial"/>
          <w:sz w:val="12"/>
          <w:szCs w:val="12"/>
          <w:color w:val="auto"/>
        </w:rPr>
        <w:t>The results of the peer group, compensation survey and performance analyses, as well as the other analyses referred to above, are considered important by the Compensation Committee. However, the Compensation Committee does not make any determination of, or change to, compensation in reaction to market data alone, but rather uses this information as one of several considerations to inform its judgment and put its experience in context in determining compensation levels (and when to change compensation levels).</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Elements and Mix of Our Compensation Program</w:t>
      </w:r>
    </w:p>
    <w:p>
      <w:pPr>
        <w:spacing w:after="0" w:line="87" w:lineRule="exact"/>
        <w:rPr>
          <w:sz w:val="20"/>
          <w:szCs w:val="20"/>
          <w:color w:val="auto"/>
        </w:rPr>
      </w:pPr>
    </w:p>
    <w:p>
      <w:pPr>
        <w:ind w:left="680" w:right="20" w:firstLine="400"/>
        <w:spacing w:after="0" w:line="283" w:lineRule="auto"/>
        <w:rPr>
          <w:sz w:val="20"/>
          <w:szCs w:val="20"/>
          <w:color w:val="auto"/>
        </w:rPr>
      </w:pPr>
      <w:r>
        <w:rPr>
          <w:rFonts w:ascii="Arial" w:cs="Arial" w:eastAsia="Arial" w:hAnsi="Arial"/>
          <w:sz w:val="11"/>
          <w:szCs w:val="11"/>
          <w:color w:val="auto"/>
        </w:rPr>
        <w:t>Our executive compensation program for our named executive officers includes the following key components: cash base salary; annual (short-term) cash bonus (which is performance based because earning the bonus is contingent upon the achievement of performance goals); and long-term equity-based compensation in the form of stock options (which are performance based because stock options provide no value without future stock price appreciation) and RSUs (which are performance based both because the ultimate value of any shares acquired upon vesting depends on our stock price and because vesting of RSUs is dependent upon achievement of one or more performance goals). In addition, named executive officers are eligible to participate in our deferred compensation plan, as well as in employee benefit plans that are generally available to all employees. These elements are the same as, or similar to, those used by most of our peer group companies and many other public companies. Within this general marketplace-defined environment, we have our own perspective on the relative importance and value of each element.</w:t>
      </w:r>
    </w:p>
    <w:p>
      <w:pPr>
        <w:spacing w:after="0" w:line="51"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We view the executive compensation program on a “portfolio” basis. The various elements work together to achieve our objectives. This chart illustrates our view of the portfolio:</w:t>
      </w:r>
    </w:p>
    <w:p>
      <w:pPr>
        <w:spacing w:after="0" w:line="7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80" w:type="dxa"/>
            <w:vAlign w:val="bottom"/>
          </w:tcPr>
          <w:p>
            <w:pPr>
              <w:jc w:val="center"/>
              <w:spacing w:after="0"/>
              <w:rPr>
                <w:sz w:val="20"/>
                <w:szCs w:val="20"/>
                <w:color w:val="auto"/>
              </w:rPr>
            </w:pPr>
            <w:r>
              <w:rPr>
                <w:rFonts w:ascii="Arial" w:cs="Arial" w:eastAsia="Arial" w:hAnsi="Arial"/>
                <w:sz w:val="10"/>
                <w:szCs w:val="10"/>
                <w:b w:val="1"/>
                <w:bCs w:val="1"/>
                <w:color w:val="auto"/>
                <w:w w:val="91"/>
              </w:rPr>
              <w:t>Short-Term,</w:t>
            </w:r>
          </w:p>
        </w:tc>
        <w:tc>
          <w:tcPr>
            <w:tcW w:w="400" w:type="dxa"/>
            <w:vAlign w:val="bottom"/>
          </w:tcPr>
          <w:p>
            <w:pPr>
              <w:spacing w:after="0"/>
              <w:rPr>
                <w:sz w:val="10"/>
                <w:szCs w:val="10"/>
                <w:color w:val="auto"/>
              </w:rPr>
            </w:pPr>
          </w:p>
        </w:tc>
        <w:tc>
          <w:tcPr>
            <w:tcW w:w="1300" w:type="dxa"/>
            <w:vAlign w:val="bottom"/>
          </w:tcPr>
          <w:p>
            <w:pPr>
              <w:jc w:val="center"/>
              <w:spacing w:after="0"/>
              <w:rPr>
                <w:sz w:val="20"/>
                <w:szCs w:val="20"/>
                <w:color w:val="auto"/>
              </w:rPr>
            </w:pPr>
            <w:r>
              <w:rPr>
                <w:rFonts w:ascii="Arial" w:cs="Arial" w:eastAsia="Arial" w:hAnsi="Arial"/>
                <w:sz w:val="10"/>
                <w:szCs w:val="10"/>
                <w:b w:val="1"/>
                <w:bCs w:val="1"/>
                <w:color w:val="auto"/>
                <w:w w:val="90"/>
              </w:rPr>
              <w:t>Long-Term,</w:t>
            </w:r>
          </w:p>
        </w:tc>
        <w:tc>
          <w:tcPr>
            <w:tcW w:w="400" w:type="dxa"/>
            <w:vAlign w:val="bottom"/>
          </w:tcPr>
          <w:p>
            <w:pPr>
              <w:spacing w:after="0"/>
              <w:rPr>
                <w:sz w:val="10"/>
                <w:szCs w:val="10"/>
                <w:color w:val="auto"/>
              </w:rPr>
            </w:pPr>
          </w:p>
        </w:tc>
        <w:tc>
          <w:tcPr>
            <w:tcW w:w="1500" w:type="dxa"/>
            <w:vAlign w:val="bottom"/>
            <w:gridSpan w:val="2"/>
          </w:tcPr>
          <w:p>
            <w:pPr>
              <w:ind w:left="480"/>
              <w:spacing w:after="0"/>
              <w:rPr>
                <w:sz w:val="20"/>
                <w:szCs w:val="20"/>
                <w:color w:val="auto"/>
              </w:rPr>
            </w:pPr>
            <w:r>
              <w:rPr>
                <w:rFonts w:ascii="Arial" w:cs="Arial" w:eastAsia="Arial" w:hAnsi="Arial"/>
                <w:sz w:val="10"/>
                <w:szCs w:val="10"/>
                <w:b w:val="1"/>
                <w:bCs w:val="1"/>
                <w:color w:val="auto"/>
              </w:rPr>
              <w:t>Retention;</w:t>
            </w:r>
          </w:p>
        </w:tc>
        <w:tc>
          <w:tcPr>
            <w:tcW w:w="0" w:type="dxa"/>
            <w:vAlign w:val="bottom"/>
          </w:tcPr>
          <w:p>
            <w:pPr>
              <w:spacing w:after="0"/>
              <w:rPr>
                <w:sz w:val="1"/>
                <w:szCs w:val="1"/>
                <w:color w:val="auto"/>
              </w:rPr>
            </w:pPr>
          </w:p>
        </w:tc>
      </w:tr>
      <w:tr>
        <w:trPr>
          <w:trHeight w:val="114"/>
        </w:trPr>
        <w:tc>
          <w:tcPr>
            <w:tcW w:w="3200" w:type="dxa"/>
            <w:vAlign w:val="bottom"/>
            <w:gridSpan w:val="2"/>
          </w:tcPr>
          <w:p>
            <w:pPr>
              <w:spacing w:after="0" w:line="114" w:lineRule="exact"/>
              <w:rPr>
                <w:sz w:val="20"/>
                <w:szCs w:val="20"/>
                <w:color w:val="auto"/>
              </w:rPr>
            </w:pPr>
            <w:r>
              <w:rPr>
                <w:rFonts w:ascii="Arial" w:cs="Arial" w:eastAsia="Arial" w:hAnsi="Arial"/>
                <w:sz w:val="10"/>
                <w:szCs w:val="10"/>
                <w:b w:val="1"/>
                <w:bCs w:val="1"/>
                <w:color w:val="auto"/>
              </w:rPr>
              <w:t>Element</w:t>
            </w:r>
          </w:p>
        </w:tc>
        <w:tc>
          <w:tcPr>
            <w:tcW w:w="220" w:type="dxa"/>
            <w:vAlign w:val="bottom"/>
          </w:tcPr>
          <w:p>
            <w:pPr>
              <w:spacing w:after="0"/>
              <w:rPr>
                <w:sz w:val="9"/>
                <w:szCs w:val="9"/>
                <w:color w:val="auto"/>
              </w:rPr>
            </w:pPr>
          </w:p>
        </w:tc>
        <w:tc>
          <w:tcPr>
            <w:tcW w:w="140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89"/>
              </w:rPr>
              <w:t>Fixed, Guaranteed</w:t>
            </w:r>
          </w:p>
        </w:tc>
        <w:tc>
          <w:tcPr>
            <w:tcW w:w="300" w:type="dxa"/>
            <w:vAlign w:val="bottom"/>
          </w:tcPr>
          <w:p>
            <w:pPr>
              <w:spacing w:after="0"/>
              <w:rPr>
                <w:sz w:val="9"/>
                <w:szCs w:val="9"/>
                <w:color w:val="auto"/>
              </w:rPr>
            </w:pPr>
          </w:p>
        </w:tc>
        <w:tc>
          <w:tcPr>
            <w:tcW w:w="128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85"/>
              </w:rPr>
              <w:t>Performance Based</w:t>
            </w:r>
          </w:p>
        </w:tc>
        <w:tc>
          <w:tcPr>
            <w:tcW w:w="400" w:type="dxa"/>
            <w:vAlign w:val="bottom"/>
          </w:tcPr>
          <w:p>
            <w:pPr>
              <w:spacing w:after="0"/>
              <w:rPr>
                <w:sz w:val="9"/>
                <w:szCs w:val="9"/>
                <w:color w:val="auto"/>
              </w:rPr>
            </w:pPr>
          </w:p>
        </w:tc>
        <w:tc>
          <w:tcPr>
            <w:tcW w:w="130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87"/>
              </w:rPr>
              <w:t>Performance Based</w:t>
            </w:r>
          </w:p>
        </w:tc>
        <w:tc>
          <w:tcPr>
            <w:tcW w:w="400" w:type="dxa"/>
            <w:vAlign w:val="bottom"/>
          </w:tcPr>
          <w:p>
            <w:pPr>
              <w:spacing w:after="0"/>
              <w:rPr>
                <w:sz w:val="9"/>
                <w:szCs w:val="9"/>
                <w:color w:val="auto"/>
              </w:rPr>
            </w:pPr>
          </w:p>
        </w:tc>
        <w:tc>
          <w:tcPr>
            <w:tcW w:w="1500" w:type="dxa"/>
            <w:vAlign w:val="bottom"/>
            <w:gridSpan w:val="2"/>
          </w:tcPr>
          <w:p>
            <w:pPr>
              <w:ind w:left="260"/>
              <w:spacing w:after="0" w:line="114" w:lineRule="exact"/>
              <w:rPr>
                <w:sz w:val="20"/>
                <w:szCs w:val="20"/>
                <w:color w:val="auto"/>
              </w:rPr>
            </w:pPr>
            <w:r>
              <w:rPr>
                <w:rFonts w:ascii="Arial" w:cs="Arial" w:eastAsia="Arial" w:hAnsi="Arial"/>
                <w:sz w:val="10"/>
                <w:szCs w:val="10"/>
                <w:b w:val="1"/>
                <w:bCs w:val="1"/>
                <w:color w:val="auto"/>
              </w:rPr>
              <w:t>Retirement Planning</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318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2"/>
                <w:szCs w:val="12"/>
                <w:color w:val="auto"/>
              </w:rPr>
              <w:t>Base Salary</w:t>
            </w:r>
          </w:p>
        </w:tc>
        <w:tc>
          <w:tcPr>
            <w:tcW w:w="220" w:type="dxa"/>
            <w:vAlign w:val="bottom"/>
            <w:shd w:val="clear" w:color="auto" w:fill="CCEEFF"/>
          </w:tcPr>
          <w:p>
            <w:pPr>
              <w:spacing w:after="0"/>
              <w:rPr>
                <w:sz w:val="12"/>
                <w:szCs w:val="12"/>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X</w:t>
            </w:r>
          </w:p>
        </w:tc>
        <w:tc>
          <w:tcPr>
            <w:tcW w:w="3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80" w:type="dxa"/>
            <w:vAlign w:val="bottom"/>
          </w:tcPr>
          <w:p>
            <w:pPr>
              <w:spacing w:after="0"/>
              <w:rPr>
                <w:sz w:val="20"/>
                <w:szCs w:val="20"/>
                <w:color w:val="auto"/>
              </w:rPr>
            </w:pPr>
            <w:r>
              <w:rPr>
                <w:rFonts w:ascii="Arial" w:cs="Arial" w:eastAsia="Arial" w:hAnsi="Arial"/>
                <w:sz w:val="12"/>
                <w:szCs w:val="12"/>
                <w:color w:val="auto"/>
              </w:rPr>
              <w:t>Annual Cash Bonus</w:t>
            </w: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ind w:left="640"/>
              <w:spacing w:after="0"/>
              <w:rPr>
                <w:sz w:val="20"/>
                <w:szCs w:val="20"/>
                <w:color w:val="auto"/>
              </w:rPr>
            </w:pPr>
            <w:r>
              <w:rPr>
                <w:rFonts w:ascii="Arial" w:cs="Arial" w:eastAsia="Arial" w:hAnsi="Arial"/>
                <w:sz w:val="12"/>
                <w:szCs w:val="12"/>
                <w:color w:val="auto"/>
              </w:rPr>
              <w:t>X</w:t>
            </w: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2"/>
                <w:szCs w:val="12"/>
                <w:color w:val="auto"/>
              </w:rPr>
              <w:t>Stock Options</w:t>
            </w:r>
          </w:p>
        </w:tc>
        <w:tc>
          <w:tcPr>
            <w:tcW w:w="2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00" w:type="dxa"/>
            <w:vAlign w:val="bottom"/>
            <w:shd w:val="clear" w:color="auto" w:fill="CCEEFF"/>
          </w:tcPr>
          <w:p>
            <w:pPr>
              <w:ind w:left="660"/>
              <w:spacing w:after="0"/>
              <w:rPr>
                <w:sz w:val="20"/>
                <w:szCs w:val="20"/>
                <w:color w:val="auto"/>
              </w:rPr>
            </w:pPr>
            <w:r>
              <w:rPr>
                <w:rFonts w:ascii="Arial" w:cs="Arial" w:eastAsia="Arial" w:hAnsi="Arial"/>
                <w:sz w:val="12"/>
                <w:szCs w:val="12"/>
                <w:color w:val="auto"/>
              </w:rPr>
              <w:t>X</w:t>
            </w:r>
          </w:p>
        </w:tc>
        <w:tc>
          <w:tcPr>
            <w:tcW w:w="40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ind w:left="700"/>
              <w:spacing w:after="0"/>
              <w:rPr>
                <w:sz w:val="20"/>
                <w:szCs w:val="20"/>
                <w:color w:val="auto"/>
              </w:rPr>
            </w:pPr>
            <w:r>
              <w:rPr>
                <w:rFonts w:ascii="Arial" w:cs="Arial" w:eastAsia="Arial" w:hAnsi="Arial"/>
                <w:sz w:val="12"/>
                <w:szCs w:val="12"/>
                <w:color w:val="auto"/>
              </w:rPr>
              <w:t>X</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80" w:type="dxa"/>
            <w:vAlign w:val="bottom"/>
          </w:tcPr>
          <w:p>
            <w:pPr>
              <w:spacing w:after="0"/>
              <w:rPr>
                <w:sz w:val="20"/>
                <w:szCs w:val="20"/>
                <w:color w:val="auto"/>
              </w:rPr>
            </w:pPr>
            <w:r>
              <w:rPr>
                <w:rFonts w:ascii="Arial" w:cs="Arial" w:eastAsia="Arial" w:hAnsi="Arial"/>
                <w:sz w:val="12"/>
                <w:szCs w:val="12"/>
                <w:color w:val="auto"/>
              </w:rPr>
              <w:t>RSUs</w:t>
            </w: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ind w:left="660"/>
              <w:spacing w:after="0"/>
              <w:rPr>
                <w:sz w:val="20"/>
                <w:szCs w:val="20"/>
                <w:color w:val="auto"/>
              </w:rPr>
            </w:pPr>
            <w:r>
              <w:rPr>
                <w:rFonts w:ascii="Arial" w:cs="Arial" w:eastAsia="Arial" w:hAnsi="Arial"/>
                <w:sz w:val="12"/>
                <w:szCs w:val="12"/>
                <w:color w:val="auto"/>
              </w:rPr>
              <w:t>X</w:t>
            </w:r>
          </w:p>
        </w:tc>
        <w:tc>
          <w:tcPr>
            <w:tcW w:w="400" w:type="dxa"/>
            <w:vAlign w:val="bottom"/>
          </w:tcPr>
          <w:p>
            <w:pPr>
              <w:spacing w:after="0"/>
              <w:rPr>
                <w:sz w:val="12"/>
                <w:szCs w:val="12"/>
                <w:color w:val="auto"/>
              </w:rPr>
            </w:pPr>
          </w:p>
        </w:tc>
        <w:tc>
          <w:tcPr>
            <w:tcW w:w="1500" w:type="dxa"/>
            <w:vAlign w:val="bottom"/>
            <w:gridSpan w:val="2"/>
          </w:tcPr>
          <w:p>
            <w:pPr>
              <w:ind w:left="700"/>
              <w:spacing w:after="0"/>
              <w:rPr>
                <w:sz w:val="20"/>
                <w:szCs w:val="20"/>
                <w:color w:val="auto"/>
              </w:rPr>
            </w:pPr>
            <w:r>
              <w:rPr>
                <w:rFonts w:ascii="Arial" w:cs="Arial" w:eastAsia="Arial" w:hAnsi="Arial"/>
                <w:sz w:val="12"/>
                <w:szCs w:val="12"/>
                <w:color w:val="auto"/>
              </w:rPr>
              <w:t>X</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Deferred Compensation</w:t>
            </w:r>
          </w:p>
        </w:tc>
        <w:tc>
          <w:tcPr>
            <w:tcW w:w="220" w:type="dxa"/>
            <w:vAlign w:val="bottom"/>
            <w:shd w:val="clear" w:color="auto" w:fill="CCEEFF"/>
          </w:tcPr>
          <w:p>
            <w:pPr>
              <w:spacing w:after="0"/>
              <w:rPr>
                <w:sz w:val="11"/>
                <w:szCs w:val="11"/>
                <w:color w:val="auto"/>
              </w:rPr>
            </w:pPr>
          </w:p>
        </w:tc>
        <w:tc>
          <w:tcPr>
            <w:tcW w:w="1400" w:type="dxa"/>
            <w:vAlign w:val="bottom"/>
            <w:shd w:val="clear" w:color="auto" w:fill="CCEEFF"/>
          </w:tcPr>
          <w:p>
            <w:pPr>
              <w:jc w:val="center"/>
              <w:spacing w:after="0" w:line="136" w:lineRule="exact"/>
              <w:rPr>
                <w:sz w:val="20"/>
                <w:szCs w:val="20"/>
                <w:color w:val="auto"/>
              </w:rPr>
            </w:pPr>
            <w:r>
              <w:rPr>
                <w:rFonts w:ascii="Arial" w:cs="Arial" w:eastAsia="Arial" w:hAnsi="Arial"/>
                <w:sz w:val="12"/>
                <w:szCs w:val="12"/>
                <w:color w:val="auto"/>
                <w:w w:val="91"/>
              </w:rPr>
              <w:t xml:space="preserve">X </w:t>
            </w:r>
            <w:r>
              <w:rPr>
                <w:rFonts w:ascii="Arial" w:cs="Arial" w:eastAsia="Arial" w:hAnsi="Arial"/>
                <w:sz w:val="12"/>
                <w:szCs w:val="12"/>
                <w:i w:val="1"/>
                <w:iCs w:val="1"/>
                <w:color w:val="auto"/>
                <w:w w:val="91"/>
              </w:rPr>
              <w:t>(except for</w:t>
            </w:r>
          </w:p>
        </w:tc>
        <w:tc>
          <w:tcPr>
            <w:tcW w:w="3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2"/>
                <w:szCs w:val="12"/>
                <w:i w:val="1"/>
                <w:iCs w:val="1"/>
                <w:color w:val="auto"/>
                <w:w w:val="92"/>
              </w:rPr>
              <w:t>Mr. Block)</w:t>
            </w:r>
          </w:p>
        </w:tc>
        <w:tc>
          <w:tcPr>
            <w:tcW w:w="3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ind w:left="700"/>
              <w:spacing w:after="0"/>
              <w:rPr>
                <w:sz w:val="20"/>
                <w:szCs w:val="20"/>
                <w:color w:val="auto"/>
              </w:rPr>
            </w:pPr>
            <w:r>
              <w:rPr>
                <w:rFonts w:ascii="Arial" w:cs="Arial" w:eastAsia="Arial" w:hAnsi="Arial"/>
                <w:sz w:val="12"/>
                <w:szCs w:val="12"/>
                <w:color w:val="auto"/>
              </w:rPr>
              <w:t>X</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180" w:type="dxa"/>
            <w:vAlign w:val="bottom"/>
          </w:tcPr>
          <w:p>
            <w:pPr>
              <w:spacing w:after="0"/>
              <w:rPr>
                <w:sz w:val="20"/>
                <w:szCs w:val="20"/>
                <w:color w:val="auto"/>
              </w:rPr>
            </w:pPr>
            <w:r>
              <w:rPr>
                <w:rFonts w:ascii="Arial" w:cs="Arial" w:eastAsia="Arial" w:hAnsi="Arial"/>
                <w:sz w:val="12"/>
                <w:szCs w:val="12"/>
                <w:color w:val="auto"/>
              </w:rPr>
              <w:t>Benefits</w:t>
            </w:r>
          </w:p>
        </w:tc>
        <w:tc>
          <w:tcPr>
            <w:tcW w:w="220" w:type="dxa"/>
            <w:vAlign w:val="bottom"/>
          </w:tcPr>
          <w:p>
            <w:pPr>
              <w:spacing w:after="0"/>
              <w:rPr>
                <w:sz w:val="13"/>
                <w:szCs w:val="13"/>
                <w:color w:val="auto"/>
              </w:rPr>
            </w:pPr>
          </w:p>
        </w:tc>
        <w:tc>
          <w:tcPr>
            <w:tcW w:w="1400" w:type="dxa"/>
            <w:vAlign w:val="bottom"/>
          </w:tcPr>
          <w:p>
            <w:pPr>
              <w:jc w:val="center"/>
              <w:spacing w:after="0"/>
              <w:rPr>
                <w:sz w:val="20"/>
                <w:szCs w:val="20"/>
                <w:color w:val="auto"/>
              </w:rPr>
            </w:pPr>
            <w:r>
              <w:rPr>
                <w:rFonts w:ascii="Arial" w:cs="Arial" w:eastAsia="Arial" w:hAnsi="Arial"/>
                <w:sz w:val="12"/>
                <w:szCs w:val="12"/>
                <w:color w:val="auto"/>
              </w:rPr>
              <w:t>X</w:t>
            </w:r>
          </w:p>
        </w:tc>
        <w:tc>
          <w:tcPr>
            <w:tcW w:w="3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00" w:type="dxa"/>
            <w:vAlign w:val="bottom"/>
            <w:gridSpan w:val="2"/>
          </w:tcPr>
          <w:p>
            <w:pPr>
              <w:ind w:left="700"/>
              <w:spacing w:after="0"/>
              <w:rPr>
                <w:sz w:val="20"/>
                <w:szCs w:val="20"/>
                <w:color w:val="auto"/>
              </w:rPr>
            </w:pPr>
            <w:r>
              <w:rPr>
                <w:rFonts w:ascii="Arial" w:cs="Arial" w:eastAsia="Arial" w:hAnsi="Arial"/>
                <w:sz w:val="12"/>
                <w:szCs w:val="12"/>
                <w:color w:val="auto"/>
              </w:rPr>
              <w:t>X</w:t>
            </w: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Each element of our compensation program is described in more detail as follows:</w:t>
      </w:r>
    </w:p>
    <w:p>
      <w:pPr>
        <w:spacing w:after="0" w:line="87" w:lineRule="exact"/>
        <w:rPr>
          <w:sz w:val="20"/>
          <w:szCs w:val="20"/>
          <w:color w:val="auto"/>
        </w:rPr>
      </w:pPr>
    </w:p>
    <w:p>
      <w:pPr>
        <w:ind w:left="680" w:right="420" w:firstLine="400"/>
        <w:spacing w:after="0" w:line="276" w:lineRule="auto"/>
        <w:rPr>
          <w:sz w:val="20"/>
          <w:szCs w:val="20"/>
          <w:color w:val="auto"/>
        </w:rPr>
      </w:pPr>
      <w:r>
        <w:rPr>
          <w:rFonts w:ascii="Arial" w:cs="Arial" w:eastAsia="Arial" w:hAnsi="Arial"/>
          <w:sz w:val="12"/>
          <w:szCs w:val="12"/>
          <w:i w:val="1"/>
          <w:iCs w:val="1"/>
          <w:color w:val="auto"/>
        </w:rPr>
        <w:t xml:space="preserve">Base Salary. </w:t>
      </w:r>
      <w:r>
        <w:rPr>
          <w:rFonts w:ascii="Arial" w:cs="Arial" w:eastAsia="Arial" w:hAnsi="Arial"/>
          <w:sz w:val="12"/>
          <w:szCs w:val="12"/>
          <w:color w:val="auto"/>
        </w:rPr>
        <w:t>This element of compensation is necessary to attract and retain any employee in any organization. As the basic fixed element of the compensation package, it serves as a baseline</w:t>
      </w:r>
      <w:r>
        <w:rPr>
          <w:rFonts w:ascii="Arial" w:cs="Arial" w:eastAsia="Arial" w:hAnsi="Arial"/>
          <w:sz w:val="12"/>
          <w:szCs w:val="12"/>
          <w:i w:val="1"/>
          <w:iCs w:val="1"/>
          <w:color w:val="auto"/>
        </w:rPr>
        <w:t xml:space="preserve"> </w:t>
      </w:r>
      <w:r>
        <w:rPr>
          <w:rFonts w:ascii="Arial" w:cs="Arial" w:eastAsia="Arial" w:hAnsi="Arial"/>
          <w:sz w:val="12"/>
          <w:szCs w:val="12"/>
          <w:color w:val="auto"/>
        </w:rPr>
        <w:t>measure of an</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97790</wp:posOffset>
            </wp:positionV>
            <wp:extent cx="7299325" cy="18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680"/>
          </w:cols>
          <w:pgMar w:left="220" w:top="327" w:right="999" w:bottom="1440" w:gutter="0" w:footer="0" w:header="0"/>
        </w:sectPr>
      </w:pPr>
    </w:p>
    <w:bookmarkStart w:id="34" w:name="page35"/>
    <w:bookmarkEnd w:id="34"/>
    <w:p>
      <w:pPr>
        <w:spacing w:after="0"/>
        <w:rPr>
          <w:rFonts w:ascii="Arial" w:cs="Arial" w:eastAsia="Arial" w:hAnsi="Arial"/>
          <w:sz w:val="12"/>
          <w:szCs w:val="12"/>
          <w:b w:val="1"/>
          <w:bCs w:val="1"/>
          <w:u w:val="single" w:color="auto"/>
          <w:color w:val="0000EE"/>
        </w:rPr>
      </w:pP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680"/>
        <w:spacing w:after="0"/>
        <w:rPr>
          <w:sz w:val="20"/>
          <w:szCs w:val="20"/>
          <w:color w:val="auto"/>
        </w:rPr>
      </w:pPr>
      <w:r>
        <w:rPr>
          <w:rFonts w:ascii="Arial" w:cs="Arial" w:eastAsia="Arial" w:hAnsi="Arial"/>
          <w:sz w:val="12"/>
          <w:szCs w:val="12"/>
          <w:color w:val="auto"/>
        </w:rPr>
        <w:t>employee’s value. Base salary is annually guaranteed compensation received by a named executive officer in exchange for investing his career with us.</w:t>
      </w:r>
    </w:p>
    <w:p>
      <w:pPr>
        <w:spacing w:after="0" w:line="87" w:lineRule="exact"/>
        <w:rPr>
          <w:sz w:val="20"/>
          <w:szCs w:val="20"/>
          <w:color w:val="auto"/>
        </w:rPr>
      </w:pPr>
    </w:p>
    <w:p>
      <w:pPr>
        <w:ind w:left="680" w:right="100" w:firstLine="400"/>
        <w:spacing w:after="0" w:line="283" w:lineRule="auto"/>
        <w:rPr>
          <w:sz w:val="20"/>
          <w:szCs w:val="20"/>
          <w:color w:val="auto"/>
        </w:rPr>
      </w:pPr>
      <w:r>
        <w:rPr>
          <w:rFonts w:ascii="Arial" w:cs="Arial" w:eastAsia="Arial" w:hAnsi="Arial"/>
          <w:sz w:val="11"/>
          <w:szCs w:val="11"/>
          <w:color w:val="auto"/>
        </w:rPr>
        <w:t>Each of our named executive officers had an employment agreement in effect during 2009. Mr. Roberts’ most recent employment agreement was entered into in June 2005 and expires on June 30, 2010. Messrs. Angelakis’, Burke’s and Block’s most recent employment agreements were entered into in December 2009 and expire on December 31, 2012, 2014 and 2014, respectively. Mr. Cohen’s most recent employment agreement was entered into in November 2005 and expires on December 31, 2010. Each current employment agreement provides for an initial base salary and annual increases in base salary at the discretion of the Compensation Committee. Mr. Block’s prior employment agreement provided for a minimum annual base salary increase of 5% in 2009. The employment agreements do not permit base salary reductions, unless, in the case of Messrs. Roberts and Cohen, such reduction is pursuant to an overall plan to reduce the base salaries of all of our senior executive officers, and, in the case of Messrs. Angelakis, Burke and Block, in connection with a generally applicable salary reduction program.</w:t>
      </w:r>
    </w:p>
    <w:p>
      <w:pPr>
        <w:spacing w:after="0" w:line="51" w:lineRule="exact"/>
        <w:rPr>
          <w:sz w:val="20"/>
          <w:szCs w:val="20"/>
          <w:color w:val="auto"/>
        </w:rPr>
      </w:pPr>
    </w:p>
    <w:p>
      <w:pPr>
        <w:ind w:left="680" w:right="160" w:firstLine="400"/>
        <w:spacing w:after="0" w:line="286" w:lineRule="auto"/>
        <w:rPr>
          <w:sz w:val="20"/>
          <w:szCs w:val="20"/>
          <w:color w:val="auto"/>
        </w:rPr>
      </w:pPr>
      <w:r>
        <w:rPr>
          <w:rFonts w:ascii="Arial" w:cs="Arial" w:eastAsia="Arial" w:hAnsi="Arial"/>
          <w:sz w:val="11"/>
          <w:szCs w:val="11"/>
          <w:color w:val="auto"/>
        </w:rPr>
        <w:t>In establishing the initial base salary level at the time the agreements were signed, the Compensation Committee considered job responsibilities, job performance, seniority and market data on base salary levels from peer group companies and compensation surveys. The Compensation Committee also reviewed base salary based on internal comparisons of executives relative to their responsibilities. Increases in base salary during the term of the agreement are generally based on individual performance, the levels of achievement of our performance goals during the tenure of the executive and any increase in duties and responsibilities placed on the executive as a result of our continuing growth. Mr. Block received a base salary increase in his December 2009 employment agreement to reflect his present and anticipated increased duties and responsibilities in connection with the NBCU Transaction and NBCU Joint Venture.</w:t>
      </w:r>
    </w:p>
    <w:p>
      <w:pPr>
        <w:spacing w:after="0" w:line="48" w:lineRule="exact"/>
        <w:rPr>
          <w:sz w:val="20"/>
          <w:szCs w:val="20"/>
          <w:color w:val="auto"/>
        </w:rPr>
      </w:pPr>
    </w:p>
    <w:p>
      <w:pPr>
        <w:ind w:left="680" w:right="100" w:firstLine="400"/>
        <w:spacing w:after="0" w:line="323" w:lineRule="auto"/>
        <w:rPr>
          <w:sz w:val="20"/>
          <w:szCs w:val="20"/>
          <w:color w:val="auto"/>
        </w:rPr>
      </w:pPr>
      <w:r>
        <w:rPr>
          <w:rFonts w:ascii="Arial" w:cs="Arial" w:eastAsia="Arial" w:hAnsi="Arial"/>
          <w:sz w:val="11"/>
          <w:szCs w:val="11"/>
          <w:color w:val="auto"/>
        </w:rPr>
        <w:t>The named executive officers, other than Mr. Block, elected not to receive any base salary increase in 2009, and have elected to continue to not receive any base salary increase in 2010 (and through February 28, 2011), reflecting a willingness during this time period to forgo additional compensation on account of this element of non-performance based compensation.</w:t>
      </w:r>
    </w:p>
    <w:p>
      <w:pPr>
        <w:spacing w:after="0" w:line="29" w:lineRule="exact"/>
        <w:rPr>
          <w:sz w:val="20"/>
          <w:szCs w:val="20"/>
          <w:color w:val="auto"/>
        </w:rPr>
      </w:pPr>
    </w:p>
    <w:p>
      <w:pPr>
        <w:ind w:left="680" w:right="40" w:firstLine="400"/>
        <w:spacing w:after="0" w:line="257" w:lineRule="auto"/>
        <w:rPr>
          <w:sz w:val="20"/>
          <w:szCs w:val="20"/>
          <w:color w:val="auto"/>
        </w:rPr>
      </w:pPr>
      <w:r>
        <w:rPr>
          <w:rFonts w:ascii="Arial" w:cs="Arial" w:eastAsia="Arial" w:hAnsi="Arial"/>
          <w:sz w:val="12"/>
          <w:szCs w:val="12"/>
          <w:i w:val="1"/>
          <w:iCs w:val="1"/>
          <w:color w:val="auto"/>
        </w:rPr>
        <w:t xml:space="preserve">Cash Bonus Incentive Compensation. </w:t>
      </w:r>
      <w:r>
        <w:rPr>
          <w:rFonts w:ascii="Arial" w:cs="Arial" w:eastAsia="Arial" w:hAnsi="Arial"/>
          <w:sz w:val="12"/>
          <w:szCs w:val="12"/>
          <w:color w:val="auto"/>
        </w:rPr>
        <w:t>Our cash bonus plan, which was approved by our shareholders at the 2006 annual meeting and is being voted upon at this annual meeting, provides a variable</w:t>
      </w:r>
      <w:r>
        <w:rPr>
          <w:rFonts w:ascii="Arial" w:cs="Arial" w:eastAsia="Arial" w:hAnsi="Arial"/>
          <w:sz w:val="12"/>
          <w:szCs w:val="12"/>
          <w:i w:val="1"/>
          <w:iCs w:val="1"/>
          <w:color w:val="auto"/>
        </w:rPr>
        <w:t xml:space="preserve"> </w:t>
      </w:r>
      <w:r>
        <w:rPr>
          <w:rFonts w:ascii="Arial" w:cs="Arial" w:eastAsia="Arial" w:hAnsi="Arial"/>
          <w:sz w:val="12"/>
          <w:szCs w:val="12"/>
          <w:color w:val="auto"/>
        </w:rPr>
        <w:t>element to annual cash compensation that in 2009 was tied directly to consolidated operating cash flow, free cash flow and revenue growth. This element is needed to complete a competitive total annual cash compensation package. However, it is at risk for performance — 100% of the target bonus is not paid unless there is 100% achievement of the goals and no bonus is paid unless a predetermined minimum in each performance goal is achieved. This plan puts a significant amount of annual cash compensation at risk and supports our objective that our named executive officers balance achieving satisfactory or better current year (short-term) results with long-term value creation.</w:t>
      </w:r>
    </w:p>
    <w:p>
      <w:pPr>
        <w:spacing w:after="0" w:line="63" w:lineRule="exact"/>
        <w:rPr>
          <w:sz w:val="20"/>
          <w:szCs w:val="20"/>
          <w:color w:val="auto"/>
        </w:rPr>
      </w:pPr>
    </w:p>
    <w:p>
      <w:pPr>
        <w:ind w:left="680" w:right="40" w:firstLine="400"/>
        <w:spacing w:after="0" w:line="257" w:lineRule="auto"/>
        <w:rPr>
          <w:sz w:val="20"/>
          <w:szCs w:val="20"/>
          <w:color w:val="auto"/>
        </w:rPr>
      </w:pPr>
      <w:r>
        <w:rPr>
          <w:rFonts w:ascii="Arial" w:cs="Arial" w:eastAsia="Arial" w:hAnsi="Arial"/>
          <w:sz w:val="12"/>
          <w:szCs w:val="12"/>
          <w:color w:val="auto"/>
        </w:rPr>
        <w:t>The target bonus under our cash bonus plan in 2009 for each of the named executive officers was based on the Compensation Committee’s assessment of the optimal mix of base salary and annual cash bonus compensation. In addition, each named executive officer’s employment agreement provides for a minimum target bonus. In 2009, such target bonus, as a percentage of base salary, was as follows: Mr. Roberts, 300%; Mr. Angelakis, 300%; Mr. Burke, 300%; Mr. Cohen, 125%; and Mr. Block, 100%. For more detail on these bonuses, including the target amounts thereof, see the “Grants in 2009 of Plan-Based Awards” table on page 43. The differences in target bonus percentages are the result of the Compensation Committee’s determination of each named executive officer’s total compensation and its judgment as to how to optimally allocate that total among the various elements thereof.</w:t>
      </w:r>
    </w:p>
    <w:p>
      <w:pPr>
        <w:spacing w:after="0" w:line="63" w:lineRule="exact"/>
        <w:rPr>
          <w:sz w:val="20"/>
          <w:szCs w:val="20"/>
          <w:color w:val="auto"/>
        </w:rPr>
      </w:pPr>
    </w:p>
    <w:p>
      <w:pPr>
        <w:ind w:left="680" w:firstLine="400"/>
        <w:spacing w:after="0" w:line="259" w:lineRule="auto"/>
        <w:rPr>
          <w:sz w:val="20"/>
          <w:szCs w:val="20"/>
          <w:color w:val="auto"/>
        </w:rPr>
      </w:pPr>
      <w:r>
        <w:rPr>
          <w:rFonts w:ascii="Arial" w:cs="Arial" w:eastAsia="Arial" w:hAnsi="Arial"/>
          <w:sz w:val="12"/>
          <w:szCs w:val="12"/>
          <w:color w:val="auto"/>
        </w:rPr>
        <w:t>For 2009, the Compensation Committee determined that annual cash bonus target achievement for the named executive officers would be based 60% on consolidated operating cash flow growth, 30% on consolidated free cash flow and 10% on consolidated revenue. For several years prior to 2008, the sole performance goal was consolidated operating cash flow growth. The Compensation Committee added consolidated free cash flow as a performance goal to provide an appropriate focus on additional items (such as capital expenditures and working capital) that can be affected by the decision making of our named executive</w:t>
      </w:r>
    </w:p>
    <w:p>
      <w:pPr>
        <w:spacing w:after="0" w:line="251"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97790</wp:posOffset>
            </wp:positionV>
            <wp:extent cx="7299325" cy="18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660"/>
          </w:cols>
          <w:pgMar w:left="220" w:top="327" w:right="1019" w:bottom="1440" w:gutter="0" w:footer="0" w:header="0"/>
        </w:sectPr>
      </w:pPr>
    </w:p>
    <w:bookmarkStart w:id="35" w:name="page36"/>
    <w:bookmarkEnd w:id="35"/>
    <w:p>
      <w:pPr>
        <w:spacing w:after="0"/>
        <w:rPr>
          <w:rFonts w:ascii="Arial" w:cs="Arial" w:eastAsia="Arial" w:hAnsi="Arial"/>
          <w:sz w:val="12"/>
          <w:szCs w:val="12"/>
          <w:b w:val="1"/>
          <w:bCs w:val="1"/>
          <w:u w:val="single" w:color="auto"/>
          <w:color w:val="0000EE"/>
        </w:rPr>
      </w:pP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680"/>
        <w:spacing w:after="0" w:line="320" w:lineRule="auto"/>
        <w:rPr>
          <w:sz w:val="20"/>
          <w:szCs w:val="20"/>
          <w:color w:val="auto"/>
        </w:rPr>
      </w:pPr>
      <w:r>
        <w:rPr>
          <w:rFonts w:ascii="Arial" w:cs="Arial" w:eastAsia="Arial" w:hAnsi="Arial"/>
          <w:sz w:val="10"/>
          <w:szCs w:val="10"/>
          <w:color w:val="auto"/>
        </w:rPr>
        <w:t>officers. The importance of operating cash flow and free cash flow as performance metrics is described below under “— Emphasis on Performance.” Based on ICCA’s work and Mercer’s analysis, in 2009 the Compensation Committee added consolidated revenue as a third performance goal, as an appropriately weighted focus on the overall growth of the business from all sources (</w:t>
      </w:r>
      <w:r>
        <w:rPr>
          <w:rFonts w:ascii="Arial" w:cs="Arial" w:eastAsia="Arial" w:hAnsi="Arial"/>
          <w:sz w:val="10"/>
          <w:szCs w:val="10"/>
          <w:i w:val="1"/>
          <w:iCs w:val="1"/>
          <w:color w:val="auto"/>
        </w:rPr>
        <w:t>e.g.</w:t>
      </w:r>
      <w:r>
        <w:rPr>
          <w:rFonts w:ascii="Arial" w:cs="Arial" w:eastAsia="Arial" w:hAnsi="Arial"/>
          <w:sz w:val="10"/>
          <w:szCs w:val="10"/>
          <w:color w:val="auto"/>
        </w:rPr>
        <w:t>, sales of existing and new products and services and acquisitions of new customers). The correlation to shareholder value analysis indicated that operating cash flow is strongly correlated to total shareholder returns and revenue has a statistically significant correlation to total shareholder return. Free cash flow has a statistically significant correlation to total shareholder return for companies in the entertainment/media industry. Neither our Board nor the Compensation Committee has the discretion to award cash bonus compensation to our named executive officers under our plan absent attainment of the performance goals.</w:t>
      </w:r>
    </w:p>
    <w:p>
      <w:pPr>
        <w:spacing w:after="0" w:line="35" w:lineRule="exact"/>
        <w:rPr>
          <w:sz w:val="20"/>
          <w:szCs w:val="20"/>
          <w:color w:val="auto"/>
        </w:rPr>
      </w:pPr>
    </w:p>
    <w:p>
      <w:pPr>
        <w:ind w:left="680" w:right="60" w:firstLine="400"/>
        <w:spacing w:after="0" w:line="254" w:lineRule="auto"/>
        <w:rPr>
          <w:sz w:val="20"/>
          <w:szCs w:val="20"/>
          <w:color w:val="auto"/>
        </w:rPr>
      </w:pPr>
      <w:r>
        <w:rPr>
          <w:rFonts w:ascii="Arial" w:cs="Arial" w:eastAsia="Arial" w:hAnsi="Arial"/>
          <w:sz w:val="12"/>
          <w:szCs w:val="12"/>
          <w:color w:val="auto"/>
        </w:rPr>
        <w:t>The Compensation Committee established the following goals for year-over-year increases in consolidated operating cash flow: if we achieved $13.1 billion or less (representing 99.8% or less of 2008 consolidated operating cash flow), the named executive officer would receive no bonus on account of this performance goal; if we achieved from greater than $13.1 billion to $13.7 billion (representing greater than 99.8% of 2008 consolidated operating cash flow to an increase of 4.3%), the named executive officer would receive 40% to 90% of the potential bonus (determined based on incremental increases in consolidated operating cash flow of approximately $100 million); if we achieved from greater than $13.7 billion to $13.791 billion (representing an increase of greater than 4.3% to 5%), the named executive officer would receive 100% of the potential bonus; and if we achieved greater than $13.791 billion (representing an increase of greater than 5%), the named executive officer would receive greater than 100% of the potential bonus up to a maximum of 150% (determined based on incremental increases in consolidated operating cash flow of approximately $100 million) if we achieved greater than $14.2 billion (representing a greater than 8.1% increase).</w:t>
      </w:r>
    </w:p>
    <w:p>
      <w:pPr>
        <w:spacing w:after="0" w:line="68" w:lineRule="exact"/>
        <w:rPr>
          <w:sz w:val="20"/>
          <w:szCs w:val="20"/>
          <w:color w:val="auto"/>
        </w:rPr>
      </w:pPr>
    </w:p>
    <w:p>
      <w:pPr>
        <w:ind w:left="680" w:firstLine="400"/>
        <w:spacing w:after="0" w:line="257" w:lineRule="auto"/>
        <w:rPr>
          <w:sz w:val="20"/>
          <w:szCs w:val="20"/>
          <w:color w:val="auto"/>
        </w:rPr>
      </w:pPr>
      <w:r>
        <w:rPr>
          <w:rFonts w:ascii="Arial" w:cs="Arial" w:eastAsia="Arial" w:hAnsi="Arial"/>
          <w:sz w:val="12"/>
          <w:szCs w:val="12"/>
          <w:color w:val="auto"/>
        </w:rPr>
        <w:t>The Compensation Committee established the following goals for achievement of consolidated free cash flow: if we achieved $3.4 billion or less, the named executive officer would receive no bonus on account of this performance goal; if we achieved greater than $3.4 billion to $4.0 billion, the named executive officer would receive 40% to 90% of the potential bonus (determined based on incremental increases in consolidated free cash flow of $100 million); if we achieved greater than $4.0 billion to $4.1 billion, the named executive officer would receive 100% of the potential bonus; and if we achieved greater than $4.1 billion, the named executive officer would receive greater than 100% of the potential bonus up to a maximum of 150% at greater than $4.5 billion (determined based on incremental increases in consolidated free cash flow of $100 million).</w:t>
      </w:r>
    </w:p>
    <w:p>
      <w:pPr>
        <w:spacing w:after="0" w:line="63" w:lineRule="exact"/>
        <w:rPr>
          <w:sz w:val="20"/>
          <w:szCs w:val="20"/>
          <w:color w:val="auto"/>
        </w:rPr>
      </w:pPr>
    </w:p>
    <w:p>
      <w:pPr>
        <w:ind w:left="680" w:right="140" w:firstLine="400"/>
        <w:spacing w:after="0" w:line="286" w:lineRule="auto"/>
        <w:rPr>
          <w:sz w:val="20"/>
          <w:szCs w:val="20"/>
          <w:color w:val="auto"/>
        </w:rPr>
      </w:pPr>
      <w:r>
        <w:rPr>
          <w:rFonts w:ascii="Arial" w:cs="Arial" w:eastAsia="Arial" w:hAnsi="Arial"/>
          <w:sz w:val="11"/>
          <w:szCs w:val="11"/>
          <w:color w:val="auto"/>
        </w:rPr>
        <w:t>The Compensation Committee established the following goals for achievement of consolidated revenue: if we achieved $35.0 billion or less, the named executive officer would receive no bonus on account of this performance goal; if we achieved greater than $35.0 billion to $36.2 billion, the named executive officer would receive 40% to 90% of the potential bonus (determined based on incremental increases in consolidated revenue of $200 million); if we achieved $36.2 billion to $36.5 billion, the named executive officer would receive 100% of the potential bonus; and if we achieved greater than $36.5 billion, the named executive officer would receive greater than 100% of the potential bonus up to a maximum of 150% at greater than $37.3 billion (determined based on incremental increases in consolidated revenue of $200 million). In each case, the bonus percentage achieved is the percentage of target applicable to the range within which the actual achievement fell.</w:t>
      </w:r>
    </w:p>
    <w:p>
      <w:pPr>
        <w:spacing w:after="0" w:line="48" w:lineRule="exact"/>
        <w:rPr>
          <w:sz w:val="20"/>
          <w:szCs w:val="20"/>
          <w:color w:val="auto"/>
        </w:rPr>
      </w:pPr>
    </w:p>
    <w:p>
      <w:pPr>
        <w:ind w:left="680" w:right="80" w:firstLine="400"/>
        <w:spacing w:after="0" w:line="286" w:lineRule="auto"/>
        <w:rPr>
          <w:sz w:val="20"/>
          <w:szCs w:val="20"/>
          <w:color w:val="auto"/>
        </w:rPr>
      </w:pPr>
      <w:r>
        <w:rPr>
          <w:rFonts w:ascii="Arial" w:cs="Arial" w:eastAsia="Arial" w:hAnsi="Arial"/>
          <w:sz w:val="11"/>
          <w:szCs w:val="11"/>
          <w:color w:val="auto"/>
        </w:rPr>
        <w:t>Based on 2009 achievement of 100% of the potential bonus for operating cash flow growth (approximately $13.7 billion), 140% of the potential bonus for free cash flow (approximately $4.4 billion) and 70% of the potential bonus for revenue (approximately $35.8 billion), the named executive officers were entitled to receive 109% of their respective target amounts. This percentage was calculated as follows: (60% x 100%) + (30% x 140%) + (10% x 70%) = 109%. However, putting this achievement level in the context of lower levels of annual cash bonus achievement in 2009 by operating management (whose cash bonuses are based in large part on business unit operating metrics rather than consolidated financial performance), prior to their bonuses being determined, the named executive officers advised the Compensation Committee of their recommendation that they not receive a portion of their bonuses, and, as such, they were only granted 98% of their target amounts.</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97790</wp:posOffset>
            </wp:positionV>
            <wp:extent cx="7299325" cy="18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660"/>
          </w:cols>
          <w:pgMar w:left="220" w:top="327" w:right="1019" w:bottom="1440" w:gutter="0" w:footer="0" w:header="0"/>
        </w:sectPr>
      </w:pPr>
    </w:p>
    <w:bookmarkStart w:id="36" w:name="page37"/>
    <w:bookmarkEnd w:id="36"/>
    <w:p>
      <w:pPr>
        <w:spacing w:after="0"/>
        <w:rPr>
          <w:rFonts w:ascii="Arial" w:cs="Arial" w:eastAsia="Arial" w:hAnsi="Arial"/>
          <w:sz w:val="12"/>
          <w:szCs w:val="12"/>
          <w:b w:val="1"/>
          <w:bCs w:val="1"/>
          <w:u w:val="single" w:color="auto"/>
          <w:color w:val="0000EE"/>
        </w:rPr>
      </w:pP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680" w:right="160" w:firstLine="400"/>
        <w:spacing w:after="0" w:line="283" w:lineRule="auto"/>
        <w:rPr>
          <w:sz w:val="20"/>
          <w:szCs w:val="20"/>
          <w:color w:val="auto"/>
        </w:rPr>
      </w:pPr>
      <w:r>
        <w:rPr>
          <w:rFonts w:ascii="Arial" w:cs="Arial" w:eastAsia="Arial" w:hAnsi="Arial"/>
          <w:sz w:val="11"/>
          <w:szCs w:val="11"/>
          <w:color w:val="auto"/>
        </w:rPr>
        <w:t>In connection with entering into his new employment agreement in December 2009, Messrs. Angelakis and Burke each also received cash “signing” bonuses (as described under “Agreements with Our Named Executive Officers — Employment Agreement with Mr. Angelakis, and — Employment Agreement with Mr. Burke”). These cash bonuses were in partial consideration (together with the additional RSU awards and the additional deferred compensation plan contribution amount described below under “— Equity-Based Incentive Compensation” and “ — Deferred Compensation”) for Messrs. Angelakis and Burke entering into the employment agreement that extended his prior employment agreement’s termination date to December 31, 2012 and December 31, 2014, respectively. The Compensation Committee sought these new agreements due to the importance of assuring that these named executive officers remain under contract for a longer period of time, given their present and anticipated increased responsibilities in connection with the NBCU Transaction and NBCU Joint Venture in the coming years.</w:t>
      </w:r>
    </w:p>
    <w:p>
      <w:pPr>
        <w:spacing w:after="0" w:line="51" w:lineRule="exact"/>
        <w:rPr>
          <w:sz w:val="20"/>
          <w:szCs w:val="20"/>
          <w:color w:val="auto"/>
        </w:rPr>
      </w:pPr>
    </w:p>
    <w:p>
      <w:pPr>
        <w:ind w:left="680" w:right="140" w:firstLine="400"/>
        <w:spacing w:after="0" w:line="259" w:lineRule="auto"/>
        <w:rPr>
          <w:sz w:val="20"/>
          <w:szCs w:val="20"/>
          <w:color w:val="auto"/>
        </w:rPr>
      </w:pPr>
      <w:r>
        <w:rPr>
          <w:rFonts w:ascii="Arial" w:cs="Arial" w:eastAsia="Arial" w:hAnsi="Arial"/>
          <w:sz w:val="12"/>
          <w:szCs w:val="12"/>
          <w:i w:val="1"/>
          <w:iCs w:val="1"/>
          <w:color w:val="auto"/>
        </w:rPr>
        <w:t xml:space="preserve">Equity-Based Incentive Compensation. </w:t>
      </w:r>
      <w:r>
        <w:rPr>
          <w:rFonts w:ascii="Arial" w:cs="Arial" w:eastAsia="Arial" w:hAnsi="Arial"/>
          <w:sz w:val="12"/>
          <w:szCs w:val="12"/>
          <w:color w:val="auto"/>
        </w:rPr>
        <w:t>Our equity-based long-term incentive compensation program is the compensation link between the named executive officers’ decision making and the long-term outcomes of those decisions. As described below under “— Emphasis on Long-Term Stock Ownership — Vesting of Equity-Based Incentive Compensation,” our vesting schedules require a relatively long holding period before a meaningful portion of the equity-based compensation can be realized, allowing time to see the results of the decisions, and the market time to react to the results, as well as providing a greater potential retention value.</w:t>
      </w:r>
    </w:p>
    <w:p>
      <w:pPr>
        <w:spacing w:after="0" w:line="62" w:lineRule="exact"/>
        <w:rPr>
          <w:sz w:val="20"/>
          <w:szCs w:val="20"/>
          <w:color w:val="auto"/>
        </w:rPr>
      </w:pPr>
    </w:p>
    <w:p>
      <w:pPr>
        <w:ind w:left="680" w:right="240" w:firstLine="400"/>
        <w:spacing w:after="0" w:line="290" w:lineRule="auto"/>
        <w:rPr>
          <w:sz w:val="20"/>
          <w:szCs w:val="20"/>
          <w:color w:val="auto"/>
        </w:rPr>
      </w:pPr>
      <w:r>
        <w:rPr>
          <w:rFonts w:ascii="Arial" w:cs="Arial" w:eastAsia="Arial" w:hAnsi="Arial"/>
          <w:sz w:val="11"/>
          <w:szCs w:val="11"/>
          <w:color w:val="auto"/>
        </w:rPr>
        <w:t>The Compensation Committee believes that a strong reliance on long-term equity-based compensation is advantageous because this type of compensation fosters a long-term commitment by executive employees and motivates them to improve the long-term market performance of our stock. In our annual award program in March 2009, the Compensation Committee employed a diversified approach to this component in that we granted both stock options and RSUs, whereby each type of award represented approximately 50% of the total equity award by grant date value, as determined on a Black-Scholes basis in the case of stock options and using the closing price of a share of our Class A common stock in the case of RSUs.</w:t>
      </w:r>
    </w:p>
    <w:p>
      <w:pPr>
        <w:spacing w:after="0" w:line="46" w:lineRule="exact"/>
        <w:rPr>
          <w:sz w:val="20"/>
          <w:szCs w:val="20"/>
          <w:color w:val="auto"/>
        </w:rPr>
      </w:pPr>
    </w:p>
    <w:p>
      <w:pPr>
        <w:ind w:left="680" w:right="40" w:firstLine="400"/>
        <w:spacing w:after="0" w:line="257" w:lineRule="auto"/>
        <w:rPr>
          <w:sz w:val="20"/>
          <w:szCs w:val="20"/>
          <w:color w:val="auto"/>
        </w:rPr>
      </w:pPr>
      <w:r>
        <w:rPr>
          <w:rFonts w:ascii="Arial" w:cs="Arial" w:eastAsia="Arial" w:hAnsi="Arial"/>
          <w:sz w:val="12"/>
          <w:szCs w:val="12"/>
          <w:color w:val="auto"/>
        </w:rPr>
        <w:t>RSUs in combination with stock options promote our goal of retention, as well as provide a direct and predictable alignment to share price. Because each RSU is equal in value to a share of our Class A common stock, the units have value, subject to the satisfaction of vesting requirements, when the stock price is flat or even declining. On the other hand, stock options only have value when the stock price increases. This combination of equity-based awards is appropriate in the view of the Compensation Committee because: (i) it provides some level of incentive even during periods of general market or industry decline, when good or better performance may not be reflected in our stock price; and (ii) it supports our culture of entrepreneurship and its focus on shareholder value creation while providing a strong retention vehicle.</w:t>
      </w:r>
    </w:p>
    <w:p>
      <w:pPr>
        <w:spacing w:after="0" w:line="63" w:lineRule="exact"/>
        <w:rPr>
          <w:sz w:val="20"/>
          <w:szCs w:val="20"/>
          <w:color w:val="auto"/>
        </w:rPr>
      </w:pPr>
    </w:p>
    <w:p>
      <w:pPr>
        <w:ind w:left="680" w:right="40" w:firstLine="400"/>
        <w:spacing w:after="0" w:line="298" w:lineRule="auto"/>
        <w:rPr>
          <w:sz w:val="20"/>
          <w:szCs w:val="20"/>
          <w:color w:val="auto"/>
        </w:rPr>
      </w:pPr>
      <w:r>
        <w:rPr>
          <w:rFonts w:ascii="Arial" w:cs="Arial" w:eastAsia="Arial" w:hAnsi="Arial"/>
          <w:sz w:val="11"/>
          <w:szCs w:val="11"/>
          <w:color w:val="auto"/>
        </w:rPr>
        <w:t>The substantial drop in the market price of our common stock in 2007 significantly reduced the value of outstanding equity-based awards of the named executive officers, especially stock options, reflecting the relationship between compensation and shareholder value that is provided by these long-term equity-based compensation elements. The Compensation Committee has not taken into account the very substantially reduced “in the money” value of vested and unvested stock options (nor the substantially reduced value of unvested RSUs) in making its compensation decisions since 2007.</w:t>
      </w:r>
    </w:p>
    <w:p>
      <w:pPr>
        <w:spacing w:after="0" w:line="42" w:lineRule="exact"/>
        <w:rPr>
          <w:sz w:val="20"/>
          <w:szCs w:val="20"/>
          <w:color w:val="auto"/>
        </w:rPr>
      </w:pPr>
    </w:p>
    <w:p>
      <w:pPr>
        <w:ind w:left="680" w:firstLine="400"/>
        <w:spacing w:after="0" w:line="257" w:lineRule="auto"/>
        <w:rPr>
          <w:sz w:val="20"/>
          <w:szCs w:val="20"/>
          <w:color w:val="auto"/>
        </w:rPr>
      </w:pPr>
      <w:r>
        <w:rPr>
          <w:rFonts w:ascii="Arial" w:cs="Arial" w:eastAsia="Arial" w:hAnsi="Arial"/>
          <w:sz w:val="12"/>
          <w:szCs w:val="12"/>
          <w:color w:val="auto"/>
        </w:rPr>
        <w:t>Our equity-based awards granted to our named executive officers in March 2009 were part of our annual award program, in which all eligible employees receive grants. In general, we also make stock option and RSU awards to eligible employees in connection with significant employment events such as hiring, promotion and entering into an employment agreement. Consistent with this approach, and as partial consideration for entering into the new employment agreements described above under “— Cash Bonus Incentive Compensation,” Messrs. Angelakis, Burke and Block received additional awards of RSUs, and Mr. Block received an additional award of stock options, in each case as described under “Agreements with Our Named Executive Officers — Employment Agreement with Mr. Angelakis, — Employment Agreement with Mr. Burke, and — Employment Agreement with Mr. Block.”</w:t>
      </w:r>
    </w:p>
    <w:p>
      <w:pPr>
        <w:spacing w:after="0" w:line="63" w:lineRule="exact"/>
        <w:rPr>
          <w:sz w:val="20"/>
          <w:szCs w:val="20"/>
          <w:color w:val="auto"/>
        </w:rPr>
      </w:pPr>
    </w:p>
    <w:p>
      <w:pPr>
        <w:ind w:left="680" w:right="40" w:firstLine="400"/>
        <w:spacing w:after="0" w:line="276" w:lineRule="auto"/>
        <w:rPr>
          <w:sz w:val="20"/>
          <w:szCs w:val="20"/>
          <w:color w:val="auto"/>
        </w:rPr>
      </w:pPr>
      <w:r>
        <w:rPr>
          <w:rFonts w:ascii="Arial" w:cs="Arial" w:eastAsia="Arial" w:hAnsi="Arial"/>
          <w:sz w:val="12"/>
          <w:szCs w:val="12"/>
          <w:color w:val="auto"/>
        </w:rPr>
        <w:t>Primarily to conform to Internal Revenue Service (“IRS”) requirements relating to the deductibility of compensation, beginning in 2005, the Compensation Committee added a performance condition to RSUs granted to our named executive officers. Shares under RSUs granted in 2005 through 2007 vest in their first</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97790</wp:posOffset>
            </wp:positionV>
            <wp:extent cx="7299325" cy="18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660"/>
          </w:cols>
          <w:pgMar w:left="220" w:top="327" w:right="1019" w:bottom="1440" w:gutter="0" w:footer="0" w:header="0"/>
        </w:sectPr>
      </w:pPr>
    </w:p>
    <w:bookmarkStart w:id="37" w:name="page38"/>
    <w:bookmarkEnd w:id="37"/>
    <w:p>
      <w:pPr>
        <w:spacing w:after="0"/>
        <w:rPr>
          <w:rFonts w:ascii="Arial" w:cs="Arial" w:eastAsia="Arial" w:hAnsi="Arial"/>
          <w:sz w:val="12"/>
          <w:szCs w:val="12"/>
          <w:b w:val="1"/>
          <w:bCs w:val="1"/>
          <w:u w:val="single" w:color="auto"/>
          <w:color w:val="0000EE"/>
        </w:rPr>
      </w:pP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both"/>
        <w:ind w:left="680" w:right="20"/>
        <w:spacing w:after="0" w:line="259" w:lineRule="auto"/>
        <w:rPr>
          <w:sz w:val="20"/>
          <w:szCs w:val="20"/>
          <w:color w:val="auto"/>
        </w:rPr>
      </w:pPr>
      <w:r>
        <w:rPr>
          <w:rFonts w:ascii="Arial" w:cs="Arial" w:eastAsia="Arial" w:hAnsi="Arial"/>
          <w:sz w:val="12"/>
          <w:szCs w:val="12"/>
          <w:color w:val="auto"/>
        </w:rPr>
        <w:t>scheduled year of vesting only if the performance goals have been achieved with respect to the prior year. Shares under RSUs granted in 2008 and subsequent years vest in their first scheduled year of vesting if the performance goals have been achieved with respect to any prior year. In all of the RSU grants, any shares which did not vest in their first scheduled year of vesting because of the failure of the required prior achievement of performance goals are “carried over” to the next year’s scheduled vesting date (if any such date remains under the grant) for potential vesting at that time. If vesting does not occur on the final potential vesting date, any unvested shares are forfeited.</w:t>
      </w:r>
    </w:p>
    <w:p>
      <w:pPr>
        <w:spacing w:after="0" w:line="62" w:lineRule="exact"/>
        <w:rPr>
          <w:sz w:val="20"/>
          <w:szCs w:val="20"/>
          <w:color w:val="auto"/>
        </w:rPr>
      </w:pPr>
    </w:p>
    <w:p>
      <w:pPr>
        <w:ind w:left="680" w:right="100" w:firstLine="400"/>
        <w:spacing w:after="0" w:line="253" w:lineRule="auto"/>
        <w:rPr>
          <w:sz w:val="20"/>
          <w:szCs w:val="20"/>
          <w:color w:val="auto"/>
        </w:rPr>
      </w:pPr>
      <w:r>
        <w:rPr>
          <w:rFonts w:ascii="Arial" w:cs="Arial" w:eastAsia="Arial" w:hAnsi="Arial"/>
          <w:sz w:val="12"/>
          <w:szCs w:val="12"/>
          <w:color w:val="auto"/>
        </w:rPr>
        <w:t>For RSUs granted in 2005 through 2008, the Compensation Committee established the following performance goals: if we achieved a 5% to 6.9% year-over-year increase in operating cash flow, the named executive officer would receive 66% of the service vested portion of the award; and if we achieved a 7% or greater increase, the named executive officer would receive 100% of the service vested portion of the award. The operating cash flow growth goal necessary to achieve 100% vesting was achieved in each year from 2005 through 2008. However, the growth needed to achieve the 66% vesting level was not achieved in 2009. Accordingly, the named executive officers (other than Mr. Block, who was not a named executive officer prior to 2009 and, therefore, whose RSUs did not contain a performance condition prior to 2009) will not receive any shares that are otherwise scheduled to vest in 2010 with respect to RSUs granted in 2005 through 2007 (and shares scheduled to vest in 2010 under RSUs granted in 2005 are permanently lost). The value of the shares scheduled to vest in 2010 under the RSUs granted in 2005 through 2007 had vesting occurred (calculated using the closing price of the Class A common stock on December 31, 2009) would have been approximately $2.96 million for Mr. Roberts (of which approximately $1.67 million was permanently lost), approximately $240,000 for Mr. Angelakis, approximately $1.94 million for Mr. Burke (of which approximately $910,000 was permanently lost) and approximately $2.25 million for Mr. Cohen (of which approximately $1.65 million was permanently lost).</w:t>
      </w:r>
    </w:p>
    <w:p>
      <w:pPr>
        <w:spacing w:after="0" w:line="69" w:lineRule="exact"/>
        <w:rPr>
          <w:sz w:val="20"/>
          <w:szCs w:val="20"/>
          <w:color w:val="auto"/>
        </w:rPr>
      </w:pPr>
    </w:p>
    <w:p>
      <w:pPr>
        <w:ind w:left="680" w:right="120" w:firstLine="400"/>
        <w:spacing w:after="0" w:line="281" w:lineRule="auto"/>
        <w:rPr>
          <w:sz w:val="20"/>
          <w:szCs w:val="20"/>
          <w:color w:val="auto"/>
        </w:rPr>
      </w:pPr>
      <w:r>
        <w:rPr>
          <w:rFonts w:ascii="Arial" w:cs="Arial" w:eastAsia="Arial" w:hAnsi="Arial"/>
          <w:sz w:val="11"/>
          <w:szCs w:val="11"/>
          <w:color w:val="auto"/>
        </w:rPr>
        <w:t>For RSUs granted under the annual program in March 2009, the Compensation Committee established the following performance goals: if we achieved a 5% to 6.9% year-over-year increase in free cash flow, the named executive officer would receive 66% of the service vested portion of the award; and if we achieve a 7% or greater increase, the named executive officer would receive 100% of the service vested portion of the award. The Compensation Committee established as a performance goal for the RSUs granted to Messrs. Angelakis, Burke and Block in December 2009 any year-over-year increase in free cash flow. The goal used in the December 2009 RSU grants was also used in RSUs granted to the named executive officers as part of our March 2010 annual award program. The Compensation Committee revised the performance goals in the 2009 and 2010 RSUs to reflect its intention that the goals meet IRS requirements for deductibility while at the same time appropriately reflecting reduced operating cash flow and free cash flow performance expectations compared to prior years in light of the competitive and economic environment. Neither our Board nor the Compensation Committee has the discretion to vest these RSUs absent attainment of the applicable goal.</w:t>
      </w:r>
    </w:p>
    <w:p>
      <w:pPr>
        <w:spacing w:after="0" w:line="53" w:lineRule="exact"/>
        <w:rPr>
          <w:sz w:val="20"/>
          <w:szCs w:val="20"/>
          <w:color w:val="auto"/>
        </w:rPr>
      </w:pPr>
    </w:p>
    <w:p>
      <w:pPr>
        <w:ind w:left="680" w:firstLine="400"/>
        <w:spacing w:after="0" w:line="283" w:lineRule="auto"/>
        <w:rPr>
          <w:sz w:val="20"/>
          <w:szCs w:val="20"/>
          <w:color w:val="auto"/>
        </w:rPr>
      </w:pPr>
      <w:r>
        <w:rPr>
          <w:rFonts w:ascii="Arial" w:cs="Arial" w:eastAsia="Arial" w:hAnsi="Arial"/>
          <w:sz w:val="11"/>
          <w:szCs w:val="11"/>
          <w:color w:val="auto"/>
        </w:rPr>
        <w:t>In general, the total value of equity-based compensation is based on a proportional relationship to the expected cash compensation of each named executive officer, taking into account awards made at the same time to other executives, as well as the value of equity-based compensation awarded to comparable named executive officers at peer companies. The value of 2009 equity-based compensation (using grant date values), expressed as a percentage of 2009 base salary, taking account of awards made only in the March 2009 annual award program, was 375% for Mr. Roberts, 380% for Mr. Angelakis, 377% for Mr. Burke, 371% for Mr. Cohen and 158% for Mr. Block. The value of 2009 equity-based compensation, expressed as a percentage of the value of 2008 equity-based compensation, taking account of awards made only in the annual award programs, was 107% for Mr. Roberts, 108% for Mr. Angelakis, 108% for Mr. Burke, 109% for Mr. Cohen and 106% for Mr. Block (the grant date value of equity-based compensation in our annual award program has not materially increased over the last several years).</w:t>
      </w:r>
    </w:p>
    <w:p>
      <w:pPr>
        <w:spacing w:after="0" w:line="51" w:lineRule="exact"/>
        <w:rPr>
          <w:sz w:val="20"/>
          <w:szCs w:val="20"/>
          <w:color w:val="auto"/>
        </w:rPr>
      </w:pPr>
    </w:p>
    <w:p>
      <w:pPr>
        <w:ind w:left="680" w:right="180" w:firstLine="400"/>
        <w:spacing w:after="0" w:line="263" w:lineRule="auto"/>
        <w:rPr>
          <w:sz w:val="20"/>
          <w:szCs w:val="20"/>
          <w:color w:val="auto"/>
        </w:rPr>
      </w:pPr>
      <w:r>
        <w:rPr>
          <w:rFonts w:ascii="Arial" w:cs="Arial" w:eastAsia="Arial" w:hAnsi="Arial"/>
          <w:sz w:val="12"/>
          <w:szCs w:val="12"/>
          <w:i w:val="1"/>
          <w:iCs w:val="1"/>
          <w:color w:val="auto"/>
        </w:rPr>
        <w:t xml:space="preserve">Deferred Compensation. </w:t>
      </w:r>
      <w:r>
        <w:rPr>
          <w:rFonts w:ascii="Arial" w:cs="Arial" w:eastAsia="Arial" w:hAnsi="Arial"/>
          <w:sz w:val="12"/>
          <w:szCs w:val="12"/>
          <w:color w:val="auto"/>
        </w:rPr>
        <w:t>We maintain a deferred compensation plan that allows employees with a base salary of $200,000 or greater, including the named executive officers, to defer the receipt of</w:t>
      </w:r>
      <w:r>
        <w:rPr>
          <w:rFonts w:ascii="Arial" w:cs="Arial" w:eastAsia="Arial" w:hAnsi="Arial"/>
          <w:sz w:val="12"/>
          <w:szCs w:val="12"/>
          <w:i w:val="1"/>
          <w:iCs w:val="1"/>
          <w:color w:val="auto"/>
        </w:rPr>
        <w:t xml:space="preserve"> </w:t>
      </w:r>
      <w:r>
        <w:rPr>
          <w:rFonts w:ascii="Arial" w:cs="Arial" w:eastAsia="Arial" w:hAnsi="Arial"/>
          <w:sz w:val="12"/>
          <w:szCs w:val="12"/>
          <w:color w:val="auto"/>
        </w:rPr>
        <w:t>cash compensation (</w:t>
      </w:r>
      <w:r>
        <w:rPr>
          <w:rFonts w:ascii="Arial" w:cs="Arial" w:eastAsia="Arial" w:hAnsi="Arial"/>
          <w:sz w:val="12"/>
          <w:szCs w:val="12"/>
          <w:i w:val="1"/>
          <w:iCs w:val="1"/>
          <w:color w:val="auto"/>
        </w:rPr>
        <w:t>i.e.</w:t>
      </w:r>
      <w:r>
        <w:rPr>
          <w:rFonts w:ascii="Arial" w:cs="Arial" w:eastAsia="Arial" w:hAnsi="Arial"/>
          <w:sz w:val="12"/>
          <w:szCs w:val="12"/>
          <w:color w:val="auto"/>
        </w:rPr>
        <w:t>, base salary and annual bonus), as described below under “Nonqualified Deferred Compensation in and as of 2009 Fiscal Year-End.” In addition, the employment agreements of Messrs. Roberts, Angelakis, Burke and Cohen provide for specified amounts to be contributed to the named</w:t>
      </w:r>
    </w:p>
    <w:p>
      <w:pPr>
        <w:spacing w:after="0" w:line="249"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97790</wp:posOffset>
            </wp:positionV>
            <wp:extent cx="7299325" cy="18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660"/>
          </w:cols>
          <w:pgMar w:left="220" w:top="327" w:right="1019" w:bottom="1440" w:gutter="0" w:footer="0" w:header="0"/>
        </w:sectPr>
      </w:pPr>
    </w:p>
    <w:bookmarkStart w:id="38" w:name="page39"/>
    <w:bookmarkEnd w:id="38"/>
    <w:p>
      <w:pPr>
        <w:spacing w:after="0"/>
        <w:rPr>
          <w:rFonts w:ascii="Arial" w:cs="Arial" w:eastAsia="Arial" w:hAnsi="Arial"/>
          <w:sz w:val="12"/>
          <w:szCs w:val="12"/>
          <w:b w:val="1"/>
          <w:bCs w:val="1"/>
          <w:u w:val="single" w:color="auto"/>
          <w:color w:val="0000EE"/>
        </w:rPr>
      </w:pP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680" w:right="140"/>
        <w:spacing w:after="0" w:line="286" w:lineRule="auto"/>
        <w:rPr>
          <w:sz w:val="20"/>
          <w:szCs w:val="20"/>
          <w:color w:val="auto"/>
        </w:rPr>
      </w:pPr>
      <w:r>
        <w:rPr>
          <w:rFonts w:ascii="Arial" w:cs="Arial" w:eastAsia="Arial" w:hAnsi="Arial"/>
          <w:sz w:val="11"/>
          <w:szCs w:val="11"/>
          <w:color w:val="auto"/>
        </w:rPr>
        <w:t>executive officer’s deferred compensation plan account for each year of the agreement. Also, as partial consideration for entering into the employment agreements described above under “ — Cash Bonus Incentive Compensation,” Messrs. Angelakis and Burke received an additional deferred compensation plan contribution amount, in each case as described below under “Agreements with Our Named Executive Officers — Employment Agreement with Mr. Angelakis, and — Employment Agreement with Mr. Burke.” The contractually required contributions were agreed upon as a result of arm’s-length negotiations with the named executive officers and viewed by the Compensation Committee as a reasonable component part of overall compensation, especially from a retention perspective. The Compensation Committee reviewed each named executive officer’s plan balance at December 31, 2008 and annually reviews the embedded and projected costs of this plan.</w:t>
      </w:r>
    </w:p>
    <w:p>
      <w:pPr>
        <w:spacing w:after="0" w:line="48" w:lineRule="exact"/>
        <w:rPr>
          <w:sz w:val="20"/>
          <w:szCs w:val="20"/>
          <w:color w:val="auto"/>
        </w:rPr>
      </w:pPr>
    </w:p>
    <w:p>
      <w:pPr>
        <w:ind w:left="680" w:right="40" w:firstLine="400"/>
        <w:spacing w:after="0" w:line="259" w:lineRule="auto"/>
        <w:rPr>
          <w:sz w:val="20"/>
          <w:szCs w:val="20"/>
          <w:color w:val="auto"/>
        </w:rPr>
      </w:pPr>
      <w:r>
        <w:rPr>
          <w:rFonts w:ascii="Arial" w:cs="Arial" w:eastAsia="Arial" w:hAnsi="Arial"/>
          <w:sz w:val="12"/>
          <w:szCs w:val="12"/>
          <w:color w:val="auto"/>
        </w:rPr>
        <w:t>Other than the deferred compensation plan (and a tax-qualified defined contribution (</w:t>
      </w:r>
      <w:r>
        <w:rPr>
          <w:rFonts w:ascii="Arial" w:cs="Arial" w:eastAsia="Arial" w:hAnsi="Arial"/>
          <w:sz w:val="12"/>
          <w:szCs w:val="12"/>
          <w:i w:val="1"/>
          <w:iCs w:val="1"/>
          <w:color w:val="auto"/>
        </w:rPr>
        <w:t>i.e.</w:t>
      </w:r>
      <w:r>
        <w:rPr>
          <w:rFonts w:ascii="Arial" w:cs="Arial" w:eastAsia="Arial" w:hAnsi="Arial"/>
          <w:sz w:val="12"/>
          <w:szCs w:val="12"/>
          <w:color w:val="auto"/>
        </w:rPr>
        <w:t>, 401(k) plan), we do not offer any pension or other defined benefit-type plan to the named executive officers. In lieu of a defined benefit-type plan, which is found among several of our peer group companies, our deferred compensation plan provides a simple, transparent, tax-efficient vehicle for long-term value accumulation. The plan is one of our primary tools to attract and retain our named executive officers. In a similar manner to a traditional defined benefit executive retirement plan, the plan’s retention incentive gets stronger as the plan balance grows. In addition, the crediting rate is materially reduced following a termination of employment.</w:t>
      </w:r>
    </w:p>
    <w:p>
      <w:pPr>
        <w:spacing w:after="0" w:line="62" w:lineRule="exact"/>
        <w:rPr>
          <w:sz w:val="20"/>
          <w:szCs w:val="20"/>
          <w:color w:val="auto"/>
        </w:rPr>
      </w:pPr>
    </w:p>
    <w:p>
      <w:pPr>
        <w:ind w:left="680" w:right="120" w:firstLine="400"/>
        <w:spacing w:after="0" w:line="259" w:lineRule="auto"/>
        <w:rPr>
          <w:sz w:val="20"/>
          <w:szCs w:val="20"/>
          <w:color w:val="auto"/>
        </w:rPr>
      </w:pPr>
      <w:r>
        <w:rPr>
          <w:rFonts w:ascii="Arial" w:cs="Arial" w:eastAsia="Arial" w:hAnsi="Arial"/>
          <w:sz w:val="12"/>
          <w:szCs w:val="12"/>
          <w:color w:val="auto"/>
        </w:rPr>
        <w:t>Also, our restricted stock plan permits recipients of awards to defer delivery of shares to a later date, without any guaranteed return on the vesting date value. In other words, any deferred shares, when later delivered, would have a value equal to the market value of our stock at that time. In addition, the plan permits recipients who have deferred delivery to elect to diversify any or all of the value of their deferred account into a cash equivalent account, which currently has an annual rate of return equivalent to that applicable under the deferred compensation plan. As of December 31, 2009, none of the named executive officers had elected to defer delivery of shares under any RSU awards.</w:t>
      </w:r>
    </w:p>
    <w:p>
      <w:pPr>
        <w:spacing w:after="0" w:line="62" w:lineRule="exact"/>
        <w:rPr>
          <w:sz w:val="20"/>
          <w:szCs w:val="20"/>
          <w:color w:val="auto"/>
        </w:rPr>
      </w:pPr>
    </w:p>
    <w:p>
      <w:pPr>
        <w:jc w:val="both"/>
        <w:ind w:left="680" w:right="120" w:firstLine="400"/>
        <w:spacing w:after="0" w:line="263" w:lineRule="auto"/>
        <w:rPr>
          <w:sz w:val="20"/>
          <w:szCs w:val="20"/>
          <w:color w:val="auto"/>
        </w:rPr>
      </w:pPr>
      <w:r>
        <w:rPr>
          <w:rFonts w:ascii="Arial" w:cs="Arial" w:eastAsia="Arial" w:hAnsi="Arial"/>
          <w:sz w:val="12"/>
          <w:szCs w:val="12"/>
          <w:i w:val="1"/>
          <w:iCs w:val="1"/>
          <w:color w:val="auto"/>
        </w:rPr>
        <w:t xml:space="preserve">Insurance Benefits. </w:t>
      </w:r>
      <w:r>
        <w:rPr>
          <w:rFonts w:ascii="Arial" w:cs="Arial" w:eastAsia="Arial" w:hAnsi="Arial"/>
          <w:sz w:val="12"/>
          <w:szCs w:val="12"/>
          <w:color w:val="auto"/>
        </w:rPr>
        <w:t>In 2007 and 2008, we provided Mr. Roberts with premium reimbursements and tax payments under pre-existing contractual arrangements with respect to certain life insurance</w:t>
      </w:r>
      <w:r>
        <w:rPr>
          <w:rFonts w:ascii="Arial" w:cs="Arial" w:eastAsia="Arial" w:hAnsi="Arial"/>
          <w:sz w:val="12"/>
          <w:szCs w:val="12"/>
          <w:i w:val="1"/>
          <w:iCs w:val="1"/>
          <w:color w:val="auto"/>
        </w:rPr>
        <w:t xml:space="preserve"> </w:t>
      </w:r>
      <w:r>
        <w:rPr>
          <w:rFonts w:ascii="Arial" w:cs="Arial" w:eastAsia="Arial" w:hAnsi="Arial"/>
          <w:sz w:val="12"/>
          <w:szCs w:val="12"/>
          <w:color w:val="auto"/>
        </w:rPr>
        <w:t>policies. These arrangements were put in place beginning in 1992. At that time, they were viewed by the Compensation Committee as an appropriate component of a comprehensive compensation program for Mr. Roberts. In February 2009, Mr. Roberts elected to relinquish his right to these benefits, effective January 1, 2009.</w:t>
      </w:r>
    </w:p>
    <w:p>
      <w:pPr>
        <w:spacing w:after="0" w:line="60" w:lineRule="exact"/>
        <w:rPr>
          <w:sz w:val="20"/>
          <w:szCs w:val="20"/>
          <w:color w:val="auto"/>
        </w:rPr>
      </w:pPr>
    </w:p>
    <w:p>
      <w:pPr>
        <w:ind w:left="680" w:right="60" w:firstLine="400"/>
        <w:spacing w:after="0" w:line="257" w:lineRule="auto"/>
        <w:rPr>
          <w:sz w:val="20"/>
          <w:szCs w:val="20"/>
          <w:color w:val="auto"/>
        </w:rPr>
      </w:pPr>
      <w:r>
        <w:rPr>
          <w:rFonts w:ascii="Arial" w:cs="Arial" w:eastAsia="Arial" w:hAnsi="Arial"/>
          <w:sz w:val="12"/>
          <w:szCs w:val="12"/>
          <w:i w:val="1"/>
          <w:iCs w:val="1"/>
          <w:color w:val="auto"/>
        </w:rPr>
        <w:t xml:space="preserve">Perquisites. </w:t>
      </w:r>
      <w:r>
        <w:rPr>
          <w:rFonts w:ascii="Arial" w:cs="Arial" w:eastAsia="Arial" w:hAnsi="Arial"/>
          <w:sz w:val="12"/>
          <w:szCs w:val="12"/>
          <w:color w:val="auto"/>
        </w:rPr>
        <w:t>Before 2006, we provided a limited amount of additional compensation through certain personal benefits to ease the demands on senior executives (including travel) and to provide</w:t>
      </w:r>
      <w:r>
        <w:rPr>
          <w:rFonts w:ascii="Arial" w:cs="Arial" w:eastAsia="Arial" w:hAnsi="Arial"/>
          <w:sz w:val="12"/>
          <w:szCs w:val="12"/>
          <w:i w:val="1"/>
          <w:iCs w:val="1"/>
          <w:color w:val="auto"/>
        </w:rPr>
        <w:t xml:space="preserve"> </w:t>
      </w:r>
      <w:r>
        <w:rPr>
          <w:rFonts w:ascii="Arial" w:cs="Arial" w:eastAsia="Arial" w:hAnsi="Arial"/>
          <w:sz w:val="12"/>
          <w:szCs w:val="12"/>
          <w:color w:val="auto"/>
        </w:rPr>
        <w:t>security to our named executive officers and their families. Beginning in 2006, such benefits have been eliminated or our named executive officers have been required to pay us for any benefits that would otherwise be considered perquisites. In 2007 and 2008, as discussed above under “— Insurance Benefits,” we provided tax-related payments to Mr. Roberts in connection with certain life insurance benefits, which Mr. Roberts elected to relinquish effective January 1, 2009. Following his relinquishment, the Compensation Committee decided that as a matter of policy we should not provide tax gross-ups to our named executive officers for perquisites.</w:t>
      </w:r>
    </w:p>
    <w:p>
      <w:pPr>
        <w:spacing w:after="0" w:line="63" w:lineRule="exact"/>
        <w:rPr>
          <w:sz w:val="20"/>
          <w:szCs w:val="20"/>
          <w:color w:val="auto"/>
        </w:rPr>
      </w:pPr>
    </w:p>
    <w:p>
      <w:pPr>
        <w:ind w:left="680" w:right="60" w:firstLine="400"/>
        <w:spacing w:after="0" w:line="290" w:lineRule="auto"/>
        <w:rPr>
          <w:sz w:val="20"/>
          <w:szCs w:val="20"/>
          <w:color w:val="auto"/>
        </w:rPr>
      </w:pPr>
      <w:r>
        <w:rPr>
          <w:rFonts w:ascii="Arial" w:cs="Arial" w:eastAsia="Arial" w:hAnsi="Arial"/>
          <w:sz w:val="11"/>
          <w:szCs w:val="11"/>
          <w:i w:val="1"/>
          <w:iCs w:val="1"/>
          <w:color w:val="auto"/>
        </w:rPr>
        <w:t xml:space="preserve">Payments in Connection with a Change in Control. </w:t>
      </w:r>
      <w:r>
        <w:rPr>
          <w:rFonts w:ascii="Arial" w:cs="Arial" w:eastAsia="Arial" w:hAnsi="Arial"/>
          <w:sz w:val="11"/>
          <w:szCs w:val="11"/>
          <w:color w:val="auto"/>
        </w:rPr>
        <w:t>We generally do not have any benefits that are “triggered” automatically as a result of a “change in control” (a “single trigger”) or the occurrence</w:t>
      </w:r>
      <w:r>
        <w:rPr>
          <w:rFonts w:ascii="Arial" w:cs="Arial" w:eastAsia="Arial" w:hAnsi="Arial"/>
          <w:sz w:val="11"/>
          <w:szCs w:val="11"/>
          <w:i w:val="1"/>
          <w:iCs w:val="1"/>
          <w:color w:val="auto"/>
        </w:rPr>
        <w:t xml:space="preserve"> </w:t>
      </w:r>
      <w:r>
        <w:rPr>
          <w:rFonts w:ascii="Arial" w:cs="Arial" w:eastAsia="Arial" w:hAnsi="Arial"/>
          <w:sz w:val="11"/>
          <w:szCs w:val="11"/>
          <w:color w:val="auto"/>
        </w:rPr>
        <w:t>of one or more specified events (a “double trigger”) that may follow a change in control, such as termination of employment without cause. Instead, our Board will determine whether it is appropriate to accelerate the vesting of stock options and/or RSUs, as applicable, or provide other benefits in connection with a change in control. There has been no determination of any guiding principles or factors that our Board may in the future use in determining the propriety of accelerating the vesting of stock options and/or RSUs, or providing other benefits, in connection with a change in control.</w:t>
      </w:r>
    </w:p>
    <w:p>
      <w:pPr>
        <w:spacing w:after="0" w:line="46" w:lineRule="exact"/>
        <w:rPr>
          <w:sz w:val="20"/>
          <w:szCs w:val="20"/>
          <w:color w:val="auto"/>
        </w:rPr>
      </w:pPr>
    </w:p>
    <w:p>
      <w:pPr>
        <w:ind w:left="680" w:firstLine="400"/>
        <w:spacing w:after="0" w:line="263" w:lineRule="auto"/>
        <w:rPr>
          <w:sz w:val="20"/>
          <w:szCs w:val="20"/>
          <w:color w:val="auto"/>
        </w:rPr>
      </w:pPr>
      <w:r>
        <w:rPr>
          <w:rFonts w:ascii="Arial" w:cs="Arial" w:eastAsia="Arial" w:hAnsi="Arial"/>
          <w:sz w:val="12"/>
          <w:szCs w:val="12"/>
          <w:color w:val="auto"/>
        </w:rPr>
        <w:t>Mr. Roberts’ employment agreement provides that if his employment is terminated following a change in control, that termination will be treated as a termination without cause for the purpose of determining his benefits in those circumstances under his employment agreement. The Compensation Committee approved this provision as a fair and reasonable protection for our Chief Executive Officer in the event of a change in control.</w:t>
      </w:r>
    </w:p>
    <w:p>
      <w:pPr>
        <w:spacing w:after="0" w:line="249"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97790</wp:posOffset>
            </wp:positionV>
            <wp:extent cx="7299325" cy="18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620"/>
          </w:cols>
          <w:pgMar w:left="220" w:top="327" w:right="1059" w:bottom="1440" w:gutter="0" w:footer="0" w:header="0"/>
        </w:sectPr>
      </w:pPr>
    </w:p>
    <w:bookmarkStart w:id="39" w:name="page40"/>
    <w:bookmarkEnd w:id="39"/>
    <w:p>
      <w:pPr>
        <w:spacing w:after="0"/>
        <w:rPr>
          <w:rFonts w:ascii="Arial" w:cs="Arial" w:eastAsia="Arial" w:hAnsi="Arial"/>
          <w:sz w:val="12"/>
          <w:szCs w:val="12"/>
          <w:b w:val="1"/>
          <w:bCs w:val="1"/>
          <w:u w:val="single" w:color="auto"/>
          <w:color w:val="0000EE"/>
        </w:rPr>
      </w:pP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680" w:right="20" w:firstLine="400"/>
        <w:spacing w:after="0" w:line="255" w:lineRule="auto"/>
        <w:rPr>
          <w:sz w:val="20"/>
          <w:szCs w:val="20"/>
          <w:color w:val="auto"/>
        </w:rPr>
      </w:pPr>
      <w:r>
        <w:rPr>
          <w:rFonts w:ascii="Arial" w:cs="Arial" w:eastAsia="Arial" w:hAnsi="Arial"/>
          <w:sz w:val="12"/>
          <w:szCs w:val="12"/>
          <w:i w:val="1"/>
          <w:iCs w:val="1"/>
          <w:color w:val="auto"/>
        </w:rPr>
        <w:t xml:space="preserve">Payments in Connection with a Termination of Employment. </w:t>
      </w:r>
      <w:r>
        <w:rPr>
          <w:rFonts w:ascii="Arial" w:cs="Arial" w:eastAsia="Arial" w:hAnsi="Arial"/>
          <w:sz w:val="12"/>
          <w:szCs w:val="12"/>
          <w:color w:val="auto"/>
        </w:rPr>
        <w:t>Payments to our named executive officers upon a termination of employment are described below under “Potential Payments upon</w:t>
      </w:r>
      <w:r>
        <w:rPr>
          <w:rFonts w:ascii="Arial" w:cs="Arial" w:eastAsia="Arial" w:hAnsi="Arial"/>
          <w:sz w:val="12"/>
          <w:szCs w:val="12"/>
          <w:i w:val="1"/>
          <w:iCs w:val="1"/>
          <w:color w:val="auto"/>
        </w:rPr>
        <w:t xml:space="preserve"> </w:t>
      </w:r>
      <w:r>
        <w:rPr>
          <w:rFonts w:ascii="Arial" w:cs="Arial" w:eastAsia="Arial" w:hAnsi="Arial"/>
          <w:sz w:val="12"/>
          <w:szCs w:val="12"/>
          <w:color w:val="auto"/>
        </w:rPr>
        <w:t>Termination or Change in Control.” These compensation arrangements are contained in each named executive officer’s employment or other agreements and are not a factor in the Compensation Committee’s determination of current year compensation elements. These arrangements were arrived at as a result of arm’s-length negotiations in connection with entering into each such agreement, based on the Compensation Committee’s decision that it was appropriate to provide more favorable arrangements than those offered to non-executive employees upon termination of employment. Prior to February 2009, Mr. Roberts’ spouse or his or her estate had the right, following Mr. Roberts’ death, to receive continued payment of base salary and annual cash bonus for up to five years. At that time, Mr. Roberts elected to relinquish this right.</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Emphasis on Performance</w:t>
      </w:r>
    </w:p>
    <w:p>
      <w:pPr>
        <w:spacing w:after="0" w:line="87" w:lineRule="exact"/>
        <w:rPr>
          <w:sz w:val="20"/>
          <w:szCs w:val="20"/>
          <w:color w:val="auto"/>
        </w:rPr>
      </w:pPr>
    </w:p>
    <w:p>
      <w:pPr>
        <w:ind w:left="680" w:firstLine="400"/>
        <w:spacing w:after="0" w:line="259" w:lineRule="auto"/>
        <w:rPr>
          <w:sz w:val="20"/>
          <w:szCs w:val="20"/>
          <w:color w:val="auto"/>
        </w:rPr>
      </w:pPr>
      <w:r>
        <w:rPr>
          <w:rFonts w:ascii="Arial" w:cs="Arial" w:eastAsia="Arial" w:hAnsi="Arial"/>
          <w:sz w:val="12"/>
          <w:szCs w:val="12"/>
          <w:color w:val="auto"/>
        </w:rPr>
        <w:t>The Compensation Committee’s emphasis on performance within the named executive officer compensation program is evidenced by the characteristics of several of its elements. Most obvious are the financial targets that are conditions to earning the annual cash bonus and the vesting of RSUs. In addition, the realized value of RSUs is directly tied to our stock price. Further, the entire value of stock options is based on appreciation in our stock price. This combination of internally measured (financial performance) and externally measured (stock price) performance provides both short-term and long-term performance components in the compensation structure of our named executive officers.</w:t>
      </w:r>
    </w:p>
    <w:p>
      <w:pPr>
        <w:spacing w:after="0" w:line="62" w:lineRule="exact"/>
        <w:rPr>
          <w:sz w:val="20"/>
          <w:szCs w:val="20"/>
          <w:color w:val="auto"/>
        </w:rPr>
      </w:pPr>
    </w:p>
    <w:p>
      <w:pPr>
        <w:ind w:left="680" w:firstLine="400"/>
        <w:spacing w:after="0" w:line="320" w:lineRule="auto"/>
        <w:rPr>
          <w:sz w:val="20"/>
          <w:szCs w:val="20"/>
          <w:color w:val="auto"/>
        </w:rPr>
      </w:pPr>
      <w:r>
        <w:rPr>
          <w:rFonts w:ascii="Arial" w:cs="Arial" w:eastAsia="Arial" w:hAnsi="Arial"/>
          <w:sz w:val="10"/>
          <w:szCs w:val="10"/>
          <w:color w:val="auto"/>
        </w:rPr>
        <w:t>The Compensation Committee believes that the compensation program’s emphasis on performance, especially the equity-based compensation, aligns the compensation structure with the risks inherent in our businesses, in that the achievement (or lack of achievement) of our operating, investing and capital goals would be expected to be reflected in the market price of our stock. At the same time, the Compensation Committee reviews the nature and mix of compensation elements, as well as compensation plan design and award terms, to ensure that our compensation program aligns the interests of our executives with those of our shareholders, so as to avoid inadvertent incentives for the named executive officers to take inappropriate business risks by making decisions that may be in their best interests but not in the best interests of our shareholders. In conducting this review, the Compensation Committee takes into consideration specific business risks identified through our enterprise risk management process.</w:t>
      </w:r>
    </w:p>
    <w:p>
      <w:pPr>
        <w:spacing w:after="0" w:line="35" w:lineRule="exact"/>
        <w:rPr>
          <w:sz w:val="20"/>
          <w:szCs w:val="20"/>
          <w:color w:val="auto"/>
        </w:rPr>
      </w:pPr>
    </w:p>
    <w:p>
      <w:pPr>
        <w:ind w:left="680" w:firstLine="400"/>
        <w:spacing w:after="0" w:line="254" w:lineRule="auto"/>
        <w:rPr>
          <w:sz w:val="20"/>
          <w:szCs w:val="20"/>
          <w:color w:val="auto"/>
        </w:rPr>
      </w:pPr>
      <w:r>
        <w:rPr>
          <w:rFonts w:ascii="Arial" w:cs="Arial" w:eastAsia="Arial" w:hAnsi="Arial"/>
          <w:sz w:val="12"/>
          <w:szCs w:val="12"/>
          <w:color w:val="auto"/>
        </w:rPr>
        <w:t>As described above under “— Elements and Mix of Our Compensation Program — Cash Bonus Incentive Compensation, and — Equity-Based Incentive Compensation,” in 2009 the Compensation Committee selected consolidated operating cash flow, free cash flow and revenue as the performance goals for the annual cash bonuses of our named executive officers, and consolidated free cash flow growth as the performance goal for vesting of their performance vested RSUs. The peer group analyses described above under “— Overview of Our Compensation Program Philosophy and Process” indicate that overall, both with respect to the mix of cash vs. equity-based and the types of equity-based vehicles used, our “pay at risk” practices are within the range of peer group practices. This is the case even after taking into account the additional fixed compensation resulting from contractually committed contributions to the deferred compensation plan for our named executive officers other than Mr. Block. (It should be noted that unlike the treatment given traditional defined benefit executive retirement plans of peer companies, deferred compensation contributions are considered as guaranteed payments in our comparisons.)</w:t>
      </w:r>
    </w:p>
    <w:p>
      <w:pPr>
        <w:spacing w:after="0" w:line="68" w:lineRule="exact"/>
        <w:rPr>
          <w:sz w:val="20"/>
          <w:szCs w:val="20"/>
          <w:color w:val="auto"/>
        </w:rPr>
      </w:pPr>
    </w:p>
    <w:p>
      <w:pPr>
        <w:ind w:left="680" w:right="280" w:firstLine="400"/>
        <w:spacing w:after="0" w:line="276" w:lineRule="auto"/>
        <w:rPr>
          <w:sz w:val="20"/>
          <w:szCs w:val="20"/>
          <w:color w:val="auto"/>
        </w:rPr>
      </w:pPr>
      <w:r>
        <w:rPr>
          <w:rFonts w:ascii="Arial" w:cs="Arial" w:eastAsia="Arial" w:hAnsi="Arial"/>
          <w:sz w:val="12"/>
          <w:szCs w:val="12"/>
          <w:color w:val="auto"/>
        </w:rPr>
        <w:t>Total performance-based compensation in 2009 (using the grant date value of stock options and RSUs) was a significant percentage of the named executive officers’ total compensation (70% for Mr. Roberts, 67% for Mr. Angelakis, 62% for Mr. Burke, 69% for Mr. Cohen and 75% for Mr. Block).</w:t>
      </w:r>
    </w:p>
    <w:p>
      <w:pPr>
        <w:spacing w:after="0" w:line="52" w:lineRule="exact"/>
        <w:rPr>
          <w:sz w:val="20"/>
          <w:szCs w:val="20"/>
          <w:color w:val="auto"/>
        </w:rPr>
      </w:pPr>
    </w:p>
    <w:p>
      <w:pPr>
        <w:ind w:left="680" w:right="140" w:firstLine="400"/>
        <w:spacing w:after="0" w:line="259" w:lineRule="auto"/>
        <w:rPr>
          <w:sz w:val="20"/>
          <w:szCs w:val="20"/>
          <w:color w:val="auto"/>
        </w:rPr>
      </w:pPr>
      <w:r>
        <w:rPr>
          <w:rFonts w:ascii="Arial" w:cs="Arial" w:eastAsia="Arial" w:hAnsi="Arial"/>
          <w:sz w:val="12"/>
          <w:szCs w:val="12"/>
          <w:color w:val="auto"/>
        </w:rPr>
        <w:t>Our consolidated operating cash flow, which is a non-GAAP financial measure, is defined as operating income before depreciation and amortization, excluding impairment charges related to fixed and intangible assets and gains or losses on sale of assets, if any. As such, it eliminates the significant level of noncash depreciation and amortization expense that results from the capital intensive nature of our businesses and intangible assets recognized in business combinations, and is unaffected by our capital structure or investment activities. Our Board uses this metric in evaluating our consolidated operating performance, and management</w:t>
      </w:r>
    </w:p>
    <w:p>
      <w:pPr>
        <w:spacing w:after="0" w:line="251"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97790</wp:posOffset>
            </wp:positionV>
            <wp:extent cx="7299325" cy="18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660"/>
          </w:cols>
          <w:pgMar w:left="220" w:top="327" w:right="1019" w:bottom="1440" w:gutter="0" w:footer="0" w:header="0"/>
        </w:sectPr>
      </w:pPr>
    </w:p>
    <w:bookmarkStart w:id="40" w:name="page41"/>
    <w:bookmarkEnd w:id="40"/>
    <w:p>
      <w:pPr>
        <w:spacing w:after="0"/>
        <w:rPr>
          <w:rFonts w:ascii="Arial" w:cs="Arial" w:eastAsia="Arial" w:hAnsi="Arial"/>
          <w:sz w:val="12"/>
          <w:szCs w:val="12"/>
          <w:b w:val="1"/>
          <w:bCs w:val="1"/>
          <w:u w:val="single" w:color="auto"/>
          <w:color w:val="0000EE"/>
        </w:rPr>
      </w:pP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680" w:right="60"/>
        <w:spacing w:after="0" w:line="298" w:lineRule="auto"/>
        <w:rPr>
          <w:sz w:val="20"/>
          <w:szCs w:val="20"/>
          <w:color w:val="auto"/>
        </w:rPr>
      </w:pPr>
      <w:r>
        <w:rPr>
          <w:rFonts w:ascii="Arial" w:cs="Arial" w:eastAsia="Arial" w:hAnsi="Arial"/>
          <w:sz w:val="11"/>
          <w:szCs w:val="11"/>
          <w:color w:val="auto"/>
        </w:rPr>
        <w:t>uses this metric to allocate resources and capital to our operating segments. We believe that operating cash flow is also useful to investors as a primary basis for comparing our operating performance with other companies in our industries, although our measure of operating cash flow may not be directly comparable to similar measures used by other companies. For these reasons, the Compensation Committee views this quantitative metric as the best overall measure of our performance that can be affected by the decision making of our named executive officers, and accordingly gave it a 60% weight.</w:t>
      </w:r>
    </w:p>
    <w:p>
      <w:pPr>
        <w:spacing w:after="0" w:line="42" w:lineRule="exact"/>
        <w:rPr>
          <w:sz w:val="20"/>
          <w:szCs w:val="20"/>
          <w:color w:val="auto"/>
        </w:rPr>
      </w:pPr>
    </w:p>
    <w:p>
      <w:pPr>
        <w:ind w:left="680" w:firstLine="400"/>
        <w:spacing w:after="0" w:line="281" w:lineRule="auto"/>
        <w:rPr>
          <w:sz w:val="20"/>
          <w:szCs w:val="20"/>
          <w:color w:val="auto"/>
        </w:rPr>
      </w:pPr>
      <w:r>
        <w:rPr>
          <w:rFonts w:ascii="Arial" w:cs="Arial" w:eastAsia="Arial" w:hAnsi="Arial"/>
          <w:sz w:val="11"/>
          <w:szCs w:val="11"/>
          <w:color w:val="auto"/>
        </w:rPr>
        <w:t>As described above under “— Elements and Mix of Our Compensation Program — Cash Bonus Incentive Compensation,” in 2008 the Compensation Committee added free cash flow as an additional performance metric in achieving the target annual cash bonus for the named executive officers. In 2009, this metric was given a 30% weight. Free cash flow, which is a non-GAAP financial measure, is defined as “Net Cash Provided by Operating Activities” (as stated in our Consolidated Statement of Cash Flows), reduced by capital expenditures and cash paid for intangible assets, and adjusted for any payments related to certain nonoperating items, net of estimated tax benefits (such as income taxes on investment sales, and nonrecurring payments related to income tax and litigation contingencies of acquired companies). Free cash flow is used as an indicator of our ability to service and repay debt, make investments and return capital to investors through stock repurchases and dividends. It is also valued by investors as an additional measure that can be used to compare our performance with other companies. For these reasons, the Compensation Committee believes that free cash flow is a meaningful quantitative metric that also reflects the decision making of our named executive officers.</w:t>
      </w:r>
    </w:p>
    <w:p>
      <w:pPr>
        <w:spacing w:after="0" w:line="53" w:lineRule="exact"/>
        <w:rPr>
          <w:sz w:val="20"/>
          <w:szCs w:val="20"/>
          <w:color w:val="auto"/>
        </w:rPr>
      </w:pPr>
    </w:p>
    <w:p>
      <w:pPr>
        <w:ind w:left="680" w:right="80" w:firstLine="400"/>
        <w:spacing w:after="0" w:line="323" w:lineRule="auto"/>
        <w:rPr>
          <w:sz w:val="20"/>
          <w:szCs w:val="20"/>
          <w:color w:val="auto"/>
        </w:rPr>
      </w:pPr>
      <w:r>
        <w:rPr>
          <w:rFonts w:ascii="Arial" w:cs="Arial" w:eastAsia="Arial" w:hAnsi="Arial"/>
          <w:sz w:val="11"/>
          <w:szCs w:val="11"/>
          <w:color w:val="auto"/>
        </w:rPr>
        <w:t>Also as described above under “— Elements and Mix of Our Compensation Program — Cash Bonus Incentive Compensation,” in 2009 the Compensation Committee added revenue as an additional performance metric and gave it a 10% weight. Revenue was added as a metric because of the importance of growing our businesses to continued success in achieving our business goals.</w:t>
      </w:r>
    </w:p>
    <w:p>
      <w:pPr>
        <w:spacing w:after="0" w:line="29" w:lineRule="exact"/>
        <w:rPr>
          <w:sz w:val="20"/>
          <w:szCs w:val="20"/>
          <w:color w:val="auto"/>
        </w:rPr>
      </w:pPr>
    </w:p>
    <w:p>
      <w:pPr>
        <w:ind w:left="680" w:right="140" w:firstLine="400"/>
        <w:spacing w:after="0" w:line="323" w:lineRule="auto"/>
        <w:rPr>
          <w:sz w:val="20"/>
          <w:szCs w:val="20"/>
          <w:color w:val="auto"/>
        </w:rPr>
      </w:pPr>
      <w:r>
        <w:rPr>
          <w:rFonts w:ascii="Arial" w:cs="Arial" w:eastAsia="Arial" w:hAnsi="Arial"/>
          <w:sz w:val="11"/>
          <w:szCs w:val="11"/>
          <w:color w:val="auto"/>
        </w:rPr>
        <w:t>The Compensation Committee believes that measuring performance for our named executive officers using the same consolidated financial metrics (rather than individual performance goals tied to specific operating targets) is appropriate given the overall responsibility of the senior management team to deliver our most important performance goals for the year.</w:t>
      </w:r>
    </w:p>
    <w:p>
      <w:pPr>
        <w:spacing w:after="0" w:line="29" w:lineRule="exact"/>
        <w:rPr>
          <w:sz w:val="20"/>
          <w:szCs w:val="20"/>
          <w:color w:val="auto"/>
        </w:rPr>
      </w:pPr>
    </w:p>
    <w:p>
      <w:pPr>
        <w:ind w:left="680" w:firstLine="400"/>
        <w:spacing w:after="0" w:line="283" w:lineRule="auto"/>
        <w:rPr>
          <w:sz w:val="20"/>
          <w:szCs w:val="20"/>
          <w:color w:val="auto"/>
        </w:rPr>
      </w:pPr>
      <w:r>
        <w:rPr>
          <w:rFonts w:ascii="Arial" w:cs="Arial" w:eastAsia="Arial" w:hAnsi="Arial"/>
          <w:sz w:val="11"/>
          <w:szCs w:val="11"/>
          <w:color w:val="auto"/>
        </w:rPr>
        <w:t>The Compensation Committee does not determine compensation levels, or condition incentive-based compensation award achievement, based directly on our stock price performance, because it believes that it is not equitable to condition performance rewards based on an external quantitative metric that management cannot directly control and to do so could lead to an undesirable focus on short-term results. However, as stated above, the Compensation Committee does review data comparing shareholder return performance to that of our peer group companies and does consider this information in setting compensation levels each year. In addition, because a material portion of compensation for each named executive officer is in the form of a stock-based vehicle, a significant portion of each named executive officer’s compensation is inherently tied to stock price movement and the achievement of shareholder value. As noted above, this is reflected in the significantly reduced value of outstanding equity-based awards of the named executive officers, especially stock options, as a result of the substantial drop in the market price of our common stock in 2007.</w:t>
      </w:r>
    </w:p>
    <w:p>
      <w:pPr>
        <w:spacing w:after="0" w:line="123"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Emphasis on Long-Term Stock Ownership</w:t>
      </w:r>
    </w:p>
    <w:p>
      <w:pPr>
        <w:spacing w:after="0" w:line="87" w:lineRule="exact"/>
        <w:rPr>
          <w:sz w:val="20"/>
          <w:szCs w:val="20"/>
          <w:color w:val="auto"/>
        </w:rPr>
      </w:pPr>
    </w:p>
    <w:p>
      <w:pPr>
        <w:ind w:left="680" w:firstLine="400"/>
        <w:spacing w:after="0" w:line="286" w:lineRule="auto"/>
        <w:rPr>
          <w:sz w:val="20"/>
          <w:szCs w:val="20"/>
          <w:color w:val="auto"/>
        </w:rPr>
      </w:pPr>
      <w:r>
        <w:rPr>
          <w:rFonts w:ascii="Arial" w:cs="Arial" w:eastAsia="Arial" w:hAnsi="Arial"/>
          <w:sz w:val="11"/>
          <w:szCs w:val="11"/>
          <w:i w:val="1"/>
          <w:iCs w:val="1"/>
          <w:color w:val="auto"/>
        </w:rPr>
        <w:t xml:space="preserve">Vesting of Equity-Based Incentive Compensation. </w:t>
      </w:r>
      <w:r>
        <w:rPr>
          <w:rFonts w:ascii="Arial" w:cs="Arial" w:eastAsia="Arial" w:hAnsi="Arial"/>
          <w:sz w:val="11"/>
          <w:szCs w:val="11"/>
          <w:color w:val="auto"/>
        </w:rPr>
        <w:t>The Compensation Committee seeks to achieve the long-term objectives of equity compensation in part by extending the vesting period for options</w:t>
      </w:r>
      <w:r>
        <w:rPr>
          <w:rFonts w:ascii="Arial" w:cs="Arial" w:eastAsia="Arial" w:hAnsi="Arial"/>
          <w:sz w:val="11"/>
          <w:szCs w:val="11"/>
          <w:i w:val="1"/>
          <w:iCs w:val="1"/>
          <w:color w:val="auto"/>
        </w:rPr>
        <w:t xml:space="preserve"> </w:t>
      </w:r>
      <w:r>
        <w:rPr>
          <w:rFonts w:ascii="Arial" w:cs="Arial" w:eastAsia="Arial" w:hAnsi="Arial"/>
          <w:sz w:val="11"/>
          <w:szCs w:val="11"/>
          <w:color w:val="auto"/>
        </w:rPr>
        <w:t>over a longer time period than is the case with most other large public companies. For example, with respect to the stock options granted to our named executive officers during the last several years, including 2009, one-half of the options vest over five years and one-half vest over a period of nine years and six months (and there is no vesting over the first two years). RSUs granted to our named executive officers during the last several years, including 2009, generally vest 15% on each of the first four anniversaries of the date of grant and 40% on the fifth anniversary. The Compensation Committee believes that these longer time-frame (and in the case of RSUs, back-end loaded) vesting schedules focus the named executive officers over the long term on the creation of shareholder value.</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97790</wp:posOffset>
            </wp:positionV>
            <wp:extent cx="7299325" cy="184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660"/>
          </w:cols>
          <w:pgMar w:left="220" w:top="327" w:right="1019" w:bottom="1440" w:gutter="0" w:footer="0" w:header="0"/>
        </w:sectPr>
      </w:pPr>
    </w:p>
    <w:bookmarkStart w:id="41" w:name="page42"/>
    <w:bookmarkEnd w:id="41"/>
    <w:p>
      <w:pPr>
        <w:spacing w:after="0"/>
        <w:rPr>
          <w:rFonts w:ascii="Arial" w:cs="Arial" w:eastAsia="Arial" w:hAnsi="Arial"/>
          <w:sz w:val="12"/>
          <w:szCs w:val="12"/>
          <w:b w:val="1"/>
          <w:bCs w:val="1"/>
          <w:u w:val="single" w:color="auto"/>
          <w:color w:val="0000EE"/>
        </w:rPr>
      </w:pP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680" w:firstLine="400"/>
        <w:spacing w:after="0" w:line="279" w:lineRule="auto"/>
        <w:rPr>
          <w:sz w:val="20"/>
          <w:szCs w:val="20"/>
          <w:color w:val="auto"/>
        </w:rPr>
      </w:pPr>
      <w:r>
        <w:rPr>
          <w:rFonts w:ascii="Arial" w:cs="Arial" w:eastAsia="Arial" w:hAnsi="Arial"/>
          <w:sz w:val="11"/>
          <w:szCs w:val="11"/>
          <w:i w:val="1"/>
          <w:iCs w:val="1"/>
          <w:color w:val="auto"/>
        </w:rPr>
        <w:t xml:space="preserve">Stock Ownership Guidelines. </w:t>
      </w:r>
      <w:r>
        <w:rPr>
          <w:rFonts w:ascii="Arial" w:cs="Arial" w:eastAsia="Arial" w:hAnsi="Arial"/>
          <w:sz w:val="11"/>
          <w:szCs w:val="11"/>
          <w:color w:val="auto"/>
        </w:rPr>
        <w:t>We have a stock ownership policy for members of our senior management, including our named executive officers. Under the current guidelines established by the</w:t>
      </w:r>
      <w:r>
        <w:rPr>
          <w:rFonts w:ascii="Arial" w:cs="Arial" w:eastAsia="Arial" w:hAnsi="Arial"/>
          <w:sz w:val="11"/>
          <w:szCs w:val="11"/>
          <w:i w:val="1"/>
          <w:iCs w:val="1"/>
          <w:color w:val="auto"/>
        </w:rPr>
        <w:t xml:space="preserve"> </w:t>
      </w:r>
      <w:r>
        <w:rPr>
          <w:rFonts w:ascii="Arial" w:cs="Arial" w:eastAsia="Arial" w:hAnsi="Arial"/>
          <w:sz w:val="11"/>
          <w:szCs w:val="11"/>
          <w:color w:val="auto"/>
        </w:rPr>
        <w:t>Compensation Committee, Mr. Roberts is expected to own our stock in an amount equal to at least five times base salary. The other named executive officers are expected to own our stock in amounts ranging from one and a half to three times base salary. This policy is designed to increase the named executive officers’ ownership stakes and align their interests with the interests of shareholders. “Ownership” for purposes of this policy is defined to include stock owned directly or indirectly by the named executive officer and shares credited to the named executive officer under our employee stock purchase plan, which must be held for 180 days from the date credited. In addition, 60% of each of the following types of ownership also counts: shares owned under our 401(k) plan, deferred vested shares under our restricted stock plan, the amount of the stock fund under our deferred compensation plan and the difference between the market price and exercise price of vested stock options. In determining compliance, the Compensation Committee may take into account any noncompliance that occurs solely or primarily as a result of a decline in the market price of our stock. All of our named executive officers have been deemed to satisfy the requirements of our stock ownership policy as of December 31, 2009. In the event a subject employee is not in compliance, he or she is prohibited from selling our stock (unless a hardship exemption is granted).</w:t>
      </w:r>
    </w:p>
    <w:p>
      <w:pPr>
        <w:spacing w:after="0" w:line="55" w:lineRule="exact"/>
        <w:rPr>
          <w:sz w:val="20"/>
          <w:szCs w:val="20"/>
          <w:color w:val="auto"/>
        </w:rPr>
      </w:pPr>
    </w:p>
    <w:p>
      <w:pPr>
        <w:ind w:left="680" w:right="160" w:firstLine="400"/>
        <w:spacing w:after="0" w:line="259" w:lineRule="auto"/>
        <w:rPr>
          <w:sz w:val="20"/>
          <w:szCs w:val="20"/>
          <w:color w:val="auto"/>
        </w:rPr>
      </w:pPr>
      <w:r>
        <w:rPr>
          <w:rFonts w:ascii="Arial" w:cs="Arial" w:eastAsia="Arial" w:hAnsi="Arial"/>
          <w:sz w:val="12"/>
          <w:szCs w:val="12"/>
          <w:i w:val="1"/>
          <w:iCs w:val="1"/>
          <w:color w:val="auto"/>
        </w:rPr>
        <w:t xml:space="preserve">Policies Regarding Hedging. </w:t>
      </w:r>
      <w:r>
        <w:rPr>
          <w:rFonts w:ascii="Arial" w:cs="Arial" w:eastAsia="Arial" w:hAnsi="Arial"/>
          <w:sz w:val="12"/>
          <w:szCs w:val="12"/>
          <w:color w:val="auto"/>
        </w:rPr>
        <w:t>Our policy prohibits any named executive officer from buying or selling any of our securities or options or derivatives with respect to our securities without obtaining</w:t>
      </w:r>
      <w:r>
        <w:rPr>
          <w:rFonts w:ascii="Arial" w:cs="Arial" w:eastAsia="Arial" w:hAnsi="Arial"/>
          <w:sz w:val="12"/>
          <w:szCs w:val="12"/>
          <w:i w:val="1"/>
          <w:iCs w:val="1"/>
          <w:color w:val="auto"/>
        </w:rPr>
        <w:t xml:space="preserve"> </w:t>
      </w:r>
      <w:r>
        <w:rPr>
          <w:rFonts w:ascii="Arial" w:cs="Arial" w:eastAsia="Arial" w:hAnsi="Arial"/>
          <w:sz w:val="12"/>
          <w:szCs w:val="12"/>
          <w:color w:val="auto"/>
        </w:rPr>
        <w:t>prior approval from our General Counsel. This seeks to assure that the named executive officers will not trade in our securities at a time when they are in possession of inside information. We do not have a policy that specifically prohibits our named executive officers from hedging the economic risk of stock ownership. However, federal securities laws generally prohibit our named executive officers from selling “short” our stock.</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Tax and Accounting Considerations</w:t>
      </w:r>
    </w:p>
    <w:p>
      <w:pPr>
        <w:spacing w:after="0" w:line="87" w:lineRule="exact"/>
        <w:rPr>
          <w:sz w:val="20"/>
          <w:szCs w:val="20"/>
          <w:color w:val="auto"/>
        </w:rPr>
      </w:pPr>
    </w:p>
    <w:p>
      <w:pPr>
        <w:ind w:left="680" w:firstLine="400"/>
        <w:spacing w:after="0" w:line="286" w:lineRule="auto"/>
        <w:rPr>
          <w:sz w:val="20"/>
          <w:szCs w:val="20"/>
          <w:color w:val="auto"/>
        </w:rPr>
      </w:pPr>
      <w:r>
        <w:rPr>
          <w:rFonts w:ascii="Arial" w:cs="Arial" w:eastAsia="Arial" w:hAnsi="Arial"/>
          <w:sz w:val="11"/>
          <w:szCs w:val="11"/>
          <w:color w:val="auto"/>
        </w:rPr>
        <w:t>The Compensation Committee periodically reviews our compensation practices for purposes of obtaining the maximum tax deductibility of compensation paid, consistent with our employment agreements and related contractual commitments. For example, as described above under “— Elements and Mix of Our Compensation Program — Equity-Based Incentive Compensation,” we include a performance condition in RSU awards to our named executive officers as a means of obtaining tax deductibility for their value. From time to time, the Compensation Committee has awarded, and may in the future award, compensation that is not fully deductible if it determines that such award is consistent with its philosophy and is in our and our shareholders’ best interests. Our employment agreements with our named executive officers seek to ensure that any compensation that could be characterized as nonqualified deferred compensation complies with Section 409A of the Internal Revenue Code.</w:t>
      </w:r>
    </w:p>
    <w:p>
      <w:pPr>
        <w:spacing w:after="0" w:line="48"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The Compensation Committee also considers the accounting treatment of compensation elements in determining types and levels of compensation for our named executive officers.</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Other Considerations</w:t>
      </w:r>
    </w:p>
    <w:p>
      <w:pPr>
        <w:spacing w:after="0" w:line="87" w:lineRule="exact"/>
        <w:rPr>
          <w:sz w:val="20"/>
          <w:szCs w:val="20"/>
          <w:color w:val="auto"/>
        </w:rPr>
      </w:pPr>
    </w:p>
    <w:p>
      <w:pPr>
        <w:ind w:left="680" w:right="20" w:firstLine="400"/>
        <w:spacing w:after="0" w:line="259" w:lineRule="auto"/>
        <w:rPr>
          <w:sz w:val="20"/>
          <w:szCs w:val="20"/>
          <w:color w:val="auto"/>
        </w:rPr>
      </w:pPr>
      <w:r>
        <w:rPr>
          <w:rFonts w:ascii="Arial" w:cs="Arial" w:eastAsia="Arial" w:hAnsi="Arial"/>
          <w:sz w:val="12"/>
          <w:szCs w:val="12"/>
          <w:color w:val="auto"/>
        </w:rPr>
        <w:t>The Compensation Committee has historically viewed material increases in the size and scope of our operations as a basis for material increases in compensation levels. This occurred in 2002 following our AT&amp;T Broadband acquisition, which almost tripled the size of our cable operations, making us the nation’s largest video services provider. As described above under “— Elements and Mix of Our Compensation Program,” this also occurred in December 2009 in connection with entering into new employment agreements with Messrs. Angelakis, Burke and Block following the announcement of the NBCU Transaction.</w:t>
      </w:r>
    </w:p>
    <w:p>
      <w:pPr>
        <w:spacing w:after="0" w:line="62" w:lineRule="exact"/>
        <w:rPr>
          <w:sz w:val="20"/>
          <w:szCs w:val="20"/>
          <w:color w:val="auto"/>
        </w:rPr>
      </w:pPr>
    </w:p>
    <w:p>
      <w:pPr>
        <w:ind w:left="680" w:right="120" w:firstLine="400"/>
        <w:spacing w:after="0" w:line="263" w:lineRule="auto"/>
        <w:rPr>
          <w:sz w:val="20"/>
          <w:szCs w:val="20"/>
          <w:color w:val="auto"/>
        </w:rPr>
      </w:pPr>
      <w:r>
        <w:rPr>
          <w:rFonts w:ascii="Arial" w:cs="Arial" w:eastAsia="Arial" w:hAnsi="Arial"/>
          <w:sz w:val="12"/>
          <w:szCs w:val="12"/>
          <w:color w:val="auto"/>
        </w:rPr>
        <w:t>The Compensation Committee reviews, but does not give significant weight to, aggregate amounts realized or realizable from prior years’ compensation when making decisions regarding current compensation (what some commentators call an “accumulated wealth analysis”). As stated above, the Compensation Committee believes that in order to maintain the best group of executives to lead us, we need to provide a compensation package each year that is strongly competitive with the marketplace. High quality executive</w:t>
      </w:r>
    </w:p>
    <w:p>
      <w:pPr>
        <w:spacing w:after="0" w:line="249"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97790</wp:posOffset>
            </wp:positionV>
            <wp:extent cx="7299325" cy="18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660"/>
          </w:cols>
          <w:pgMar w:left="220" w:top="327" w:right="1019" w:bottom="1440" w:gutter="0" w:footer="0" w:header="0"/>
        </w:sectPr>
      </w:pPr>
    </w:p>
    <w:bookmarkStart w:id="42" w:name="page43"/>
    <w:bookmarkEnd w:id="42"/>
    <w:p>
      <w:pPr>
        <w:spacing w:after="0"/>
        <w:rPr>
          <w:rFonts w:ascii="Arial" w:cs="Arial" w:eastAsia="Arial" w:hAnsi="Arial"/>
          <w:sz w:val="12"/>
          <w:szCs w:val="12"/>
          <w:b w:val="1"/>
          <w:bCs w:val="1"/>
          <w:u w:val="single" w:color="auto"/>
          <w:color w:val="0000EE"/>
        </w:rPr>
      </w:pP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680" w:right="80"/>
        <w:spacing w:after="0" w:line="259" w:lineRule="auto"/>
        <w:rPr>
          <w:sz w:val="20"/>
          <w:szCs w:val="20"/>
          <w:color w:val="auto"/>
        </w:rPr>
      </w:pPr>
      <w:r>
        <w:rPr>
          <w:rFonts w:ascii="Arial" w:cs="Arial" w:eastAsia="Arial" w:hAnsi="Arial"/>
          <w:sz w:val="12"/>
          <w:szCs w:val="12"/>
          <w:color w:val="auto"/>
        </w:rPr>
        <w:t>talent with the experience and capabilities sought by us is scarce. The Compensation Committee is strongly of the view that it is an unnecessary risk to shareholder value to not provide a competitive level of compensation to our named executive officers each year. It believes that value realized on prior years’ compensation from stock appreciation is the reward for the named executive officer’s work over that period and the achievement of our long-term goals. To reduce current year compensation below competitive levels because a named executive officer has realized gains based on achievement of prior year goals or a desired increase in shareholder value is seen by the Compensation Committee as counterproductive.</w:t>
      </w:r>
    </w:p>
    <w:p>
      <w:pPr>
        <w:spacing w:after="0" w:line="62" w:lineRule="exact"/>
        <w:rPr>
          <w:sz w:val="20"/>
          <w:szCs w:val="20"/>
          <w:color w:val="auto"/>
        </w:rPr>
      </w:pPr>
    </w:p>
    <w:p>
      <w:pPr>
        <w:ind w:left="680" w:firstLine="400"/>
        <w:spacing w:after="0" w:line="263" w:lineRule="auto"/>
        <w:rPr>
          <w:sz w:val="20"/>
          <w:szCs w:val="20"/>
          <w:color w:val="auto"/>
        </w:rPr>
      </w:pPr>
      <w:r>
        <w:rPr>
          <w:rFonts w:ascii="Arial" w:cs="Arial" w:eastAsia="Arial" w:hAnsi="Arial"/>
          <w:sz w:val="12"/>
          <w:szCs w:val="12"/>
          <w:color w:val="auto"/>
        </w:rPr>
        <w:t>The Compensation Committee is aware that our Chairman and Chief Executive Officer, Mr. Brian L. Roberts, is a son of our founder and director, Mr. Ralph J. Roberts, and is our shareholder with the greatest beneficial voting power. The Compensation Committee maintains an objective stance toward Mr. Brian L. Roberts’ compensation. The Compensation Committee uses the same methods, tools and processes to determine Mr. Roberts’ compensation as it does for our other named executive officers.</w:t>
      </w:r>
    </w:p>
    <w:p>
      <w:pPr>
        <w:spacing w:after="0" w:line="60" w:lineRule="exact"/>
        <w:rPr>
          <w:sz w:val="20"/>
          <w:szCs w:val="20"/>
          <w:color w:val="auto"/>
        </w:rPr>
      </w:pPr>
    </w:p>
    <w:p>
      <w:pPr>
        <w:ind w:left="680" w:right="20" w:firstLine="400"/>
        <w:spacing w:after="0" w:line="254" w:lineRule="auto"/>
        <w:rPr>
          <w:sz w:val="20"/>
          <w:szCs w:val="20"/>
          <w:color w:val="auto"/>
        </w:rPr>
      </w:pPr>
      <w:r>
        <w:rPr>
          <w:rFonts w:ascii="Arial" w:cs="Arial" w:eastAsia="Arial" w:hAnsi="Arial"/>
          <w:sz w:val="12"/>
          <w:szCs w:val="12"/>
          <w:i w:val="1"/>
          <w:iCs w:val="1"/>
          <w:color w:val="auto"/>
        </w:rPr>
        <w:t xml:space="preserve">Recoupment Policy. </w:t>
      </w:r>
      <w:r>
        <w:rPr>
          <w:rFonts w:ascii="Arial" w:cs="Arial" w:eastAsia="Arial" w:hAnsi="Arial"/>
          <w:sz w:val="12"/>
          <w:szCs w:val="12"/>
          <w:color w:val="auto"/>
        </w:rPr>
        <w:t>In 2007, upon the recommendation of the Compensation Committee and the Governance and Directors Nominating Committee, our Board adopted an incentive compensation</w:t>
      </w:r>
      <w:r>
        <w:rPr>
          <w:rFonts w:ascii="Arial" w:cs="Arial" w:eastAsia="Arial" w:hAnsi="Arial"/>
          <w:sz w:val="12"/>
          <w:szCs w:val="12"/>
          <w:i w:val="1"/>
          <w:iCs w:val="1"/>
          <w:color w:val="auto"/>
        </w:rPr>
        <w:t xml:space="preserve"> </w:t>
      </w:r>
      <w:r>
        <w:rPr>
          <w:rFonts w:ascii="Arial" w:cs="Arial" w:eastAsia="Arial" w:hAnsi="Arial"/>
          <w:sz w:val="12"/>
          <w:szCs w:val="12"/>
          <w:color w:val="auto"/>
        </w:rPr>
        <w:t>recoupment policy. It provides that if it is determined by our Board that gross negligence, intentional misconduct or fraud by one of our executive officers or former executive officers caused or partially caused the restatement of all or a portion of our financial statements, the Board, in its sole discretion, may, to the extent permitted by law and our benefit plans, policies and agreements, and to the extent it determines in its sole judgment that it is in our best interests to do so, require repayment of all or a portion of any annual cash bonus, vested RSU or other incentive-based compensation paid to such executive officer or former executive officer (and/or effect the cancellation of unvested RSUs) if: (i) the amount or vesting of the incentive-based compensation was calculated based upon, or contingent on, the achievement of financial or operating results that were the subject of or affected by the restatement; and (ii) the amount or vesting of the incentive-based compensation would have been less had the financial statements been correct.</w:t>
      </w:r>
    </w:p>
    <w:p>
      <w:pPr>
        <w:spacing w:after="0" w:line="136" w:lineRule="exact"/>
        <w:rPr>
          <w:sz w:val="20"/>
          <w:szCs w:val="20"/>
          <w:color w:val="auto"/>
        </w:rPr>
      </w:pPr>
    </w:p>
    <w:p>
      <w:pPr>
        <w:ind w:left="680"/>
        <w:spacing w:after="0"/>
        <w:rPr>
          <w:sz w:val="20"/>
          <w:szCs w:val="20"/>
          <w:color w:val="auto"/>
        </w:rPr>
      </w:pPr>
      <w:r>
        <w:rPr>
          <w:rFonts w:ascii="Arial" w:cs="Arial" w:eastAsia="Arial" w:hAnsi="Arial"/>
          <w:sz w:val="12"/>
          <w:szCs w:val="12"/>
          <w:b w:val="1"/>
          <w:bCs w:val="1"/>
          <w:color w:val="auto"/>
        </w:rPr>
        <w:t>Compensation Committee Report</w:t>
      </w:r>
    </w:p>
    <w:p>
      <w:pPr>
        <w:spacing w:after="0" w:line="91" w:lineRule="exact"/>
        <w:rPr>
          <w:sz w:val="20"/>
          <w:szCs w:val="20"/>
          <w:color w:val="auto"/>
        </w:rPr>
      </w:pPr>
    </w:p>
    <w:p>
      <w:pPr>
        <w:ind w:left="680" w:right="200" w:firstLine="400"/>
        <w:spacing w:after="0" w:line="276" w:lineRule="auto"/>
        <w:rPr>
          <w:sz w:val="20"/>
          <w:szCs w:val="20"/>
          <w:color w:val="auto"/>
        </w:rPr>
      </w:pPr>
      <w:r>
        <w:rPr>
          <w:rFonts w:ascii="Arial" w:cs="Arial" w:eastAsia="Arial" w:hAnsi="Arial"/>
          <w:sz w:val="12"/>
          <w:szCs w:val="12"/>
          <w:color w:val="auto"/>
        </w:rPr>
        <w:t>We, the members of the Compensation Committee of the Board of Directors, have reviewed and discussed with management the Compensation Discussion and Analysis. Based on this review and discussion, we have recommended to the Board of Directors that the Compensation Discussion and Analysis be included in this proxy statement.</w:t>
      </w:r>
    </w:p>
    <w:p>
      <w:pPr>
        <w:spacing w:after="0" w:line="264" w:lineRule="exact"/>
        <w:rPr>
          <w:sz w:val="20"/>
          <w:szCs w:val="20"/>
          <w:color w:val="auto"/>
        </w:rPr>
      </w:pPr>
    </w:p>
    <w:p>
      <w:pPr>
        <w:ind w:left="4580"/>
        <w:spacing w:after="0"/>
        <w:rPr>
          <w:sz w:val="20"/>
          <w:szCs w:val="20"/>
          <w:color w:val="auto"/>
        </w:rPr>
      </w:pPr>
      <w:r>
        <w:rPr>
          <w:rFonts w:ascii="Arial" w:cs="Arial" w:eastAsia="Arial" w:hAnsi="Arial"/>
          <w:sz w:val="12"/>
          <w:szCs w:val="12"/>
          <w:b w:val="1"/>
          <w:bCs w:val="1"/>
          <w:color w:val="auto"/>
        </w:rPr>
        <w:t>Members of the Compensation Committee</w:t>
      </w:r>
    </w:p>
    <w:p>
      <w:pPr>
        <w:spacing w:after="0" w:line="91" w:lineRule="exact"/>
        <w:rPr>
          <w:sz w:val="20"/>
          <w:szCs w:val="20"/>
          <w:color w:val="auto"/>
        </w:rPr>
      </w:pPr>
    </w:p>
    <w:p>
      <w:pPr>
        <w:ind w:left="5080"/>
        <w:spacing w:after="0"/>
        <w:rPr>
          <w:sz w:val="20"/>
          <w:szCs w:val="20"/>
          <w:color w:val="auto"/>
        </w:rPr>
      </w:pPr>
      <w:r>
        <w:rPr>
          <w:rFonts w:ascii="Arial" w:cs="Arial" w:eastAsia="Arial" w:hAnsi="Arial"/>
          <w:sz w:val="12"/>
          <w:szCs w:val="12"/>
          <w:color w:val="auto"/>
        </w:rPr>
        <w:t>Dr. Judith Rodin (Chair)</w:t>
      </w:r>
    </w:p>
    <w:p>
      <w:pPr>
        <w:spacing w:after="0" w:line="15" w:lineRule="exact"/>
        <w:rPr>
          <w:sz w:val="20"/>
          <w:szCs w:val="20"/>
          <w:color w:val="auto"/>
        </w:rPr>
      </w:pPr>
    </w:p>
    <w:p>
      <w:pPr>
        <w:jc w:val="center"/>
        <w:ind w:right="-699"/>
        <w:spacing w:after="0"/>
        <w:rPr>
          <w:sz w:val="20"/>
          <w:szCs w:val="20"/>
          <w:color w:val="auto"/>
        </w:rPr>
      </w:pPr>
      <w:r>
        <w:rPr>
          <w:rFonts w:ascii="Arial" w:cs="Arial" w:eastAsia="Arial" w:hAnsi="Arial"/>
          <w:sz w:val="12"/>
          <w:szCs w:val="12"/>
          <w:color w:val="auto"/>
        </w:rPr>
        <w:t>S. Decker Anstrom</w:t>
      </w:r>
    </w:p>
    <w:p>
      <w:pPr>
        <w:spacing w:after="0" w:line="6" w:lineRule="exact"/>
        <w:rPr>
          <w:sz w:val="20"/>
          <w:szCs w:val="20"/>
          <w:color w:val="auto"/>
        </w:rPr>
      </w:pPr>
    </w:p>
    <w:p>
      <w:pPr>
        <w:jc w:val="center"/>
        <w:ind w:right="-699"/>
        <w:spacing w:after="0"/>
        <w:rPr>
          <w:sz w:val="20"/>
          <w:szCs w:val="20"/>
          <w:color w:val="auto"/>
        </w:rPr>
      </w:pPr>
      <w:r>
        <w:rPr>
          <w:rFonts w:ascii="Arial" w:cs="Arial" w:eastAsia="Arial" w:hAnsi="Arial"/>
          <w:sz w:val="12"/>
          <w:szCs w:val="12"/>
          <w:color w:val="auto"/>
        </w:rPr>
        <w:t>Joseph J. Collins</w:t>
      </w:r>
    </w:p>
    <w:p>
      <w:pPr>
        <w:spacing w:after="0" w:line="6" w:lineRule="exact"/>
        <w:rPr>
          <w:sz w:val="20"/>
          <w:szCs w:val="20"/>
          <w:color w:val="auto"/>
        </w:rPr>
      </w:pPr>
    </w:p>
    <w:p>
      <w:pPr>
        <w:jc w:val="center"/>
        <w:ind w:right="-699"/>
        <w:spacing w:after="0"/>
        <w:rPr>
          <w:sz w:val="20"/>
          <w:szCs w:val="20"/>
          <w:color w:val="auto"/>
        </w:rPr>
      </w:pPr>
      <w:r>
        <w:rPr>
          <w:rFonts w:ascii="Arial" w:cs="Arial" w:eastAsia="Arial" w:hAnsi="Arial"/>
          <w:sz w:val="12"/>
          <w:szCs w:val="12"/>
          <w:color w:val="auto"/>
        </w:rPr>
        <w:t>Michael I. Sovern</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2"/>
          <w:szCs w:val="12"/>
          <w:b w:val="1"/>
          <w:bCs w:val="1"/>
          <w:color w:val="auto"/>
        </w:rPr>
        <w:t>Compensation Committee Interlocks and Insider Participation</w:t>
      </w:r>
    </w:p>
    <w:p>
      <w:pPr>
        <w:spacing w:after="0" w:line="91" w:lineRule="exact"/>
        <w:rPr>
          <w:sz w:val="20"/>
          <w:szCs w:val="20"/>
          <w:color w:val="auto"/>
        </w:rPr>
      </w:pPr>
    </w:p>
    <w:p>
      <w:pPr>
        <w:ind w:left="680" w:right="40" w:firstLine="400"/>
        <w:spacing w:after="0" w:line="323" w:lineRule="auto"/>
        <w:rPr>
          <w:sz w:val="20"/>
          <w:szCs w:val="20"/>
          <w:color w:val="auto"/>
        </w:rPr>
      </w:pPr>
      <w:r>
        <w:rPr>
          <w:rFonts w:ascii="Arial" w:cs="Arial" w:eastAsia="Arial" w:hAnsi="Arial"/>
          <w:sz w:val="11"/>
          <w:szCs w:val="11"/>
          <w:color w:val="auto"/>
        </w:rPr>
        <w:t>No member of the Compensation Committee is or was during 2009 an employee, or is or ever has been an officer, of our company. None of our executive officers has served during 2009 as a director or a member of the compensation committee of another company, one of whose executive officers serves as a member of our Board or Compensation Committee.</w:t>
      </w:r>
    </w:p>
    <w:p>
      <w:pPr>
        <w:spacing w:after="0" w:line="218"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97790</wp:posOffset>
            </wp:positionV>
            <wp:extent cx="7299325" cy="184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660"/>
          </w:cols>
          <w:pgMar w:left="220" w:top="327" w:right="1019" w:bottom="1440" w:gutter="0" w:footer="0" w:header="0"/>
        </w:sectPr>
      </w:pPr>
    </w:p>
    <w:bookmarkStart w:id="43" w:name="page44"/>
    <w:bookmarkEnd w:id="43"/>
    <w:p>
      <w:pPr>
        <w:spacing w:after="0"/>
        <w:rPr>
          <w:rFonts w:ascii="Arial" w:cs="Arial" w:eastAsia="Arial" w:hAnsi="Arial"/>
          <w:sz w:val="12"/>
          <w:szCs w:val="12"/>
          <w:b w:val="1"/>
          <w:bCs w:val="1"/>
          <w:u w:val="single" w:color="auto"/>
          <w:color w:val="0000EE"/>
        </w:rPr>
      </w:pPr>
      <w:hyperlink w:anchor="page4">
        <w:r>
          <w:rPr>
            <w:rFonts w:ascii="Arial" w:cs="Arial" w:eastAsia="Arial" w:hAnsi="Arial"/>
            <w:sz w:val="12"/>
            <w:szCs w:val="12"/>
            <w:b w:val="1"/>
            <w:bCs w:val="1"/>
            <w:u w:val="single" w:color="auto"/>
            <w:color w:val="0000EE"/>
          </w:rPr>
          <w:t>Table of Contents</w:t>
        </w:r>
      </w:hyperlink>
    </w:p>
    <w:p>
      <w:pPr>
        <w:spacing w:after="0" w:line="211" w:lineRule="exact"/>
        <w:rPr>
          <w:sz w:val="20"/>
          <w:szCs w:val="20"/>
          <w:color w:val="auto"/>
        </w:rPr>
      </w:pPr>
    </w:p>
    <w:p>
      <w:pPr>
        <w:ind w:left="680"/>
        <w:spacing w:after="0"/>
        <w:rPr>
          <w:sz w:val="20"/>
          <w:szCs w:val="20"/>
          <w:color w:val="auto"/>
        </w:rPr>
      </w:pPr>
      <w:r>
        <w:rPr>
          <w:rFonts w:ascii="Arial" w:cs="Arial" w:eastAsia="Arial" w:hAnsi="Arial"/>
          <w:sz w:val="12"/>
          <w:szCs w:val="12"/>
          <w:b w:val="1"/>
          <w:bCs w:val="1"/>
          <w:color w:val="auto"/>
        </w:rPr>
        <w:t>Summary Compensation Table for 2009</w:t>
      </w:r>
    </w:p>
    <w:p>
      <w:pPr>
        <w:spacing w:after="0" w:line="91" w:lineRule="exact"/>
        <w:rPr>
          <w:sz w:val="20"/>
          <w:szCs w:val="20"/>
          <w:color w:val="auto"/>
        </w:rPr>
      </w:pPr>
    </w:p>
    <w:p>
      <w:pPr>
        <w:jc w:val="both"/>
        <w:ind w:left="680" w:right="40" w:firstLine="400"/>
        <w:spacing w:after="0" w:line="259" w:lineRule="auto"/>
        <w:rPr>
          <w:sz w:val="20"/>
          <w:szCs w:val="20"/>
          <w:color w:val="auto"/>
        </w:rPr>
      </w:pPr>
      <w:r>
        <w:rPr>
          <w:rFonts w:ascii="Arial" w:cs="Arial" w:eastAsia="Arial" w:hAnsi="Arial"/>
          <w:sz w:val="12"/>
          <w:szCs w:val="12"/>
          <w:color w:val="auto"/>
        </w:rPr>
        <w:t>The following table sets forth specified information regarding the compensation for 2009, 2008 and 2007 of our Chairman of the Board, President and Chief Executive Officer (Mr. Brian L. Roberts), our Executive Vice President and Chief Financial Officer (Mr. Michael J. Angelakis) and our next three most highly compensated executive officers (Messrs. Stephen B. Burke, David L. Cohen and Arthur R. Block), except as set forth in footnote (10) to this table. We refer to these individuals as our named executive officers, as described above in “Compensation Discussion and Analysis — Our Named Executive Officers for 2009.”</w:t>
      </w:r>
    </w:p>
    <w:p>
      <w:pPr>
        <w:spacing w:after="0" w:line="71" w:lineRule="exact"/>
        <w:rPr>
          <w:sz w:val="20"/>
          <w:szCs w:val="20"/>
          <w:color w:val="auto"/>
        </w:rPr>
      </w:pPr>
    </w:p>
    <w:tbl>
      <w:tblPr>
        <w:tblLayout w:type="fixed"/>
        <w:tblInd w:w="680" w:type="dxa"/>
        <w:tblCellMar>
          <w:top w:w="0" w:type="dxa"/>
          <w:left w:w="0" w:type="dxa"/>
          <w:bottom w:w="0" w:type="dxa"/>
          <w:right w:w="0" w:type="dxa"/>
        </w:tblCellMar>
      </w:tblPr>
      <w:tr>
        <w:trPr>
          <w:trHeight w:val="81"/>
        </w:trPr>
        <w:tc>
          <w:tcPr>
            <w:tcW w:w="20" w:type="dxa"/>
            <w:vAlign w:val="bottom"/>
          </w:tcPr>
          <w:p>
            <w:pPr>
              <w:spacing w:after="0"/>
              <w:rPr>
                <w:sz w:val="7"/>
                <w:szCs w:val="7"/>
                <w:color w:val="auto"/>
              </w:rPr>
            </w:pPr>
          </w:p>
        </w:tc>
        <w:tc>
          <w:tcPr>
            <w:tcW w:w="206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Pr>
          <w:p>
            <w:pPr>
              <w:jc w:val="center"/>
              <w:spacing w:after="0"/>
              <w:rPr>
                <w:sz w:val="20"/>
                <w:szCs w:val="20"/>
                <w:color w:val="auto"/>
              </w:rPr>
            </w:pPr>
            <w:r>
              <w:rPr>
                <w:rFonts w:ascii="Arial" w:cs="Arial" w:eastAsia="Arial" w:hAnsi="Arial"/>
                <w:sz w:val="7"/>
                <w:szCs w:val="7"/>
                <w:b w:val="1"/>
                <w:bCs w:val="1"/>
                <w:color w:val="auto"/>
                <w:w w:val="94"/>
              </w:rPr>
              <w:t>Change in</w:t>
            </w:r>
          </w:p>
        </w:tc>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06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Pr>
          <w:p>
            <w:pPr>
              <w:jc w:val="center"/>
              <w:spacing w:after="0"/>
              <w:rPr>
                <w:sz w:val="20"/>
                <w:szCs w:val="20"/>
                <w:color w:val="auto"/>
              </w:rPr>
            </w:pPr>
            <w:r>
              <w:rPr>
                <w:rFonts w:ascii="Arial" w:cs="Arial" w:eastAsia="Arial" w:hAnsi="Arial"/>
                <w:sz w:val="7"/>
                <w:szCs w:val="7"/>
                <w:b w:val="1"/>
                <w:bCs w:val="1"/>
                <w:color w:val="auto"/>
                <w:w w:val="87"/>
              </w:rPr>
              <w:t>Pension</w:t>
            </w:r>
          </w:p>
        </w:tc>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06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Pr>
          <w:p>
            <w:pPr>
              <w:jc w:val="center"/>
              <w:spacing w:after="0"/>
              <w:rPr>
                <w:sz w:val="20"/>
                <w:szCs w:val="20"/>
                <w:color w:val="auto"/>
              </w:rPr>
            </w:pPr>
            <w:r>
              <w:rPr>
                <w:rFonts w:ascii="Arial" w:cs="Arial" w:eastAsia="Arial" w:hAnsi="Arial"/>
                <w:sz w:val="7"/>
                <w:szCs w:val="7"/>
                <w:b w:val="1"/>
                <w:bCs w:val="1"/>
                <w:color w:val="auto"/>
                <w:w w:val="90"/>
              </w:rPr>
              <w:t>Value and</w:t>
            </w:r>
          </w:p>
        </w:tc>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06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Pr>
          <w:p>
            <w:pPr>
              <w:jc w:val="center"/>
              <w:spacing w:after="0"/>
              <w:rPr>
                <w:sz w:val="20"/>
                <w:szCs w:val="20"/>
                <w:color w:val="auto"/>
              </w:rPr>
            </w:pPr>
            <w:r>
              <w:rPr>
                <w:rFonts w:ascii="Arial" w:cs="Arial" w:eastAsia="Arial" w:hAnsi="Arial"/>
                <w:sz w:val="7"/>
                <w:szCs w:val="7"/>
                <w:b w:val="1"/>
                <w:bCs w:val="1"/>
                <w:color w:val="auto"/>
                <w:w w:val="94"/>
              </w:rPr>
              <w:t>Nonqualified</w:t>
            </w:r>
          </w:p>
        </w:tc>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06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tcPr>
          <w:p>
            <w:pPr>
              <w:jc w:val="center"/>
              <w:spacing w:after="0"/>
              <w:rPr>
                <w:sz w:val="20"/>
                <w:szCs w:val="20"/>
                <w:color w:val="auto"/>
              </w:rPr>
            </w:pPr>
            <w:r>
              <w:rPr>
                <w:rFonts w:ascii="Arial" w:cs="Arial" w:eastAsia="Arial" w:hAnsi="Arial"/>
                <w:sz w:val="7"/>
                <w:szCs w:val="7"/>
                <w:b w:val="1"/>
                <w:bCs w:val="1"/>
                <w:color w:val="auto"/>
                <w:w w:val="96"/>
              </w:rPr>
              <w:t>Non-Equity</w:t>
            </w:r>
          </w:p>
        </w:tc>
        <w:tc>
          <w:tcPr>
            <w:tcW w:w="80" w:type="dxa"/>
            <w:vAlign w:val="bottom"/>
          </w:tcPr>
          <w:p>
            <w:pPr>
              <w:spacing w:after="0"/>
              <w:rPr>
                <w:sz w:val="7"/>
                <w:szCs w:val="7"/>
                <w:color w:val="auto"/>
              </w:rPr>
            </w:pPr>
          </w:p>
        </w:tc>
        <w:tc>
          <w:tcPr>
            <w:tcW w:w="860" w:type="dxa"/>
            <w:vAlign w:val="bottom"/>
          </w:tcPr>
          <w:p>
            <w:pPr>
              <w:jc w:val="center"/>
              <w:spacing w:after="0"/>
              <w:rPr>
                <w:sz w:val="20"/>
                <w:szCs w:val="20"/>
                <w:color w:val="auto"/>
              </w:rPr>
            </w:pPr>
            <w:r>
              <w:rPr>
                <w:rFonts w:ascii="Arial" w:cs="Arial" w:eastAsia="Arial" w:hAnsi="Arial"/>
                <w:sz w:val="7"/>
                <w:szCs w:val="7"/>
                <w:b w:val="1"/>
                <w:bCs w:val="1"/>
                <w:color w:val="auto"/>
                <w:w w:val="97"/>
              </w:rPr>
              <w:t>Deferred</w:t>
            </w:r>
          </w:p>
        </w:tc>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06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jc w:val="right"/>
              <w:ind w:right="284"/>
              <w:spacing w:after="0"/>
              <w:rPr>
                <w:sz w:val="20"/>
                <w:szCs w:val="20"/>
                <w:color w:val="auto"/>
              </w:rPr>
            </w:pPr>
            <w:r>
              <w:rPr>
                <w:rFonts w:ascii="Arial" w:cs="Arial" w:eastAsia="Arial" w:hAnsi="Arial"/>
                <w:sz w:val="7"/>
                <w:szCs w:val="7"/>
                <w:b w:val="1"/>
                <w:bCs w:val="1"/>
                <w:color w:val="auto"/>
              </w:rPr>
              <w:t>Stock</w:t>
            </w:r>
          </w:p>
        </w:tc>
        <w:tc>
          <w:tcPr>
            <w:tcW w:w="80" w:type="dxa"/>
            <w:vAlign w:val="bottom"/>
          </w:tcPr>
          <w:p>
            <w:pPr>
              <w:spacing w:after="0"/>
              <w:rPr>
                <w:sz w:val="7"/>
                <w:szCs w:val="7"/>
                <w:color w:val="auto"/>
              </w:rPr>
            </w:pPr>
          </w:p>
        </w:tc>
        <w:tc>
          <w:tcPr>
            <w:tcW w:w="760" w:type="dxa"/>
            <w:vAlign w:val="bottom"/>
          </w:tcPr>
          <w:p>
            <w:pPr>
              <w:jc w:val="right"/>
              <w:ind w:right="244"/>
              <w:spacing w:after="0"/>
              <w:rPr>
                <w:sz w:val="20"/>
                <w:szCs w:val="20"/>
                <w:color w:val="auto"/>
              </w:rPr>
            </w:pPr>
            <w:r>
              <w:rPr>
                <w:rFonts w:ascii="Arial" w:cs="Arial" w:eastAsia="Arial" w:hAnsi="Arial"/>
                <w:sz w:val="7"/>
                <w:szCs w:val="7"/>
                <w:b w:val="1"/>
                <w:bCs w:val="1"/>
                <w:color w:val="auto"/>
              </w:rPr>
              <w:t>Option</w:t>
            </w:r>
          </w:p>
        </w:tc>
        <w:tc>
          <w:tcPr>
            <w:tcW w:w="80" w:type="dxa"/>
            <w:vAlign w:val="bottom"/>
          </w:tcPr>
          <w:p>
            <w:pPr>
              <w:spacing w:after="0"/>
              <w:rPr>
                <w:sz w:val="7"/>
                <w:szCs w:val="7"/>
                <w:color w:val="auto"/>
              </w:rPr>
            </w:pPr>
          </w:p>
        </w:tc>
        <w:tc>
          <w:tcPr>
            <w:tcW w:w="1200" w:type="dxa"/>
            <w:vAlign w:val="bottom"/>
          </w:tcPr>
          <w:p>
            <w:pPr>
              <w:jc w:val="center"/>
              <w:spacing w:after="0"/>
              <w:rPr>
                <w:sz w:val="20"/>
                <w:szCs w:val="20"/>
                <w:color w:val="auto"/>
              </w:rPr>
            </w:pPr>
            <w:r>
              <w:rPr>
                <w:rFonts w:ascii="Arial" w:cs="Arial" w:eastAsia="Arial" w:hAnsi="Arial"/>
                <w:sz w:val="7"/>
                <w:szCs w:val="7"/>
                <w:b w:val="1"/>
                <w:bCs w:val="1"/>
                <w:color w:val="auto"/>
                <w:w w:val="93"/>
              </w:rPr>
              <w:t>Incentive Plan</w:t>
            </w:r>
          </w:p>
        </w:tc>
        <w:tc>
          <w:tcPr>
            <w:tcW w:w="80" w:type="dxa"/>
            <w:vAlign w:val="bottom"/>
          </w:tcPr>
          <w:p>
            <w:pPr>
              <w:spacing w:after="0"/>
              <w:rPr>
                <w:sz w:val="7"/>
                <w:szCs w:val="7"/>
                <w:color w:val="auto"/>
              </w:rPr>
            </w:pPr>
          </w:p>
        </w:tc>
        <w:tc>
          <w:tcPr>
            <w:tcW w:w="860" w:type="dxa"/>
            <w:vAlign w:val="bottom"/>
          </w:tcPr>
          <w:p>
            <w:pPr>
              <w:jc w:val="center"/>
              <w:spacing w:after="0"/>
              <w:rPr>
                <w:sz w:val="20"/>
                <w:szCs w:val="20"/>
                <w:color w:val="auto"/>
              </w:rPr>
            </w:pPr>
            <w:r>
              <w:rPr>
                <w:rFonts w:ascii="Arial" w:cs="Arial" w:eastAsia="Arial" w:hAnsi="Arial"/>
                <w:sz w:val="7"/>
                <w:szCs w:val="7"/>
                <w:b w:val="1"/>
                <w:bCs w:val="1"/>
                <w:color w:val="auto"/>
                <w:w w:val="90"/>
              </w:rPr>
              <w:t>Compensation</w:t>
            </w:r>
          </w:p>
        </w:tc>
        <w:tc>
          <w:tcPr>
            <w:tcW w:w="80" w:type="dxa"/>
            <w:vAlign w:val="bottom"/>
          </w:tcPr>
          <w:p>
            <w:pPr>
              <w:spacing w:after="0"/>
              <w:rPr>
                <w:sz w:val="7"/>
                <w:szCs w:val="7"/>
                <w:color w:val="auto"/>
              </w:rPr>
            </w:pPr>
          </w:p>
        </w:tc>
        <w:tc>
          <w:tcPr>
            <w:tcW w:w="1200" w:type="dxa"/>
            <w:vAlign w:val="bottom"/>
          </w:tcPr>
          <w:p>
            <w:pPr>
              <w:jc w:val="right"/>
              <w:ind w:right="424"/>
              <w:spacing w:after="0"/>
              <w:rPr>
                <w:sz w:val="20"/>
                <w:szCs w:val="20"/>
                <w:color w:val="auto"/>
              </w:rPr>
            </w:pPr>
            <w:r>
              <w:rPr>
                <w:rFonts w:ascii="Arial" w:cs="Arial" w:eastAsia="Arial" w:hAnsi="Arial"/>
                <w:sz w:val="7"/>
                <w:szCs w:val="7"/>
                <w:b w:val="1"/>
                <w:bCs w:val="1"/>
                <w:color w:val="auto"/>
              </w:rPr>
              <w:t>All Other</w:t>
            </w: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80" w:type="dxa"/>
            <w:vAlign w:val="bottom"/>
            <w:gridSpan w:val="2"/>
          </w:tcPr>
          <w:p>
            <w:pPr>
              <w:spacing w:after="0"/>
              <w:rPr>
                <w:sz w:val="20"/>
                <w:szCs w:val="20"/>
                <w:color w:val="auto"/>
              </w:rPr>
            </w:pPr>
            <w:r>
              <w:rPr>
                <w:rFonts w:ascii="Arial" w:cs="Arial" w:eastAsia="Arial" w:hAnsi="Arial"/>
                <w:sz w:val="7"/>
                <w:szCs w:val="7"/>
                <w:b w:val="1"/>
                <w:bCs w:val="1"/>
                <w:color w:val="auto"/>
              </w:rPr>
              <w:t>Name and Principal Position</w:t>
            </w:r>
          </w:p>
        </w:tc>
        <w:tc>
          <w:tcPr>
            <w:tcW w:w="60" w:type="dxa"/>
            <w:vAlign w:val="bottom"/>
          </w:tcPr>
          <w:p>
            <w:pPr>
              <w:spacing w:after="0"/>
              <w:rPr>
                <w:sz w:val="7"/>
                <w:szCs w:val="7"/>
                <w:color w:val="auto"/>
              </w:rPr>
            </w:pPr>
          </w:p>
        </w:tc>
        <w:tc>
          <w:tcPr>
            <w:tcW w:w="340" w:type="dxa"/>
            <w:vAlign w:val="bottom"/>
          </w:tcPr>
          <w:p>
            <w:pPr>
              <w:jc w:val="center"/>
              <w:spacing w:after="0"/>
              <w:rPr>
                <w:sz w:val="20"/>
                <w:szCs w:val="20"/>
                <w:color w:val="auto"/>
              </w:rPr>
            </w:pPr>
            <w:r>
              <w:rPr>
                <w:rFonts w:ascii="Arial" w:cs="Arial" w:eastAsia="Arial" w:hAnsi="Arial"/>
                <w:sz w:val="7"/>
                <w:szCs w:val="7"/>
                <w:b w:val="1"/>
                <w:bCs w:val="1"/>
                <w:color w:val="auto"/>
                <w:w w:val="91"/>
              </w:rPr>
              <w:t>Year</w:t>
            </w:r>
          </w:p>
        </w:tc>
        <w:tc>
          <w:tcPr>
            <w:tcW w:w="80" w:type="dxa"/>
            <w:vAlign w:val="bottom"/>
          </w:tcPr>
          <w:p>
            <w:pPr>
              <w:spacing w:after="0"/>
              <w:rPr>
                <w:sz w:val="7"/>
                <w:szCs w:val="7"/>
                <w:color w:val="auto"/>
              </w:rPr>
            </w:pPr>
          </w:p>
        </w:tc>
        <w:tc>
          <w:tcPr>
            <w:tcW w:w="620" w:type="dxa"/>
            <w:vAlign w:val="bottom"/>
          </w:tcPr>
          <w:p>
            <w:pPr>
              <w:jc w:val="right"/>
              <w:ind w:right="84"/>
              <w:spacing w:after="0"/>
              <w:rPr>
                <w:sz w:val="20"/>
                <w:szCs w:val="20"/>
                <w:color w:val="auto"/>
              </w:rPr>
            </w:pPr>
            <w:r>
              <w:rPr>
                <w:rFonts w:ascii="Arial" w:cs="Arial" w:eastAsia="Arial" w:hAnsi="Arial"/>
                <w:sz w:val="7"/>
                <w:szCs w:val="7"/>
                <w:b w:val="1"/>
                <w:bCs w:val="1"/>
                <w:color w:val="auto"/>
              </w:rPr>
              <w:t>Salary ($)</w:t>
            </w:r>
            <w:r>
              <w:rPr>
                <w:rFonts w:ascii="Arial" w:cs="Arial" w:eastAsia="Arial" w:hAnsi="Arial"/>
                <w:sz w:val="6"/>
                <w:szCs w:val="6"/>
                <w:b w:val="1"/>
                <w:bCs w:val="1"/>
                <w:color w:val="auto"/>
              </w:rPr>
              <w:t>(1)</w:t>
            </w:r>
          </w:p>
        </w:tc>
        <w:tc>
          <w:tcPr>
            <w:tcW w:w="80" w:type="dxa"/>
            <w:vAlign w:val="bottom"/>
          </w:tcPr>
          <w:p>
            <w:pPr>
              <w:spacing w:after="0"/>
              <w:rPr>
                <w:sz w:val="7"/>
                <w:szCs w:val="7"/>
                <w:color w:val="auto"/>
              </w:rPr>
            </w:pPr>
          </w:p>
        </w:tc>
        <w:tc>
          <w:tcPr>
            <w:tcW w:w="640" w:type="dxa"/>
            <w:vAlign w:val="bottom"/>
            <w:gridSpan w:val="2"/>
          </w:tcPr>
          <w:p>
            <w:pPr>
              <w:jc w:val="right"/>
              <w:ind w:right="98"/>
              <w:spacing w:after="0"/>
              <w:rPr>
                <w:sz w:val="20"/>
                <w:szCs w:val="20"/>
                <w:color w:val="auto"/>
              </w:rPr>
            </w:pPr>
            <w:r>
              <w:rPr>
                <w:rFonts w:ascii="Arial" w:cs="Arial" w:eastAsia="Arial" w:hAnsi="Arial"/>
                <w:sz w:val="7"/>
                <w:szCs w:val="7"/>
                <w:b w:val="1"/>
                <w:bCs w:val="1"/>
                <w:color w:val="auto"/>
              </w:rPr>
              <w:t>Bonus ($)</w:t>
            </w:r>
            <w:r>
              <w:rPr>
                <w:rFonts w:ascii="Arial" w:cs="Arial" w:eastAsia="Arial" w:hAnsi="Arial"/>
                <w:sz w:val="6"/>
                <w:szCs w:val="6"/>
                <w:b w:val="1"/>
                <w:bCs w:val="1"/>
                <w:color w:val="auto"/>
              </w:rPr>
              <w:t>(2)</w:t>
            </w:r>
          </w:p>
        </w:tc>
        <w:tc>
          <w:tcPr>
            <w:tcW w:w="80" w:type="dxa"/>
            <w:vAlign w:val="bottom"/>
          </w:tcPr>
          <w:p>
            <w:pPr>
              <w:spacing w:after="0"/>
              <w:rPr>
                <w:sz w:val="7"/>
                <w:szCs w:val="7"/>
                <w:color w:val="auto"/>
              </w:rPr>
            </w:pPr>
          </w:p>
        </w:tc>
        <w:tc>
          <w:tcPr>
            <w:tcW w:w="800" w:type="dxa"/>
            <w:vAlign w:val="bottom"/>
          </w:tcPr>
          <w:p>
            <w:pPr>
              <w:jc w:val="right"/>
              <w:ind w:right="164"/>
              <w:spacing w:after="0"/>
              <w:rPr>
                <w:sz w:val="20"/>
                <w:szCs w:val="20"/>
                <w:color w:val="auto"/>
              </w:rPr>
            </w:pPr>
            <w:r>
              <w:rPr>
                <w:rFonts w:ascii="Arial" w:cs="Arial" w:eastAsia="Arial" w:hAnsi="Arial"/>
                <w:sz w:val="7"/>
                <w:szCs w:val="7"/>
                <w:b w:val="1"/>
                <w:bCs w:val="1"/>
                <w:color w:val="auto"/>
              </w:rPr>
              <w:t>Awards ($)</w:t>
            </w:r>
            <w:r>
              <w:rPr>
                <w:rFonts w:ascii="Arial" w:cs="Arial" w:eastAsia="Arial" w:hAnsi="Arial"/>
                <w:sz w:val="6"/>
                <w:szCs w:val="6"/>
                <w:b w:val="1"/>
                <w:bCs w:val="1"/>
                <w:color w:val="auto"/>
              </w:rPr>
              <w:t>(3)</w:t>
            </w:r>
          </w:p>
        </w:tc>
        <w:tc>
          <w:tcPr>
            <w:tcW w:w="80" w:type="dxa"/>
            <w:vAlign w:val="bottom"/>
          </w:tcPr>
          <w:p>
            <w:pPr>
              <w:spacing w:after="0"/>
              <w:rPr>
                <w:sz w:val="7"/>
                <w:szCs w:val="7"/>
                <w:color w:val="auto"/>
              </w:rPr>
            </w:pPr>
          </w:p>
        </w:tc>
        <w:tc>
          <w:tcPr>
            <w:tcW w:w="760" w:type="dxa"/>
            <w:vAlign w:val="bottom"/>
          </w:tcPr>
          <w:p>
            <w:pPr>
              <w:jc w:val="right"/>
              <w:ind w:right="144"/>
              <w:spacing w:after="0"/>
              <w:rPr>
                <w:sz w:val="20"/>
                <w:szCs w:val="20"/>
                <w:color w:val="auto"/>
              </w:rPr>
            </w:pPr>
            <w:r>
              <w:rPr>
                <w:rFonts w:ascii="Arial" w:cs="Arial" w:eastAsia="Arial" w:hAnsi="Arial"/>
                <w:sz w:val="7"/>
                <w:szCs w:val="7"/>
                <w:b w:val="1"/>
                <w:bCs w:val="1"/>
                <w:color w:val="auto"/>
              </w:rPr>
              <w:t>Awards ($)</w:t>
            </w:r>
            <w:r>
              <w:rPr>
                <w:rFonts w:ascii="Arial" w:cs="Arial" w:eastAsia="Arial" w:hAnsi="Arial"/>
                <w:sz w:val="6"/>
                <w:szCs w:val="6"/>
                <w:b w:val="1"/>
                <w:bCs w:val="1"/>
                <w:color w:val="auto"/>
              </w:rPr>
              <w:t>(4)</w:t>
            </w:r>
          </w:p>
        </w:tc>
        <w:tc>
          <w:tcPr>
            <w:tcW w:w="80" w:type="dxa"/>
            <w:vAlign w:val="bottom"/>
          </w:tcPr>
          <w:p>
            <w:pPr>
              <w:spacing w:after="0"/>
              <w:rPr>
                <w:sz w:val="7"/>
                <w:szCs w:val="7"/>
                <w:color w:val="auto"/>
              </w:rPr>
            </w:pPr>
          </w:p>
        </w:tc>
        <w:tc>
          <w:tcPr>
            <w:tcW w:w="1200" w:type="dxa"/>
            <w:vAlign w:val="bottom"/>
          </w:tcPr>
          <w:p>
            <w:pPr>
              <w:jc w:val="center"/>
              <w:spacing w:after="0"/>
              <w:rPr>
                <w:sz w:val="20"/>
                <w:szCs w:val="20"/>
                <w:color w:val="auto"/>
              </w:rPr>
            </w:pPr>
            <w:r>
              <w:rPr>
                <w:rFonts w:ascii="Arial" w:cs="Arial" w:eastAsia="Arial" w:hAnsi="Arial"/>
                <w:sz w:val="7"/>
                <w:szCs w:val="7"/>
                <w:b w:val="1"/>
                <w:bCs w:val="1"/>
                <w:color w:val="auto"/>
                <w:w w:val="93"/>
              </w:rPr>
              <w:t>Compensation ($)</w:t>
            </w:r>
            <w:r>
              <w:rPr>
                <w:rFonts w:ascii="Arial" w:cs="Arial" w:eastAsia="Arial" w:hAnsi="Arial"/>
                <w:sz w:val="6"/>
                <w:szCs w:val="6"/>
                <w:b w:val="1"/>
                <w:bCs w:val="1"/>
                <w:color w:val="auto"/>
                <w:w w:val="93"/>
              </w:rPr>
              <w:t>(5)</w:t>
            </w:r>
          </w:p>
        </w:tc>
        <w:tc>
          <w:tcPr>
            <w:tcW w:w="80" w:type="dxa"/>
            <w:vAlign w:val="bottom"/>
          </w:tcPr>
          <w:p>
            <w:pPr>
              <w:spacing w:after="0"/>
              <w:rPr>
                <w:sz w:val="7"/>
                <w:szCs w:val="7"/>
                <w:color w:val="auto"/>
              </w:rPr>
            </w:pPr>
          </w:p>
        </w:tc>
        <w:tc>
          <w:tcPr>
            <w:tcW w:w="860" w:type="dxa"/>
            <w:vAlign w:val="bottom"/>
          </w:tcPr>
          <w:p>
            <w:pPr>
              <w:jc w:val="center"/>
              <w:spacing w:after="0"/>
              <w:rPr>
                <w:sz w:val="20"/>
                <w:szCs w:val="20"/>
                <w:color w:val="auto"/>
              </w:rPr>
            </w:pPr>
            <w:r>
              <w:rPr>
                <w:rFonts w:ascii="Arial" w:cs="Arial" w:eastAsia="Arial" w:hAnsi="Arial"/>
                <w:sz w:val="7"/>
                <w:szCs w:val="7"/>
                <w:b w:val="1"/>
                <w:bCs w:val="1"/>
                <w:color w:val="auto"/>
                <w:w w:val="96"/>
              </w:rPr>
              <w:t>Earnings ($)</w:t>
            </w:r>
            <w:r>
              <w:rPr>
                <w:rFonts w:ascii="Arial" w:cs="Arial" w:eastAsia="Arial" w:hAnsi="Arial"/>
                <w:sz w:val="6"/>
                <w:szCs w:val="6"/>
                <w:b w:val="1"/>
                <w:bCs w:val="1"/>
                <w:color w:val="auto"/>
                <w:w w:val="96"/>
              </w:rPr>
              <w:t>(6)</w:t>
            </w:r>
          </w:p>
        </w:tc>
        <w:tc>
          <w:tcPr>
            <w:tcW w:w="80" w:type="dxa"/>
            <w:vAlign w:val="bottom"/>
          </w:tcPr>
          <w:p>
            <w:pPr>
              <w:spacing w:after="0"/>
              <w:rPr>
                <w:sz w:val="7"/>
                <w:szCs w:val="7"/>
                <w:color w:val="auto"/>
              </w:rPr>
            </w:pPr>
          </w:p>
        </w:tc>
        <w:tc>
          <w:tcPr>
            <w:tcW w:w="1200" w:type="dxa"/>
            <w:vAlign w:val="bottom"/>
          </w:tcPr>
          <w:p>
            <w:pPr>
              <w:jc w:val="right"/>
              <w:ind w:right="264"/>
              <w:spacing w:after="0"/>
              <w:rPr>
                <w:sz w:val="20"/>
                <w:szCs w:val="20"/>
                <w:color w:val="auto"/>
              </w:rPr>
            </w:pPr>
            <w:r>
              <w:rPr>
                <w:rFonts w:ascii="Arial" w:cs="Arial" w:eastAsia="Arial" w:hAnsi="Arial"/>
                <w:sz w:val="7"/>
                <w:szCs w:val="7"/>
                <w:b w:val="1"/>
                <w:bCs w:val="1"/>
                <w:color w:val="auto"/>
              </w:rPr>
              <w:t>Compensation ($)</w:t>
            </w:r>
            <w:r>
              <w:rPr>
                <w:rFonts w:ascii="Arial" w:cs="Arial" w:eastAsia="Arial" w:hAnsi="Arial"/>
                <w:sz w:val="6"/>
                <w:szCs w:val="6"/>
                <w:b w:val="1"/>
                <w:bCs w:val="1"/>
                <w:color w:val="auto"/>
              </w:rPr>
              <w:t>(7)</w:t>
            </w:r>
          </w:p>
        </w:tc>
        <w:tc>
          <w:tcPr>
            <w:tcW w:w="80" w:type="dxa"/>
            <w:vAlign w:val="bottom"/>
          </w:tcPr>
          <w:p>
            <w:pPr>
              <w:spacing w:after="0"/>
              <w:rPr>
                <w:sz w:val="7"/>
                <w:szCs w:val="7"/>
                <w:color w:val="auto"/>
              </w:rPr>
            </w:pPr>
          </w:p>
        </w:tc>
        <w:tc>
          <w:tcPr>
            <w:tcW w:w="800" w:type="dxa"/>
            <w:vAlign w:val="bottom"/>
          </w:tcPr>
          <w:p>
            <w:pPr>
              <w:jc w:val="right"/>
              <w:ind w:right="204"/>
              <w:spacing w:after="0"/>
              <w:rPr>
                <w:sz w:val="20"/>
                <w:szCs w:val="20"/>
                <w:color w:val="auto"/>
              </w:rPr>
            </w:pPr>
            <w:r>
              <w:rPr>
                <w:rFonts w:ascii="Arial" w:cs="Arial" w:eastAsia="Arial" w:hAnsi="Arial"/>
                <w:sz w:val="7"/>
                <w:szCs w:val="7"/>
                <w:b w:val="1"/>
                <w:bCs w:val="1"/>
                <w:color w:val="auto"/>
              </w:rPr>
              <w:t>Total ($)</w:t>
            </w:r>
            <w:r>
              <w:rPr>
                <w:rFonts w:ascii="Arial" w:cs="Arial" w:eastAsia="Arial" w:hAnsi="Arial"/>
                <w:sz w:val="6"/>
                <w:szCs w:val="6"/>
                <w:b w:val="1"/>
                <w:bCs w:val="1"/>
                <w:color w:val="auto"/>
              </w:rPr>
              <w:t>(8)</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206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1"/>
        </w:trPr>
        <w:tc>
          <w:tcPr>
            <w:tcW w:w="20" w:type="dxa"/>
            <w:vAlign w:val="bottom"/>
            <w:vMerge w:val="continue"/>
          </w:tcPr>
          <w:p>
            <w:pPr>
              <w:spacing w:after="0"/>
              <w:rPr>
                <w:sz w:val="7"/>
                <w:szCs w:val="7"/>
                <w:color w:val="auto"/>
              </w:rPr>
            </w:pPr>
          </w:p>
        </w:tc>
        <w:tc>
          <w:tcPr>
            <w:tcW w:w="2060" w:type="dxa"/>
            <w:vAlign w:val="bottom"/>
            <w:shd w:val="clear" w:color="auto" w:fill="CCEEFF"/>
          </w:tcPr>
          <w:p>
            <w:pPr>
              <w:spacing w:after="0" w:line="81" w:lineRule="exact"/>
              <w:rPr>
                <w:sz w:val="20"/>
                <w:szCs w:val="20"/>
                <w:color w:val="auto"/>
              </w:rPr>
            </w:pPr>
            <w:r>
              <w:rPr>
                <w:rFonts w:ascii="Arial" w:cs="Arial" w:eastAsia="Arial" w:hAnsi="Arial"/>
                <w:sz w:val="8"/>
                <w:szCs w:val="8"/>
                <w:b w:val="1"/>
                <w:bCs w:val="1"/>
                <w:color w:val="auto"/>
              </w:rPr>
              <w:t>Brian L. Roberts</w:t>
            </w:r>
          </w:p>
        </w:tc>
        <w:tc>
          <w:tcPr>
            <w:tcW w:w="400" w:type="dxa"/>
            <w:vAlign w:val="bottom"/>
            <w:gridSpan w:val="2"/>
            <w:shd w:val="clear" w:color="auto" w:fill="CCEEFF"/>
          </w:tcPr>
          <w:p>
            <w:pPr>
              <w:jc w:val="center"/>
              <w:spacing w:after="0" w:line="81" w:lineRule="exact"/>
              <w:rPr>
                <w:sz w:val="20"/>
                <w:szCs w:val="20"/>
                <w:color w:val="auto"/>
              </w:rPr>
            </w:pPr>
            <w:r>
              <w:rPr>
                <w:rFonts w:ascii="Arial" w:cs="Arial" w:eastAsia="Arial" w:hAnsi="Arial"/>
                <w:sz w:val="8"/>
                <w:szCs w:val="8"/>
                <w:color w:val="auto"/>
                <w:w w:val="89"/>
              </w:rPr>
              <w:t>2009</w:t>
            </w:r>
          </w:p>
        </w:tc>
        <w:tc>
          <w:tcPr>
            <w:tcW w:w="700" w:type="dxa"/>
            <w:vAlign w:val="bottom"/>
            <w:gridSpan w:val="2"/>
            <w:shd w:val="clear" w:color="auto" w:fill="CCEEFF"/>
          </w:tcPr>
          <w:p>
            <w:pPr>
              <w:jc w:val="right"/>
              <w:ind w:right="104"/>
              <w:spacing w:after="0" w:line="81" w:lineRule="exact"/>
              <w:rPr>
                <w:sz w:val="20"/>
                <w:szCs w:val="20"/>
                <w:color w:val="auto"/>
              </w:rPr>
            </w:pPr>
            <w:r>
              <w:rPr>
                <w:rFonts w:ascii="Arial" w:cs="Arial" w:eastAsia="Arial" w:hAnsi="Arial"/>
                <w:sz w:val="8"/>
                <w:szCs w:val="8"/>
                <w:color w:val="auto"/>
              </w:rPr>
              <w:t>$2,908,483</w:t>
            </w:r>
          </w:p>
        </w:tc>
        <w:tc>
          <w:tcPr>
            <w:tcW w:w="240" w:type="dxa"/>
            <w:vAlign w:val="bottom"/>
            <w:gridSpan w:val="2"/>
            <w:shd w:val="clear" w:color="auto" w:fill="CCEEFF"/>
          </w:tcPr>
          <w:p>
            <w:pPr>
              <w:jc w:val="right"/>
              <w:spacing w:after="0" w:line="81" w:lineRule="exact"/>
              <w:rPr>
                <w:sz w:val="20"/>
                <w:szCs w:val="20"/>
                <w:color w:val="auto"/>
              </w:rPr>
            </w:pPr>
            <w:r>
              <w:rPr>
                <w:rFonts w:ascii="Arial" w:cs="Arial" w:eastAsia="Arial" w:hAnsi="Arial"/>
                <w:sz w:val="8"/>
                <w:szCs w:val="8"/>
                <w:color w:val="auto"/>
              </w:rPr>
              <w:t>$</w:t>
            </w:r>
          </w:p>
        </w:tc>
        <w:tc>
          <w:tcPr>
            <w:tcW w:w="480" w:type="dxa"/>
            <w:vAlign w:val="bottom"/>
            <w:shd w:val="clear" w:color="auto" w:fill="CCEEFF"/>
          </w:tcPr>
          <w:p>
            <w:pPr>
              <w:jc w:val="right"/>
              <w:ind w:right="118"/>
              <w:spacing w:after="0" w:line="81" w:lineRule="exact"/>
              <w:rPr>
                <w:sz w:val="20"/>
                <w:szCs w:val="20"/>
                <w:color w:val="auto"/>
              </w:rPr>
            </w:pPr>
            <w:r>
              <w:rPr>
                <w:rFonts w:ascii="Arial" w:cs="Arial" w:eastAsia="Arial" w:hAnsi="Arial"/>
                <w:sz w:val="8"/>
                <w:szCs w:val="8"/>
                <w:color w:val="auto"/>
              </w:rPr>
              <w:t>—</w:t>
            </w:r>
          </w:p>
        </w:tc>
        <w:tc>
          <w:tcPr>
            <w:tcW w:w="880" w:type="dxa"/>
            <w:vAlign w:val="bottom"/>
            <w:gridSpan w:val="2"/>
            <w:shd w:val="clear" w:color="auto" w:fill="CCEEFF"/>
          </w:tcPr>
          <w:p>
            <w:pPr>
              <w:jc w:val="right"/>
              <w:ind w:right="184"/>
              <w:spacing w:after="0" w:line="81" w:lineRule="exact"/>
              <w:rPr>
                <w:sz w:val="20"/>
                <w:szCs w:val="20"/>
                <w:color w:val="auto"/>
              </w:rPr>
            </w:pPr>
            <w:r>
              <w:rPr>
                <w:rFonts w:ascii="Arial" w:cs="Arial" w:eastAsia="Arial" w:hAnsi="Arial"/>
                <w:sz w:val="8"/>
                <w:szCs w:val="8"/>
                <w:color w:val="auto"/>
              </w:rPr>
              <w:t>$ 5,257,200</w:t>
            </w:r>
          </w:p>
        </w:tc>
        <w:tc>
          <w:tcPr>
            <w:tcW w:w="840" w:type="dxa"/>
            <w:vAlign w:val="bottom"/>
            <w:gridSpan w:val="2"/>
            <w:shd w:val="clear" w:color="auto" w:fill="CCEEFF"/>
          </w:tcPr>
          <w:p>
            <w:pPr>
              <w:jc w:val="right"/>
              <w:ind w:right="164"/>
              <w:spacing w:after="0" w:line="81" w:lineRule="exact"/>
              <w:rPr>
                <w:sz w:val="20"/>
                <w:szCs w:val="20"/>
                <w:color w:val="auto"/>
              </w:rPr>
            </w:pPr>
            <w:r>
              <w:rPr>
                <w:rFonts w:ascii="Arial" w:cs="Arial" w:eastAsia="Arial" w:hAnsi="Arial"/>
                <w:sz w:val="8"/>
                <w:szCs w:val="8"/>
                <w:color w:val="auto"/>
              </w:rPr>
              <w:t>$5,656,300</w:t>
            </w:r>
          </w:p>
        </w:tc>
        <w:tc>
          <w:tcPr>
            <w:tcW w:w="1280" w:type="dxa"/>
            <w:vAlign w:val="bottom"/>
            <w:gridSpan w:val="2"/>
            <w:shd w:val="clear" w:color="auto" w:fill="CCEEFF"/>
          </w:tcPr>
          <w:p>
            <w:pPr>
              <w:jc w:val="right"/>
              <w:ind w:right="404"/>
              <w:spacing w:after="0" w:line="81" w:lineRule="exact"/>
              <w:rPr>
                <w:sz w:val="20"/>
                <w:szCs w:val="20"/>
                <w:color w:val="auto"/>
              </w:rPr>
            </w:pPr>
            <w:r>
              <w:rPr>
                <w:rFonts w:ascii="Arial" w:cs="Arial" w:eastAsia="Arial" w:hAnsi="Arial"/>
                <w:sz w:val="8"/>
                <w:szCs w:val="8"/>
                <w:color w:val="auto"/>
              </w:rPr>
              <w:t>$8,234,238</w:t>
            </w:r>
          </w:p>
        </w:tc>
        <w:tc>
          <w:tcPr>
            <w:tcW w:w="940" w:type="dxa"/>
            <w:vAlign w:val="bottom"/>
            <w:gridSpan w:val="2"/>
            <w:shd w:val="clear" w:color="auto" w:fill="CCEEFF"/>
          </w:tcPr>
          <w:p>
            <w:pPr>
              <w:jc w:val="right"/>
              <w:ind w:right="224"/>
              <w:spacing w:after="0" w:line="81" w:lineRule="exact"/>
              <w:rPr>
                <w:sz w:val="20"/>
                <w:szCs w:val="20"/>
                <w:color w:val="auto"/>
              </w:rPr>
            </w:pPr>
            <w:r>
              <w:rPr>
                <w:rFonts w:ascii="Arial" w:cs="Arial" w:eastAsia="Arial" w:hAnsi="Arial"/>
                <w:sz w:val="8"/>
                <w:szCs w:val="8"/>
                <w:color w:val="auto"/>
              </w:rPr>
              <w:t>$2,252,434</w:t>
            </w:r>
          </w:p>
        </w:tc>
        <w:tc>
          <w:tcPr>
            <w:tcW w:w="1280" w:type="dxa"/>
            <w:vAlign w:val="bottom"/>
            <w:gridSpan w:val="2"/>
            <w:shd w:val="clear" w:color="auto" w:fill="CCEEFF"/>
          </w:tcPr>
          <w:p>
            <w:pPr>
              <w:jc w:val="right"/>
              <w:ind w:right="404"/>
              <w:spacing w:after="0" w:line="81" w:lineRule="exact"/>
              <w:rPr>
                <w:sz w:val="20"/>
                <w:szCs w:val="20"/>
                <w:color w:val="auto"/>
              </w:rPr>
            </w:pPr>
            <w:r>
              <w:rPr>
                <w:rFonts w:ascii="Arial" w:cs="Arial" w:eastAsia="Arial" w:hAnsi="Arial"/>
                <w:sz w:val="8"/>
                <w:szCs w:val="8"/>
                <w:color w:val="auto"/>
              </w:rPr>
              <w:t>$2,937,712</w:t>
            </w:r>
          </w:p>
        </w:tc>
        <w:tc>
          <w:tcPr>
            <w:tcW w:w="880" w:type="dxa"/>
            <w:vAlign w:val="bottom"/>
            <w:gridSpan w:val="2"/>
            <w:shd w:val="clear" w:color="auto" w:fill="CCEEFF"/>
          </w:tcPr>
          <w:p>
            <w:pPr>
              <w:jc w:val="right"/>
              <w:ind w:right="184"/>
              <w:spacing w:after="0" w:line="81" w:lineRule="exact"/>
              <w:rPr>
                <w:sz w:val="20"/>
                <w:szCs w:val="20"/>
                <w:color w:val="auto"/>
              </w:rPr>
            </w:pPr>
            <w:r>
              <w:rPr>
                <w:rFonts w:ascii="Arial" w:cs="Arial" w:eastAsia="Arial" w:hAnsi="Arial"/>
                <w:sz w:val="8"/>
                <w:szCs w:val="8"/>
                <w:color w:val="auto"/>
              </w:rPr>
              <w:t>$27,246,367</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60" w:type="dxa"/>
            <w:vAlign w:val="bottom"/>
            <w:shd w:val="clear" w:color="auto" w:fill="CCEEFF"/>
          </w:tcPr>
          <w:p>
            <w:pPr>
              <w:ind w:left="60"/>
              <w:spacing w:after="0" w:line="90" w:lineRule="exact"/>
              <w:rPr>
                <w:sz w:val="20"/>
                <w:szCs w:val="20"/>
                <w:color w:val="auto"/>
              </w:rPr>
            </w:pPr>
            <w:r>
              <w:rPr>
                <w:rFonts w:ascii="Arial" w:cs="Arial" w:eastAsia="Arial" w:hAnsi="Arial"/>
                <w:sz w:val="8"/>
                <w:szCs w:val="8"/>
                <w:color w:val="auto"/>
              </w:rPr>
              <w:t>Chairman of the Board,</w:t>
            </w:r>
          </w:p>
        </w:tc>
        <w:tc>
          <w:tcPr>
            <w:tcW w:w="400" w:type="dxa"/>
            <w:vAlign w:val="bottom"/>
            <w:gridSpan w:val="2"/>
            <w:shd w:val="clear" w:color="auto" w:fill="CCEEFF"/>
          </w:tcPr>
          <w:p>
            <w:pPr>
              <w:jc w:val="center"/>
              <w:spacing w:after="0" w:line="90" w:lineRule="exact"/>
              <w:rPr>
                <w:sz w:val="20"/>
                <w:szCs w:val="20"/>
                <w:color w:val="auto"/>
              </w:rPr>
            </w:pPr>
            <w:r>
              <w:rPr>
                <w:rFonts w:ascii="Arial" w:cs="Arial" w:eastAsia="Arial" w:hAnsi="Arial"/>
                <w:sz w:val="8"/>
                <w:szCs w:val="8"/>
                <w:color w:val="auto"/>
                <w:w w:val="89"/>
              </w:rPr>
              <w:t>2008</w:t>
            </w:r>
          </w:p>
        </w:tc>
        <w:tc>
          <w:tcPr>
            <w:tcW w:w="700" w:type="dxa"/>
            <w:vAlign w:val="bottom"/>
            <w:gridSpan w:val="2"/>
            <w:shd w:val="clear" w:color="auto" w:fill="CCEEFF"/>
          </w:tcPr>
          <w:p>
            <w:pPr>
              <w:jc w:val="right"/>
              <w:ind w:right="104"/>
              <w:spacing w:after="0" w:line="90" w:lineRule="exact"/>
              <w:rPr>
                <w:sz w:val="20"/>
                <w:szCs w:val="20"/>
                <w:color w:val="auto"/>
              </w:rPr>
            </w:pPr>
            <w:r>
              <w:rPr>
                <w:rFonts w:ascii="Arial" w:cs="Arial" w:eastAsia="Arial" w:hAnsi="Arial"/>
                <w:sz w:val="8"/>
                <w:szCs w:val="8"/>
                <w:color w:val="auto"/>
              </w:rPr>
              <w:t>2,769,365</w:t>
            </w: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80" w:type="dxa"/>
            <w:vAlign w:val="bottom"/>
            <w:shd w:val="clear" w:color="auto" w:fill="CCEEFF"/>
          </w:tcPr>
          <w:p>
            <w:pPr>
              <w:jc w:val="right"/>
              <w:ind w:right="118"/>
              <w:spacing w:after="0" w:line="90" w:lineRule="exact"/>
              <w:rPr>
                <w:sz w:val="20"/>
                <w:szCs w:val="20"/>
                <w:color w:val="auto"/>
              </w:rPr>
            </w:pPr>
            <w:r>
              <w:rPr>
                <w:rFonts w:ascii="Arial" w:cs="Arial" w:eastAsia="Arial" w:hAnsi="Arial"/>
                <w:sz w:val="8"/>
                <w:szCs w:val="8"/>
                <w:color w:val="auto"/>
              </w:rPr>
              <w:t>881,027</w:t>
            </w:r>
          </w:p>
        </w:tc>
        <w:tc>
          <w:tcPr>
            <w:tcW w:w="880" w:type="dxa"/>
            <w:vAlign w:val="bottom"/>
            <w:gridSpan w:val="2"/>
            <w:shd w:val="clear" w:color="auto" w:fill="CCEEFF"/>
          </w:tcPr>
          <w:p>
            <w:pPr>
              <w:jc w:val="right"/>
              <w:ind w:right="184"/>
              <w:spacing w:after="0" w:line="90" w:lineRule="exact"/>
              <w:rPr>
                <w:sz w:val="20"/>
                <w:szCs w:val="20"/>
                <w:color w:val="auto"/>
              </w:rPr>
            </w:pPr>
            <w:r>
              <w:rPr>
                <w:rFonts w:ascii="Arial" w:cs="Arial" w:eastAsia="Arial" w:hAnsi="Arial"/>
                <w:sz w:val="8"/>
                <w:szCs w:val="8"/>
                <w:color w:val="auto"/>
              </w:rPr>
              <w:t>5,006,640</w:t>
            </w:r>
          </w:p>
        </w:tc>
        <w:tc>
          <w:tcPr>
            <w:tcW w:w="840" w:type="dxa"/>
            <w:vAlign w:val="bottom"/>
            <w:gridSpan w:val="2"/>
            <w:shd w:val="clear" w:color="auto" w:fill="CCEEFF"/>
          </w:tcPr>
          <w:p>
            <w:pPr>
              <w:jc w:val="right"/>
              <w:ind w:right="164"/>
              <w:spacing w:after="0" w:line="90" w:lineRule="exact"/>
              <w:rPr>
                <w:sz w:val="20"/>
                <w:szCs w:val="20"/>
                <w:color w:val="auto"/>
              </w:rPr>
            </w:pPr>
            <w:r>
              <w:rPr>
                <w:rFonts w:ascii="Arial" w:cs="Arial" w:eastAsia="Arial" w:hAnsi="Arial"/>
                <w:sz w:val="8"/>
                <w:szCs w:val="8"/>
                <w:color w:val="auto"/>
              </w:rPr>
              <w:t>5,203,440</w:t>
            </w:r>
          </w:p>
        </w:tc>
        <w:tc>
          <w:tcPr>
            <w:tcW w:w="1280" w:type="dxa"/>
            <w:vAlign w:val="bottom"/>
            <w:gridSpan w:val="2"/>
            <w:shd w:val="clear" w:color="auto" w:fill="CCEEFF"/>
          </w:tcPr>
          <w:p>
            <w:pPr>
              <w:jc w:val="right"/>
              <w:ind w:right="404"/>
              <w:spacing w:after="0" w:line="90" w:lineRule="exact"/>
              <w:rPr>
                <w:sz w:val="20"/>
                <w:szCs w:val="20"/>
                <w:color w:val="auto"/>
              </w:rPr>
            </w:pPr>
            <w:r>
              <w:rPr>
                <w:rFonts w:ascii="Arial" w:cs="Arial" w:eastAsia="Arial" w:hAnsi="Arial"/>
                <w:sz w:val="8"/>
                <w:szCs w:val="8"/>
                <w:color w:val="auto"/>
              </w:rPr>
              <w:t>7,394,204</w:t>
            </w:r>
          </w:p>
        </w:tc>
        <w:tc>
          <w:tcPr>
            <w:tcW w:w="940" w:type="dxa"/>
            <w:vAlign w:val="bottom"/>
            <w:gridSpan w:val="2"/>
            <w:shd w:val="clear" w:color="auto" w:fill="CCEEFF"/>
          </w:tcPr>
          <w:p>
            <w:pPr>
              <w:jc w:val="right"/>
              <w:ind w:right="224"/>
              <w:spacing w:after="0" w:line="90" w:lineRule="exact"/>
              <w:rPr>
                <w:sz w:val="20"/>
                <w:szCs w:val="20"/>
                <w:color w:val="auto"/>
              </w:rPr>
            </w:pPr>
            <w:r>
              <w:rPr>
                <w:rFonts w:ascii="Arial" w:cs="Arial" w:eastAsia="Arial" w:hAnsi="Arial"/>
                <w:sz w:val="8"/>
                <w:szCs w:val="8"/>
                <w:color w:val="auto"/>
              </w:rPr>
              <w:t>1,557,048</w:t>
            </w:r>
          </w:p>
        </w:tc>
        <w:tc>
          <w:tcPr>
            <w:tcW w:w="1280" w:type="dxa"/>
            <w:vAlign w:val="bottom"/>
            <w:gridSpan w:val="2"/>
            <w:shd w:val="clear" w:color="auto" w:fill="CCEEFF"/>
          </w:tcPr>
          <w:p>
            <w:pPr>
              <w:jc w:val="right"/>
              <w:ind w:right="404"/>
              <w:spacing w:after="0" w:line="90" w:lineRule="exact"/>
              <w:rPr>
                <w:sz w:val="20"/>
                <w:szCs w:val="20"/>
                <w:color w:val="auto"/>
              </w:rPr>
            </w:pPr>
            <w:r>
              <w:rPr>
                <w:rFonts w:ascii="Arial" w:cs="Arial" w:eastAsia="Arial" w:hAnsi="Arial"/>
                <w:sz w:val="8"/>
                <w:szCs w:val="8"/>
                <w:color w:val="auto"/>
              </w:rPr>
              <w:t>3,428,639</w:t>
            </w:r>
          </w:p>
        </w:tc>
        <w:tc>
          <w:tcPr>
            <w:tcW w:w="880" w:type="dxa"/>
            <w:vAlign w:val="bottom"/>
            <w:gridSpan w:val="2"/>
            <w:shd w:val="clear" w:color="auto" w:fill="CCEEFF"/>
          </w:tcPr>
          <w:p>
            <w:pPr>
              <w:jc w:val="right"/>
              <w:ind w:right="184"/>
              <w:spacing w:after="0" w:line="90" w:lineRule="exact"/>
              <w:rPr>
                <w:sz w:val="20"/>
                <w:szCs w:val="20"/>
                <w:color w:val="auto"/>
              </w:rPr>
            </w:pPr>
            <w:r>
              <w:rPr>
                <w:rFonts w:ascii="Arial" w:cs="Arial" w:eastAsia="Arial" w:hAnsi="Arial"/>
                <w:sz w:val="8"/>
                <w:szCs w:val="8"/>
                <w:color w:val="auto"/>
              </w:rPr>
              <w:t>26,240,363</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60" w:type="dxa"/>
            <w:vAlign w:val="bottom"/>
            <w:shd w:val="clear" w:color="auto" w:fill="CCEEFF"/>
          </w:tcPr>
          <w:p>
            <w:pPr>
              <w:ind w:left="60"/>
              <w:spacing w:after="0" w:line="90" w:lineRule="exact"/>
              <w:rPr>
                <w:sz w:val="20"/>
                <w:szCs w:val="20"/>
                <w:color w:val="auto"/>
              </w:rPr>
            </w:pPr>
            <w:r>
              <w:rPr>
                <w:rFonts w:ascii="Arial" w:cs="Arial" w:eastAsia="Arial" w:hAnsi="Arial"/>
                <w:sz w:val="8"/>
                <w:szCs w:val="8"/>
                <w:color w:val="auto"/>
              </w:rPr>
              <w:t>President and Chief</w:t>
            </w:r>
          </w:p>
        </w:tc>
        <w:tc>
          <w:tcPr>
            <w:tcW w:w="400" w:type="dxa"/>
            <w:vAlign w:val="bottom"/>
            <w:gridSpan w:val="2"/>
            <w:shd w:val="clear" w:color="auto" w:fill="CCEEFF"/>
          </w:tcPr>
          <w:p>
            <w:pPr>
              <w:jc w:val="center"/>
              <w:spacing w:after="0" w:line="90" w:lineRule="exact"/>
              <w:rPr>
                <w:sz w:val="20"/>
                <w:szCs w:val="20"/>
                <w:color w:val="auto"/>
              </w:rPr>
            </w:pPr>
            <w:r>
              <w:rPr>
                <w:rFonts w:ascii="Arial" w:cs="Arial" w:eastAsia="Arial" w:hAnsi="Arial"/>
                <w:sz w:val="8"/>
                <w:szCs w:val="8"/>
                <w:color w:val="auto"/>
                <w:w w:val="89"/>
              </w:rPr>
              <w:t>2007</w:t>
            </w:r>
          </w:p>
        </w:tc>
        <w:tc>
          <w:tcPr>
            <w:tcW w:w="700" w:type="dxa"/>
            <w:vAlign w:val="bottom"/>
            <w:gridSpan w:val="2"/>
            <w:shd w:val="clear" w:color="auto" w:fill="CCEEFF"/>
          </w:tcPr>
          <w:p>
            <w:pPr>
              <w:jc w:val="right"/>
              <w:ind w:right="104"/>
              <w:spacing w:after="0" w:line="90" w:lineRule="exact"/>
              <w:rPr>
                <w:sz w:val="20"/>
                <w:szCs w:val="20"/>
                <w:color w:val="auto"/>
              </w:rPr>
            </w:pPr>
            <w:r>
              <w:rPr>
                <w:rFonts w:ascii="Arial" w:cs="Arial" w:eastAsia="Arial" w:hAnsi="Arial"/>
                <w:sz w:val="8"/>
                <w:szCs w:val="8"/>
                <w:color w:val="auto"/>
              </w:rPr>
              <w:t>2,638,500</w:t>
            </w: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80" w:type="dxa"/>
            <w:vAlign w:val="bottom"/>
            <w:shd w:val="clear" w:color="auto" w:fill="CCEEFF"/>
          </w:tcPr>
          <w:p>
            <w:pPr>
              <w:jc w:val="right"/>
              <w:ind w:right="118"/>
              <w:spacing w:after="0" w:line="90" w:lineRule="exact"/>
              <w:rPr>
                <w:sz w:val="20"/>
                <w:szCs w:val="20"/>
                <w:color w:val="auto"/>
              </w:rPr>
            </w:pPr>
            <w:r>
              <w:rPr>
                <w:rFonts w:ascii="Arial" w:cs="Arial" w:eastAsia="Arial" w:hAnsi="Arial"/>
                <w:sz w:val="8"/>
                <w:szCs w:val="8"/>
                <w:color w:val="auto"/>
                <w:w w:val="84"/>
              </w:rPr>
              <w:t>1,440,068</w:t>
            </w:r>
          </w:p>
        </w:tc>
        <w:tc>
          <w:tcPr>
            <w:tcW w:w="880" w:type="dxa"/>
            <w:vAlign w:val="bottom"/>
            <w:gridSpan w:val="2"/>
            <w:shd w:val="clear" w:color="auto" w:fill="CCEEFF"/>
          </w:tcPr>
          <w:p>
            <w:pPr>
              <w:jc w:val="right"/>
              <w:ind w:right="184"/>
              <w:spacing w:after="0" w:line="90" w:lineRule="exact"/>
              <w:rPr>
                <w:sz w:val="20"/>
                <w:szCs w:val="20"/>
                <w:color w:val="auto"/>
              </w:rPr>
            </w:pPr>
            <w:r>
              <w:rPr>
                <w:rFonts w:ascii="Arial" w:cs="Arial" w:eastAsia="Arial" w:hAnsi="Arial"/>
                <w:sz w:val="8"/>
                <w:szCs w:val="8"/>
                <w:color w:val="auto"/>
              </w:rPr>
              <w:t>5,296,608</w:t>
            </w:r>
          </w:p>
        </w:tc>
        <w:tc>
          <w:tcPr>
            <w:tcW w:w="840" w:type="dxa"/>
            <w:vAlign w:val="bottom"/>
            <w:gridSpan w:val="2"/>
            <w:shd w:val="clear" w:color="auto" w:fill="CCEEFF"/>
          </w:tcPr>
          <w:p>
            <w:pPr>
              <w:jc w:val="right"/>
              <w:ind w:right="164"/>
              <w:spacing w:after="0" w:line="90" w:lineRule="exact"/>
              <w:rPr>
                <w:sz w:val="20"/>
                <w:szCs w:val="20"/>
                <w:color w:val="auto"/>
              </w:rPr>
            </w:pPr>
            <w:r>
              <w:rPr>
                <w:rFonts w:ascii="Arial" w:cs="Arial" w:eastAsia="Arial" w:hAnsi="Arial"/>
                <w:sz w:val="8"/>
                <w:szCs w:val="8"/>
                <w:color w:val="auto"/>
              </w:rPr>
              <w:t>5,189,560</w:t>
            </w:r>
          </w:p>
        </w:tc>
        <w:tc>
          <w:tcPr>
            <w:tcW w:w="1280" w:type="dxa"/>
            <w:vAlign w:val="bottom"/>
            <w:gridSpan w:val="2"/>
            <w:shd w:val="clear" w:color="auto" w:fill="CCEEFF"/>
          </w:tcPr>
          <w:p>
            <w:pPr>
              <w:jc w:val="right"/>
              <w:ind w:right="404"/>
              <w:spacing w:after="0" w:line="90" w:lineRule="exact"/>
              <w:rPr>
                <w:sz w:val="20"/>
                <w:szCs w:val="20"/>
                <w:color w:val="auto"/>
              </w:rPr>
            </w:pPr>
            <w:r>
              <w:rPr>
                <w:rFonts w:ascii="Arial" w:cs="Arial" w:eastAsia="Arial" w:hAnsi="Arial"/>
                <w:sz w:val="8"/>
                <w:szCs w:val="8"/>
                <w:color w:val="auto"/>
              </w:rPr>
              <w:t>6,330,000</w:t>
            </w:r>
          </w:p>
        </w:tc>
        <w:tc>
          <w:tcPr>
            <w:tcW w:w="940" w:type="dxa"/>
            <w:vAlign w:val="bottom"/>
            <w:gridSpan w:val="2"/>
            <w:shd w:val="clear" w:color="auto" w:fill="CCEEFF"/>
          </w:tcPr>
          <w:p>
            <w:pPr>
              <w:jc w:val="right"/>
              <w:ind w:right="224"/>
              <w:spacing w:after="0" w:line="90" w:lineRule="exact"/>
              <w:rPr>
                <w:sz w:val="20"/>
                <w:szCs w:val="20"/>
                <w:color w:val="auto"/>
              </w:rPr>
            </w:pPr>
            <w:r>
              <w:rPr>
                <w:rFonts w:ascii="Arial" w:cs="Arial" w:eastAsia="Arial" w:hAnsi="Arial"/>
                <w:sz w:val="8"/>
                <w:szCs w:val="8"/>
                <w:color w:val="auto"/>
              </w:rPr>
              <w:t>788,895</w:t>
            </w:r>
          </w:p>
        </w:tc>
        <w:tc>
          <w:tcPr>
            <w:tcW w:w="1280" w:type="dxa"/>
            <w:vAlign w:val="bottom"/>
            <w:gridSpan w:val="2"/>
            <w:shd w:val="clear" w:color="auto" w:fill="CCEEFF"/>
          </w:tcPr>
          <w:p>
            <w:pPr>
              <w:jc w:val="right"/>
              <w:ind w:right="404"/>
              <w:spacing w:after="0" w:line="90" w:lineRule="exact"/>
              <w:rPr>
                <w:sz w:val="20"/>
                <w:szCs w:val="20"/>
                <w:color w:val="auto"/>
              </w:rPr>
            </w:pPr>
            <w:r>
              <w:rPr>
                <w:rFonts w:ascii="Arial" w:cs="Arial" w:eastAsia="Arial" w:hAnsi="Arial"/>
                <w:sz w:val="8"/>
                <w:szCs w:val="8"/>
                <w:color w:val="auto"/>
              </w:rPr>
              <w:t>3,199,135</w:t>
            </w:r>
          </w:p>
        </w:tc>
        <w:tc>
          <w:tcPr>
            <w:tcW w:w="880" w:type="dxa"/>
            <w:vAlign w:val="bottom"/>
            <w:gridSpan w:val="2"/>
            <w:shd w:val="clear" w:color="auto" w:fill="CCEEFF"/>
          </w:tcPr>
          <w:p>
            <w:pPr>
              <w:jc w:val="right"/>
              <w:ind w:right="184"/>
              <w:spacing w:after="0" w:line="90" w:lineRule="exact"/>
              <w:rPr>
                <w:sz w:val="20"/>
                <w:szCs w:val="20"/>
                <w:color w:val="auto"/>
              </w:rPr>
            </w:pPr>
            <w:r>
              <w:rPr>
                <w:rFonts w:ascii="Arial" w:cs="Arial" w:eastAsia="Arial" w:hAnsi="Arial"/>
                <w:sz w:val="8"/>
                <w:szCs w:val="8"/>
                <w:color w:val="auto"/>
              </w:rPr>
              <w:t>24,882,766</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060" w:type="dxa"/>
            <w:vAlign w:val="bottom"/>
            <w:shd w:val="clear" w:color="auto" w:fill="CCEEFF"/>
          </w:tcPr>
          <w:p>
            <w:pPr>
              <w:ind w:left="60"/>
              <w:spacing w:after="0"/>
              <w:rPr>
                <w:sz w:val="20"/>
                <w:szCs w:val="20"/>
                <w:color w:val="auto"/>
              </w:rPr>
            </w:pPr>
            <w:r>
              <w:rPr>
                <w:rFonts w:ascii="Arial" w:cs="Arial" w:eastAsia="Arial" w:hAnsi="Arial"/>
                <w:sz w:val="8"/>
                <w:szCs w:val="8"/>
                <w:color w:val="auto"/>
              </w:rPr>
              <w:t>Executive Officer</w:t>
            </w: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060" w:type="dxa"/>
            <w:vAlign w:val="bottom"/>
          </w:tcPr>
          <w:p>
            <w:pPr>
              <w:spacing w:after="0" w:line="81" w:lineRule="exact"/>
              <w:rPr>
                <w:sz w:val="20"/>
                <w:szCs w:val="20"/>
                <w:color w:val="auto"/>
              </w:rPr>
            </w:pPr>
            <w:r>
              <w:rPr>
                <w:rFonts w:ascii="Arial" w:cs="Arial" w:eastAsia="Arial" w:hAnsi="Arial"/>
                <w:sz w:val="8"/>
                <w:szCs w:val="8"/>
                <w:b w:val="1"/>
                <w:bCs w:val="1"/>
                <w:color w:val="auto"/>
              </w:rPr>
              <w:t>Michael J. Angelakis</w:t>
            </w:r>
          </w:p>
        </w:tc>
        <w:tc>
          <w:tcPr>
            <w:tcW w:w="400" w:type="dxa"/>
            <w:vAlign w:val="bottom"/>
            <w:gridSpan w:val="2"/>
          </w:tcPr>
          <w:p>
            <w:pPr>
              <w:jc w:val="center"/>
              <w:spacing w:after="0" w:line="81" w:lineRule="exact"/>
              <w:rPr>
                <w:sz w:val="20"/>
                <w:szCs w:val="20"/>
                <w:color w:val="auto"/>
              </w:rPr>
            </w:pPr>
            <w:r>
              <w:rPr>
                <w:rFonts w:ascii="Arial" w:cs="Arial" w:eastAsia="Arial" w:hAnsi="Arial"/>
                <w:sz w:val="8"/>
                <w:szCs w:val="8"/>
                <w:color w:val="auto"/>
                <w:w w:val="89"/>
              </w:rPr>
              <w:t>2009</w:t>
            </w:r>
          </w:p>
        </w:tc>
        <w:tc>
          <w:tcPr>
            <w:tcW w:w="700" w:type="dxa"/>
            <w:vAlign w:val="bottom"/>
            <w:gridSpan w:val="2"/>
          </w:tcPr>
          <w:p>
            <w:pPr>
              <w:jc w:val="right"/>
              <w:ind w:right="104"/>
              <w:spacing w:after="0" w:line="81" w:lineRule="exact"/>
              <w:rPr>
                <w:sz w:val="20"/>
                <w:szCs w:val="20"/>
                <w:color w:val="auto"/>
              </w:rPr>
            </w:pPr>
            <w:r>
              <w:rPr>
                <w:rFonts w:ascii="Arial" w:cs="Arial" w:eastAsia="Arial" w:hAnsi="Arial"/>
                <w:sz w:val="8"/>
                <w:szCs w:val="8"/>
                <w:color w:val="auto"/>
              </w:rPr>
              <w:t>1,747,157</w:t>
            </w: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jc w:val="right"/>
              <w:ind w:right="118"/>
              <w:spacing w:after="0" w:line="81" w:lineRule="exact"/>
              <w:rPr>
                <w:sz w:val="20"/>
                <w:szCs w:val="20"/>
                <w:color w:val="auto"/>
              </w:rPr>
            </w:pPr>
            <w:r>
              <w:rPr>
                <w:rFonts w:ascii="Arial" w:cs="Arial" w:eastAsia="Arial" w:hAnsi="Arial"/>
                <w:sz w:val="8"/>
                <w:szCs w:val="8"/>
                <w:color w:val="auto"/>
                <w:w w:val="84"/>
              </w:rPr>
              <w:t>1,500,000</w:t>
            </w:r>
          </w:p>
        </w:tc>
        <w:tc>
          <w:tcPr>
            <w:tcW w:w="880" w:type="dxa"/>
            <w:vAlign w:val="bottom"/>
            <w:gridSpan w:val="2"/>
          </w:tcPr>
          <w:p>
            <w:pPr>
              <w:jc w:val="right"/>
              <w:ind w:right="184"/>
              <w:spacing w:after="0" w:line="81" w:lineRule="exact"/>
              <w:rPr>
                <w:sz w:val="20"/>
                <w:szCs w:val="20"/>
                <w:color w:val="auto"/>
              </w:rPr>
            </w:pPr>
            <w:r>
              <w:rPr>
                <w:rFonts w:ascii="Arial" w:cs="Arial" w:eastAsia="Arial" w:hAnsi="Arial"/>
                <w:sz w:val="8"/>
                <w:szCs w:val="8"/>
                <w:color w:val="auto"/>
              </w:rPr>
              <w:t>6,151,691</w:t>
            </w:r>
          </w:p>
        </w:tc>
        <w:tc>
          <w:tcPr>
            <w:tcW w:w="840" w:type="dxa"/>
            <w:vAlign w:val="bottom"/>
            <w:gridSpan w:val="2"/>
          </w:tcPr>
          <w:p>
            <w:pPr>
              <w:jc w:val="right"/>
              <w:ind w:right="164"/>
              <w:spacing w:after="0" w:line="81" w:lineRule="exact"/>
              <w:rPr>
                <w:sz w:val="20"/>
                <w:szCs w:val="20"/>
                <w:color w:val="auto"/>
              </w:rPr>
            </w:pPr>
            <w:r>
              <w:rPr>
                <w:rFonts w:ascii="Arial" w:cs="Arial" w:eastAsia="Arial" w:hAnsi="Arial"/>
                <w:sz w:val="8"/>
                <w:szCs w:val="8"/>
                <w:color w:val="auto"/>
              </w:rPr>
              <w:t>3,408,600</w:t>
            </w:r>
          </w:p>
        </w:tc>
        <w:tc>
          <w:tcPr>
            <w:tcW w:w="1280" w:type="dxa"/>
            <w:vAlign w:val="bottom"/>
            <w:gridSpan w:val="2"/>
          </w:tcPr>
          <w:p>
            <w:pPr>
              <w:jc w:val="right"/>
              <w:ind w:right="404"/>
              <w:spacing w:after="0" w:line="81" w:lineRule="exact"/>
              <w:rPr>
                <w:sz w:val="20"/>
                <w:szCs w:val="20"/>
                <w:color w:val="auto"/>
              </w:rPr>
            </w:pPr>
            <w:r>
              <w:rPr>
                <w:rFonts w:ascii="Arial" w:cs="Arial" w:eastAsia="Arial" w:hAnsi="Arial"/>
                <w:sz w:val="8"/>
                <w:szCs w:val="8"/>
                <w:color w:val="auto"/>
              </w:rPr>
              <w:t>4,946,396</w:t>
            </w:r>
          </w:p>
        </w:tc>
        <w:tc>
          <w:tcPr>
            <w:tcW w:w="940" w:type="dxa"/>
            <w:vAlign w:val="bottom"/>
            <w:gridSpan w:val="2"/>
          </w:tcPr>
          <w:p>
            <w:pPr>
              <w:jc w:val="right"/>
              <w:ind w:right="224"/>
              <w:spacing w:after="0" w:line="81" w:lineRule="exact"/>
              <w:rPr>
                <w:sz w:val="20"/>
                <w:szCs w:val="20"/>
                <w:color w:val="auto"/>
              </w:rPr>
            </w:pPr>
            <w:r>
              <w:rPr>
                <w:rFonts w:ascii="Arial" w:cs="Arial" w:eastAsia="Arial" w:hAnsi="Arial"/>
                <w:sz w:val="8"/>
                <w:szCs w:val="8"/>
                <w:color w:val="auto"/>
              </w:rPr>
              <w:t>1,229,276</w:t>
            </w:r>
          </w:p>
        </w:tc>
        <w:tc>
          <w:tcPr>
            <w:tcW w:w="1280" w:type="dxa"/>
            <w:vAlign w:val="bottom"/>
            <w:gridSpan w:val="2"/>
          </w:tcPr>
          <w:p>
            <w:pPr>
              <w:jc w:val="right"/>
              <w:ind w:right="404"/>
              <w:spacing w:after="0" w:line="81" w:lineRule="exact"/>
              <w:rPr>
                <w:sz w:val="20"/>
                <w:szCs w:val="20"/>
                <w:color w:val="auto"/>
              </w:rPr>
            </w:pPr>
            <w:r>
              <w:rPr>
                <w:rFonts w:ascii="Arial" w:cs="Arial" w:eastAsia="Arial" w:hAnsi="Arial"/>
                <w:sz w:val="8"/>
                <w:szCs w:val="8"/>
                <w:color w:val="auto"/>
              </w:rPr>
              <w:t>2,571,012</w:t>
            </w:r>
          </w:p>
        </w:tc>
        <w:tc>
          <w:tcPr>
            <w:tcW w:w="880" w:type="dxa"/>
            <w:vAlign w:val="bottom"/>
            <w:gridSpan w:val="2"/>
          </w:tcPr>
          <w:p>
            <w:pPr>
              <w:jc w:val="right"/>
              <w:ind w:right="184"/>
              <w:spacing w:after="0" w:line="81" w:lineRule="exact"/>
              <w:rPr>
                <w:sz w:val="20"/>
                <w:szCs w:val="20"/>
                <w:color w:val="auto"/>
              </w:rPr>
            </w:pPr>
            <w:r>
              <w:rPr>
                <w:rFonts w:ascii="Arial" w:cs="Arial" w:eastAsia="Arial" w:hAnsi="Arial"/>
                <w:sz w:val="8"/>
                <w:szCs w:val="8"/>
                <w:color w:val="auto"/>
              </w:rPr>
              <w:t>21,554,132</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60" w:type="dxa"/>
            <w:vAlign w:val="bottom"/>
          </w:tcPr>
          <w:p>
            <w:pPr>
              <w:ind w:left="60"/>
              <w:spacing w:after="0" w:line="90" w:lineRule="exact"/>
              <w:rPr>
                <w:sz w:val="20"/>
                <w:szCs w:val="20"/>
                <w:color w:val="auto"/>
              </w:rPr>
            </w:pPr>
            <w:r>
              <w:rPr>
                <w:rFonts w:ascii="Arial" w:cs="Arial" w:eastAsia="Arial" w:hAnsi="Arial"/>
                <w:sz w:val="8"/>
                <w:szCs w:val="8"/>
                <w:color w:val="auto"/>
              </w:rPr>
              <w:t>Executive Vice President</w:t>
            </w:r>
          </w:p>
        </w:tc>
        <w:tc>
          <w:tcPr>
            <w:tcW w:w="400" w:type="dxa"/>
            <w:vAlign w:val="bottom"/>
            <w:gridSpan w:val="2"/>
          </w:tcPr>
          <w:p>
            <w:pPr>
              <w:jc w:val="center"/>
              <w:spacing w:after="0" w:line="90" w:lineRule="exact"/>
              <w:rPr>
                <w:sz w:val="20"/>
                <w:szCs w:val="20"/>
                <w:color w:val="auto"/>
              </w:rPr>
            </w:pPr>
            <w:r>
              <w:rPr>
                <w:rFonts w:ascii="Arial" w:cs="Arial" w:eastAsia="Arial" w:hAnsi="Arial"/>
                <w:sz w:val="8"/>
                <w:szCs w:val="8"/>
                <w:color w:val="auto"/>
                <w:w w:val="89"/>
              </w:rPr>
              <w:t>2008</w:t>
            </w:r>
          </w:p>
        </w:tc>
        <w:tc>
          <w:tcPr>
            <w:tcW w:w="700" w:type="dxa"/>
            <w:vAlign w:val="bottom"/>
            <w:gridSpan w:val="2"/>
          </w:tcPr>
          <w:p>
            <w:pPr>
              <w:jc w:val="right"/>
              <w:ind w:right="104"/>
              <w:spacing w:after="0" w:line="90" w:lineRule="exact"/>
              <w:rPr>
                <w:sz w:val="20"/>
                <w:szCs w:val="20"/>
                <w:color w:val="auto"/>
              </w:rPr>
            </w:pPr>
            <w:r>
              <w:rPr>
                <w:rFonts w:ascii="Arial" w:cs="Arial" w:eastAsia="Arial" w:hAnsi="Arial"/>
                <w:sz w:val="8"/>
                <w:szCs w:val="8"/>
                <w:color w:val="auto"/>
              </w:rPr>
              <w:t>1,663,588</w:t>
            </w: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jc w:val="right"/>
              <w:ind w:right="118"/>
              <w:spacing w:after="0" w:line="90" w:lineRule="exact"/>
              <w:rPr>
                <w:sz w:val="20"/>
                <w:szCs w:val="20"/>
                <w:color w:val="auto"/>
              </w:rPr>
            </w:pPr>
            <w:r>
              <w:rPr>
                <w:rFonts w:ascii="Arial" w:cs="Arial" w:eastAsia="Arial" w:hAnsi="Arial"/>
                <w:sz w:val="8"/>
                <w:szCs w:val="8"/>
                <w:color w:val="auto"/>
              </w:rPr>
              <w:t>—</w:t>
            </w:r>
          </w:p>
        </w:tc>
        <w:tc>
          <w:tcPr>
            <w:tcW w:w="880" w:type="dxa"/>
            <w:vAlign w:val="bottom"/>
            <w:gridSpan w:val="2"/>
          </w:tcPr>
          <w:p>
            <w:pPr>
              <w:jc w:val="right"/>
              <w:ind w:right="184"/>
              <w:spacing w:after="0" w:line="90" w:lineRule="exact"/>
              <w:rPr>
                <w:sz w:val="20"/>
                <w:szCs w:val="20"/>
                <w:color w:val="auto"/>
              </w:rPr>
            </w:pPr>
            <w:r>
              <w:rPr>
                <w:rFonts w:ascii="Arial" w:cs="Arial" w:eastAsia="Arial" w:hAnsi="Arial"/>
                <w:sz w:val="8"/>
                <w:szCs w:val="8"/>
                <w:color w:val="auto"/>
              </w:rPr>
              <w:t>3,003,984</w:t>
            </w:r>
          </w:p>
        </w:tc>
        <w:tc>
          <w:tcPr>
            <w:tcW w:w="840" w:type="dxa"/>
            <w:vAlign w:val="bottom"/>
            <w:gridSpan w:val="2"/>
          </w:tcPr>
          <w:p>
            <w:pPr>
              <w:jc w:val="right"/>
              <w:ind w:right="164"/>
              <w:spacing w:after="0" w:line="90" w:lineRule="exact"/>
              <w:rPr>
                <w:sz w:val="20"/>
                <w:szCs w:val="20"/>
                <w:color w:val="auto"/>
              </w:rPr>
            </w:pPr>
            <w:r>
              <w:rPr>
                <w:rFonts w:ascii="Arial" w:cs="Arial" w:eastAsia="Arial" w:hAnsi="Arial"/>
                <w:sz w:val="8"/>
                <w:szCs w:val="8"/>
                <w:color w:val="auto"/>
              </w:rPr>
              <w:t>3,122,064</w:t>
            </w:r>
          </w:p>
        </w:tc>
        <w:tc>
          <w:tcPr>
            <w:tcW w:w="1280" w:type="dxa"/>
            <w:vAlign w:val="bottom"/>
            <w:gridSpan w:val="2"/>
          </w:tcPr>
          <w:p>
            <w:pPr>
              <w:jc w:val="right"/>
              <w:ind w:right="404"/>
              <w:spacing w:after="0" w:line="90" w:lineRule="exact"/>
              <w:rPr>
                <w:sz w:val="20"/>
                <w:szCs w:val="20"/>
                <w:color w:val="auto"/>
              </w:rPr>
            </w:pPr>
            <w:r>
              <w:rPr>
                <w:rFonts w:ascii="Arial" w:cs="Arial" w:eastAsia="Arial" w:hAnsi="Arial"/>
                <w:sz w:val="8"/>
                <w:szCs w:val="8"/>
                <w:color w:val="auto"/>
              </w:rPr>
              <w:t>4,441,779</w:t>
            </w:r>
          </w:p>
        </w:tc>
        <w:tc>
          <w:tcPr>
            <w:tcW w:w="940" w:type="dxa"/>
            <w:vAlign w:val="bottom"/>
            <w:gridSpan w:val="2"/>
          </w:tcPr>
          <w:p>
            <w:pPr>
              <w:jc w:val="right"/>
              <w:ind w:right="224"/>
              <w:spacing w:after="0" w:line="90" w:lineRule="exact"/>
              <w:rPr>
                <w:sz w:val="20"/>
                <w:szCs w:val="20"/>
                <w:color w:val="auto"/>
              </w:rPr>
            </w:pPr>
            <w:r>
              <w:rPr>
                <w:rFonts w:ascii="Arial" w:cs="Arial" w:eastAsia="Arial" w:hAnsi="Arial"/>
                <w:sz w:val="8"/>
                <w:szCs w:val="8"/>
                <w:color w:val="auto"/>
              </w:rPr>
              <w:t>790,250</w:t>
            </w:r>
          </w:p>
        </w:tc>
        <w:tc>
          <w:tcPr>
            <w:tcW w:w="1280" w:type="dxa"/>
            <w:vAlign w:val="bottom"/>
            <w:gridSpan w:val="2"/>
          </w:tcPr>
          <w:p>
            <w:pPr>
              <w:jc w:val="right"/>
              <w:ind w:right="404"/>
              <w:spacing w:after="0" w:line="90" w:lineRule="exact"/>
              <w:rPr>
                <w:sz w:val="20"/>
                <w:szCs w:val="20"/>
                <w:color w:val="auto"/>
              </w:rPr>
            </w:pPr>
            <w:r>
              <w:rPr>
                <w:rFonts w:ascii="Arial" w:cs="Arial" w:eastAsia="Arial" w:hAnsi="Arial"/>
                <w:sz w:val="8"/>
                <w:szCs w:val="8"/>
                <w:color w:val="auto"/>
              </w:rPr>
              <w:t>1,447,388</w:t>
            </w:r>
          </w:p>
        </w:tc>
        <w:tc>
          <w:tcPr>
            <w:tcW w:w="880" w:type="dxa"/>
            <w:vAlign w:val="bottom"/>
            <w:gridSpan w:val="2"/>
          </w:tcPr>
          <w:p>
            <w:pPr>
              <w:jc w:val="right"/>
              <w:ind w:right="184"/>
              <w:spacing w:after="0" w:line="90" w:lineRule="exact"/>
              <w:rPr>
                <w:sz w:val="20"/>
                <w:szCs w:val="20"/>
                <w:color w:val="auto"/>
              </w:rPr>
            </w:pPr>
            <w:r>
              <w:rPr>
                <w:rFonts w:ascii="Arial" w:cs="Arial" w:eastAsia="Arial" w:hAnsi="Arial"/>
                <w:sz w:val="8"/>
                <w:szCs w:val="8"/>
                <w:color w:val="auto"/>
              </w:rPr>
              <w:t>14,469,053</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060" w:type="dxa"/>
            <w:vAlign w:val="bottom"/>
          </w:tcPr>
          <w:p>
            <w:pPr>
              <w:ind w:left="60"/>
              <w:spacing w:after="0"/>
              <w:rPr>
                <w:sz w:val="20"/>
                <w:szCs w:val="20"/>
                <w:color w:val="auto"/>
              </w:rPr>
            </w:pPr>
            <w:r>
              <w:rPr>
                <w:rFonts w:ascii="Arial" w:cs="Arial" w:eastAsia="Arial" w:hAnsi="Arial"/>
                <w:sz w:val="8"/>
                <w:szCs w:val="8"/>
                <w:color w:val="auto"/>
              </w:rPr>
              <w:t>and Chief Financial Officer</w:t>
            </w:r>
          </w:p>
        </w:tc>
        <w:tc>
          <w:tcPr>
            <w:tcW w:w="400" w:type="dxa"/>
            <w:vAlign w:val="bottom"/>
            <w:gridSpan w:val="2"/>
          </w:tcPr>
          <w:p>
            <w:pPr>
              <w:jc w:val="center"/>
              <w:spacing w:after="0"/>
              <w:rPr>
                <w:sz w:val="20"/>
                <w:szCs w:val="20"/>
                <w:color w:val="auto"/>
              </w:rPr>
            </w:pPr>
            <w:r>
              <w:rPr>
                <w:rFonts w:ascii="Arial" w:cs="Arial" w:eastAsia="Arial" w:hAnsi="Arial"/>
                <w:sz w:val="8"/>
                <w:szCs w:val="8"/>
                <w:color w:val="auto"/>
                <w:w w:val="89"/>
              </w:rPr>
              <w:t>2007</w:t>
            </w:r>
          </w:p>
        </w:tc>
        <w:tc>
          <w:tcPr>
            <w:tcW w:w="700" w:type="dxa"/>
            <w:vAlign w:val="bottom"/>
            <w:gridSpan w:val="2"/>
          </w:tcPr>
          <w:p>
            <w:pPr>
              <w:jc w:val="right"/>
              <w:ind w:right="104"/>
              <w:spacing w:after="0"/>
              <w:rPr>
                <w:sz w:val="20"/>
                <w:szCs w:val="20"/>
                <w:color w:val="auto"/>
              </w:rPr>
            </w:pPr>
            <w:r>
              <w:rPr>
                <w:rFonts w:ascii="Arial" w:cs="Arial" w:eastAsia="Arial" w:hAnsi="Arial"/>
                <w:sz w:val="8"/>
                <w:szCs w:val="8"/>
                <w:color w:val="auto"/>
              </w:rPr>
              <w:t>1,146,625</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jc w:val="right"/>
              <w:ind w:right="118"/>
              <w:spacing w:after="0"/>
              <w:rPr>
                <w:sz w:val="20"/>
                <w:szCs w:val="20"/>
                <w:color w:val="auto"/>
              </w:rPr>
            </w:pPr>
            <w:r>
              <w:rPr>
                <w:rFonts w:ascii="Arial" w:cs="Arial" w:eastAsia="Arial" w:hAnsi="Arial"/>
                <w:sz w:val="8"/>
                <w:szCs w:val="8"/>
                <w:color w:val="auto"/>
                <w:w w:val="84"/>
              </w:rPr>
              <w:t>5,000,000</w:t>
            </w:r>
          </w:p>
        </w:tc>
        <w:tc>
          <w:tcPr>
            <w:tcW w:w="880" w:type="dxa"/>
            <w:vAlign w:val="bottom"/>
            <w:gridSpan w:val="2"/>
          </w:tcPr>
          <w:p>
            <w:pPr>
              <w:jc w:val="right"/>
              <w:ind w:right="184"/>
              <w:spacing w:after="0"/>
              <w:rPr>
                <w:sz w:val="20"/>
                <w:szCs w:val="20"/>
                <w:color w:val="auto"/>
              </w:rPr>
            </w:pPr>
            <w:r>
              <w:rPr>
                <w:rFonts w:ascii="Arial" w:cs="Arial" w:eastAsia="Arial" w:hAnsi="Arial"/>
                <w:sz w:val="8"/>
                <w:szCs w:val="8"/>
                <w:color w:val="auto"/>
              </w:rPr>
              <w:t>7,479,828</w:t>
            </w:r>
          </w:p>
        </w:tc>
        <w:tc>
          <w:tcPr>
            <w:tcW w:w="840" w:type="dxa"/>
            <w:vAlign w:val="bottom"/>
            <w:gridSpan w:val="2"/>
          </w:tcPr>
          <w:p>
            <w:pPr>
              <w:jc w:val="right"/>
              <w:ind w:right="164"/>
              <w:spacing w:after="0"/>
              <w:rPr>
                <w:sz w:val="20"/>
                <w:szCs w:val="20"/>
                <w:color w:val="auto"/>
              </w:rPr>
            </w:pPr>
            <w:r>
              <w:rPr>
                <w:rFonts w:ascii="Arial" w:cs="Arial" w:eastAsia="Arial" w:hAnsi="Arial"/>
                <w:sz w:val="8"/>
                <w:szCs w:val="8"/>
                <w:color w:val="auto"/>
              </w:rPr>
              <w:t>2,410,462</w:t>
            </w:r>
          </w:p>
        </w:tc>
        <w:tc>
          <w:tcPr>
            <w:tcW w:w="1280" w:type="dxa"/>
            <w:vAlign w:val="bottom"/>
            <w:gridSpan w:val="2"/>
          </w:tcPr>
          <w:p>
            <w:pPr>
              <w:jc w:val="right"/>
              <w:ind w:right="404"/>
              <w:spacing w:after="0"/>
              <w:rPr>
                <w:sz w:val="20"/>
                <w:szCs w:val="20"/>
                <w:color w:val="auto"/>
              </w:rPr>
            </w:pPr>
            <w:r>
              <w:rPr>
                <w:rFonts w:ascii="Arial" w:cs="Arial" w:eastAsia="Arial" w:hAnsi="Arial"/>
                <w:sz w:val="8"/>
                <w:szCs w:val="8"/>
                <w:color w:val="auto"/>
              </w:rPr>
              <w:t>2,749,500</w:t>
            </w:r>
          </w:p>
        </w:tc>
        <w:tc>
          <w:tcPr>
            <w:tcW w:w="940" w:type="dxa"/>
            <w:vAlign w:val="bottom"/>
            <w:gridSpan w:val="2"/>
          </w:tcPr>
          <w:p>
            <w:pPr>
              <w:jc w:val="right"/>
              <w:ind w:right="224"/>
              <w:spacing w:after="0"/>
              <w:rPr>
                <w:sz w:val="20"/>
                <w:szCs w:val="20"/>
                <w:color w:val="auto"/>
              </w:rPr>
            </w:pPr>
            <w:r>
              <w:rPr>
                <w:rFonts w:ascii="Arial" w:cs="Arial" w:eastAsia="Arial" w:hAnsi="Arial"/>
                <w:sz w:val="8"/>
                <w:szCs w:val="8"/>
                <w:color w:val="auto"/>
              </w:rPr>
              <w:t>383,564</w:t>
            </w:r>
          </w:p>
        </w:tc>
        <w:tc>
          <w:tcPr>
            <w:tcW w:w="1280" w:type="dxa"/>
            <w:vAlign w:val="bottom"/>
            <w:gridSpan w:val="2"/>
          </w:tcPr>
          <w:p>
            <w:pPr>
              <w:jc w:val="right"/>
              <w:ind w:right="404"/>
              <w:spacing w:after="0"/>
              <w:rPr>
                <w:sz w:val="20"/>
                <w:szCs w:val="20"/>
                <w:color w:val="auto"/>
              </w:rPr>
            </w:pPr>
            <w:r>
              <w:rPr>
                <w:rFonts w:ascii="Arial" w:cs="Arial" w:eastAsia="Arial" w:hAnsi="Arial"/>
                <w:sz w:val="8"/>
                <w:szCs w:val="8"/>
                <w:color w:val="auto"/>
              </w:rPr>
              <w:t>6,759,381</w:t>
            </w:r>
          </w:p>
        </w:tc>
        <w:tc>
          <w:tcPr>
            <w:tcW w:w="880" w:type="dxa"/>
            <w:vAlign w:val="bottom"/>
            <w:gridSpan w:val="2"/>
          </w:tcPr>
          <w:p>
            <w:pPr>
              <w:jc w:val="right"/>
              <w:ind w:right="184"/>
              <w:spacing w:after="0"/>
              <w:rPr>
                <w:sz w:val="20"/>
                <w:szCs w:val="20"/>
                <w:color w:val="auto"/>
              </w:rPr>
            </w:pPr>
            <w:r>
              <w:rPr>
                <w:rFonts w:ascii="Arial" w:cs="Arial" w:eastAsia="Arial" w:hAnsi="Arial"/>
                <w:sz w:val="8"/>
                <w:szCs w:val="8"/>
                <w:color w:val="auto"/>
              </w:rPr>
              <w:t>25,929,360</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060" w:type="dxa"/>
            <w:vAlign w:val="bottom"/>
            <w:shd w:val="clear" w:color="auto" w:fill="CCEEFF"/>
          </w:tcPr>
          <w:p>
            <w:pPr>
              <w:spacing w:after="0" w:line="81" w:lineRule="exact"/>
              <w:rPr>
                <w:sz w:val="20"/>
                <w:szCs w:val="20"/>
                <w:color w:val="auto"/>
              </w:rPr>
            </w:pPr>
            <w:r>
              <w:rPr>
                <w:rFonts w:ascii="Arial" w:cs="Arial" w:eastAsia="Arial" w:hAnsi="Arial"/>
                <w:sz w:val="8"/>
                <w:szCs w:val="8"/>
                <w:b w:val="1"/>
                <w:bCs w:val="1"/>
                <w:color w:val="auto"/>
              </w:rPr>
              <w:t>Stephen B. Burke</w:t>
            </w:r>
          </w:p>
        </w:tc>
        <w:tc>
          <w:tcPr>
            <w:tcW w:w="400" w:type="dxa"/>
            <w:vAlign w:val="bottom"/>
            <w:gridSpan w:val="2"/>
            <w:shd w:val="clear" w:color="auto" w:fill="CCEEFF"/>
          </w:tcPr>
          <w:p>
            <w:pPr>
              <w:jc w:val="center"/>
              <w:spacing w:after="0" w:line="81" w:lineRule="exact"/>
              <w:rPr>
                <w:sz w:val="20"/>
                <w:szCs w:val="20"/>
                <w:color w:val="auto"/>
              </w:rPr>
            </w:pPr>
            <w:r>
              <w:rPr>
                <w:rFonts w:ascii="Arial" w:cs="Arial" w:eastAsia="Arial" w:hAnsi="Arial"/>
                <w:sz w:val="8"/>
                <w:szCs w:val="8"/>
                <w:color w:val="auto"/>
                <w:w w:val="89"/>
              </w:rPr>
              <w:t>2009</w:t>
            </w:r>
          </w:p>
        </w:tc>
        <w:tc>
          <w:tcPr>
            <w:tcW w:w="700" w:type="dxa"/>
            <w:vAlign w:val="bottom"/>
            <w:gridSpan w:val="2"/>
            <w:shd w:val="clear" w:color="auto" w:fill="CCEEFF"/>
          </w:tcPr>
          <w:p>
            <w:pPr>
              <w:jc w:val="right"/>
              <w:ind w:right="104"/>
              <w:spacing w:after="0" w:line="81" w:lineRule="exact"/>
              <w:rPr>
                <w:sz w:val="20"/>
                <w:szCs w:val="20"/>
                <w:color w:val="auto"/>
              </w:rPr>
            </w:pPr>
            <w:r>
              <w:rPr>
                <w:rFonts w:ascii="Arial" w:cs="Arial" w:eastAsia="Arial" w:hAnsi="Arial"/>
                <w:sz w:val="8"/>
                <w:szCs w:val="8"/>
                <w:color w:val="auto"/>
              </w:rPr>
              <w:t>2,329,543</w:t>
            </w: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80" w:type="dxa"/>
            <w:vAlign w:val="bottom"/>
            <w:shd w:val="clear" w:color="auto" w:fill="CCEEFF"/>
          </w:tcPr>
          <w:p>
            <w:pPr>
              <w:jc w:val="right"/>
              <w:ind w:right="118"/>
              <w:spacing w:after="0" w:line="81" w:lineRule="exact"/>
              <w:rPr>
                <w:sz w:val="20"/>
                <w:szCs w:val="20"/>
                <w:color w:val="auto"/>
              </w:rPr>
            </w:pPr>
            <w:r>
              <w:rPr>
                <w:rFonts w:ascii="Arial" w:cs="Arial" w:eastAsia="Arial" w:hAnsi="Arial"/>
                <w:sz w:val="8"/>
                <w:szCs w:val="8"/>
                <w:color w:val="auto"/>
                <w:w w:val="84"/>
              </w:rPr>
              <w:t>3,000,000</w:t>
            </w:r>
          </w:p>
        </w:tc>
        <w:tc>
          <w:tcPr>
            <w:tcW w:w="880" w:type="dxa"/>
            <w:vAlign w:val="bottom"/>
            <w:gridSpan w:val="2"/>
            <w:shd w:val="clear" w:color="auto" w:fill="CCEEFF"/>
          </w:tcPr>
          <w:p>
            <w:pPr>
              <w:jc w:val="right"/>
              <w:ind w:right="184"/>
              <w:spacing w:after="0" w:line="81" w:lineRule="exact"/>
              <w:rPr>
                <w:sz w:val="20"/>
                <w:szCs w:val="20"/>
                <w:color w:val="auto"/>
              </w:rPr>
            </w:pPr>
            <w:r>
              <w:rPr>
                <w:rFonts w:ascii="Arial" w:cs="Arial" w:eastAsia="Arial" w:hAnsi="Arial"/>
                <w:sz w:val="8"/>
                <w:szCs w:val="8"/>
                <w:color w:val="auto"/>
              </w:rPr>
              <w:t>10,079,183</w:t>
            </w:r>
          </w:p>
        </w:tc>
        <w:tc>
          <w:tcPr>
            <w:tcW w:w="840" w:type="dxa"/>
            <w:vAlign w:val="bottom"/>
            <w:gridSpan w:val="2"/>
            <w:shd w:val="clear" w:color="auto" w:fill="CCEEFF"/>
          </w:tcPr>
          <w:p>
            <w:pPr>
              <w:jc w:val="right"/>
              <w:ind w:right="164"/>
              <w:spacing w:after="0" w:line="81" w:lineRule="exact"/>
              <w:rPr>
                <w:sz w:val="20"/>
                <w:szCs w:val="20"/>
                <w:color w:val="auto"/>
              </w:rPr>
            </w:pPr>
            <w:r>
              <w:rPr>
                <w:rFonts w:ascii="Arial" w:cs="Arial" w:eastAsia="Arial" w:hAnsi="Arial"/>
                <w:sz w:val="8"/>
                <w:szCs w:val="8"/>
                <w:color w:val="auto"/>
              </w:rPr>
              <w:t>4,544,800</w:t>
            </w:r>
          </w:p>
        </w:tc>
        <w:tc>
          <w:tcPr>
            <w:tcW w:w="1280" w:type="dxa"/>
            <w:vAlign w:val="bottom"/>
            <w:gridSpan w:val="2"/>
            <w:shd w:val="clear" w:color="auto" w:fill="CCEEFF"/>
          </w:tcPr>
          <w:p>
            <w:pPr>
              <w:jc w:val="right"/>
              <w:ind w:right="404"/>
              <w:spacing w:after="0" w:line="81" w:lineRule="exact"/>
              <w:rPr>
                <w:sz w:val="20"/>
                <w:szCs w:val="20"/>
                <w:color w:val="auto"/>
              </w:rPr>
            </w:pPr>
            <w:r>
              <w:rPr>
                <w:rFonts w:ascii="Arial" w:cs="Arial" w:eastAsia="Arial" w:hAnsi="Arial"/>
                <w:sz w:val="8"/>
                <w:szCs w:val="8"/>
                <w:color w:val="auto"/>
              </w:rPr>
              <w:t>6,595,196</w:t>
            </w:r>
          </w:p>
        </w:tc>
        <w:tc>
          <w:tcPr>
            <w:tcW w:w="940" w:type="dxa"/>
            <w:vAlign w:val="bottom"/>
            <w:gridSpan w:val="2"/>
            <w:shd w:val="clear" w:color="auto" w:fill="CCEEFF"/>
          </w:tcPr>
          <w:p>
            <w:pPr>
              <w:jc w:val="right"/>
              <w:ind w:right="224"/>
              <w:spacing w:after="0" w:line="81" w:lineRule="exact"/>
              <w:rPr>
                <w:sz w:val="20"/>
                <w:szCs w:val="20"/>
                <w:color w:val="auto"/>
              </w:rPr>
            </w:pPr>
            <w:r>
              <w:rPr>
                <w:rFonts w:ascii="Arial" w:cs="Arial" w:eastAsia="Arial" w:hAnsi="Arial"/>
                <w:sz w:val="8"/>
                <w:szCs w:val="8"/>
                <w:color w:val="auto"/>
              </w:rPr>
              <w:t>3,024,679</w:t>
            </w:r>
          </w:p>
        </w:tc>
        <w:tc>
          <w:tcPr>
            <w:tcW w:w="1280" w:type="dxa"/>
            <w:vAlign w:val="bottom"/>
            <w:gridSpan w:val="2"/>
            <w:shd w:val="clear" w:color="auto" w:fill="CCEEFF"/>
          </w:tcPr>
          <w:p>
            <w:pPr>
              <w:jc w:val="right"/>
              <w:ind w:right="404"/>
              <w:spacing w:after="0" w:line="81" w:lineRule="exact"/>
              <w:rPr>
                <w:sz w:val="20"/>
                <w:szCs w:val="20"/>
                <w:color w:val="auto"/>
              </w:rPr>
            </w:pPr>
            <w:r>
              <w:rPr>
                <w:rFonts w:ascii="Arial" w:cs="Arial" w:eastAsia="Arial" w:hAnsi="Arial"/>
                <w:sz w:val="8"/>
                <w:szCs w:val="8"/>
                <w:color w:val="auto"/>
              </w:rPr>
              <w:t>4,414,654</w:t>
            </w:r>
          </w:p>
        </w:tc>
        <w:tc>
          <w:tcPr>
            <w:tcW w:w="880" w:type="dxa"/>
            <w:vAlign w:val="bottom"/>
            <w:gridSpan w:val="2"/>
            <w:shd w:val="clear" w:color="auto" w:fill="CCEEFF"/>
          </w:tcPr>
          <w:p>
            <w:pPr>
              <w:jc w:val="right"/>
              <w:ind w:right="184"/>
              <w:spacing w:after="0" w:line="81" w:lineRule="exact"/>
              <w:rPr>
                <w:sz w:val="20"/>
                <w:szCs w:val="20"/>
                <w:color w:val="auto"/>
              </w:rPr>
            </w:pPr>
            <w:r>
              <w:rPr>
                <w:rFonts w:ascii="Arial" w:cs="Arial" w:eastAsia="Arial" w:hAnsi="Arial"/>
                <w:sz w:val="8"/>
                <w:szCs w:val="8"/>
                <w:color w:val="auto"/>
              </w:rPr>
              <w:t>33,988,055</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60" w:type="dxa"/>
            <w:vAlign w:val="bottom"/>
            <w:shd w:val="clear" w:color="auto" w:fill="CCEEFF"/>
          </w:tcPr>
          <w:p>
            <w:pPr>
              <w:ind w:left="60"/>
              <w:spacing w:after="0" w:line="90" w:lineRule="exact"/>
              <w:rPr>
                <w:sz w:val="20"/>
                <w:szCs w:val="20"/>
                <w:color w:val="auto"/>
              </w:rPr>
            </w:pPr>
            <w:r>
              <w:rPr>
                <w:rFonts w:ascii="Arial" w:cs="Arial" w:eastAsia="Arial" w:hAnsi="Arial"/>
                <w:sz w:val="8"/>
                <w:szCs w:val="8"/>
                <w:color w:val="auto"/>
              </w:rPr>
              <w:t>Executive Vice President</w:t>
            </w:r>
          </w:p>
        </w:tc>
        <w:tc>
          <w:tcPr>
            <w:tcW w:w="400" w:type="dxa"/>
            <w:vAlign w:val="bottom"/>
            <w:gridSpan w:val="2"/>
            <w:shd w:val="clear" w:color="auto" w:fill="CCEEFF"/>
          </w:tcPr>
          <w:p>
            <w:pPr>
              <w:jc w:val="center"/>
              <w:spacing w:after="0" w:line="90" w:lineRule="exact"/>
              <w:rPr>
                <w:sz w:val="20"/>
                <w:szCs w:val="20"/>
                <w:color w:val="auto"/>
              </w:rPr>
            </w:pPr>
            <w:r>
              <w:rPr>
                <w:rFonts w:ascii="Arial" w:cs="Arial" w:eastAsia="Arial" w:hAnsi="Arial"/>
                <w:sz w:val="8"/>
                <w:szCs w:val="8"/>
                <w:color w:val="auto"/>
                <w:w w:val="89"/>
              </w:rPr>
              <w:t>2008</w:t>
            </w:r>
          </w:p>
        </w:tc>
        <w:tc>
          <w:tcPr>
            <w:tcW w:w="700" w:type="dxa"/>
            <w:vAlign w:val="bottom"/>
            <w:gridSpan w:val="2"/>
            <w:shd w:val="clear" w:color="auto" w:fill="CCEEFF"/>
          </w:tcPr>
          <w:p>
            <w:pPr>
              <w:jc w:val="right"/>
              <w:ind w:right="104"/>
              <w:spacing w:after="0" w:line="90" w:lineRule="exact"/>
              <w:rPr>
                <w:sz w:val="20"/>
                <w:szCs w:val="20"/>
                <w:color w:val="auto"/>
              </w:rPr>
            </w:pPr>
            <w:r>
              <w:rPr>
                <w:rFonts w:ascii="Arial" w:cs="Arial" w:eastAsia="Arial" w:hAnsi="Arial"/>
                <w:sz w:val="8"/>
                <w:szCs w:val="8"/>
                <w:color w:val="auto"/>
              </w:rPr>
              <w:t>2,218,117</w:t>
            </w: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80" w:type="dxa"/>
            <w:vAlign w:val="bottom"/>
            <w:shd w:val="clear" w:color="auto" w:fill="CCEEFF"/>
          </w:tcPr>
          <w:p>
            <w:pPr>
              <w:jc w:val="right"/>
              <w:ind w:right="118"/>
              <w:spacing w:after="0" w:line="90" w:lineRule="exact"/>
              <w:rPr>
                <w:sz w:val="20"/>
                <w:szCs w:val="20"/>
                <w:color w:val="auto"/>
              </w:rPr>
            </w:pPr>
            <w:r>
              <w:rPr>
                <w:rFonts w:ascii="Arial" w:cs="Arial" w:eastAsia="Arial" w:hAnsi="Arial"/>
                <w:sz w:val="8"/>
                <w:szCs w:val="8"/>
                <w:color w:val="auto"/>
              </w:rPr>
              <w:t>—</w:t>
            </w:r>
          </w:p>
        </w:tc>
        <w:tc>
          <w:tcPr>
            <w:tcW w:w="880" w:type="dxa"/>
            <w:vAlign w:val="bottom"/>
            <w:gridSpan w:val="2"/>
            <w:shd w:val="clear" w:color="auto" w:fill="CCEEFF"/>
          </w:tcPr>
          <w:p>
            <w:pPr>
              <w:jc w:val="right"/>
              <w:ind w:right="184"/>
              <w:spacing w:after="0" w:line="90" w:lineRule="exact"/>
              <w:rPr>
                <w:sz w:val="20"/>
                <w:szCs w:val="20"/>
                <w:color w:val="auto"/>
              </w:rPr>
            </w:pPr>
            <w:r>
              <w:rPr>
                <w:rFonts w:ascii="Arial" w:cs="Arial" w:eastAsia="Arial" w:hAnsi="Arial"/>
                <w:sz w:val="8"/>
                <w:szCs w:val="8"/>
                <w:color w:val="auto"/>
              </w:rPr>
              <w:t>4,005,312</w:t>
            </w:r>
          </w:p>
        </w:tc>
        <w:tc>
          <w:tcPr>
            <w:tcW w:w="840" w:type="dxa"/>
            <w:vAlign w:val="bottom"/>
            <w:gridSpan w:val="2"/>
            <w:shd w:val="clear" w:color="auto" w:fill="CCEEFF"/>
          </w:tcPr>
          <w:p>
            <w:pPr>
              <w:jc w:val="right"/>
              <w:ind w:right="164"/>
              <w:spacing w:after="0" w:line="90" w:lineRule="exact"/>
              <w:rPr>
                <w:sz w:val="20"/>
                <w:szCs w:val="20"/>
                <w:color w:val="auto"/>
              </w:rPr>
            </w:pPr>
            <w:r>
              <w:rPr>
                <w:rFonts w:ascii="Arial" w:cs="Arial" w:eastAsia="Arial" w:hAnsi="Arial"/>
                <w:sz w:val="8"/>
                <w:szCs w:val="8"/>
                <w:color w:val="auto"/>
              </w:rPr>
              <w:t>4,162,752</w:t>
            </w:r>
          </w:p>
        </w:tc>
        <w:tc>
          <w:tcPr>
            <w:tcW w:w="1280" w:type="dxa"/>
            <w:vAlign w:val="bottom"/>
            <w:gridSpan w:val="2"/>
            <w:shd w:val="clear" w:color="auto" w:fill="CCEEFF"/>
          </w:tcPr>
          <w:p>
            <w:pPr>
              <w:jc w:val="right"/>
              <w:ind w:right="404"/>
              <w:spacing w:after="0" w:line="90" w:lineRule="exact"/>
              <w:rPr>
                <w:sz w:val="20"/>
                <w:szCs w:val="20"/>
                <w:color w:val="auto"/>
              </w:rPr>
            </w:pPr>
            <w:r>
              <w:rPr>
                <w:rFonts w:ascii="Arial" w:cs="Arial" w:eastAsia="Arial" w:hAnsi="Arial"/>
                <w:sz w:val="8"/>
                <w:szCs w:val="8"/>
                <w:color w:val="auto"/>
              </w:rPr>
              <w:t>5,922,372</w:t>
            </w:r>
          </w:p>
        </w:tc>
        <w:tc>
          <w:tcPr>
            <w:tcW w:w="940" w:type="dxa"/>
            <w:vAlign w:val="bottom"/>
            <w:gridSpan w:val="2"/>
            <w:shd w:val="clear" w:color="auto" w:fill="CCEEFF"/>
          </w:tcPr>
          <w:p>
            <w:pPr>
              <w:jc w:val="right"/>
              <w:ind w:right="224"/>
              <w:spacing w:after="0" w:line="90" w:lineRule="exact"/>
              <w:rPr>
                <w:sz w:val="20"/>
                <w:szCs w:val="20"/>
                <w:color w:val="auto"/>
              </w:rPr>
            </w:pPr>
            <w:r>
              <w:rPr>
                <w:rFonts w:ascii="Arial" w:cs="Arial" w:eastAsia="Arial" w:hAnsi="Arial"/>
                <w:sz w:val="8"/>
                <w:szCs w:val="8"/>
                <w:color w:val="auto"/>
              </w:rPr>
              <w:t>4,113,931</w:t>
            </w:r>
          </w:p>
        </w:tc>
        <w:tc>
          <w:tcPr>
            <w:tcW w:w="1280" w:type="dxa"/>
            <w:vAlign w:val="bottom"/>
            <w:gridSpan w:val="2"/>
            <w:shd w:val="clear" w:color="auto" w:fill="CCEEFF"/>
          </w:tcPr>
          <w:p>
            <w:pPr>
              <w:jc w:val="right"/>
              <w:ind w:right="404"/>
              <w:spacing w:after="0" w:line="90" w:lineRule="exact"/>
              <w:rPr>
                <w:sz w:val="20"/>
                <w:szCs w:val="20"/>
                <w:color w:val="auto"/>
              </w:rPr>
            </w:pPr>
            <w:r>
              <w:rPr>
                <w:rFonts w:ascii="Arial" w:cs="Arial" w:eastAsia="Arial" w:hAnsi="Arial"/>
                <w:sz w:val="8"/>
                <w:szCs w:val="8"/>
                <w:color w:val="auto"/>
              </w:rPr>
              <w:t>2,182,067</w:t>
            </w:r>
          </w:p>
        </w:tc>
        <w:tc>
          <w:tcPr>
            <w:tcW w:w="880" w:type="dxa"/>
            <w:vAlign w:val="bottom"/>
            <w:gridSpan w:val="2"/>
            <w:shd w:val="clear" w:color="auto" w:fill="CCEEFF"/>
          </w:tcPr>
          <w:p>
            <w:pPr>
              <w:jc w:val="right"/>
              <w:ind w:right="184"/>
              <w:spacing w:after="0" w:line="90" w:lineRule="exact"/>
              <w:rPr>
                <w:sz w:val="20"/>
                <w:szCs w:val="20"/>
                <w:color w:val="auto"/>
              </w:rPr>
            </w:pPr>
            <w:r>
              <w:rPr>
                <w:rFonts w:ascii="Arial" w:cs="Arial" w:eastAsia="Arial" w:hAnsi="Arial"/>
                <w:sz w:val="8"/>
                <w:szCs w:val="8"/>
                <w:color w:val="auto"/>
              </w:rPr>
              <w:t>22,604,551</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060" w:type="dxa"/>
            <w:vAlign w:val="bottom"/>
            <w:shd w:val="clear" w:color="auto" w:fill="CCEEFF"/>
          </w:tcPr>
          <w:p>
            <w:pPr>
              <w:ind w:left="60"/>
              <w:spacing w:after="0"/>
              <w:rPr>
                <w:sz w:val="20"/>
                <w:szCs w:val="20"/>
                <w:color w:val="auto"/>
              </w:rPr>
            </w:pPr>
            <w:r>
              <w:rPr>
                <w:rFonts w:ascii="Arial" w:cs="Arial" w:eastAsia="Arial" w:hAnsi="Arial"/>
                <w:sz w:val="8"/>
                <w:szCs w:val="8"/>
                <w:color w:val="auto"/>
              </w:rPr>
              <w:t>and Chief Operating Officer</w:t>
            </w:r>
            <w:r>
              <w:rPr>
                <w:rFonts w:ascii="Arial" w:cs="Arial" w:eastAsia="Arial" w:hAnsi="Arial"/>
                <w:sz w:val="7"/>
                <w:szCs w:val="7"/>
                <w:color w:val="auto"/>
              </w:rPr>
              <w:t>(9)</w:t>
            </w:r>
          </w:p>
        </w:tc>
        <w:tc>
          <w:tcPr>
            <w:tcW w:w="400" w:type="dxa"/>
            <w:vAlign w:val="bottom"/>
            <w:gridSpan w:val="2"/>
            <w:shd w:val="clear" w:color="auto" w:fill="CCEEFF"/>
          </w:tcPr>
          <w:p>
            <w:pPr>
              <w:jc w:val="center"/>
              <w:spacing w:after="0"/>
              <w:rPr>
                <w:sz w:val="20"/>
                <w:szCs w:val="20"/>
                <w:color w:val="auto"/>
              </w:rPr>
            </w:pPr>
            <w:r>
              <w:rPr>
                <w:rFonts w:ascii="Arial" w:cs="Arial" w:eastAsia="Arial" w:hAnsi="Arial"/>
                <w:sz w:val="8"/>
                <w:szCs w:val="8"/>
                <w:color w:val="auto"/>
                <w:w w:val="89"/>
              </w:rPr>
              <w:t>2007</w:t>
            </w:r>
          </w:p>
        </w:tc>
        <w:tc>
          <w:tcPr>
            <w:tcW w:w="700" w:type="dxa"/>
            <w:vAlign w:val="bottom"/>
            <w:gridSpan w:val="2"/>
            <w:shd w:val="clear" w:color="auto" w:fill="CCEEFF"/>
          </w:tcPr>
          <w:p>
            <w:pPr>
              <w:jc w:val="right"/>
              <w:ind w:right="104"/>
              <w:spacing w:after="0"/>
              <w:rPr>
                <w:sz w:val="20"/>
                <w:szCs w:val="20"/>
                <w:color w:val="auto"/>
              </w:rPr>
            </w:pPr>
            <w:r>
              <w:rPr>
                <w:rFonts w:ascii="Arial" w:cs="Arial" w:eastAsia="Arial" w:hAnsi="Arial"/>
                <w:sz w:val="8"/>
                <w:szCs w:val="8"/>
                <w:color w:val="auto"/>
              </w:rPr>
              <w:t>2,113,500</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80" w:type="dxa"/>
            <w:vAlign w:val="bottom"/>
            <w:shd w:val="clear" w:color="auto" w:fill="CCEEFF"/>
          </w:tcPr>
          <w:p>
            <w:pPr>
              <w:jc w:val="right"/>
              <w:ind w:right="118"/>
              <w:spacing w:after="0"/>
              <w:rPr>
                <w:sz w:val="20"/>
                <w:szCs w:val="20"/>
                <w:color w:val="auto"/>
              </w:rPr>
            </w:pPr>
            <w:r>
              <w:rPr>
                <w:rFonts w:ascii="Arial" w:cs="Arial" w:eastAsia="Arial" w:hAnsi="Arial"/>
                <w:sz w:val="8"/>
                <w:szCs w:val="8"/>
                <w:color w:val="auto"/>
              </w:rPr>
              <w:t>—</w:t>
            </w:r>
          </w:p>
        </w:tc>
        <w:tc>
          <w:tcPr>
            <w:tcW w:w="880" w:type="dxa"/>
            <w:vAlign w:val="bottom"/>
            <w:gridSpan w:val="2"/>
            <w:shd w:val="clear" w:color="auto" w:fill="CCEEFF"/>
          </w:tcPr>
          <w:p>
            <w:pPr>
              <w:jc w:val="right"/>
              <w:ind w:right="184"/>
              <w:spacing w:after="0"/>
              <w:rPr>
                <w:sz w:val="20"/>
                <w:szCs w:val="20"/>
                <w:color w:val="auto"/>
              </w:rPr>
            </w:pPr>
            <w:r>
              <w:rPr>
                <w:rFonts w:ascii="Arial" w:cs="Arial" w:eastAsia="Arial" w:hAnsi="Arial"/>
                <w:sz w:val="8"/>
                <w:szCs w:val="8"/>
                <w:color w:val="auto"/>
              </w:rPr>
              <w:t>4,237,286</w:t>
            </w:r>
          </w:p>
        </w:tc>
        <w:tc>
          <w:tcPr>
            <w:tcW w:w="840" w:type="dxa"/>
            <w:vAlign w:val="bottom"/>
            <w:gridSpan w:val="2"/>
            <w:shd w:val="clear" w:color="auto" w:fill="CCEEFF"/>
          </w:tcPr>
          <w:p>
            <w:pPr>
              <w:jc w:val="right"/>
              <w:ind w:right="164"/>
              <w:spacing w:after="0"/>
              <w:rPr>
                <w:sz w:val="20"/>
                <w:szCs w:val="20"/>
                <w:color w:val="auto"/>
              </w:rPr>
            </w:pPr>
            <w:r>
              <w:rPr>
                <w:rFonts w:ascii="Arial" w:cs="Arial" w:eastAsia="Arial" w:hAnsi="Arial"/>
                <w:sz w:val="8"/>
                <w:szCs w:val="8"/>
                <w:color w:val="auto"/>
              </w:rPr>
              <w:t>4,151,648</w:t>
            </w:r>
          </w:p>
        </w:tc>
        <w:tc>
          <w:tcPr>
            <w:tcW w:w="1280" w:type="dxa"/>
            <w:vAlign w:val="bottom"/>
            <w:gridSpan w:val="2"/>
            <w:shd w:val="clear" w:color="auto" w:fill="CCEEFF"/>
          </w:tcPr>
          <w:p>
            <w:pPr>
              <w:jc w:val="right"/>
              <w:ind w:right="404"/>
              <w:spacing w:after="0"/>
              <w:rPr>
                <w:sz w:val="20"/>
                <w:szCs w:val="20"/>
                <w:color w:val="auto"/>
              </w:rPr>
            </w:pPr>
            <w:r>
              <w:rPr>
                <w:rFonts w:ascii="Arial" w:cs="Arial" w:eastAsia="Arial" w:hAnsi="Arial"/>
                <w:sz w:val="8"/>
                <w:szCs w:val="8"/>
                <w:color w:val="auto"/>
              </w:rPr>
              <w:t>5,070,000</w:t>
            </w:r>
          </w:p>
        </w:tc>
        <w:tc>
          <w:tcPr>
            <w:tcW w:w="940" w:type="dxa"/>
            <w:vAlign w:val="bottom"/>
            <w:gridSpan w:val="2"/>
            <w:shd w:val="clear" w:color="auto" w:fill="CCEEFF"/>
          </w:tcPr>
          <w:p>
            <w:pPr>
              <w:jc w:val="right"/>
              <w:ind w:right="224"/>
              <w:spacing w:after="0"/>
              <w:rPr>
                <w:sz w:val="20"/>
                <w:szCs w:val="20"/>
                <w:color w:val="auto"/>
              </w:rPr>
            </w:pPr>
            <w:r>
              <w:rPr>
                <w:rFonts w:ascii="Arial" w:cs="Arial" w:eastAsia="Arial" w:hAnsi="Arial"/>
                <w:sz w:val="8"/>
                <w:szCs w:val="8"/>
                <w:color w:val="auto"/>
              </w:rPr>
              <w:t>2,850,827</w:t>
            </w:r>
          </w:p>
        </w:tc>
        <w:tc>
          <w:tcPr>
            <w:tcW w:w="1280" w:type="dxa"/>
            <w:vAlign w:val="bottom"/>
            <w:gridSpan w:val="2"/>
            <w:shd w:val="clear" w:color="auto" w:fill="CCEEFF"/>
          </w:tcPr>
          <w:p>
            <w:pPr>
              <w:jc w:val="right"/>
              <w:ind w:right="404"/>
              <w:spacing w:after="0"/>
              <w:rPr>
                <w:sz w:val="20"/>
                <w:szCs w:val="20"/>
                <w:color w:val="auto"/>
              </w:rPr>
            </w:pPr>
            <w:r>
              <w:rPr>
                <w:rFonts w:ascii="Arial" w:cs="Arial" w:eastAsia="Arial" w:hAnsi="Arial"/>
                <w:sz w:val="8"/>
                <w:szCs w:val="8"/>
                <w:color w:val="auto"/>
              </w:rPr>
              <w:t>1,993,711</w:t>
            </w:r>
          </w:p>
        </w:tc>
        <w:tc>
          <w:tcPr>
            <w:tcW w:w="880" w:type="dxa"/>
            <w:vAlign w:val="bottom"/>
            <w:gridSpan w:val="2"/>
            <w:shd w:val="clear" w:color="auto" w:fill="CCEEFF"/>
          </w:tcPr>
          <w:p>
            <w:pPr>
              <w:jc w:val="right"/>
              <w:ind w:right="184"/>
              <w:spacing w:after="0"/>
              <w:rPr>
                <w:sz w:val="20"/>
                <w:szCs w:val="20"/>
                <w:color w:val="auto"/>
              </w:rPr>
            </w:pPr>
            <w:r>
              <w:rPr>
                <w:rFonts w:ascii="Arial" w:cs="Arial" w:eastAsia="Arial" w:hAnsi="Arial"/>
                <w:sz w:val="8"/>
                <w:szCs w:val="8"/>
                <w:color w:val="auto"/>
              </w:rPr>
              <w:t>20,416,972</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060" w:type="dxa"/>
            <w:vAlign w:val="bottom"/>
          </w:tcPr>
          <w:p>
            <w:pPr>
              <w:spacing w:after="0" w:line="81" w:lineRule="exact"/>
              <w:rPr>
                <w:sz w:val="20"/>
                <w:szCs w:val="20"/>
                <w:color w:val="auto"/>
              </w:rPr>
            </w:pPr>
            <w:r>
              <w:rPr>
                <w:rFonts w:ascii="Arial" w:cs="Arial" w:eastAsia="Arial" w:hAnsi="Arial"/>
                <w:sz w:val="8"/>
                <w:szCs w:val="8"/>
                <w:b w:val="1"/>
                <w:bCs w:val="1"/>
                <w:color w:val="auto"/>
              </w:rPr>
              <w:t>David L. Cohen</w:t>
            </w:r>
          </w:p>
        </w:tc>
        <w:tc>
          <w:tcPr>
            <w:tcW w:w="400" w:type="dxa"/>
            <w:vAlign w:val="bottom"/>
            <w:gridSpan w:val="2"/>
          </w:tcPr>
          <w:p>
            <w:pPr>
              <w:jc w:val="center"/>
              <w:spacing w:after="0" w:line="81" w:lineRule="exact"/>
              <w:rPr>
                <w:sz w:val="20"/>
                <w:szCs w:val="20"/>
                <w:color w:val="auto"/>
              </w:rPr>
            </w:pPr>
            <w:r>
              <w:rPr>
                <w:rFonts w:ascii="Arial" w:cs="Arial" w:eastAsia="Arial" w:hAnsi="Arial"/>
                <w:sz w:val="8"/>
                <w:szCs w:val="8"/>
                <w:color w:val="auto"/>
                <w:w w:val="89"/>
              </w:rPr>
              <w:t>2009</w:t>
            </w:r>
          </w:p>
        </w:tc>
        <w:tc>
          <w:tcPr>
            <w:tcW w:w="700" w:type="dxa"/>
            <w:vAlign w:val="bottom"/>
            <w:gridSpan w:val="2"/>
          </w:tcPr>
          <w:p>
            <w:pPr>
              <w:jc w:val="right"/>
              <w:ind w:right="104"/>
              <w:spacing w:after="0" w:line="81" w:lineRule="exact"/>
              <w:rPr>
                <w:sz w:val="20"/>
                <w:szCs w:val="20"/>
                <w:color w:val="auto"/>
              </w:rPr>
            </w:pPr>
            <w:r>
              <w:rPr>
                <w:rFonts w:ascii="Arial" w:cs="Arial" w:eastAsia="Arial" w:hAnsi="Arial"/>
                <w:sz w:val="8"/>
                <w:szCs w:val="8"/>
                <w:color w:val="auto"/>
              </w:rPr>
              <w:t>1,389,455</w:t>
            </w: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jc w:val="right"/>
              <w:ind w:right="118"/>
              <w:spacing w:after="0" w:line="81" w:lineRule="exact"/>
              <w:rPr>
                <w:sz w:val="20"/>
                <w:szCs w:val="20"/>
                <w:color w:val="auto"/>
              </w:rPr>
            </w:pPr>
            <w:r>
              <w:rPr>
                <w:rFonts w:ascii="Arial" w:cs="Arial" w:eastAsia="Arial" w:hAnsi="Arial"/>
                <w:sz w:val="8"/>
                <w:szCs w:val="8"/>
                <w:color w:val="auto"/>
              </w:rPr>
              <w:t>—</w:t>
            </w:r>
          </w:p>
        </w:tc>
        <w:tc>
          <w:tcPr>
            <w:tcW w:w="880" w:type="dxa"/>
            <w:vAlign w:val="bottom"/>
            <w:gridSpan w:val="2"/>
          </w:tcPr>
          <w:p>
            <w:pPr>
              <w:jc w:val="right"/>
              <w:ind w:right="184"/>
              <w:spacing w:after="0" w:line="81" w:lineRule="exact"/>
              <w:rPr>
                <w:sz w:val="20"/>
                <w:szCs w:val="20"/>
                <w:color w:val="auto"/>
              </w:rPr>
            </w:pPr>
            <w:r>
              <w:rPr>
                <w:rFonts w:ascii="Arial" w:cs="Arial" w:eastAsia="Arial" w:hAnsi="Arial"/>
                <w:sz w:val="8"/>
                <w:szCs w:val="8"/>
                <w:color w:val="auto"/>
              </w:rPr>
              <w:t>2,493,800</w:t>
            </w:r>
          </w:p>
        </w:tc>
        <w:tc>
          <w:tcPr>
            <w:tcW w:w="840" w:type="dxa"/>
            <w:vAlign w:val="bottom"/>
            <w:gridSpan w:val="2"/>
          </w:tcPr>
          <w:p>
            <w:pPr>
              <w:jc w:val="right"/>
              <w:ind w:right="164"/>
              <w:spacing w:after="0" w:line="81" w:lineRule="exact"/>
              <w:rPr>
                <w:sz w:val="20"/>
                <w:szCs w:val="20"/>
                <w:color w:val="auto"/>
              </w:rPr>
            </w:pPr>
            <w:r>
              <w:rPr>
                <w:rFonts w:ascii="Arial" w:cs="Arial" w:eastAsia="Arial" w:hAnsi="Arial"/>
                <w:sz w:val="8"/>
                <w:szCs w:val="8"/>
                <w:color w:val="auto"/>
              </w:rPr>
              <w:t>2,667,600</w:t>
            </w:r>
          </w:p>
        </w:tc>
        <w:tc>
          <w:tcPr>
            <w:tcW w:w="1280" w:type="dxa"/>
            <w:vAlign w:val="bottom"/>
            <w:gridSpan w:val="2"/>
          </w:tcPr>
          <w:p>
            <w:pPr>
              <w:jc w:val="right"/>
              <w:ind w:right="404"/>
              <w:spacing w:after="0" w:line="81" w:lineRule="exact"/>
              <w:rPr>
                <w:sz w:val="20"/>
                <w:szCs w:val="20"/>
                <w:color w:val="auto"/>
              </w:rPr>
            </w:pPr>
            <w:r>
              <w:rPr>
                <w:rFonts w:ascii="Arial" w:cs="Arial" w:eastAsia="Arial" w:hAnsi="Arial"/>
                <w:sz w:val="8"/>
                <w:szCs w:val="8"/>
                <w:color w:val="auto"/>
              </w:rPr>
              <w:t>1,639,043</w:t>
            </w:r>
          </w:p>
        </w:tc>
        <w:tc>
          <w:tcPr>
            <w:tcW w:w="940" w:type="dxa"/>
            <w:vAlign w:val="bottom"/>
            <w:gridSpan w:val="2"/>
          </w:tcPr>
          <w:p>
            <w:pPr>
              <w:jc w:val="right"/>
              <w:ind w:right="224"/>
              <w:spacing w:after="0" w:line="81" w:lineRule="exact"/>
              <w:rPr>
                <w:sz w:val="20"/>
                <w:szCs w:val="20"/>
                <w:color w:val="auto"/>
              </w:rPr>
            </w:pPr>
            <w:r>
              <w:rPr>
                <w:rFonts w:ascii="Arial" w:cs="Arial" w:eastAsia="Arial" w:hAnsi="Arial"/>
                <w:sz w:val="8"/>
                <w:szCs w:val="8"/>
                <w:color w:val="auto"/>
              </w:rPr>
              <w:t>657,627</w:t>
            </w:r>
          </w:p>
        </w:tc>
        <w:tc>
          <w:tcPr>
            <w:tcW w:w="1280" w:type="dxa"/>
            <w:vAlign w:val="bottom"/>
            <w:gridSpan w:val="2"/>
          </w:tcPr>
          <w:p>
            <w:pPr>
              <w:jc w:val="right"/>
              <w:ind w:right="404"/>
              <w:spacing w:after="0" w:line="81" w:lineRule="exact"/>
              <w:rPr>
                <w:sz w:val="20"/>
                <w:szCs w:val="20"/>
                <w:color w:val="auto"/>
              </w:rPr>
            </w:pPr>
            <w:r>
              <w:rPr>
                <w:rFonts w:ascii="Arial" w:cs="Arial" w:eastAsia="Arial" w:hAnsi="Arial"/>
                <w:sz w:val="8"/>
                <w:szCs w:val="8"/>
                <w:color w:val="auto"/>
              </w:rPr>
              <w:t>991,854</w:t>
            </w:r>
          </w:p>
        </w:tc>
        <w:tc>
          <w:tcPr>
            <w:tcW w:w="880" w:type="dxa"/>
            <w:vAlign w:val="bottom"/>
            <w:gridSpan w:val="2"/>
          </w:tcPr>
          <w:p>
            <w:pPr>
              <w:jc w:val="right"/>
              <w:ind w:right="184"/>
              <w:spacing w:after="0" w:line="81" w:lineRule="exact"/>
              <w:rPr>
                <w:sz w:val="20"/>
                <w:szCs w:val="20"/>
                <w:color w:val="auto"/>
              </w:rPr>
            </w:pPr>
            <w:r>
              <w:rPr>
                <w:rFonts w:ascii="Arial" w:cs="Arial" w:eastAsia="Arial" w:hAnsi="Arial"/>
                <w:sz w:val="8"/>
                <w:szCs w:val="8"/>
                <w:color w:val="auto"/>
              </w:rPr>
              <w:t>9,839,379</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60" w:type="dxa"/>
            <w:vAlign w:val="bottom"/>
          </w:tcPr>
          <w:p>
            <w:pPr>
              <w:ind w:left="60"/>
              <w:spacing w:after="0" w:line="90" w:lineRule="exact"/>
              <w:rPr>
                <w:sz w:val="20"/>
                <w:szCs w:val="20"/>
                <w:color w:val="auto"/>
              </w:rPr>
            </w:pPr>
            <w:r>
              <w:rPr>
                <w:rFonts w:ascii="Arial" w:cs="Arial" w:eastAsia="Arial" w:hAnsi="Arial"/>
                <w:sz w:val="8"/>
                <w:szCs w:val="8"/>
                <w:color w:val="auto"/>
              </w:rPr>
              <w:t>Executive Vice President</w:t>
            </w:r>
          </w:p>
        </w:tc>
        <w:tc>
          <w:tcPr>
            <w:tcW w:w="400" w:type="dxa"/>
            <w:vAlign w:val="bottom"/>
            <w:gridSpan w:val="2"/>
          </w:tcPr>
          <w:p>
            <w:pPr>
              <w:jc w:val="center"/>
              <w:spacing w:after="0" w:line="90" w:lineRule="exact"/>
              <w:rPr>
                <w:sz w:val="20"/>
                <w:szCs w:val="20"/>
                <w:color w:val="auto"/>
              </w:rPr>
            </w:pPr>
            <w:r>
              <w:rPr>
                <w:rFonts w:ascii="Arial" w:cs="Arial" w:eastAsia="Arial" w:hAnsi="Arial"/>
                <w:sz w:val="8"/>
                <w:szCs w:val="8"/>
                <w:color w:val="auto"/>
                <w:w w:val="89"/>
              </w:rPr>
              <w:t>2008</w:t>
            </w:r>
          </w:p>
        </w:tc>
        <w:tc>
          <w:tcPr>
            <w:tcW w:w="700" w:type="dxa"/>
            <w:vAlign w:val="bottom"/>
            <w:gridSpan w:val="2"/>
          </w:tcPr>
          <w:p>
            <w:pPr>
              <w:jc w:val="right"/>
              <w:ind w:right="104"/>
              <w:spacing w:after="0" w:line="90" w:lineRule="exact"/>
              <w:rPr>
                <w:sz w:val="20"/>
                <w:szCs w:val="20"/>
                <w:color w:val="auto"/>
              </w:rPr>
            </w:pPr>
            <w:r>
              <w:rPr>
                <w:rFonts w:ascii="Arial" w:cs="Arial" w:eastAsia="Arial" w:hAnsi="Arial"/>
                <w:sz w:val="8"/>
                <w:szCs w:val="8"/>
                <w:color w:val="auto"/>
              </w:rPr>
              <w:t>1,322,995</w:t>
            </w: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jc w:val="right"/>
              <w:ind w:right="118"/>
              <w:spacing w:after="0" w:line="90" w:lineRule="exact"/>
              <w:rPr>
                <w:sz w:val="20"/>
                <w:szCs w:val="20"/>
                <w:color w:val="auto"/>
              </w:rPr>
            </w:pPr>
            <w:r>
              <w:rPr>
                <w:rFonts w:ascii="Arial" w:cs="Arial" w:eastAsia="Arial" w:hAnsi="Arial"/>
                <w:sz w:val="8"/>
                <w:szCs w:val="8"/>
                <w:color w:val="auto"/>
              </w:rPr>
              <w:t>—</w:t>
            </w:r>
          </w:p>
        </w:tc>
        <w:tc>
          <w:tcPr>
            <w:tcW w:w="880" w:type="dxa"/>
            <w:vAlign w:val="bottom"/>
            <w:gridSpan w:val="2"/>
          </w:tcPr>
          <w:p>
            <w:pPr>
              <w:jc w:val="right"/>
              <w:ind w:right="184"/>
              <w:spacing w:after="0" w:line="90" w:lineRule="exact"/>
              <w:rPr>
                <w:sz w:val="20"/>
                <w:szCs w:val="20"/>
                <w:color w:val="auto"/>
              </w:rPr>
            </w:pPr>
            <w:r>
              <w:rPr>
                <w:rFonts w:ascii="Arial" w:cs="Arial" w:eastAsia="Arial" w:hAnsi="Arial"/>
                <w:sz w:val="8"/>
                <w:szCs w:val="8"/>
                <w:color w:val="auto"/>
              </w:rPr>
              <w:t>2,332,804</w:t>
            </w:r>
          </w:p>
        </w:tc>
        <w:tc>
          <w:tcPr>
            <w:tcW w:w="840" w:type="dxa"/>
            <w:vAlign w:val="bottom"/>
            <w:gridSpan w:val="2"/>
          </w:tcPr>
          <w:p>
            <w:pPr>
              <w:jc w:val="right"/>
              <w:ind w:right="164"/>
              <w:spacing w:after="0" w:line="90" w:lineRule="exact"/>
              <w:rPr>
                <w:sz w:val="20"/>
                <w:szCs w:val="20"/>
                <w:color w:val="auto"/>
              </w:rPr>
            </w:pPr>
            <w:r>
              <w:rPr>
                <w:rFonts w:ascii="Arial" w:cs="Arial" w:eastAsia="Arial" w:hAnsi="Arial"/>
                <w:sz w:val="8"/>
                <w:szCs w:val="8"/>
                <w:color w:val="auto"/>
              </w:rPr>
              <w:t>2,423,520</w:t>
            </w:r>
          </w:p>
        </w:tc>
        <w:tc>
          <w:tcPr>
            <w:tcW w:w="1280" w:type="dxa"/>
            <w:vAlign w:val="bottom"/>
            <w:gridSpan w:val="2"/>
          </w:tcPr>
          <w:p>
            <w:pPr>
              <w:jc w:val="right"/>
              <w:ind w:right="404"/>
              <w:spacing w:after="0" w:line="90" w:lineRule="exact"/>
              <w:rPr>
                <w:sz w:val="20"/>
                <w:szCs w:val="20"/>
                <w:color w:val="auto"/>
              </w:rPr>
            </w:pPr>
            <w:r>
              <w:rPr>
                <w:rFonts w:ascii="Arial" w:cs="Arial" w:eastAsia="Arial" w:hAnsi="Arial"/>
                <w:sz w:val="8"/>
                <w:szCs w:val="8"/>
                <w:color w:val="auto"/>
              </w:rPr>
              <w:t>1,471,832</w:t>
            </w:r>
          </w:p>
        </w:tc>
        <w:tc>
          <w:tcPr>
            <w:tcW w:w="940" w:type="dxa"/>
            <w:vAlign w:val="bottom"/>
            <w:gridSpan w:val="2"/>
          </w:tcPr>
          <w:p>
            <w:pPr>
              <w:jc w:val="right"/>
              <w:ind w:right="224"/>
              <w:spacing w:after="0" w:line="90" w:lineRule="exact"/>
              <w:rPr>
                <w:sz w:val="20"/>
                <w:szCs w:val="20"/>
                <w:color w:val="auto"/>
              </w:rPr>
            </w:pPr>
            <w:r>
              <w:rPr>
                <w:rFonts w:ascii="Arial" w:cs="Arial" w:eastAsia="Arial" w:hAnsi="Arial"/>
                <w:sz w:val="8"/>
                <w:szCs w:val="8"/>
                <w:color w:val="auto"/>
              </w:rPr>
              <w:t>532,802</w:t>
            </w:r>
          </w:p>
        </w:tc>
        <w:tc>
          <w:tcPr>
            <w:tcW w:w="1280" w:type="dxa"/>
            <w:vAlign w:val="bottom"/>
            <w:gridSpan w:val="2"/>
          </w:tcPr>
          <w:p>
            <w:pPr>
              <w:jc w:val="right"/>
              <w:ind w:right="404"/>
              <w:spacing w:after="0" w:line="90" w:lineRule="exact"/>
              <w:rPr>
                <w:sz w:val="20"/>
                <w:szCs w:val="20"/>
                <w:color w:val="auto"/>
              </w:rPr>
            </w:pPr>
            <w:r>
              <w:rPr>
                <w:rFonts w:ascii="Arial" w:cs="Arial" w:eastAsia="Arial" w:hAnsi="Arial"/>
                <w:sz w:val="8"/>
                <w:szCs w:val="8"/>
                <w:color w:val="auto"/>
              </w:rPr>
              <w:t>906,508</w:t>
            </w:r>
          </w:p>
        </w:tc>
        <w:tc>
          <w:tcPr>
            <w:tcW w:w="880" w:type="dxa"/>
            <w:vAlign w:val="bottom"/>
            <w:gridSpan w:val="2"/>
          </w:tcPr>
          <w:p>
            <w:pPr>
              <w:jc w:val="right"/>
              <w:ind w:right="184"/>
              <w:spacing w:after="0" w:line="90" w:lineRule="exact"/>
              <w:rPr>
                <w:sz w:val="20"/>
                <w:szCs w:val="20"/>
                <w:color w:val="auto"/>
              </w:rPr>
            </w:pPr>
            <w:r>
              <w:rPr>
                <w:rFonts w:ascii="Arial" w:cs="Arial" w:eastAsia="Arial" w:hAnsi="Arial"/>
                <w:sz w:val="8"/>
                <w:szCs w:val="8"/>
                <w:color w:val="auto"/>
              </w:rPr>
              <w:t>8,990,461</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400" w:type="dxa"/>
            <w:vAlign w:val="bottom"/>
            <w:gridSpan w:val="2"/>
          </w:tcPr>
          <w:p>
            <w:pPr>
              <w:jc w:val="center"/>
              <w:spacing w:after="0"/>
              <w:rPr>
                <w:sz w:val="20"/>
                <w:szCs w:val="20"/>
                <w:color w:val="auto"/>
              </w:rPr>
            </w:pPr>
            <w:r>
              <w:rPr>
                <w:rFonts w:ascii="Arial" w:cs="Arial" w:eastAsia="Arial" w:hAnsi="Arial"/>
                <w:sz w:val="8"/>
                <w:szCs w:val="8"/>
                <w:color w:val="auto"/>
                <w:w w:val="89"/>
              </w:rPr>
              <w:t>2007</w:t>
            </w:r>
          </w:p>
        </w:tc>
        <w:tc>
          <w:tcPr>
            <w:tcW w:w="700" w:type="dxa"/>
            <w:vAlign w:val="bottom"/>
            <w:gridSpan w:val="2"/>
          </w:tcPr>
          <w:p>
            <w:pPr>
              <w:jc w:val="right"/>
              <w:ind w:right="104"/>
              <w:spacing w:after="0"/>
              <w:rPr>
                <w:sz w:val="20"/>
                <w:szCs w:val="20"/>
                <w:color w:val="auto"/>
              </w:rPr>
            </w:pPr>
            <w:r>
              <w:rPr>
                <w:rFonts w:ascii="Arial" w:cs="Arial" w:eastAsia="Arial" w:hAnsi="Arial"/>
                <w:sz w:val="8"/>
                <w:szCs w:val="8"/>
                <w:color w:val="auto"/>
              </w:rPr>
              <w:t>1,261,000</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jc w:val="right"/>
              <w:ind w:right="118"/>
              <w:spacing w:after="0"/>
              <w:rPr>
                <w:sz w:val="20"/>
                <w:szCs w:val="20"/>
                <w:color w:val="auto"/>
              </w:rPr>
            </w:pPr>
            <w:r>
              <w:rPr>
                <w:rFonts w:ascii="Arial" w:cs="Arial" w:eastAsia="Arial" w:hAnsi="Arial"/>
                <w:sz w:val="8"/>
                <w:szCs w:val="8"/>
                <w:color w:val="auto"/>
              </w:rPr>
              <w:t>—</w:t>
            </w:r>
          </w:p>
        </w:tc>
        <w:tc>
          <w:tcPr>
            <w:tcW w:w="880" w:type="dxa"/>
            <w:vAlign w:val="bottom"/>
            <w:gridSpan w:val="2"/>
          </w:tcPr>
          <w:p>
            <w:pPr>
              <w:jc w:val="right"/>
              <w:ind w:right="184"/>
              <w:spacing w:after="0"/>
              <w:rPr>
                <w:sz w:val="20"/>
                <w:szCs w:val="20"/>
                <w:color w:val="auto"/>
              </w:rPr>
            </w:pPr>
            <w:r>
              <w:rPr>
                <w:rFonts w:ascii="Arial" w:cs="Arial" w:eastAsia="Arial" w:hAnsi="Arial"/>
                <w:sz w:val="8"/>
                <w:szCs w:val="8"/>
                <w:color w:val="auto"/>
              </w:rPr>
              <w:t>2,467,680</w:t>
            </w:r>
          </w:p>
        </w:tc>
        <w:tc>
          <w:tcPr>
            <w:tcW w:w="840" w:type="dxa"/>
            <w:vAlign w:val="bottom"/>
            <w:gridSpan w:val="2"/>
          </w:tcPr>
          <w:p>
            <w:pPr>
              <w:jc w:val="right"/>
              <w:ind w:right="164"/>
              <w:spacing w:after="0"/>
              <w:rPr>
                <w:sz w:val="20"/>
                <w:szCs w:val="20"/>
                <w:color w:val="auto"/>
              </w:rPr>
            </w:pPr>
            <w:r>
              <w:rPr>
                <w:rFonts w:ascii="Arial" w:cs="Arial" w:eastAsia="Arial" w:hAnsi="Arial"/>
                <w:sz w:val="8"/>
                <w:szCs w:val="8"/>
                <w:color w:val="auto"/>
              </w:rPr>
              <w:t>2,416,744</w:t>
            </w:r>
          </w:p>
        </w:tc>
        <w:tc>
          <w:tcPr>
            <w:tcW w:w="1280" w:type="dxa"/>
            <w:vAlign w:val="bottom"/>
            <w:gridSpan w:val="2"/>
          </w:tcPr>
          <w:p>
            <w:pPr>
              <w:jc w:val="right"/>
              <w:ind w:right="404"/>
              <w:spacing w:after="0"/>
              <w:rPr>
                <w:sz w:val="20"/>
                <w:szCs w:val="20"/>
                <w:color w:val="auto"/>
              </w:rPr>
            </w:pPr>
            <w:r>
              <w:rPr>
                <w:rFonts w:ascii="Arial" w:cs="Arial" w:eastAsia="Arial" w:hAnsi="Arial"/>
                <w:sz w:val="8"/>
                <w:szCs w:val="8"/>
                <w:color w:val="auto"/>
              </w:rPr>
              <w:t>1,260,000</w:t>
            </w:r>
          </w:p>
        </w:tc>
        <w:tc>
          <w:tcPr>
            <w:tcW w:w="940" w:type="dxa"/>
            <w:vAlign w:val="bottom"/>
            <w:gridSpan w:val="2"/>
          </w:tcPr>
          <w:p>
            <w:pPr>
              <w:jc w:val="right"/>
              <w:ind w:right="224"/>
              <w:spacing w:after="0"/>
              <w:rPr>
                <w:sz w:val="20"/>
                <w:szCs w:val="20"/>
                <w:color w:val="auto"/>
              </w:rPr>
            </w:pPr>
            <w:r>
              <w:rPr>
                <w:rFonts w:ascii="Arial" w:cs="Arial" w:eastAsia="Arial" w:hAnsi="Arial"/>
                <w:sz w:val="8"/>
                <w:szCs w:val="8"/>
                <w:color w:val="auto"/>
              </w:rPr>
              <w:t>334,134</w:t>
            </w:r>
          </w:p>
        </w:tc>
        <w:tc>
          <w:tcPr>
            <w:tcW w:w="1280" w:type="dxa"/>
            <w:vAlign w:val="bottom"/>
            <w:gridSpan w:val="2"/>
          </w:tcPr>
          <w:p>
            <w:pPr>
              <w:jc w:val="right"/>
              <w:ind w:right="404"/>
              <w:spacing w:after="0"/>
              <w:rPr>
                <w:sz w:val="20"/>
                <w:szCs w:val="20"/>
                <w:color w:val="auto"/>
              </w:rPr>
            </w:pPr>
            <w:r>
              <w:rPr>
                <w:rFonts w:ascii="Arial" w:cs="Arial" w:eastAsia="Arial" w:hAnsi="Arial"/>
                <w:sz w:val="8"/>
                <w:szCs w:val="8"/>
                <w:color w:val="auto"/>
              </w:rPr>
              <w:t>826,834</w:t>
            </w:r>
          </w:p>
        </w:tc>
        <w:tc>
          <w:tcPr>
            <w:tcW w:w="880" w:type="dxa"/>
            <w:vAlign w:val="bottom"/>
            <w:gridSpan w:val="2"/>
          </w:tcPr>
          <w:p>
            <w:pPr>
              <w:jc w:val="right"/>
              <w:ind w:right="184"/>
              <w:spacing w:after="0"/>
              <w:rPr>
                <w:sz w:val="20"/>
                <w:szCs w:val="20"/>
                <w:color w:val="auto"/>
              </w:rPr>
            </w:pPr>
            <w:r>
              <w:rPr>
                <w:rFonts w:ascii="Arial" w:cs="Arial" w:eastAsia="Arial" w:hAnsi="Arial"/>
                <w:sz w:val="8"/>
                <w:szCs w:val="8"/>
                <w:color w:val="auto"/>
              </w:rPr>
              <w:t>8,566,392</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060" w:type="dxa"/>
            <w:vAlign w:val="bottom"/>
            <w:shd w:val="clear" w:color="auto" w:fill="CCEEFF"/>
          </w:tcPr>
          <w:p>
            <w:pPr>
              <w:spacing w:after="0" w:line="81" w:lineRule="exact"/>
              <w:rPr>
                <w:sz w:val="20"/>
                <w:szCs w:val="20"/>
                <w:color w:val="auto"/>
              </w:rPr>
            </w:pPr>
            <w:r>
              <w:rPr>
                <w:rFonts w:ascii="Arial" w:cs="Arial" w:eastAsia="Arial" w:hAnsi="Arial"/>
                <w:sz w:val="8"/>
                <w:szCs w:val="8"/>
                <w:b w:val="1"/>
                <w:bCs w:val="1"/>
                <w:color w:val="auto"/>
              </w:rPr>
              <w:t>Arthur R. Block</w:t>
            </w:r>
          </w:p>
        </w:tc>
        <w:tc>
          <w:tcPr>
            <w:tcW w:w="400" w:type="dxa"/>
            <w:vAlign w:val="bottom"/>
            <w:gridSpan w:val="2"/>
            <w:shd w:val="clear" w:color="auto" w:fill="CCEEFF"/>
          </w:tcPr>
          <w:p>
            <w:pPr>
              <w:jc w:val="center"/>
              <w:spacing w:after="0" w:line="81" w:lineRule="exact"/>
              <w:rPr>
                <w:sz w:val="20"/>
                <w:szCs w:val="20"/>
                <w:color w:val="auto"/>
              </w:rPr>
            </w:pPr>
            <w:r>
              <w:rPr>
                <w:rFonts w:ascii="Arial" w:cs="Arial" w:eastAsia="Arial" w:hAnsi="Arial"/>
                <w:sz w:val="8"/>
                <w:szCs w:val="8"/>
                <w:color w:val="auto"/>
                <w:w w:val="89"/>
              </w:rPr>
              <w:t>2009</w:t>
            </w:r>
          </w:p>
        </w:tc>
        <w:tc>
          <w:tcPr>
            <w:tcW w:w="700" w:type="dxa"/>
            <w:vAlign w:val="bottom"/>
            <w:gridSpan w:val="2"/>
            <w:shd w:val="clear" w:color="auto" w:fill="CCEEFF"/>
          </w:tcPr>
          <w:p>
            <w:pPr>
              <w:jc w:val="right"/>
              <w:ind w:right="104"/>
              <w:spacing w:after="0" w:line="81" w:lineRule="exact"/>
              <w:rPr>
                <w:sz w:val="20"/>
                <w:szCs w:val="20"/>
                <w:color w:val="auto"/>
              </w:rPr>
            </w:pPr>
            <w:r>
              <w:rPr>
                <w:rFonts w:ascii="Arial" w:cs="Arial" w:eastAsia="Arial" w:hAnsi="Arial"/>
                <w:sz w:val="8"/>
                <w:szCs w:val="8"/>
                <w:color w:val="auto"/>
              </w:rPr>
              <w:t>846,036</w:t>
            </w: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80" w:type="dxa"/>
            <w:vAlign w:val="bottom"/>
            <w:shd w:val="clear" w:color="auto" w:fill="CCEEFF"/>
          </w:tcPr>
          <w:p>
            <w:pPr>
              <w:jc w:val="right"/>
              <w:ind w:right="118"/>
              <w:spacing w:after="0" w:line="81" w:lineRule="exact"/>
              <w:rPr>
                <w:sz w:val="20"/>
                <w:szCs w:val="20"/>
                <w:color w:val="auto"/>
              </w:rPr>
            </w:pPr>
            <w:r>
              <w:rPr>
                <w:rFonts w:ascii="Arial" w:cs="Arial" w:eastAsia="Arial" w:hAnsi="Arial"/>
                <w:sz w:val="8"/>
                <w:szCs w:val="8"/>
                <w:color w:val="auto"/>
              </w:rPr>
              <w:t>—</w:t>
            </w:r>
          </w:p>
        </w:tc>
        <w:tc>
          <w:tcPr>
            <w:tcW w:w="880" w:type="dxa"/>
            <w:vAlign w:val="bottom"/>
            <w:gridSpan w:val="2"/>
            <w:shd w:val="clear" w:color="auto" w:fill="CCEEFF"/>
          </w:tcPr>
          <w:p>
            <w:pPr>
              <w:jc w:val="right"/>
              <w:ind w:right="184"/>
              <w:spacing w:after="0" w:line="81" w:lineRule="exact"/>
              <w:rPr>
                <w:sz w:val="20"/>
                <w:szCs w:val="20"/>
                <w:color w:val="auto"/>
              </w:rPr>
            </w:pPr>
            <w:r>
              <w:rPr>
                <w:rFonts w:ascii="Arial" w:cs="Arial" w:eastAsia="Arial" w:hAnsi="Arial"/>
                <w:sz w:val="8"/>
                <w:szCs w:val="8"/>
                <w:color w:val="auto"/>
              </w:rPr>
              <w:t>2,452,295</w:t>
            </w:r>
          </w:p>
        </w:tc>
        <w:tc>
          <w:tcPr>
            <w:tcW w:w="840" w:type="dxa"/>
            <w:vAlign w:val="bottom"/>
            <w:gridSpan w:val="2"/>
            <w:shd w:val="clear" w:color="auto" w:fill="CCEEFF"/>
          </w:tcPr>
          <w:p>
            <w:pPr>
              <w:jc w:val="right"/>
              <w:ind w:right="164"/>
              <w:spacing w:after="0" w:line="81" w:lineRule="exact"/>
              <w:rPr>
                <w:sz w:val="20"/>
                <w:szCs w:val="20"/>
                <w:color w:val="auto"/>
              </w:rPr>
            </w:pPr>
            <w:r>
              <w:rPr>
                <w:rFonts w:ascii="Arial" w:cs="Arial" w:eastAsia="Arial" w:hAnsi="Arial"/>
                <w:sz w:val="8"/>
                <w:szCs w:val="8"/>
                <w:color w:val="auto"/>
              </w:rPr>
              <w:t>1,388,789</w:t>
            </w:r>
          </w:p>
        </w:tc>
        <w:tc>
          <w:tcPr>
            <w:tcW w:w="1280" w:type="dxa"/>
            <w:vAlign w:val="bottom"/>
            <w:gridSpan w:val="2"/>
            <w:shd w:val="clear" w:color="auto" w:fill="CCEEFF"/>
          </w:tcPr>
          <w:p>
            <w:pPr>
              <w:jc w:val="right"/>
              <w:ind w:right="404"/>
              <w:spacing w:after="0" w:line="81" w:lineRule="exact"/>
              <w:rPr>
                <w:sz w:val="20"/>
                <w:szCs w:val="20"/>
                <w:color w:val="auto"/>
              </w:rPr>
            </w:pPr>
            <w:r>
              <w:rPr>
                <w:rFonts w:ascii="Arial" w:cs="Arial" w:eastAsia="Arial" w:hAnsi="Arial"/>
                <w:sz w:val="8"/>
                <w:szCs w:val="8"/>
                <w:color w:val="auto"/>
              </w:rPr>
              <w:t>799,696</w:t>
            </w:r>
          </w:p>
        </w:tc>
        <w:tc>
          <w:tcPr>
            <w:tcW w:w="940" w:type="dxa"/>
            <w:vAlign w:val="bottom"/>
            <w:gridSpan w:val="2"/>
            <w:shd w:val="clear" w:color="auto" w:fill="CCEEFF"/>
          </w:tcPr>
          <w:p>
            <w:pPr>
              <w:jc w:val="right"/>
              <w:ind w:right="224"/>
              <w:spacing w:after="0" w:line="81" w:lineRule="exact"/>
              <w:rPr>
                <w:sz w:val="20"/>
                <w:szCs w:val="20"/>
                <w:color w:val="auto"/>
              </w:rPr>
            </w:pPr>
            <w:r>
              <w:rPr>
                <w:rFonts w:ascii="Arial" w:cs="Arial" w:eastAsia="Arial" w:hAnsi="Arial"/>
                <w:sz w:val="8"/>
                <w:szCs w:val="8"/>
                <w:color w:val="auto"/>
              </w:rPr>
              <w:t>650,077</w:t>
            </w:r>
          </w:p>
        </w:tc>
        <w:tc>
          <w:tcPr>
            <w:tcW w:w="1280" w:type="dxa"/>
            <w:vAlign w:val="bottom"/>
            <w:gridSpan w:val="2"/>
            <w:shd w:val="clear" w:color="auto" w:fill="CCEEFF"/>
          </w:tcPr>
          <w:p>
            <w:pPr>
              <w:jc w:val="right"/>
              <w:ind w:right="404"/>
              <w:spacing w:after="0" w:line="81" w:lineRule="exact"/>
              <w:rPr>
                <w:sz w:val="20"/>
                <w:szCs w:val="20"/>
                <w:color w:val="auto"/>
              </w:rPr>
            </w:pPr>
            <w:r>
              <w:rPr>
                <w:rFonts w:ascii="Arial" w:cs="Arial" w:eastAsia="Arial" w:hAnsi="Arial"/>
                <w:sz w:val="8"/>
                <w:szCs w:val="8"/>
                <w:color w:val="auto"/>
              </w:rPr>
              <w:t>14,700</w:t>
            </w:r>
          </w:p>
        </w:tc>
        <w:tc>
          <w:tcPr>
            <w:tcW w:w="880" w:type="dxa"/>
            <w:vAlign w:val="bottom"/>
            <w:gridSpan w:val="2"/>
            <w:shd w:val="clear" w:color="auto" w:fill="CCEEFF"/>
          </w:tcPr>
          <w:p>
            <w:pPr>
              <w:jc w:val="right"/>
              <w:ind w:right="184"/>
              <w:spacing w:after="0" w:line="81" w:lineRule="exact"/>
              <w:rPr>
                <w:sz w:val="20"/>
                <w:szCs w:val="20"/>
                <w:color w:val="auto"/>
              </w:rPr>
            </w:pPr>
            <w:r>
              <w:rPr>
                <w:rFonts w:ascii="Arial" w:cs="Arial" w:eastAsia="Arial" w:hAnsi="Arial"/>
                <w:sz w:val="8"/>
                <w:szCs w:val="8"/>
                <w:color w:val="auto"/>
              </w:rPr>
              <w:t>6,151,593</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60" w:type="dxa"/>
            <w:vAlign w:val="bottom"/>
            <w:shd w:val="clear" w:color="auto" w:fill="CCEEFF"/>
          </w:tcPr>
          <w:p>
            <w:pPr>
              <w:ind w:left="60"/>
              <w:spacing w:after="0" w:line="90" w:lineRule="exact"/>
              <w:rPr>
                <w:sz w:val="20"/>
                <w:szCs w:val="20"/>
                <w:color w:val="auto"/>
              </w:rPr>
            </w:pPr>
            <w:r>
              <w:rPr>
                <w:rFonts w:ascii="Arial" w:cs="Arial" w:eastAsia="Arial" w:hAnsi="Arial"/>
                <w:sz w:val="8"/>
                <w:szCs w:val="8"/>
                <w:color w:val="auto"/>
              </w:rPr>
              <w:t>Senior Vice President,</w:t>
            </w:r>
          </w:p>
        </w:tc>
        <w:tc>
          <w:tcPr>
            <w:tcW w:w="400" w:type="dxa"/>
            <w:vAlign w:val="bottom"/>
            <w:gridSpan w:val="2"/>
            <w:shd w:val="clear" w:color="auto" w:fill="CCEEFF"/>
          </w:tcPr>
          <w:p>
            <w:pPr>
              <w:jc w:val="center"/>
              <w:spacing w:after="0" w:line="90" w:lineRule="exact"/>
              <w:rPr>
                <w:sz w:val="20"/>
                <w:szCs w:val="20"/>
                <w:color w:val="auto"/>
              </w:rPr>
            </w:pPr>
            <w:r>
              <w:rPr>
                <w:rFonts w:ascii="Arial" w:cs="Arial" w:eastAsia="Arial" w:hAnsi="Arial"/>
                <w:sz w:val="8"/>
                <w:szCs w:val="8"/>
                <w:color w:val="auto"/>
                <w:w w:val="89"/>
              </w:rPr>
              <w:t>2008</w:t>
            </w:r>
          </w:p>
        </w:tc>
        <w:tc>
          <w:tcPr>
            <w:tcW w:w="700" w:type="dxa"/>
            <w:vAlign w:val="bottom"/>
            <w:gridSpan w:val="2"/>
            <w:shd w:val="clear" w:color="auto" w:fill="CCEEFF"/>
          </w:tcPr>
          <w:p>
            <w:pPr>
              <w:jc w:val="right"/>
              <w:ind w:right="104"/>
              <w:spacing w:after="0" w:line="90" w:lineRule="exact"/>
              <w:rPr>
                <w:sz w:val="20"/>
                <w:szCs w:val="20"/>
                <w:color w:val="auto"/>
              </w:rPr>
            </w:pPr>
            <w:r>
              <w:rPr>
                <w:rFonts w:ascii="Arial" w:cs="Arial" w:eastAsia="Arial" w:hAnsi="Arial"/>
                <w:sz w:val="8"/>
                <w:szCs w:val="8"/>
                <w:color w:val="auto"/>
              </w:rPr>
              <w:t>771,769</w:t>
            </w: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80" w:type="dxa"/>
            <w:vAlign w:val="bottom"/>
            <w:shd w:val="clear" w:color="auto" w:fill="CCEEFF"/>
          </w:tcPr>
          <w:p>
            <w:pPr>
              <w:jc w:val="right"/>
              <w:ind w:right="118"/>
              <w:spacing w:after="0" w:line="90" w:lineRule="exact"/>
              <w:rPr>
                <w:sz w:val="20"/>
                <w:szCs w:val="20"/>
                <w:color w:val="auto"/>
              </w:rPr>
            </w:pPr>
            <w:r>
              <w:rPr>
                <w:rFonts w:ascii="Arial" w:cs="Arial" w:eastAsia="Arial" w:hAnsi="Arial"/>
                <w:sz w:val="8"/>
                <w:szCs w:val="8"/>
                <w:color w:val="auto"/>
              </w:rPr>
              <w:t>40,025</w:t>
            </w:r>
          </w:p>
        </w:tc>
        <w:tc>
          <w:tcPr>
            <w:tcW w:w="880" w:type="dxa"/>
            <w:vAlign w:val="bottom"/>
            <w:gridSpan w:val="2"/>
            <w:shd w:val="clear" w:color="auto" w:fill="CCEEFF"/>
          </w:tcPr>
          <w:p>
            <w:pPr>
              <w:jc w:val="right"/>
              <w:ind w:right="184"/>
              <w:spacing w:after="0" w:line="90" w:lineRule="exact"/>
              <w:rPr>
                <w:sz w:val="20"/>
                <w:szCs w:val="20"/>
                <w:color w:val="auto"/>
              </w:rPr>
            </w:pPr>
            <w:r>
              <w:rPr>
                <w:rFonts w:ascii="Arial" w:cs="Arial" w:eastAsia="Arial" w:hAnsi="Arial"/>
                <w:sz w:val="8"/>
                <w:szCs w:val="8"/>
                <w:color w:val="auto"/>
              </w:rPr>
              <w:t>614,946</w:t>
            </w:r>
          </w:p>
        </w:tc>
        <w:tc>
          <w:tcPr>
            <w:tcW w:w="840" w:type="dxa"/>
            <w:vAlign w:val="bottom"/>
            <w:gridSpan w:val="2"/>
            <w:shd w:val="clear" w:color="auto" w:fill="CCEEFF"/>
          </w:tcPr>
          <w:p>
            <w:pPr>
              <w:jc w:val="right"/>
              <w:ind w:right="164"/>
              <w:spacing w:after="0" w:line="90" w:lineRule="exact"/>
              <w:rPr>
                <w:sz w:val="20"/>
                <w:szCs w:val="20"/>
                <w:color w:val="auto"/>
              </w:rPr>
            </w:pPr>
            <w:r>
              <w:rPr>
                <w:rFonts w:ascii="Arial" w:cs="Arial" w:eastAsia="Arial" w:hAnsi="Arial"/>
                <w:sz w:val="8"/>
                <w:szCs w:val="8"/>
                <w:color w:val="auto"/>
              </w:rPr>
              <w:t>641,520</w:t>
            </w:r>
          </w:p>
        </w:tc>
        <w:tc>
          <w:tcPr>
            <w:tcW w:w="1280" w:type="dxa"/>
            <w:vAlign w:val="bottom"/>
            <w:gridSpan w:val="2"/>
            <w:shd w:val="clear" w:color="auto" w:fill="CCEEFF"/>
          </w:tcPr>
          <w:p>
            <w:pPr>
              <w:jc w:val="right"/>
              <w:ind w:right="404"/>
              <w:spacing w:after="0" w:line="90" w:lineRule="exact"/>
              <w:rPr>
                <w:sz w:val="20"/>
                <w:szCs w:val="20"/>
                <w:color w:val="auto"/>
              </w:rPr>
            </w:pPr>
            <w:r>
              <w:rPr>
                <w:rFonts w:ascii="Arial" w:cs="Arial" w:eastAsia="Arial" w:hAnsi="Arial"/>
                <w:sz w:val="8"/>
                <w:szCs w:val="8"/>
                <w:color w:val="auto"/>
              </w:rPr>
              <w:t>686,875</w:t>
            </w:r>
          </w:p>
        </w:tc>
        <w:tc>
          <w:tcPr>
            <w:tcW w:w="940" w:type="dxa"/>
            <w:vAlign w:val="bottom"/>
            <w:gridSpan w:val="2"/>
            <w:shd w:val="clear" w:color="auto" w:fill="CCEEFF"/>
          </w:tcPr>
          <w:p>
            <w:pPr>
              <w:jc w:val="right"/>
              <w:ind w:right="224"/>
              <w:spacing w:after="0" w:line="90" w:lineRule="exact"/>
              <w:rPr>
                <w:sz w:val="20"/>
                <w:szCs w:val="20"/>
                <w:color w:val="auto"/>
              </w:rPr>
            </w:pPr>
            <w:r>
              <w:rPr>
                <w:rFonts w:ascii="Arial" w:cs="Arial" w:eastAsia="Arial" w:hAnsi="Arial"/>
                <w:sz w:val="8"/>
                <w:szCs w:val="8"/>
                <w:color w:val="auto"/>
              </w:rPr>
              <w:t>482,578</w:t>
            </w:r>
          </w:p>
        </w:tc>
        <w:tc>
          <w:tcPr>
            <w:tcW w:w="1280" w:type="dxa"/>
            <w:vAlign w:val="bottom"/>
            <w:gridSpan w:val="2"/>
            <w:shd w:val="clear" w:color="auto" w:fill="CCEEFF"/>
          </w:tcPr>
          <w:p>
            <w:pPr>
              <w:jc w:val="right"/>
              <w:ind w:right="404"/>
              <w:spacing w:after="0" w:line="90" w:lineRule="exact"/>
              <w:rPr>
                <w:sz w:val="20"/>
                <w:szCs w:val="20"/>
                <w:color w:val="auto"/>
              </w:rPr>
            </w:pPr>
            <w:r>
              <w:rPr>
                <w:rFonts w:ascii="Arial" w:cs="Arial" w:eastAsia="Arial" w:hAnsi="Arial"/>
                <w:sz w:val="8"/>
                <w:szCs w:val="8"/>
                <w:color w:val="auto"/>
              </w:rPr>
              <w:t>13,800</w:t>
            </w:r>
          </w:p>
        </w:tc>
        <w:tc>
          <w:tcPr>
            <w:tcW w:w="880" w:type="dxa"/>
            <w:vAlign w:val="bottom"/>
            <w:gridSpan w:val="2"/>
            <w:shd w:val="clear" w:color="auto" w:fill="CCEEFF"/>
          </w:tcPr>
          <w:p>
            <w:pPr>
              <w:jc w:val="right"/>
              <w:ind w:right="184"/>
              <w:spacing w:after="0" w:line="90" w:lineRule="exact"/>
              <w:rPr>
                <w:sz w:val="20"/>
                <w:szCs w:val="20"/>
                <w:color w:val="auto"/>
              </w:rPr>
            </w:pPr>
            <w:r>
              <w:rPr>
                <w:rFonts w:ascii="Arial" w:cs="Arial" w:eastAsia="Arial" w:hAnsi="Arial"/>
                <w:sz w:val="8"/>
                <w:szCs w:val="8"/>
                <w:color w:val="auto"/>
              </w:rPr>
              <w:t>3,251,513</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060" w:type="dxa"/>
            <w:vAlign w:val="bottom"/>
            <w:shd w:val="clear" w:color="auto" w:fill="CCEEFF"/>
          </w:tcPr>
          <w:p>
            <w:pPr>
              <w:ind w:left="60"/>
              <w:spacing w:after="0"/>
              <w:rPr>
                <w:sz w:val="20"/>
                <w:szCs w:val="20"/>
                <w:color w:val="auto"/>
              </w:rPr>
            </w:pPr>
            <w:r>
              <w:rPr>
                <w:rFonts w:ascii="Arial" w:cs="Arial" w:eastAsia="Arial" w:hAnsi="Arial"/>
                <w:sz w:val="8"/>
                <w:szCs w:val="8"/>
                <w:color w:val="auto"/>
              </w:rPr>
              <w:t>General Counsel and Secretary</w:t>
            </w:r>
            <w:r>
              <w:rPr>
                <w:rFonts w:ascii="Arial" w:cs="Arial" w:eastAsia="Arial" w:hAnsi="Arial"/>
                <w:sz w:val="7"/>
                <w:szCs w:val="7"/>
                <w:color w:val="auto"/>
              </w:rPr>
              <w:t>(10)</w:t>
            </w: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57150</wp:posOffset>
            </wp:positionV>
            <wp:extent cx="823595"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3595" cy="5715"/>
                    </a:xfrm>
                    <a:prstGeom prst="rect">
                      <a:avLst/>
                    </a:prstGeom>
                    <a:noFill/>
                  </pic:spPr>
                </pic:pic>
              </a:graphicData>
            </a:graphic>
          </wp:anchor>
        </w:drawing>
      </w:r>
    </w:p>
    <w:p>
      <w:pPr>
        <w:spacing w:after="0" w:line="115" w:lineRule="exact"/>
        <w:rPr>
          <w:sz w:val="20"/>
          <w:szCs w:val="20"/>
          <w:color w:val="auto"/>
        </w:rPr>
      </w:pPr>
    </w:p>
    <w:p>
      <w:pPr>
        <w:ind w:left="1080" w:right="180" w:hanging="399"/>
        <w:spacing w:after="0" w:line="319" w:lineRule="auto"/>
        <w:tabs>
          <w:tab w:leader="none" w:pos="1080" w:val="left"/>
        </w:tabs>
        <w:numPr>
          <w:ilvl w:val="0"/>
          <w:numId w:val="17"/>
        </w:numPr>
        <w:rPr>
          <w:rFonts w:ascii="Arial" w:cs="Arial" w:eastAsia="Arial" w:hAnsi="Arial"/>
          <w:sz w:val="10"/>
          <w:szCs w:val="10"/>
          <w:color w:val="auto"/>
        </w:rPr>
      </w:pPr>
      <w:r>
        <w:rPr>
          <w:rFonts w:ascii="Arial" w:cs="Arial" w:eastAsia="Arial" w:hAnsi="Arial"/>
          <w:sz w:val="10"/>
          <w:szCs w:val="10"/>
          <w:color w:val="auto"/>
        </w:rPr>
        <w:t>Each of Messrs. Roberts, Angelakis, Burke and Cohen has requested that he not receive an increase in his annual base salary through February 28, 2011, as more fully described above in “Compensation Discussion and Analysis — Elements and Mix of Our Compensation Program — Base Salary.” This will result in a two-year freeze in base salary, as each of them had previously requested that he not receive an increase in his annual base salary from January 1, 2009 through February 28, 2010. The difference in the amounts in this column for such executives between 2009 and 2008 is due to there being 27 biweekly pay periods in 2009, as compared to 26 biweekly pay periods in 2008, and there being a lower base salary rate in effect for the first two months of 2008.</w:t>
      </w:r>
    </w:p>
    <w:p>
      <w:pPr>
        <w:spacing w:after="0" w:line="1" w:lineRule="exact"/>
        <w:rPr>
          <w:rFonts w:ascii="Arial" w:cs="Arial" w:eastAsia="Arial" w:hAnsi="Arial"/>
          <w:sz w:val="10"/>
          <w:szCs w:val="10"/>
          <w:color w:val="auto"/>
        </w:rPr>
      </w:pPr>
    </w:p>
    <w:p>
      <w:pPr>
        <w:ind w:left="1080" w:right="40" w:hanging="399"/>
        <w:spacing w:after="0" w:line="296" w:lineRule="auto"/>
        <w:tabs>
          <w:tab w:leader="none" w:pos="1080" w:val="left"/>
        </w:tabs>
        <w:numPr>
          <w:ilvl w:val="0"/>
          <w:numId w:val="17"/>
        </w:numPr>
        <w:rPr>
          <w:rFonts w:ascii="Arial" w:cs="Arial" w:eastAsia="Arial" w:hAnsi="Arial"/>
          <w:sz w:val="11"/>
          <w:szCs w:val="11"/>
          <w:color w:val="auto"/>
        </w:rPr>
      </w:pPr>
      <w:r>
        <w:rPr>
          <w:rFonts w:ascii="Arial" w:cs="Arial" w:eastAsia="Arial" w:hAnsi="Arial"/>
          <w:sz w:val="11"/>
          <w:szCs w:val="11"/>
          <w:color w:val="auto"/>
        </w:rPr>
        <w:t>For each of Messrs. Angelakis and Burke, the amounts in this column represent a cash bonus paid in 2009 in connection with his entering into a new employment agreement. If either executive terminates his employment without good reason or we terminate his employment with cause during the first six months following the grant date of such bonus, he must reimburse us for the amount of such bonus, and, if such a termination occurs after six months but before one year from the grant date of such bonus, he must reimburse us for 50% of the amount of such bonus.</w:t>
      </w:r>
    </w:p>
    <w:p>
      <w:pPr>
        <w:ind w:left="1080" w:right="100" w:hanging="399"/>
        <w:spacing w:after="0" w:line="286" w:lineRule="auto"/>
        <w:tabs>
          <w:tab w:leader="none" w:pos="1080" w:val="left"/>
        </w:tabs>
        <w:numPr>
          <w:ilvl w:val="0"/>
          <w:numId w:val="17"/>
        </w:numPr>
        <w:rPr>
          <w:rFonts w:ascii="Arial" w:cs="Arial" w:eastAsia="Arial" w:hAnsi="Arial"/>
          <w:sz w:val="11"/>
          <w:szCs w:val="11"/>
          <w:color w:val="auto"/>
        </w:rPr>
      </w:pPr>
      <w:r>
        <w:rPr>
          <w:rFonts w:ascii="Arial" w:cs="Arial" w:eastAsia="Arial" w:hAnsi="Arial"/>
          <w:sz w:val="11"/>
          <w:szCs w:val="11"/>
          <w:color w:val="auto"/>
        </w:rPr>
        <w:t>The amounts in this column represent the aggregate grant date fair value of performance-based RSUs granted to each of the named executive officers in 2009, in accordance with Financial Accounting Standards Board Accounting Standards Codification Topic 718, Compensation — Stock Compensation (FASB ASC Topic 718). These amounts, which do not correspond to the actual value that may be realized by the named executive officers, were calculated using the valuation assumptions discussed in the “Share-Based Compensation” footnote to the financial statements in our Annual Report on Form 10-K for the respective year-end. The amounts were determined by multiplying the Class A common stock closing price on the date of grant by the number of shares subject to the grant and, as the RSUs are subject to performance conditions as defined in the Glossary to FASB ASC Topic 718, in accordance</w:t>
      </w:r>
    </w:p>
    <w:p>
      <w:pPr>
        <w:spacing w:after="0" w:line="228"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97790</wp:posOffset>
            </wp:positionV>
            <wp:extent cx="7299325" cy="18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680"/>
          </w:cols>
          <w:pgMar w:left="220" w:top="327" w:right="999" w:bottom="1440" w:gutter="0" w:footer="0" w:header="0"/>
        </w:sectPr>
      </w:pPr>
    </w:p>
    <w:bookmarkStart w:id="44" w:name="page45"/>
    <w:bookmarkEnd w:id="44"/>
    <w:p>
      <w:pPr>
        <w:spacing w:after="0"/>
        <w:rPr>
          <w:rFonts w:ascii="Arial" w:cs="Arial" w:eastAsia="Arial" w:hAnsi="Arial"/>
          <w:sz w:val="12"/>
          <w:szCs w:val="12"/>
          <w:b w:val="1"/>
          <w:bCs w:val="1"/>
          <w:u w:val="single" w:color="auto"/>
          <w:color w:val="0000EE"/>
        </w:rPr>
      </w:pP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both"/>
        <w:ind w:left="1080" w:right="100"/>
        <w:spacing w:after="0" w:line="263" w:lineRule="auto"/>
        <w:rPr>
          <w:sz w:val="20"/>
          <w:szCs w:val="20"/>
          <w:color w:val="auto"/>
        </w:rPr>
      </w:pPr>
      <w:r>
        <w:rPr>
          <w:rFonts w:ascii="Arial" w:cs="Arial" w:eastAsia="Arial" w:hAnsi="Arial"/>
          <w:sz w:val="12"/>
          <w:szCs w:val="12"/>
          <w:color w:val="auto"/>
        </w:rPr>
        <w:t>with the SEC’s rules relating to executive compensation disclosure, taking into account the probable outcome of the RSUs’ performance conditions as of the date of grant and excluding the effect of estimated forfeitures. For 2009 and 2008, the amounts were also discounted for the lack of dividends during the vesting period. See the “Grants in 2009 of Plan-Based Awards” table on page 43 for information, including grant date, on RSUs granted in 2009.</w:t>
      </w:r>
    </w:p>
    <w:p>
      <w:pPr>
        <w:spacing w:after="0" w:line="15" w:lineRule="exact"/>
        <w:rPr>
          <w:sz w:val="20"/>
          <w:szCs w:val="20"/>
          <w:color w:val="auto"/>
        </w:rPr>
      </w:pPr>
    </w:p>
    <w:p>
      <w:pPr>
        <w:ind w:left="1080"/>
        <w:spacing w:after="0" w:line="259" w:lineRule="auto"/>
        <w:rPr>
          <w:sz w:val="20"/>
          <w:szCs w:val="20"/>
          <w:color w:val="auto"/>
        </w:rPr>
      </w:pPr>
      <w:r>
        <w:rPr>
          <w:rFonts w:ascii="Arial" w:cs="Arial" w:eastAsia="Arial" w:hAnsi="Arial"/>
          <w:sz w:val="12"/>
          <w:szCs w:val="12"/>
          <w:color w:val="auto"/>
        </w:rPr>
        <w:t>In accordance with the SEC’s rules relating to executive compensation disclosure, the amounts in this column for 2008 and 2007 have been restated from the amounts disclosed in the Summary Compensation Tables for 2008 and 2007 (which provided disclosure in accordance with the SEC’s rules relating to executive compensation disclosure applicable at the time the proxy statements for our 2009 and 2008 Annual Meetings of Shareholders were filed) to reflect the aggregate grant date fair value of RSUs granted to each of the named executive officers in 2008 and 2007, in accordance with FASB ASC Topic 718 and the assumptions described above.</w:t>
      </w:r>
    </w:p>
    <w:p>
      <w:pPr>
        <w:spacing w:after="0" w:line="17" w:lineRule="exact"/>
        <w:rPr>
          <w:sz w:val="20"/>
          <w:szCs w:val="20"/>
          <w:color w:val="auto"/>
        </w:rPr>
      </w:pPr>
    </w:p>
    <w:p>
      <w:pPr>
        <w:ind w:left="1080" w:right="20"/>
        <w:spacing w:after="0" w:line="254" w:lineRule="auto"/>
        <w:rPr>
          <w:sz w:val="20"/>
          <w:szCs w:val="20"/>
          <w:color w:val="auto"/>
        </w:rPr>
      </w:pPr>
      <w:r>
        <w:rPr>
          <w:rFonts w:ascii="Arial" w:cs="Arial" w:eastAsia="Arial" w:hAnsi="Arial"/>
          <w:sz w:val="12"/>
          <w:szCs w:val="12"/>
          <w:color w:val="auto"/>
        </w:rPr>
        <w:t>As of December 31, 2009, shares pursuant to awards of RSUs granted in 2005 to our named executive officers (other than Messrs. Angelakis and Block) will be forfeited, and we expect that a portion of the unvested outstanding performance-based RSUs granted in 2006 and 2007 to our named executive officers (other than Mr. Block) will be forfeited as a result of failing to meet performance conditions. As noted above, the amounts in this column for 2007 represent the aggregate grant date fair value of RSUs, taking into account the probable outcome of the RSUs’ performance conditions as of the date of grant. If we were instead to take into account the probable outcome of the RSUs’ performance conditions as of December 31, 2009, the following amounts would be reported in this column for 2007: Mr. Roberts, $4,413,840; Mr. Angelakis, $7,072,673; Mr. Burke, $3,531,072; and Mr. Cohen, $2,056,392. See footnotes (7) and (8) to the “Outstanding Equity Awards at 2009 Fiscal Year-End” table beginning on page 45 for further information with regard to the complete forfeiture of RSUs granted in 2005, as well as the expected forfeiture of RSUs granted in 2006 and 2007.</w:t>
      </w:r>
    </w:p>
    <w:p>
      <w:pPr>
        <w:spacing w:after="0" w:line="23" w:lineRule="exact"/>
        <w:rPr>
          <w:sz w:val="20"/>
          <w:szCs w:val="20"/>
          <w:color w:val="auto"/>
        </w:rPr>
      </w:pPr>
    </w:p>
    <w:p>
      <w:pPr>
        <w:ind w:left="1080" w:hanging="399"/>
        <w:spacing w:after="0" w:line="281" w:lineRule="auto"/>
        <w:tabs>
          <w:tab w:leader="none" w:pos="1080" w:val="left"/>
        </w:tabs>
        <w:numPr>
          <w:ilvl w:val="0"/>
          <w:numId w:val="18"/>
        </w:numPr>
        <w:rPr>
          <w:rFonts w:ascii="Arial" w:cs="Arial" w:eastAsia="Arial" w:hAnsi="Arial"/>
          <w:sz w:val="11"/>
          <w:szCs w:val="11"/>
          <w:color w:val="auto"/>
        </w:rPr>
      </w:pPr>
      <w:r>
        <w:rPr>
          <w:rFonts w:ascii="Arial" w:cs="Arial" w:eastAsia="Arial" w:hAnsi="Arial"/>
          <w:sz w:val="11"/>
          <w:szCs w:val="11"/>
          <w:color w:val="auto"/>
        </w:rPr>
        <w:t>The amounts in this column represent the aggregate grant date fair value of stock options granted to each of the named executive officers in 2009, in accordance with FASB ASC Topic 718. Under the SEC’s rules relating to executive compensation disclosure, the amounts shown exclude the impact of estimated forfeitures. These amounts, which do not correspond to the actual value that may be realized by the named executive officers, were calculated using the Black-Scholes option-pricing model, based upon the following valuation assumptions: for the options granted on March 27, 2009, an expected volatility of approximately 37%, an expected term to exercise of seven years, an interest rate of approximately 2.4% and a dividend yield of approximately 1.9%, and for the options granted on December 18, 2009, an expected volatility of approximately 33%, an expected term to exercise of seven years, an interest rate of approximately 3.0% and a dividend yield of approximately 2.2%. For information on the valuation assumptions with respect to grants made before 2009, refer to the “Share-Based Compensation” footnote to the financial statements in our Annual Report on Form 10-K for the respective year-end. See the “Grants in 2009 of Plan-Based Awards” table on page 43 for information, including grant date, on options granted in 2009.</w:t>
      </w:r>
    </w:p>
    <w:p>
      <w:pPr>
        <w:spacing w:after="0" w:line="8" w:lineRule="exact"/>
        <w:rPr>
          <w:rFonts w:ascii="Arial" w:cs="Arial" w:eastAsia="Arial" w:hAnsi="Arial"/>
          <w:sz w:val="11"/>
          <w:szCs w:val="11"/>
          <w:color w:val="auto"/>
        </w:rPr>
      </w:pPr>
    </w:p>
    <w:p>
      <w:pPr>
        <w:ind w:left="1080" w:right="100"/>
        <w:spacing w:after="0" w:line="259" w:lineRule="auto"/>
        <w:rPr>
          <w:rFonts w:ascii="Arial" w:cs="Arial" w:eastAsia="Arial" w:hAnsi="Arial"/>
          <w:sz w:val="11"/>
          <w:szCs w:val="11"/>
          <w:color w:val="auto"/>
        </w:rPr>
      </w:pPr>
      <w:r>
        <w:rPr>
          <w:rFonts w:ascii="Arial" w:cs="Arial" w:eastAsia="Arial" w:hAnsi="Arial"/>
          <w:sz w:val="12"/>
          <w:szCs w:val="12"/>
          <w:color w:val="auto"/>
        </w:rPr>
        <w:t>In accordance with the SEC’s rules relating to executive compensation disclosure, the amounts in this column for 2008 and 2007 have been restated from the amounts disclosed in the Summary Compensation Tables for 2008 and 2007 (which provided disclosure in accordance with the SEC’s rules relating to executive compensation disclosure applicable at the time the proxy statements for our 2009 and 2008 Annual Meetings of Shareholders were filed) to reflect the aggregate grant date fair value of stock options granted to each of the named executive officers in 2008 and 2007, in accordance with FASB ASC Topic 718 and the assumptions described above.</w:t>
      </w:r>
    </w:p>
    <w:p>
      <w:pPr>
        <w:spacing w:after="0" w:line="16" w:lineRule="exact"/>
        <w:rPr>
          <w:rFonts w:ascii="Arial" w:cs="Arial" w:eastAsia="Arial" w:hAnsi="Arial"/>
          <w:sz w:val="11"/>
          <w:szCs w:val="11"/>
          <w:color w:val="auto"/>
        </w:rPr>
      </w:pPr>
    </w:p>
    <w:p>
      <w:pPr>
        <w:jc w:val="both"/>
        <w:ind w:left="1080" w:hanging="399"/>
        <w:spacing w:after="0" w:line="290" w:lineRule="auto"/>
        <w:tabs>
          <w:tab w:leader="none" w:pos="1080" w:val="left"/>
        </w:tabs>
        <w:numPr>
          <w:ilvl w:val="0"/>
          <w:numId w:val="18"/>
        </w:numPr>
        <w:rPr>
          <w:rFonts w:ascii="Arial" w:cs="Arial" w:eastAsia="Arial" w:hAnsi="Arial"/>
          <w:sz w:val="11"/>
          <w:szCs w:val="11"/>
          <w:color w:val="auto"/>
        </w:rPr>
      </w:pPr>
      <w:r>
        <w:rPr>
          <w:rFonts w:ascii="Arial" w:cs="Arial" w:eastAsia="Arial" w:hAnsi="Arial"/>
          <w:sz w:val="11"/>
          <w:szCs w:val="11"/>
          <w:color w:val="auto"/>
        </w:rPr>
        <w:t>The amounts in this column represent annual performance-based bonuses earned by our named executive officers under our 2006 Cash Bonus Plan. The grant of these bonuses is also disclosed under the “Grants in 2009 of Plan-Based Awards” table on page 43. Based on achievement of specified metrics in 2009, our named executive officers were entitled to receive 109% of their respective target bonus amounts for the year; however, prior to their bonuses being determined, the named executive officers advised the Compensation Committee of their recommendation that they only receive 98% of their target amounts, as discussed more fully above in “Compensation Discussion and Analysis — Elements and Mix of Our</w:t>
      </w:r>
    </w:p>
    <w:p>
      <w:pPr>
        <w:spacing w:after="0" w:line="235"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97790</wp:posOffset>
            </wp:positionV>
            <wp:extent cx="7299325" cy="184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660"/>
          </w:cols>
          <w:pgMar w:left="220" w:top="327" w:right="1019" w:bottom="1440" w:gutter="0" w:footer="0" w:header="0"/>
        </w:sectPr>
      </w:pPr>
    </w:p>
    <w:bookmarkStart w:id="45" w:name="page46"/>
    <w:bookmarkEnd w:id="45"/>
    <w:p>
      <w:pPr>
        <w:spacing w:after="0"/>
        <w:rPr>
          <w:rFonts w:ascii="Arial" w:cs="Arial" w:eastAsia="Arial" w:hAnsi="Arial"/>
          <w:sz w:val="12"/>
          <w:szCs w:val="12"/>
          <w:b w:val="1"/>
          <w:bCs w:val="1"/>
          <w:u w:val="single" w:color="auto"/>
          <w:color w:val="0000EE"/>
        </w:rPr>
      </w:pP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080" w:right="200"/>
        <w:spacing w:after="0" w:line="307" w:lineRule="auto"/>
        <w:rPr>
          <w:sz w:val="20"/>
          <w:szCs w:val="20"/>
          <w:color w:val="auto"/>
        </w:rPr>
      </w:pPr>
      <w:r>
        <w:rPr>
          <w:rFonts w:ascii="Arial" w:cs="Arial" w:eastAsia="Arial" w:hAnsi="Arial"/>
          <w:sz w:val="11"/>
          <w:szCs w:val="11"/>
          <w:color w:val="auto"/>
        </w:rPr>
        <w:t>Compensation Program — Cash Bonus Incentive Compensation.” Similarly, in 2008, our named executive officers (except Mr. Block) were entitled to receive 98% of their respective target bonus amounts for the year based on achievement of specified metrics, but advised the Compensation Committee of their recommendation that they only receive 89% of their target amounts.</w:t>
      </w:r>
    </w:p>
    <w:p>
      <w:pPr>
        <w:spacing w:after="0" w:line="1" w:lineRule="exact"/>
        <w:rPr>
          <w:sz w:val="20"/>
          <w:szCs w:val="20"/>
          <w:color w:val="auto"/>
        </w:rPr>
      </w:pPr>
    </w:p>
    <w:p>
      <w:pPr>
        <w:ind w:left="1080" w:right="140" w:hanging="399"/>
        <w:spacing w:after="0" w:line="276" w:lineRule="auto"/>
        <w:tabs>
          <w:tab w:leader="none" w:pos="10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amounts in this column represent the dollar value of interest earned on compensation deferred under our deferred compensation plans in excess of 120% of the long-term applicable federal rate (the current interest crediting rate on deferred compensation is 12%).</w:t>
      </w:r>
    </w:p>
    <w:p>
      <w:pPr>
        <w:spacing w:after="0" w:line="6" w:lineRule="exact"/>
        <w:rPr>
          <w:rFonts w:ascii="Arial" w:cs="Arial" w:eastAsia="Arial" w:hAnsi="Arial"/>
          <w:sz w:val="12"/>
          <w:szCs w:val="12"/>
          <w:color w:val="auto"/>
        </w:rPr>
      </w:pPr>
    </w:p>
    <w:p>
      <w:pPr>
        <w:ind w:left="1080" w:hanging="399"/>
        <w:spacing w:after="0" w:line="257" w:lineRule="auto"/>
        <w:tabs>
          <w:tab w:leader="none" w:pos="10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amounts in this column include: (a) Company contributions to our retirement-investment plan accounts in the amount of $14,700 for each of the named executive officers; (b) Company contributions to our deferred compensation plans (Mr. Roberts, $2,431,012; Mr. Angelakis, $2,458,600; Mr. Burke, $3,944,800; and Mr. Cohen, $868,219); and (c) amounts on account of personal use of Company provided aircraft (Mr. Roberts, $492,000; Mr. Angelakis, $97,712; Mr. Burke, $455,154; and Mr. Cohen, $108,935). For security reasons, Company policy requires Messrs. Roberts and Burke to use Company provided aircraft for business and personal travel, although the named executive officers are required to pay us for personal use of Company provided aircraft in amounts determined by Company policy.</w:t>
      </w:r>
    </w:p>
    <w:p>
      <w:pPr>
        <w:spacing w:after="0" w:line="17" w:lineRule="exact"/>
        <w:rPr>
          <w:rFonts w:ascii="Arial" w:cs="Arial" w:eastAsia="Arial" w:hAnsi="Arial"/>
          <w:sz w:val="12"/>
          <w:szCs w:val="12"/>
          <w:color w:val="auto"/>
        </w:rPr>
      </w:pPr>
    </w:p>
    <w:p>
      <w:pPr>
        <w:ind w:left="1080" w:right="40"/>
        <w:spacing w:after="0" w:line="257" w:lineRule="auto"/>
        <w:rPr>
          <w:rFonts w:ascii="Arial" w:cs="Arial" w:eastAsia="Arial" w:hAnsi="Arial"/>
          <w:sz w:val="12"/>
          <w:szCs w:val="12"/>
          <w:color w:val="auto"/>
        </w:rPr>
      </w:pPr>
      <w:r>
        <w:rPr>
          <w:rFonts w:ascii="Arial" w:cs="Arial" w:eastAsia="Arial" w:hAnsi="Arial"/>
          <w:sz w:val="12"/>
          <w:szCs w:val="12"/>
          <w:color w:val="auto"/>
        </w:rPr>
        <w:t>The amounts reflected for each named executive officer in respect of personal use of Company provided aircraft indicate the extent to which the incremental cost of such use exceeds the amount paid to us by the named executive officer as stated above. The aggregate incremental cost for a personal flight taken on a charter plane is the cost of the flight as charged to us by the charter company. The aggregate incremental cost for a personal flight on a Company plane includes all variable costs for the year, such as fuel, maintenance and other trip expenses, to arrive at a variable cost per hour that we then multiply by the number of hours the named executive officer used the aircraft for personal travel (including the hours for repositioning flights). This methodology excludes fixed costs, as these costs do not change based on usage.</w:t>
      </w:r>
    </w:p>
    <w:p>
      <w:pPr>
        <w:spacing w:after="0" w:line="17" w:lineRule="exact"/>
        <w:rPr>
          <w:rFonts w:ascii="Arial" w:cs="Arial" w:eastAsia="Arial" w:hAnsi="Arial"/>
          <w:sz w:val="12"/>
          <w:szCs w:val="12"/>
          <w:color w:val="auto"/>
        </w:rPr>
      </w:pPr>
    </w:p>
    <w:p>
      <w:pPr>
        <w:ind w:left="1080" w:right="540"/>
        <w:spacing w:after="0" w:line="276" w:lineRule="auto"/>
        <w:rPr>
          <w:rFonts w:ascii="Arial" w:cs="Arial" w:eastAsia="Arial" w:hAnsi="Arial"/>
          <w:sz w:val="12"/>
          <w:szCs w:val="12"/>
          <w:color w:val="auto"/>
        </w:rPr>
      </w:pPr>
      <w:r>
        <w:rPr>
          <w:rFonts w:ascii="Arial" w:cs="Arial" w:eastAsia="Arial" w:hAnsi="Arial"/>
          <w:sz w:val="12"/>
          <w:szCs w:val="12"/>
          <w:color w:val="auto"/>
        </w:rPr>
        <w:t>For all other benefits that would otherwise be considered perquisites, as more fully described above in “Compensation Discussion and Analysis — Elements and Mix of Our Compensation Program — Perquisites,” our named executive officers are required to pay us in full (and have paid us in full) for such benefits.</w:t>
      </w:r>
    </w:p>
    <w:p>
      <w:pPr>
        <w:spacing w:after="0" w:line="6" w:lineRule="exact"/>
        <w:rPr>
          <w:rFonts w:ascii="Arial" w:cs="Arial" w:eastAsia="Arial" w:hAnsi="Arial"/>
          <w:sz w:val="12"/>
          <w:szCs w:val="12"/>
          <w:color w:val="auto"/>
        </w:rPr>
      </w:pPr>
    </w:p>
    <w:p>
      <w:pPr>
        <w:ind w:left="1080" w:right="100" w:hanging="399"/>
        <w:spacing w:after="0" w:line="290" w:lineRule="auto"/>
        <w:tabs>
          <w:tab w:leader="none" w:pos="1080" w:val="left"/>
        </w:tabs>
        <w:numPr>
          <w:ilvl w:val="0"/>
          <w:numId w:val="19"/>
        </w:numPr>
        <w:rPr>
          <w:rFonts w:ascii="Arial" w:cs="Arial" w:eastAsia="Arial" w:hAnsi="Arial"/>
          <w:sz w:val="11"/>
          <w:szCs w:val="11"/>
          <w:color w:val="auto"/>
        </w:rPr>
      </w:pPr>
      <w:r>
        <w:rPr>
          <w:rFonts w:ascii="Arial" w:cs="Arial" w:eastAsia="Arial" w:hAnsi="Arial"/>
          <w:sz w:val="11"/>
          <w:szCs w:val="11"/>
          <w:color w:val="auto"/>
        </w:rPr>
        <w:t>In accordance with the SEC’s rules relating to executive compensation disclosure, the amounts in this column for 2008 and 2007 have been restated from the amounts disclosed in the Summary Compensation Tables for 2008 and 2007 (which provided disclosure in accordance with the SEC’s rules relating to executive compensation disclosure applicable at the time the proxy statements for our 2009 and 2008 Annual Meetings of Shareholders were filed) to reflect the aggregate grant date fair value of RSUs and stock options granted to each of the named executive officers in 2008 and 2007, in accordance with FASB ASC Topic 718 and the assumptions described above in footnotes (3) and (4) to this table.</w:t>
      </w:r>
    </w:p>
    <w:p>
      <w:pPr>
        <w:spacing w:after="0" w:line="1" w:lineRule="exact"/>
        <w:rPr>
          <w:rFonts w:ascii="Arial" w:cs="Arial" w:eastAsia="Arial" w:hAnsi="Arial"/>
          <w:sz w:val="11"/>
          <w:szCs w:val="11"/>
          <w:color w:val="auto"/>
        </w:rPr>
      </w:pPr>
    </w:p>
    <w:p>
      <w:pPr>
        <w:ind w:left="1080" w:hanging="399"/>
        <w:spacing w:after="0"/>
        <w:tabs>
          <w:tab w:leader="none" w:pos="10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Mr. Burke relinquished his role as President of Comcast Cable in March 2010 to dedicate his full time to his role as our Chief Operating Officer.</w:t>
      </w:r>
    </w:p>
    <w:p>
      <w:pPr>
        <w:spacing w:after="0" w:line="42" w:lineRule="exact"/>
        <w:rPr>
          <w:rFonts w:ascii="Arial" w:cs="Arial" w:eastAsia="Arial" w:hAnsi="Arial"/>
          <w:sz w:val="12"/>
          <w:szCs w:val="12"/>
          <w:color w:val="auto"/>
        </w:rPr>
      </w:pPr>
    </w:p>
    <w:p>
      <w:pPr>
        <w:ind w:left="1080" w:hanging="293"/>
        <w:spacing w:after="0"/>
        <w:tabs>
          <w:tab w:leader="none" w:pos="1080" w:val="left"/>
        </w:tabs>
        <w:numPr>
          <w:ilvl w:val="1"/>
          <w:numId w:val="19"/>
        </w:numPr>
        <w:rPr>
          <w:rFonts w:ascii="Arial" w:cs="Arial" w:eastAsia="Arial" w:hAnsi="Arial"/>
          <w:sz w:val="12"/>
          <w:szCs w:val="12"/>
          <w:color w:val="auto"/>
        </w:rPr>
      </w:pPr>
      <w:r>
        <w:rPr>
          <w:rFonts w:ascii="Arial" w:cs="Arial" w:eastAsia="Arial" w:hAnsi="Arial"/>
          <w:sz w:val="12"/>
          <w:szCs w:val="12"/>
          <w:color w:val="auto"/>
        </w:rPr>
        <w:t>For Mr. Block, compensation for only 2008 and 2009 is shown because he was not a named executive officer in 2007.</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97790</wp:posOffset>
            </wp:positionV>
            <wp:extent cx="7299325" cy="184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660"/>
          </w:cols>
          <w:pgMar w:left="220" w:top="327" w:right="1019" w:bottom="1440" w:gutter="0" w:footer="0" w:header="0"/>
        </w:sectPr>
      </w:pPr>
    </w:p>
    <w:bookmarkStart w:id="46" w:name="page47"/>
    <w:bookmarkEnd w:id="46"/>
    <w:p>
      <w:pPr>
        <w:spacing w:after="0"/>
        <w:rPr>
          <w:rFonts w:ascii="Arial" w:cs="Arial" w:eastAsia="Arial" w:hAnsi="Arial"/>
          <w:sz w:val="12"/>
          <w:szCs w:val="12"/>
          <w:b w:val="1"/>
          <w:bCs w:val="1"/>
          <w:u w:val="single" w:color="auto"/>
          <w:color w:val="0000EE"/>
        </w:rPr>
      </w:pPr>
      <w:hyperlink w:anchor="page4">
        <w:r>
          <w:rPr>
            <w:rFonts w:ascii="Arial" w:cs="Arial" w:eastAsia="Arial" w:hAnsi="Arial"/>
            <w:sz w:val="12"/>
            <w:szCs w:val="12"/>
            <w:b w:val="1"/>
            <w:bCs w:val="1"/>
            <w:u w:val="single" w:color="auto"/>
            <w:color w:val="0000EE"/>
          </w:rPr>
          <w:t>Table of Contents</w:t>
        </w:r>
      </w:hyperlink>
    </w:p>
    <w:p>
      <w:pPr>
        <w:spacing w:after="0" w:line="211" w:lineRule="exact"/>
        <w:rPr>
          <w:sz w:val="20"/>
          <w:szCs w:val="20"/>
          <w:color w:val="auto"/>
        </w:rPr>
      </w:pPr>
    </w:p>
    <w:p>
      <w:pPr>
        <w:ind w:left="680"/>
        <w:spacing w:after="0"/>
        <w:rPr>
          <w:sz w:val="20"/>
          <w:szCs w:val="20"/>
          <w:color w:val="auto"/>
        </w:rPr>
      </w:pPr>
      <w:r>
        <w:rPr>
          <w:rFonts w:ascii="Arial" w:cs="Arial" w:eastAsia="Arial" w:hAnsi="Arial"/>
          <w:sz w:val="12"/>
          <w:szCs w:val="12"/>
          <w:b w:val="1"/>
          <w:bCs w:val="1"/>
          <w:color w:val="auto"/>
        </w:rPr>
        <w:t>Grants in 2009 of Plan-Based Awards</w:t>
      </w:r>
    </w:p>
    <w:p>
      <w:pPr>
        <w:spacing w:after="0" w:line="91" w:lineRule="exact"/>
        <w:rPr>
          <w:sz w:val="20"/>
          <w:szCs w:val="20"/>
          <w:color w:val="auto"/>
        </w:rPr>
      </w:pPr>
    </w:p>
    <w:p>
      <w:pPr>
        <w:ind w:left="680" w:right="60" w:firstLine="400"/>
        <w:spacing w:after="0" w:line="290" w:lineRule="auto"/>
        <w:rPr>
          <w:sz w:val="20"/>
          <w:szCs w:val="20"/>
          <w:color w:val="auto"/>
        </w:rPr>
      </w:pPr>
      <w:r>
        <w:rPr>
          <w:rFonts w:ascii="Arial" w:cs="Arial" w:eastAsia="Arial" w:hAnsi="Arial"/>
          <w:sz w:val="11"/>
          <w:szCs w:val="11"/>
          <w:color w:val="auto"/>
        </w:rPr>
        <w:t>The following table provides information about equity and nonequity awards granted to our named executive officers in 2009, as follows: (1) the grant date for equity awards (column (a)); (2) the estimated future payouts under nonequity incentive plan awards (columns (b), (c) and (d)); (3) the estimated future payouts under equity incentive plan awards, which consist of performance-based RSUs (columns (e), (f) and (g)); (4) all option awards, which consist of the number of shares underlying stock options (column (h)); (5) the exercise price of the stock option awards, which reflects the closing price of our Class A common stock on the date of grant (column (i)); and (6) the grant date fair value of each equity award computed in accordance with FASB ASC Topic 718 (column (j)).</w:t>
      </w:r>
    </w:p>
    <w:p>
      <w:pPr>
        <w:spacing w:after="0" w:line="55" w:lineRule="exact"/>
        <w:rPr>
          <w:sz w:val="20"/>
          <w:szCs w:val="20"/>
          <w:color w:val="auto"/>
        </w:rPr>
      </w:pPr>
    </w:p>
    <w:tbl>
      <w:tblPr>
        <w:tblLayout w:type="fixed"/>
        <w:tblInd w:w="680" w:type="dxa"/>
        <w:tblCellMar>
          <w:top w:w="0" w:type="dxa"/>
          <w:left w:w="0" w:type="dxa"/>
          <w:bottom w:w="0" w:type="dxa"/>
          <w:right w:w="0" w:type="dxa"/>
        </w:tblCellMar>
      </w:tblPr>
      <w:tr>
        <w:trPr>
          <w:trHeight w:val="81"/>
        </w:trPr>
        <w:tc>
          <w:tcPr>
            <w:tcW w:w="20" w:type="dxa"/>
            <w:vAlign w:val="bottom"/>
          </w:tcPr>
          <w:p>
            <w:pPr>
              <w:spacing w:after="0"/>
              <w:rPr>
                <w:sz w:val="7"/>
                <w:szCs w:val="7"/>
                <w:color w:val="auto"/>
              </w:rPr>
            </w:pPr>
          </w:p>
        </w:tc>
        <w:tc>
          <w:tcPr>
            <w:tcW w:w="14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tcPr>
          <w:p>
            <w:pPr>
              <w:jc w:val="center"/>
              <w:spacing w:after="0"/>
              <w:rPr>
                <w:sz w:val="20"/>
                <w:szCs w:val="20"/>
                <w:color w:val="auto"/>
              </w:rPr>
            </w:pPr>
            <w:r>
              <w:rPr>
                <w:rFonts w:ascii="Arial" w:cs="Arial" w:eastAsia="Arial" w:hAnsi="Arial"/>
                <w:sz w:val="7"/>
                <w:szCs w:val="7"/>
                <w:b w:val="1"/>
                <w:bCs w:val="1"/>
                <w:color w:val="auto"/>
                <w:w w:val="88"/>
              </w:rPr>
              <w:t>(h)</w:t>
            </w: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4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tcPr>
          <w:p>
            <w:pPr>
              <w:jc w:val="center"/>
              <w:spacing w:after="0"/>
              <w:rPr>
                <w:sz w:val="20"/>
                <w:szCs w:val="20"/>
                <w:color w:val="auto"/>
              </w:rPr>
            </w:pPr>
            <w:r>
              <w:rPr>
                <w:rFonts w:ascii="Arial" w:cs="Arial" w:eastAsia="Arial" w:hAnsi="Arial"/>
                <w:sz w:val="7"/>
                <w:szCs w:val="7"/>
                <w:b w:val="1"/>
                <w:bCs w:val="1"/>
                <w:color w:val="auto"/>
              </w:rPr>
              <w:t>All Other</w:t>
            </w: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7"/>
                <w:szCs w:val="7"/>
                <w:b w:val="1"/>
                <w:bCs w:val="1"/>
                <w:color w:val="auto"/>
              </w:rPr>
              <w:t>(j)</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4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tcPr>
          <w:p>
            <w:pPr>
              <w:jc w:val="center"/>
              <w:spacing w:after="0"/>
              <w:rPr>
                <w:sz w:val="20"/>
                <w:szCs w:val="20"/>
                <w:color w:val="auto"/>
              </w:rPr>
            </w:pPr>
            <w:r>
              <w:rPr>
                <w:rFonts w:ascii="Arial" w:cs="Arial" w:eastAsia="Arial" w:hAnsi="Arial"/>
                <w:sz w:val="7"/>
                <w:szCs w:val="7"/>
                <w:b w:val="1"/>
                <w:bCs w:val="1"/>
                <w:color w:val="auto"/>
                <w:w w:val="97"/>
              </w:rPr>
              <w:t>Option</w:t>
            </w:r>
          </w:p>
        </w:tc>
        <w:tc>
          <w:tcPr>
            <w:tcW w:w="80" w:type="dxa"/>
            <w:vAlign w:val="bottom"/>
          </w:tcPr>
          <w:p>
            <w:pPr>
              <w:spacing w:after="0"/>
              <w:rPr>
                <w:sz w:val="7"/>
                <w:szCs w:val="7"/>
                <w:color w:val="auto"/>
              </w:rPr>
            </w:pPr>
          </w:p>
        </w:tc>
        <w:tc>
          <w:tcPr>
            <w:tcW w:w="720" w:type="dxa"/>
            <w:vAlign w:val="bottom"/>
          </w:tcPr>
          <w:p>
            <w:pPr>
              <w:jc w:val="center"/>
              <w:spacing w:after="0"/>
              <w:rPr>
                <w:sz w:val="20"/>
                <w:szCs w:val="20"/>
                <w:color w:val="auto"/>
              </w:rPr>
            </w:pPr>
            <w:r>
              <w:rPr>
                <w:rFonts w:ascii="Arial" w:cs="Arial" w:eastAsia="Arial" w:hAnsi="Arial"/>
                <w:sz w:val="7"/>
                <w:szCs w:val="7"/>
                <w:b w:val="1"/>
                <w:bCs w:val="1"/>
                <w:color w:val="auto"/>
                <w:w w:val="90"/>
              </w:rPr>
              <w:t>(i)</w:t>
            </w:r>
          </w:p>
        </w:tc>
        <w:tc>
          <w:tcPr>
            <w:tcW w:w="120" w:type="dxa"/>
            <w:vAlign w:val="bottom"/>
          </w:tcPr>
          <w:p>
            <w:pPr>
              <w:spacing w:after="0"/>
              <w:rPr>
                <w:sz w:val="7"/>
                <w:szCs w:val="7"/>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7"/>
                <w:szCs w:val="7"/>
                <w:b w:val="1"/>
                <w:bCs w:val="1"/>
                <w:color w:val="auto"/>
              </w:rPr>
              <w:t>Grant</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4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tcPr>
          <w:p>
            <w:pPr>
              <w:jc w:val="center"/>
              <w:spacing w:after="0"/>
              <w:rPr>
                <w:sz w:val="20"/>
                <w:szCs w:val="20"/>
                <w:color w:val="auto"/>
              </w:rPr>
            </w:pPr>
            <w:r>
              <w:rPr>
                <w:rFonts w:ascii="Arial" w:cs="Arial" w:eastAsia="Arial" w:hAnsi="Arial"/>
                <w:sz w:val="7"/>
                <w:szCs w:val="7"/>
                <w:b w:val="1"/>
                <w:bCs w:val="1"/>
                <w:color w:val="auto"/>
                <w:w w:val="93"/>
              </w:rPr>
              <w:t>Awards:</w:t>
            </w:r>
          </w:p>
        </w:tc>
        <w:tc>
          <w:tcPr>
            <w:tcW w:w="80" w:type="dxa"/>
            <w:vAlign w:val="bottom"/>
          </w:tcPr>
          <w:p>
            <w:pPr>
              <w:spacing w:after="0"/>
              <w:rPr>
                <w:sz w:val="7"/>
                <w:szCs w:val="7"/>
                <w:color w:val="auto"/>
              </w:rPr>
            </w:pPr>
          </w:p>
        </w:tc>
        <w:tc>
          <w:tcPr>
            <w:tcW w:w="720" w:type="dxa"/>
            <w:vAlign w:val="bottom"/>
          </w:tcPr>
          <w:p>
            <w:pPr>
              <w:jc w:val="center"/>
              <w:spacing w:after="0"/>
              <w:rPr>
                <w:sz w:val="20"/>
                <w:szCs w:val="20"/>
                <w:color w:val="auto"/>
              </w:rPr>
            </w:pPr>
            <w:r>
              <w:rPr>
                <w:rFonts w:ascii="Arial" w:cs="Arial" w:eastAsia="Arial" w:hAnsi="Arial"/>
                <w:sz w:val="7"/>
                <w:szCs w:val="7"/>
                <w:b w:val="1"/>
                <w:bCs w:val="1"/>
                <w:color w:val="auto"/>
                <w:w w:val="90"/>
              </w:rPr>
              <w:t>Exercise</w:t>
            </w:r>
          </w:p>
        </w:tc>
        <w:tc>
          <w:tcPr>
            <w:tcW w:w="120" w:type="dxa"/>
            <w:vAlign w:val="bottom"/>
          </w:tcPr>
          <w:p>
            <w:pPr>
              <w:spacing w:after="0"/>
              <w:rPr>
                <w:sz w:val="7"/>
                <w:szCs w:val="7"/>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7"/>
                <w:szCs w:val="7"/>
                <w:b w:val="1"/>
                <w:bCs w:val="1"/>
                <w:color w:val="auto"/>
                <w:w w:val="93"/>
              </w:rPr>
              <w:t>Date Fair</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4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120" w:type="dxa"/>
            <w:vAlign w:val="bottom"/>
            <w:gridSpan w:val="5"/>
          </w:tcPr>
          <w:p>
            <w:pPr>
              <w:jc w:val="center"/>
              <w:ind w:right="40"/>
              <w:spacing w:after="0"/>
              <w:rPr>
                <w:sz w:val="20"/>
                <w:szCs w:val="20"/>
                <w:color w:val="auto"/>
              </w:rPr>
            </w:pPr>
            <w:r>
              <w:rPr>
                <w:rFonts w:ascii="Arial" w:cs="Arial" w:eastAsia="Arial" w:hAnsi="Arial"/>
                <w:sz w:val="7"/>
                <w:szCs w:val="7"/>
                <w:b w:val="1"/>
                <w:bCs w:val="1"/>
                <w:color w:val="auto"/>
                <w:w w:val="92"/>
              </w:rPr>
              <w:t>Estimated Future Payouts Under</w:t>
            </w: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40" w:type="dxa"/>
            <w:vAlign w:val="bottom"/>
            <w:gridSpan w:val="5"/>
          </w:tcPr>
          <w:p>
            <w:pPr>
              <w:jc w:val="center"/>
              <w:spacing w:after="0"/>
              <w:rPr>
                <w:sz w:val="20"/>
                <w:szCs w:val="20"/>
                <w:color w:val="auto"/>
              </w:rPr>
            </w:pPr>
            <w:r>
              <w:rPr>
                <w:rFonts w:ascii="Arial" w:cs="Arial" w:eastAsia="Arial" w:hAnsi="Arial"/>
                <w:sz w:val="7"/>
                <w:szCs w:val="7"/>
                <w:b w:val="1"/>
                <w:bCs w:val="1"/>
                <w:color w:val="auto"/>
                <w:w w:val="93"/>
              </w:rPr>
              <w:t>Estimated Future Payouts Under</w:t>
            </w: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tcPr>
          <w:p>
            <w:pPr>
              <w:jc w:val="center"/>
              <w:spacing w:after="0"/>
              <w:rPr>
                <w:sz w:val="20"/>
                <w:szCs w:val="20"/>
                <w:color w:val="auto"/>
              </w:rPr>
            </w:pPr>
            <w:r>
              <w:rPr>
                <w:rFonts w:ascii="Arial" w:cs="Arial" w:eastAsia="Arial" w:hAnsi="Arial"/>
                <w:sz w:val="7"/>
                <w:szCs w:val="7"/>
                <w:b w:val="1"/>
                <w:bCs w:val="1"/>
                <w:color w:val="auto"/>
                <w:w w:val="97"/>
              </w:rPr>
              <w:t>Number of</w:t>
            </w:r>
          </w:p>
        </w:tc>
        <w:tc>
          <w:tcPr>
            <w:tcW w:w="80" w:type="dxa"/>
            <w:vAlign w:val="bottom"/>
          </w:tcPr>
          <w:p>
            <w:pPr>
              <w:spacing w:after="0"/>
              <w:rPr>
                <w:sz w:val="7"/>
                <w:szCs w:val="7"/>
                <w:color w:val="auto"/>
              </w:rPr>
            </w:pPr>
          </w:p>
        </w:tc>
        <w:tc>
          <w:tcPr>
            <w:tcW w:w="720" w:type="dxa"/>
            <w:vAlign w:val="bottom"/>
          </w:tcPr>
          <w:p>
            <w:pPr>
              <w:jc w:val="center"/>
              <w:spacing w:after="0"/>
              <w:rPr>
                <w:sz w:val="20"/>
                <w:szCs w:val="20"/>
                <w:color w:val="auto"/>
              </w:rPr>
            </w:pPr>
            <w:r>
              <w:rPr>
                <w:rFonts w:ascii="Arial" w:cs="Arial" w:eastAsia="Arial" w:hAnsi="Arial"/>
                <w:sz w:val="7"/>
                <w:szCs w:val="7"/>
                <w:b w:val="1"/>
                <w:bCs w:val="1"/>
                <w:color w:val="auto"/>
                <w:w w:val="85"/>
              </w:rPr>
              <w:t>or Base</w:t>
            </w:r>
          </w:p>
        </w:tc>
        <w:tc>
          <w:tcPr>
            <w:tcW w:w="120" w:type="dxa"/>
            <w:vAlign w:val="bottom"/>
          </w:tcPr>
          <w:p>
            <w:pPr>
              <w:spacing w:after="0"/>
              <w:rPr>
                <w:sz w:val="7"/>
                <w:szCs w:val="7"/>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7"/>
                <w:szCs w:val="7"/>
                <w:b w:val="1"/>
                <w:bCs w:val="1"/>
                <w:color w:val="auto"/>
                <w:w w:val="87"/>
              </w:rPr>
              <w:t>Value of</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4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780" w:type="dxa"/>
            <w:vAlign w:val="bottom"/>
            <w:tcBorders>
              <w:bottom w:val="single" w:sz="8" w:color="auto"/>
            </w:tcBorders>
            <w:gridSpan w:val="6"/>
          </w:tcPr>
          <w:p>
            <w:pPr>
              <w:jc w:val="center"/>
              <w:ind w:left="580"/>
              <w:spacing w:after="0"/>
              <w:rPr>
                <w:sz w:val="20"/>
                <w:szCs w:val="20"/>
                <w:color w:val="auto"/>
              </w:rPr>
            </w:pPr>
            <w:r>
              <w:rPr>
                <w:rFonts w:ascii="Arial" w:cs="Arial" w:eastAsia="Arial" w:hAnsi="Arial"/>
                <w:sz w:val="7"/>
                <w:szCs w:val="7"/>
                <w:b w:val="1"/>
                <w:bCs w:val="1"/>
                <w:color w:val="auto"/>
                <w:w w:val="95"/>
              </w:rPr>
              <w:t>Non-Equity Incentive Plan Awards</w:t>
            </w:r>
            <w:r>
              <w:rPr>
                <w:rFonts w:ascii="Arial" w:cs="Arial" w:eastAsia="Arial" w:hAnsi="Arial"/>
                <w:sz w:val="6"/>
                <w:szCs w:val="6"/>
                <w:b w:val="1"/>
                <w:bCs w:val="1"/>
                <w:color w:val="auto"/>
                <w:w w:val="95"/>
              </w:rPr>
              <w:t>(1)</w:t>
            </w:r>
          </w:p>
        </w:tc>
        <w:tc>
          <w:tcPr>
            <w:tcW w:w="6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gridSpan w:val="5"/>
          </w:tcPr>
          <w:p>
            <w:pPr>
              <w:jc w:val="center"/>
              <w:spacing w:after="0"/>
              <w:rPr>
                <w:sz w:val="20"/>
                <w:szCs w:val="20"/>
                <w:color w:val="auto"/>
              </w:rPr>
            </w:pPr>
            <w:r>
              <w:rPr>
                <w:rFonts w:ascii="Arial" w:cs="Arial" w:eastAsia="Arial" w:hAnsi="Arial"/>
                <w:sz w:val="7"/>
                <w:szCs w:val="7"/>
                <w:b w:val="1"/>
                <w:bCs w:val="1"/>
                <w:color w:val="auto"/>
                <w:w w:val="93"/>
              </w:rPr>
              <w:t>Equity Incentive Plan Awards</w:t>
            </w:r>
            <w:r>
              <w:rPr>
                <w:rFonts w:ascii="Arial" w:cs="Arial" w:eastAsia="Arial" w:hAnsi="Arial"/>
                <w:sz w:val="6"/>
                <w:szCs w:val="6"/>
                <w:b w:val="1"/>
                <w:bCs w:val="1"/>
                <w:color w:val="auto"/>
                <w:w w:val="93"/>
              </w:rPr>
              <w:t>(2)</w:t>
            </w:r>
          </w:p>
        </w:tc>
        <w:tc>
          <w:tcPr>
            <w:tcW w:w="6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tcPr>
          <w:p>
            <w:pPr>
              <w:jc w:val="center"/>
              <w:spacing w:after="0"/>
              <w:rPr>
                <w:sz w:val="20"/>
                <w:szCs w:val="20"/>
                <w:color w:val="auto"/>
              </w:rPr>
            </w:pPr>
            <w:r>
              <w:rPr>
                <w:rFonts w:ascii="Arial" w:cs="Arial" w:eastAsia="Arial" w:hAnsi="Arial"/>
                <w:sz w:val="7"/>
                <w:szCs w:val="7"/>
                <w:b w:val="1"/>
                <w:bCs w:val="1"/>
                <w:color w:val="auto"/>
                <w:w w:val="89"/>
              </w:rPr>
              <w:t>Securities</w:t>
            </w:r>
          </w:p>
        </w:tc>
        <w:tc>
          <w:tcPr>
            <w:tcW w:w="80" w:type="dxa"/>
            <w:vAlign w:val="bottom"/>
          </w:tcPr>
          <w:p>
            <w:pPr>
              <w:spacing w:after="0"/>
              <w:rPr>
                <w:sz w:val="7"/>
                <w:szCs w:val="7"/>
                <w:color w:val="auto"/>
              </w:rPr>
            </w:pPr>
          </w:p>
        </w:tc>
        <w:tc>
          <w:tcPr>
            <w:tcW w:w="720" w:type="dxa"/>
            <w:vAlign w:val="bottom"/>
          </w:tcPr>
          <w:p>
            <w:pPr>
              <w:jc w:val="center"/>
              <w:spacing w:after="0"/>
              <w:rPr>
                <w:sz w:val="20"/>
                <w:szCs w:val="20"/>
                <w:color w:val="auto"/>
              </w:rPr>
            </w:pPr>
            <w:r>
              <w:rPr>
                <w:rFonts w:ascii="Arial" w:cs="Arial" w:eastAsia="Arial" w:hAnsi="Arial"/>
                <w:sz w:val="7"/>
                <w:szCs w:val="7"/>
                <w:b w:val="1"/>
                <w:bCs w:val="1"/>
                <w:color w:val="auto"/>
                <w:w w:val="93"/>
              </w:rPr>
              <w:t>Price of</w:t>
            </w:r>
          </w:p>
        </w:tc>
        <w:tc>
          <w:tcPr>
            <w:tcW w:w="120" w:type="dxa"/>
            <w:vAlign w:val="bottom"/>
          </w:tcPr>
          <w:p>
            <w:pPr>
              <w:spacing w:after="0"/>
              <w:rPr>
                <w:sz w:val="7"/>
                <w:szCs w:val="7"/>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7"/>
                <w:szCs w:val="7"/>
                <w:b w:val="1"/>
                <w:bCs w:val="1"/>
                <w:color w:val="auto"/>
                <w:w w:val="95"/>
              </w:rPr>
              <w:t>Stock and</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gridSpan w:val="2"/>
          </w:tcPr>
          <w:p>
            <w:pPr>
              <w:jc w:val="center"/>
              <w:ind w:right="80"/>
              <w:spacing w:after="0" w:line="61" w:lineRule="exact"/>
              <w:rPr>
                <w:sz w:val="20"/>
                <w:szCs w:val="20"/>
                <w:color w:val="auto"/>
              </w:rPr>
            </w:pPr>
            <w:r>
              <w:rPr>
                <w:rFonts w:ascii="Arial" w:cs="Arial" w:eastAsia="Arial" w:hAnsi="Arial"/>
                <w:sz w:val="7"/>
                <w:szCs w:val="7"/>
                <w:b w:val="1"/>
                <w:bCs w:val="1"/>
                <w:color w:val="auto"/>
                <w:w w:val="92"/>
              </w:rPr>
              <w:t>(a)</w:t>
            </w:r>
          </w:p>
        </w:tc>
        <w:tc>
          <w:tcPr>
            <w:tcW w:w="660" w:type="dxa"/>
            <w:vAlign w:val="bottom"/>
          </w:tcPr>
          <w:p>
            <w:pPr>
              <w:jc w:val="right"/>
              <w:ind w:right="140"/>
              <w:spacing w:after="0" w:line="61" w:lineRule="exact"/>
              <w:rPr>
                <w:sz w:val="20"/>
                <w:szCs w:val="20"/>
                <w:color w:val="auto"/>
              </w:rPr>
            </w:pPr>
            <w:r>
              <w:rPr>
                <w:rFonts w:ascii="Arial" w:cs="Arial" w:eastAsia="Arial" w:hAnsi="Arial"/>
                <w:sz w:val="7"/>
                <w:szCs w:val="7"/>
                <w:b w:val="1"/>
                <w:bCs w:val="1"/>
                <w:color w:val="auto"/>
              </w:rPr>
              <w:t>(b)</w:t>
            </w: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gridSpan w:val="3"/>
          </w:tcPr>
          <w:p>
            <w:pPr>
              <w:jc w:val="center"/>
              <w:ind w:right="220"/>
              <w:spacing w:after="0" w:line="61" w:lineRule="exact"/>
              <w:rPr>
                <w:sz w:val="20"/>
                <w:szCs w:val="20"/>
                <w:color w:val="auto"/>
              </w:rPr>
            </w:pPr>
            <w:r>
              <w:rPr>
                <w:rFonts w:ascii="Arial" w:cs="Arial" w:eastAsia="Arial" w:hAnsi="Arial"/>
                <w:sz w:val="7"/>
                <w:szCs w:val="7"/>
                <w:b w:val="1"/>
                <w:bCs w:val="1"/>
                <w:color w:val="auto"/>
                <w:w w:val="92"/>
              </w:rPr>
              <w:t>(c)</w:t>
            </w:r>
          </w:p>
        </w:tc>
        <w:tc>
          <w:tcPr>
            <w:tcW w:w="620" w:type="dxa"/>
            <w:vAlign w:val="bottom"/>
          </w:tcPr>
          <w:p>
            <w:pPr>
              <w:jc w:val="right"/>
              <w:ind w:right="300"/>
              <w:spacing w:after="0" w:line="61" w:lineRule="exact"/>
              <w:rPr>
                <w:sz w:val="20"/>
                <w:szCs w:val="20"/>
                <w:color w:val="auto"/>
              </w:rPr>
            </w:pPr>
            <w:r>
              <w:rPr>
                <w:rFonts w:ascii="Arial" w:cs="Arial" w:eastAsia="Arial" w:hAnsi="Arial"/>
                <w:sz w:val="7"/>
                <w:szCs w:val="7"/>
                <w:b w:val="1"/>
                <w:bCs w:val="1"/>
                <w:color w:val="auto"/>
              </w:rPr>
              <w:t>(d)</w:t>
            </w:r>
          </w:p>
        </w:tc>
        <w:tc>
          <w:tcPr>
            <w:tcW w:w="80" w:type="dxa"/>
            <w:vAlign w:val="bottom"/>
          </w:tcPr>
          <w:p>
            <w:pPr>
              <w:spacing w:after="0"/>
              <w:rPr>
                <w:sz w:val="5"/>
                <w:szCs w:val="5"/>
                <w:color w:val="auto"/>
              </w:rPr>
            </w:pPr>
          </w:p>
        </w:tc>
        <w:tc>
          <w:tcPr>
            <w:tcW w:w="600" w:type="dxa"/>
            <w:vAlign w:val="bottom"/>
          </w:tcPr>
          <w:p>
            <w:pPr>
              <w:jc w:val="right"/>
              <w:ind w:right="144"/>
              <w:spacing w:after="0" w:line="61" w:lineRule="exact"/>
              <w:rPr>
                <w:sz w:val="20"/>
                <w:szCs w:val="20"/>
                <w:color w:val="auto"/>
              </w:rPr>
            </w:pPr>
            <w:r>
              <w:rPr>
                <w:rFonts w:ascii="Arial" w:cs="Arial" w:eastAsia="Arial" w:hAnsi="Arial"/>
                <w:sz w:val="7"/>
                <w:szCs w:val="7"/>
                <w:b w:val="1"/>
                <w:bCs w:val="1"/>
                <w:color w:val="auto"/>
              </w:rPr>
              <w:t>(e)</w:t>
            </w: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gridSpan w:val="3"/>
          </w:tcPr>
          <w:p>
            <w:pPr>
              <w:jc w:val="center"/>
              <w:ind w:right="240"/>
              <w:spacing w:after="0" w:line="61" w:lineRule="exact"/>
              <w:rPr>
                <w:sz w:val="20"/>
                <w:szCs w:val="20"/>
                <w:color w:val="auto"/>
              </w:rPr>
            </w:pPr>
            <w:r>
              <w:rPr>
                <w:rFonts w:ascii="Arial" w:cs="Arial" w:eastAsia="Arial" w:hAnsi="Arial"/>
                <w:sz w:val="7"/>
                <w:szCs w:val="7"/>
                <w:b w:val="1"/>
                <w:bCs w:val="1"/>
                <w:color w:val="auto"/>
              </w:rPr>
              <w:t>(f)</w:t>
            </w:r>
          </w:p>
        </w:tc>
        <w:tc>
          <w:tcPr>
            <w:tcW w:w="640" w:type="dxa"/>
            <w:vAlign w:val="bottom"/>
          </w:tcPr>
          <w:p>
            <w:pPr>
              <w:jc w:val="right"/>
              <w:ind w:right="319"/>
              <w:spacing w:after="0" w:line="61" w:lineRule="exact"/>
              <w:rPr>
                <w:sz w:val="20"/>
                <w:szCs w:val="20"/>
                <w:color w:val="auto"/>
              </w:rPr>
            </w:pPr>
            <w:r>
              <w:rPr>
                <w:rFonts w:ascii="Arial" w:cs="Arial" w:eastAsia="Arial" w:hAnsi="Arial"/>
                <w:sz w:val="7"/>
                <w:szCs w:val="7"/>
                <w:b w:val="1"/>
                <w:bCs w:val="1"/>
                <w:color w:val="auto"/>
              </w:rPr>
              <w:t>(g)</w:t>
            </w:r>
          </w:p>
        </w:tc>
        <w:tc>
          <w:tcPr>
            <w:tcW w:w="60" w:type="dxa"/>
            <w:vAlign w:val="bottom"/>
          </w:tcPr>
          <w:p>
            <w:pPr>
              <w:spacing w:after="0"/>
              <w:rPr>
                <w:sz w:val="5"/>
                <w:szCs w:val="5"/>
                <w:color w:val="auto"/>
              </w:rPr>
            </w:pPr>
          </w:p>
        </w:tc>
        <w:tc>
          <w:tcPr>
            <w:tcW w:w="860" w:type="dxa"/>
            <w:vAlign w:val="bottom"/>
          </w:tcPr>
          <w:p>
            <w:pPr>
              <w:jc w:val="center"/>
              <w:spacing w:after="0" w:line="61" w:lineRule="exact"/>
              <w:rPr>
                <w:sz w:val="20"/>
                <w:szCs w:val="20"/>
                <w:color w:val="auto"/>
              </w:rPr>
            </w:pPr>
            <w:r>
              <w:rPr>
                <w:rFonts w:ascii="Arial" w:cs="Arial" w:eastAsia="Arial" w:hAnsi="Arial"/>
                <w:sz w:val="7"/>
                <w:szCs w:val="7"/>
                <w:b w:val="1"/>
                <w:bCs w:val="1"/>
                <w:color w:val="auto"/>
                <w:w w:val="92"/>
              </w:rPr>
              <w:t>Underlying</w:t>
            </w:r>
          </w:p>
        </w:tc>
        <w:tc>
          <w:tcPr>
            <w:tcW w:w="80" w:type="dxa"/>
            <w:vAlign w:val="bottom"/>
          </w:tcPr>
          <w:p>
            <w:pPr>
              <w:spacing w:after="0"/>
              <w:rPr>
                <w:sz w:val="5"/>
                <w:szCs w:val="5"/>
                <w:color w:val="auto"/>
              </w:rPr>
            </w:pPr>
          </w:p>
        </w:tc>
        <w:tc>
          <w:tcPr>
            <w:tcW w:w="720" w:type="dxa"/>
            <w:vAlign w:val="bottom"/>
          </w:tcPr>
          <w:p>
            <w:pPr>
              <w:jc w:val="center"/>
              <w:spacing w:after="0" w:line="61" w:lineRule="exact"/>
              <w:rPr>
                <w:sz w:val="20"/>
                <w:szCs w:val="20"/>
                <w:color w:val="auto"/>
              </w:rPr>
            </w:pPr>
            <w:r>
              <w:rPr>
                <w:rFonts w:ascii="Arial" w:cs="Arial" w:eastAsia="Arial" w:hAnsi="Arial"/>
                <w:sz w:val="7"/>
                <w:szCs w:val="7"/>
                <w:b w:val="1"/>
                <w:bCs w:val="1"/>
                <w:color w:val="auto"/>
                <w:w w:val="97"/>
              </w:rPr>
              <w:t>Option</w:t>
            </w:r>
          </w:p>
        </w:tc>
        <w:tc>
          <w:tcPr>
            <w:tcW w:w="120" w:type="dxa"/>
            <w:vAlign w:val="bottom"/>
          </w:tcPr>
          <w:p>
            <w:pPr>
              <w:spacing w:after="0"/>
              <w:rPr>
                <w:sz w:val="5"/>
                <w:szCs w:val="5"/>
                <w:color w:val="auto"/>
              </w:rPr>
            </w:pPr>
          </w:p>
        </w:tc>
        <w:tc>
          <w:tcPr>
            <w:tcW w:w="1140" w:type="dxa"/>
            <w:vAlign w:val="bottom"/>
            <w:gridSpan w:val="2"/>
          </w:tcPr>
          <w:p>
            <w:pPr>
              <w:jc w:val="center"/>
              <w:ind w:right="380"/>
              <w:spacing w:after="0" w:line="61" w:lineRule="exact"/>
              <w:rPr>
                <w:sz w:val="20"/>
                <w:szCs w:val="20"/>
                <w:color w:val="auto"/>
              </w:rPr>
            </w:pPr>
            <w:r>
              <w:rPr>
                <w:rFonts w:ascii="Arial" w:cs="Arial" w:eastAsia="Arial" w:hAnsi="Arial"/>
                <w:sz w:val="7"/>
                <w:szCs w:val="7"/>
                <w:b w:val="1"/>
                <w:bCs w:val="1"/>
                <w:color w:val="auto"/>
                <w:w w:val="88"/>
              </w:rPr>
              <w:t>Option</w:t>
            </w:r>
          </w:p>
        </w:tc>
        <w:tc>
          <w:tcPr>
            <w:tcW w:w="0" w:type="dxa"/>
            <w:vAlign w:val="bottom"/>
          </w:tcPr>
          <w:p>
            <w:pPr>
              <w:spacing w:after="0"/>
              <w:rPr>
                <w:sz w:val="1"/>
                <w:szCs w:val="1"/>
                <w:color w:val="auto"/>
              </w:rPr>
            </w:pPr>
          </w:p>
        </w:tc>
      </w:tr>
      <w:tr>
        <w:trPr>
          <w:trHeight w:val="90"/>
        </w:trPr>
        <w:tc>
          <w:tcPr>
            <w:tcW w:w="1460" w:type="dxa"/>
            <w:vAlign w:val="bottom"/>
            <w:gridSpan w:val="2"/>
          </w:tcPr>
          <w:p>
            <w:pPr>
              <w:spacing w:after="0"/>
              <w:rPr>
                <w:sz w:val="20"/>
                <w:szCs w:val="20"/>
                <w:color w:val="auto"/>
              </w:rPr>
            </w:pPr>
            <w:r>
              <w:rPr>
                <w:rFonts w:ascii="Arial" w:cs="Arial" w:eastAsia="Arial" w:hAnsi="Arial"/>
                <w:sz w:val="7"/>
                <w:szCs w:val="7"/>
                <w:b w:val="1"/>
                <w:bCs w:val="1"/>
                <w:color w:val="auto"/>
              </w:rPr>
              <w:t>Name</w:t>
            </w:r>
          </w:p>
        </w:tc>
        <w:tc>
          <w:tcPr>
            <w:tcW w:w="80" w:type="dxa"/>
            <w:vAlign w:val="bottom"/>
          </w:tcPr>
          <w:p>
            <w:pPr>
              <w:spacing w:after="0"/>
              <w:rPr>
                <w:sz w:val="7"/>
                <w:szCs w:val="7"/>
                <w:color w:val="auto"/>
              </w:rPr>
            </w:pPr>
          </w:p>
        </w:tc>
        <w:tc>
          <w:tcPr>
            <w:tcW w:w="720" w:type="dxa"/>
            <w:vAlign w:val="bottom"/>
            <w:gridSpan w:val="2"/>
          </w:tcPr>
          <w:p>
            <w:pPr>
              <w:jc w:val="center"/>
              <w:ind w:right="80"/>
              <w:spacing w:after="0"/>
              <w:rPr>
                <w:sz w:val="20"/>
                <w:szCs w:val="20"/>
                <w:color w:val="auto"/>
              </w:rPr>
            </w:pPr>
            <w:r>
              <w:rPr>
                <w:rFonts w:ascii="Arial" w:cs="Arial" w:eastAsia="Arial" w:hAnsi="Arial"/>
                <w:sz w:val="7"/>
                <w:szCs w:val="7"/>
                <w:b w:val="1"/>
                <w:bCs w:val="1"/>
                <w:color w:val="auto"/>
              </w:rPr>
              <w:t>Grant Date</w:t>
            </w:r>
          </w:p>
        </w:tc>
        <w:tc>
          <w:tcPr>
            <w:tcW w:w="660" w:type="dxa"/>
            <w:vAlign w:val="bottom"/>
          </w:tcPr>
          <w:p>
            <w:pPr>
              <w:jc w:val="right"/>
              <w:spacing w:after="0"/>
              <w:rPr>
                <w:sz w:val="20"/>
                <w:szCs w:val="20"/>
                <w:color w:val="auto"/>
              </w:rPr>
            </w:pPr>
            <w:r>
              <w:rPr>
                <w:rFonts w:ascii="Arial" w:cs="Arial" w:eastAsia="Arial" w:hAnsi="Arial"/>
                <w:sz w:val="7"/>
                <w:szCs w:val="7"/>
                <w:b w:val="1"/>
                <w:bCs w:val="1"/>
                <w:color w:val="auto"/>
              </w:rPr>
              <w:t>Threshold ($)</w:t>
            </w: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gridSpan w:val="3"/>
          </w:tcPr>
          <w:p>
            <w:pPr>
              <w:jc w:val="center"/>
              <w:ind w:right="240"/>
              <w:spacing w:after="0"/>
              <w:rPr>
                <w:sz w:val="20"/>
                <w:szCs w:val="20"/>
                <w:color w:val="auto"/>
              </w:rPr>
            </w:pPr>
            <w:r>
              <w:rPr>
                <w:rFonts w:ascii="Arial" w:cs="Arial" w:eastAsia="Arial" w:hAnsi="Arial"/>
                <w:sz w:val="7"/>
                <w:szCs w:val="7"/>
                <w:b w:val="1"/>
                <w:bCs w:val="1"/>
                <w:color w:val="auto"/>
                <w:w w:val="93"/>
              </w:rPr>
              <w:t>Target ($)</w:t>
            </w:r>
          </w:p>
        </w:tc>
        <w:tc>
          <w:tcPr>
            <w:tcW w:w="620" w:type="dxa"/>
            <w:vAlign w:val="bottom"/>
          </w:tcPr>
          <w:p>
            <w:pPr>
              <w:jc w:val="right"/>
              <w:ind w:right="140"/>
              <w:spacing w:after="0"/>
              <w:rPr>
                <w:sz w:val="20"/>
                <w:szCs w:val="20"/>
                <w:color w:val="auto"/>
              </w:rPr>
            </w:pPr>
            <w:r>
              <w:rPr>
                <w:rFonts w:ascii="Arial" w:cs="Arial" w:eastAsia="Arial" w:hAnsi="Arial"/>
                <w:sz w:val="7"/>
                <w:szCs w:val="7"/>
                <w:b w:val="1"/>
                <w:bCs w:val="1"/>
                <w:color w:val="auto"/>
                <w:w w:val="98"/>
              </w:rPr>
              <w:t>Maximum ($)</w:t>
            </w:r>
          </w:p>
        </w:tc>
        <w:tc>
          <w:tcPr>
            <w:tcW w:w="80" w:type="dxa"/>
            <w:vAlign w:val="bottom"/>
          </w:tcPr>
          <w:p>
            <w:pPr>
              <w:spacing w:after="0"/>
              <w:rPr>
                <w:sz w:val="7"/>
                <w:szCs w:val="7"/>
                <w:color w:val="auto"/>
              </w:rPr>
            </w:pPr>
          </w:p>
        </w:tc>
        <w:tc>
          <w:tcPr>
            <w:tcW w:w="600" w:type="dxa"/>
            <w:vAlign w:val="bottom"/>
          </w:tcPr>
          <w:p>
            <w:pPr>
              <w:jc w:val="right"/>
              <w:spacing w:after="0"/>
              <w:rPr>
                <w:sz w:val="20"/>
                <w:szCs w:val="20"/>
                <w:color w:val="auto"/>
              </w:rPr>
            </w:pPr>
            <w:r>
              <w:rPr>
                <w:rFonts w:ascii="Arial" w:cs="Arial" w:eastAsia="Arial" w:hAnsi="Arial"/>
                <w:sz w:val="7"/>
                <w:szCs w:val="7"/>
                <w:b w:val="1"/>
                <w:bCs w:val="1"/>
                <w:color w:val="auto"/>
              </w:rPr>
              <w:t>Threshold (#)</w:t>
            </w: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gridSpan w:val="3"/>
          </w:tcPr>
          <w:p>
            <w:pPr>
              <w:jc w:val="center"/>
              <w:ind w:right="240"/>
              <w:spacing w:after="0"/>
              <w:rPr>
                <w:sz w:val="20"/>
                <w:szCs w:val="20"/>
                <w:color w:val="auto"/>
              </w:rPr>
            </w:pPr>
            <w:r>
              <w:rPr>
                <w:rFonts w:ascii="Arial" w:cs="Arial" w:eastAsia="Arial" w:hAnsi="Arial"/>
                <w:sz w:val="7"/>
                <w:szCs w:val="7"/>
                <w:b w:val="1"/>
                <w:bCs w:val="1"/>
                <w:color w:val="auto"/>
              </w:rPr>
              <w:t>Target (#)</w:t>
            </w:r>
          </w:p>
        </w:tc>
        <w:tc>
          <w:tcPr>
            <w:tcW w:w="640" w:type="dxa"/>
            <w:vAlign w:val="bottom"/>
          </w:tcPr>
          <w:p>
            <w:pPr>
              <w:jc w:val="right"/>
              <w:ind w:right="159"/>
              <w:spacing w:after="0"/>
              <w:rPr>
                <w:sz w:val="20"/>
                <w:szCs w:val="20"/>
                <w:color w:val="auto"/>
              </w:rPr>
            </w:pPr>
            <w:r>
              <w:rPr>
                <w:rFonts w:ascii="Arial" w:cs="Arial" w:eastAsia="Arial" w:hAnsi="Arial"/>
                <w:sz w:val="7"/>
                <w:szCs w:val="7"/>
                <w:b w:val="1"/>
                <w:bCs w:val="1"/>
                <w:color w:val="auto"/>
                <w:w w:val="98"/>
              </w:rPr>
              <w:t>Maximum (#)</w:t>
            </w:r>
          </w:p>
        </w:tc>
        <w:tc>
          <w:tcPr>
            <w:tcW w:w="60" w:type="dxa"/>
            <w:vAlign w:val="bottom"/>
          </w:tcPr>
          <w:p>
            <w:pPr>
              <w:spacing w:after="0"/>
              <w:rPr>
                <w:sz w:val="7"/>
                <w:szCs w:val="7"/>
                <w:color w:val="auto"/>
              </w:rPr>
            </w:pPr>
          </w:p>
        </w:tc>
        <w:tc>
          <w:tcPr>
            <w:tcW w:w="860" w:type="dxa"/>
            <w:vAlign w:val="bottom"/>
          </w:tcPr>
          <w:p>
            <w:pPr>
              <w:jc w:val="center"/>
              <w:spacing w:after="0"/>
              <w:rPr>
                <w:sz w:val="20"/>
                <w:szCs w:val="20"/>
                <w:color w:val="auto"/>
              </w:rPr>
            </w:pPr>
            <w:r>
              <w:rPr>
                <w:rFonts w:ascii="Arial" w:cs="Arial" w:eastAsia="Arial" w:hAnsi="Arial"/>
                <w:sz w:val="7"/>
                <w:szCs w:val="7"/>
                <w:b w:val="1"/>
                <w:bCs w:val="1"/>
                <w:color w:val="auto"/>
                <w:w w:val="94"/>
              </w:rPr>
              <w:t>Options (#)</w:t>
            </w:r>
            <w:r>
              <w:rPr>
                <w:rFonts w:ascii="Arial" w:cs="Arial" w:eastAsia="Arial" w:hAnsi="Arial"/>
                <w:sz w:val="6"/>
                <w:szCs w:val="6"/>
                <w:b w:val="1"/>
                <w:bCs w:val="1"/>
                <w:color w:val="auto"/>
                <w:w w:val="94"/>
              </w:rPr>
              <w:t>(3)</w:t>
            </w:r>
          </w:p>
        </w:tc>
        <w:tc>
          <w:tcPr>
            <w:tcW w:w="80" w:type="dxa"/>
            <w:vAlign w:val="bottom"/>
          </w:tcPr>
          <w:p>
            <w:pPr>
              <w:spacing w:after="0"/>
              <w:rPr>
                <w:sz w:val="7"/>
                <w:szCs w:val="7"/>
                <w:color w:val="auto"/>
              </w:rPr>
            </w:pPr>
          </w:p>
        </w:tc>
        <w:tc>
          <w:tcPr>
            <w:tcW w:w="720" w:type="dxa"/>
            <w:vAlign w:val="bottom"/>
          </w:tcPr>
          <w:p>
            <w:pPr>
              <w:jc w:val="center"/>
              <w:spacing w:after="0"/>
              <w:rPr>
                <w:sz w:val="20"/>
                <w:szCs w:val="20"/>
                <w:color w:val="auto"/>
              </w:rPr>
            </w:pPr>
            <w:r>
              <w:rPr>
                <w:rFonts w:ascii="Arial" w:cs="Arial" w:eastAsia="Arial" w:hAnsi="Arial"/>
                <w:sz w:val="7"/>
                <w:szCs w:val="7"/>
                <w:b w:val="1"/>
                <w:bCs w:val="1"/>
                <w:color w:val="auto"/>
                <w:w w:val="94"/>
              </w:rPr>
              <w:t>Awards ($/Sh)</w:t>
            </w:r>
          </w:p>
        </w:tc>
        <w:tc>
          <w:tcPr>
            <w:tcW w:w="120" w:type="dxa"/>
            <w:vAlign w:val="bottom"/>
          </w:tcPr>
          <w:p>
            <w:pPr>
              <w:spacing w:after="0"/>
              <w:rPr>
                <w:sz w:val="7"/>
                <w:szCs w:val="7"/>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7"/>
                <w:szCs w:val="7"/>
                <w:b w:val="1"/>
                <w:bCs w:val="1"/>
                <w:color w:val="auto"/>
                <w:w w:val="92"/>
              </w:rPr>
              <w:t>Awards ($)</w:t>
            </w:r>
            <w:r>
              <w:rPr>
                <w:rFonts w:ascii="Arial" w:cs="Arial" w:eastAsia="Arial" w:hAnsi="Arial"/>
                <w:sz w:val="6"/>
                <w:szCs w:val="6"/>
                <w:b w:val="1"/>
                <w:bCs w:val="1"/>
                <w:color w:val="auto"/>
                <w:w w:val="92"/>
              </w:rPr>
              <w:t>(4)</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14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1"/>
        </w:trPr>
        <w:tc>
          <w:tcPr>
            <w:tcW w:w="20" w:type="dxa"/>
            <w:vAlign w:val="bottom"/>
            <w:vMerge w:val="continue"/>
          </w:tcPr>
          <w:p>
            <w:pPr>
              <w:spacing w:after="0"/>
              <w:rPr>
                <w:sz w:val="7"/>
                <w:szCs w:val="7"/>
                <w:color w:val="auto"/>
              </w:rPr>
            </w:pPr>
          </w:p>
        </w:tc>
        <w:tc>
          <w:tcPr>
            <w:tcW w:w="1440" w:type="dxa"/>
            <w:vAlign w:val="bottom"/>
            <w:shd w:val="clear" w:color="auto" w:fill="CCEEFF"/>
          </w:tcPr>
          <w:p>
            <w:pPr>
              <w:spacing w:after="0" w:line="81" w:lineRule="exact"/>
              <w:rPr>
                <w:sz w:val="20"/>
                <w:szCs w:val="20"/>
                <w:color w:val="auto"/>
              </w:rPr>
            </w:pPr>
            <w:r>
              <w:rPr>
                <w:rFonts w:ascii="Arial" w:cs="Arial" w:eastAsia="Arial" w:hAnsi="Arial"/>
                <w:sz w:val="8"/>
                <w:szCs w:val="8"/>
                <w:color w:val="auto"/>
              </w:rPr>
              <w:t>Brian L. Roberts</w:t>
            </w:r>
          </w:p>
        </w:tc>
        <w:tc>
          <w:tcPr>
            <w:tcW w:w="80" w:type="dxa"/>
            <w:vAlign w:val="bottom"/>
            <w:shd w:val="clear" w:color="auto" w:fill="CCEEFF"/>
          </w:tcPr>
          <w:p>
            <w:pPr>
              <w:spacing w:after="0"/>
              <w:rPr>
                <w:sz w:val="7"/>
                <w:szCs w:val="7"/>
                <w:color w:val="auto"/>
              </w:rPr>
            </w:pPr>
          </w:p>
        </w:tc>
        <w:tc>
          <w:tcPr>
            <w:tcW w:w="720" w:type="dxa"/>
            <w:vAlign w:val="bottom"/>
            <w:gridSpan w:val="2"/>
            <w:shd w:val="clear" w:color="auto" w:fill="CCEEFF"/>
          </w:tcPr>
          <w:p>
            <w:pPr>
              <w:jc w:val="right"/>
              <w:ind w:right="200"/>
              <w:spacing w:after="0" w:line="81" w:lineRule="exact"/>
              <w:rPr>
                <w:sz w:val="20"/>
                <w:szCs w:val="20"/>
                <w:color w:val="auto"/>
              </w:rPr>
            </w:pPr>
            <w:r>
              <w:rPr>
                <w:rFonts w:ascii="Arial" w:cs="Arial" w:eastAsia="Arial" w:hAnsi="Arial"/>
                <w:sz w:val="8"/>
                <w:szCs w:val="8"/>
                <w:color w:val="auto"/>
              </w:rPr>
              <w:t>—</w:t>
            </w:r>
          </w:p>
        </w:tc>
        <w:tc>
          <w:tcPr>
            <w:tcW w:w="660" w:type="dxa"/>
            <w:vAlign w:val="bottom"/>
            <w:shd w:val="clear" w:color="auto" w:fill="CCEEFF"/>
          </w:tcPr>
          <w:p>
            <w:pPr>
              <w:jc w:val="right"/>
              <w:ind w:right="20"/>
              <w:spacing w:after="0" w:line="81" w:lineRule="exact"/>
              <w:rPr>
                <w:sz w:val="20"/>
                <w:szCs w:val="20"/>
                <w:color w:val="auto"/>
              </w:rPr>
            </w:pPr>
            <w:r>
              <w:rPr>
                <w:rFonts w:ascii="Arial" w:cs="Arial" w:eastAsia="Arial" w:hAnsi="Arial"/>
                <w:sz w:val="8"/>
                <w:szCs w:val="8"/>
                <w:color w:val="auto"/>
              </w:rPr>
              <w:t>$3,360,913</w:t>
            </w:r>
          </w:p>
        </w:tc>
        <w:tc>
          <w:tcPr>
            <w:tcW w:w="880" w:type="dxa"/>
            <w:vAlign w:val="bottom"/>
            <w:gridSpan w:val="3"/>
            <w:shd w:val="clear" w:color="auto" w:fill="CCEEFF"/>
          </w:tcPr>
          <w:p>
            <w:pPr>
              <w:jc w:val="right"/>
              <w:ind w:right="104"/>
              <w:spacing w:after="0" w:line="81" w:lineRule="exact"/>
              <w:rPr>
                <w:sz w:val="20"/>
                <w:szCs w:val="20"/>
                <w:color w:val="auto"/>
              </w:rPr>
            </w:pPr>
            <w:r>
              <w:rPr>
                <w:rFonts w:ascii="Arial" w:cs="Arial" w:eastAsia="Arial" w:hAnsi="Arial"/>
                <w:sz w:val="8"/>
                <w:szCs w:val="8"/>
                <w:color w:val="auto"/>
              </w:rPr>
              <w:t>$8,402,283</w:t>
            </w: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20" w:type="dxa"/>
            <w:vAlign w:val="bottom"/>
            <w:shd w:val="clear" w:color="auto" w:fill="CCEEFF"/>
          </w:tcPr>
          <w:p>
            <w:pPr>
              <w:jc w:val="right"/>
              <w:ind w:right="160"/>
              <w:spacing w:after="0" w:line="81" w:lineRule="exact"/>
              <w:rPr>
                <w:sz w:val="20"/>
                <w:szCs w:val="20"/>
                <w:color w:val="auto"/>
              </w:rPr>
            </w:pPr>
            <w:r>
              <w:rPr>
                <w:rFonts w:ascii="Arial" w:cs="Arial" w:eastAsia="Arial" w:hAnsi="Arial"/>
                <w:sz w:val="8"/>
                <w:szCs w:val="8"/>
                <w:color w:val="auto"/>
                <w:w w:val="89"/>
              </w:rPr>
              <w:t>$12,603,425</w:t>
            </w:r>
          </w:p>
        </w:tc>
        <w:tc>
          <w:tcPr>
            <w:tcW w:w="8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440" w:type="dxa"/>
            <w:vAlign w:val="bottom"/>
            <w:shd w:val="clear" w:color="auto" w:fill="CCEEFF"/>
          </w:tcPr>
          <w:p>
            <w:pPr>
              <w:spacing w:after="0"/>
              <w:rPr>
                <w:sz w:val="7"/>
                <w:szCs w:val="7"/>
                <w:color w:val="auto"/>
              </w:rPr>
            </w:pPr>
          </w:p>
        </w:tc>
        <w:tc>
          <w:tcPr>
            <w:tcW w:w="740" w:type="dxa"/>
            <w:vAlign w:val="bottom"/>
            <w:gridSpan w:val="2"/>
            <w:shd w:val="clear" w:color="auto" w:fill="CCEEFF"/>
          </w:tcPr>
          <w:p>
            <w:pPr>
              <w:jc w:val="right"/>
              <w:ind w:right="99"/>
              <w:spacing w:after="0" w:line="90" w:lineRule="exact"/>
              <w:rPr>
                <w:sz w:val="20"/>
                <w:szCs w:val="20"/>
                <w:color w:val="auto"/>
              </w:rPr>
            </w:pPr>
            <w:r>
              <w:rPr>
                <w:rFonts w:ascii="Arial" w:cs="Arial" w:eastAsia="Arial" w:hAnsi="Arial"/>
                <w:sz w:val="8"/>
                <w:szCs w:val="8"/>
                <w:color w:val="auto"/>
              </w:rPr>
              <w:t>3/27/2009</w:t>
            </w:r>
          </w:p>
        </w:tc>
        <w:tc>
          <w:tcPr>
            <w:tcW w:w="6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680" w:type="dxa"/>
            <w:vAlign w:val="bottom"/>
            <w:gridSpan w:val="2"/>
            <w:shd w:val="clear" w:color="auto" w:fill="CCEEFF"/>
          </w:tcPr>
          <w:p>
            <w:pPr>
              <w:jc w:val="right"/>
              <w:ind w:right="44"/>
              <w:spacing w:after="0" w:line="90" w:lineRule="exact"/>
              <w:rPr>
                <w:sz w:val="20"/>
                <w:szCs w:val="20"/>
                <w:color w:val="auto"/>
              </w:rPr>
            </w:pPr>
            <w:r>
              <w:rPr>
                <w:rFonts w:ascii="Arial" w:cs="Arial" w:eastAsia="Arial" w:hAnsi="Arial"/>
                <w:sz w:val="8"/>
                <w:szCs w:val="8"/>
                <w:color w:val="auto"/>
              </w:rPr>
              <w:t>260,013</w:t>
            </w:r>
          </w:p>
        </w:tc>
        <w:tc>
          <w:tcPr>
            <w:tcW w:w="800" w:type="dxa"/>
            <w:vAlign w:val="bottom"/>
            <w:gridSpan w:val="3"/>
            <w:shd w:val="clear" w:color="auto" w:fill="CCEEFF"/>
          </w:tcPr>
          <w:p>
            <w:pPr>
              <w:jc w:val="right"/>
              <w:ind w:right="104"/>
              <w:spacing w:after="0" w:line="90" w:lineRule="exact"/>
              <w:rPr>
                <w:sz w:val="20"/>
                <w:szCs w:val="20"/>
                <w:color w:val="auto"/>
              </w:rPr>
            </w:pPr>
            <w:r>
              <w:rPr>
                <w:rFonts w:ascii="Arial" w:cs="Arial" w:eastAsia="Arial" w:hAnsi="Arial"/>
                <w:sz w:val="8"/>
                <w:szCs w:val="8"/>
                <w:color w:val="auto"/>
              </w:rPr>
              <w:t>390,000</w:t>
            </w: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40" w:type="dxa"/>
            <w:vAlign w:val="bottom"/>
            <w:shd w:val="clear" w:color="auto" w:fill="CCEEFF"/>
          </w:tcPr>
          <w:p>
            <w:pPr>
              <w:jc w:val="right"/>
              <w:ind w:right="239"/>
              <w:spacing w:after="0" w:line="90" w:lineRule="exact"/>
              <w:rPr>
                <w:sz w:val="20"/>
                <w:szCs w:val="20"/>
                <w:color w:val="auto"/>
              </w:rPr>
            </w:pPr>
            <w:r>
              <w:rPr>
                <w:rFonts w:ascii="Arial" w:cs="Arial" w:eastAsia="Arial" w:hAnsi="Arial"/>
                <w:sz w:val="8"/>
                <w:szCs w:val="8"/>
                <w:color w:val="auto"/>
              </w:rPr>
              <w:t>390,000</w:t>
            </w:r>
          </w:p>
        </w:tc>
        <w:tc>
          <w:tcPr>
            <w:tcW w:w="6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880" w:type="dxa"/>
            <w:vAlign w:val="bottom"/>
            <w:gridSpan w:val="2"/>
            <w:shd w:val="clear" w:color="auto" w:fill="CCEEFF"/>
          </w:tcPr>
          <w:p>
            <w:pPr>
              <w:jc w:val="right"/>
              <w:ind w:right="164"/>
              <w:spacing w:after="0" w:line="90" w:lineRule="exact"/>
              <w:rPr>
                <w:sz w:val="20"/>
                <w:szCs w:val="20"/>
                <w:color w:val="auto"/>
              </w:rPr>
            </w:pPr>
            <w:r>
              <w:rPr>
                <w:rFonts w:ascii="Arial" w:cs="Arial" w:eastAsia="Arial" w:hAnsi="Arial"/>
                <w:sz w:val="8"/>
                <w:szCs w:val="8"/>
                <w:color w:val="auto"/>
              </w:rPr>
              <w:t>$5,257,200</w:t>
            </w:r>
          </w:p>
        </w:tc>
        <w:tc>
          <w:tcPr>
            <w:tcW w:w="3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44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99"/>
              <w:spacing w:after="0"/>
              <w:rPr>
                <w:sz w:val="20"/>
                <w:szCs w:val="20"/>
                <w:color w:val="auto"/>
              </w:rPr>
            </w:pPr>
            <w:r>
              <w:rPr>
                <w:rFonts w:ascii="Arial" w:cs="Arial" w:eastAsia="Arial" w:hAnsi="Arial"/>
                <w:sz w:val="8"/>
                <w:szCs w:val="8"/>
                <w:color w:val="auto"/>
              </w:rPr>
              <w:t>3/27/2009</w:t>
            </w:r>
          </w:p>
        </w:tc>
        <w:tc>
          <w:tcPr>
            <w:tcW w:w="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24"/>
              <w:spacing w:after="0"/>
              <w:rPr>
                <w:sz w:val="20"/>
                <w:szCs w:val="20"/>
                <w:color w:val="auto"/>
              </w:rPr>
            </w:pPr>
            <w:r>
              <w:rPr>
                <w:rFonts w:ascii="Arial" w:cs="Arial" w:eastAsia="Arial" w:hAnsi="Arial"/>
                <w:sz w:val="8"/>
                <w:szCs w:val="8"/>
                <w:color w:val="auto"/>
              </w:rPr>
              <w:t>1,145,000</w:t>
            </w:r>
          </w:p>
        </w:tc>
        <w:tc>
          <w:tcPr>
            <w:tcW w:w="800" w:type="dxa"/>
            <w:vAlign w:val="bottom"/>
            <w:gridSpan w:val="2"/>
            <w:shd w:val="clear" w:color="auto" w:fill="CCEEFF"/>
          </w:tcPr>
          <w:p>
            <w:pPr>
              <w:jc w:val="right"/>
              <w:ind w:right="244"/>
              <w:spacing w:after="0"/>
              <w:rPr>
                <w:sz w:val="20"/>
                <w:szCs w:val="20"/>
                <w:color w:val="auto"/>
              </w:rPr>
            </w:pPr>
            <w:r>
              <w:rPr>
                <w:rFonts w:ascii="Arial" w:cs="Arial" w:eastAsia="Arial" w:hAnsi="Arial"/>
                <w:sz w:val="8"/>
                <w:szCs w:val="8"/>
                <w:color w:val="auto"/>
              </w:rPr>
              <w:t>$14.54</w:t>
            </w:r>
          </w:p>
        </w:tc>
        <w:tc>
          <w:tcPr>
            <w:tcW w:w="880" w:type="dxa"/>
            <w:vAlign w:val="bottom"/>
            <w:gridSpan w:val="2"/>
            <w:shd w:val="clear" w:color="auto" w:fill="CCEEFF"/>
          </w:tcPr>
          <w:p>
            <w:pPr>
              <w:jc w:val="right"/>
              <w:ind w:right="164"/>
              <w:spacing w:after="0"/>
              <w:rPr>
                <w:sz w:val="20"/>
                <w:szCs w:val="20"/>
                <w:color w:val="auto"/>
              </w:rPr>
            </w:pPr>
            <w:r>
              <w:rPr>
                <w:rFonts w:ascii="Arial" w:cs="Arial" w:eastAsia="Arial" w:hAnsi="Arial"/>
                <w:sz w:val="8"/>
                <w:szCs w:val="8"/>
                <w:color w:val="auto"/>
              </w:rPr>
              <w:t>5,656,300</w:t>
            </w:r>
          </w:p>
        </w:tc>
        <w:tc>
          <w:tcPr>
            <w:tcW w:w="3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440" w:type="dxa"/>
            <w:vAlign w:val="bottom"/>
          </w:tcPr>
          <w:p>
            <w:pPr>
              <w:spacing w:after="0" w:line="81" w:lineRule="exact"/>
              <w:rPr>
                <w:sz w:val="20"/>
                <w:szCs w:val="20"/>
                <w:color w:val="auto"/>
              </w:rPr>
            </w:pPr>
            <w:r>
              <w:rPr>
                <w:rFonts w:ascii="Arial" w:cs="Arial" w:eastAsia="Arial" w:hAnsi="Arial"/>
                <w:sz w:val="8"/>
                <w:szCs w:val="8"/>
                <w:color w:val="auto"/>
              </w:rPr>
              <w:t>Michael J. Angelakis</w:t>
            </w:r>
          </w:p>
        </w:tc>
        <w:tc>
          <w:tcPr>
            <w:tcW w:w="80" w:type="dxa"/>
            <w:vAlign w:val="bottom"/>
          </w:tcPr>
          <w:p>
            <w:pPr>
              <w:spacing w:after="0"/>
              <w:rPr>
                <w:sz w:val="7"/>
                <w:szCs w:val="7"/>
                <w:color w:val="auto"/>
              </w:rPr>
            </w:pPr>
          </w:p>
        </w:tc>
        <w:tc>
          <w:tcPr>
            <w:tcW w:w="720" w:type="dxa"/>
            <w:vAlign w:val="bottom"/>
            <w:gridSpan w:val="2"/>
          </w:tcPr>
          <w:p>
            <w:pPr>
              <w:jc w:val="right"/>
              <w:ind w:right="200"/>
              <w:spacing w:after="0" w:line="81" w:lineRule="exact"/>
              <w:rPr>
                <w:sz w:val="20"/>
                <w:szCs w:val="20"/>
                <w:color w:val="auto"/>
              </w:rPr>
            </w:pPr>
            <w:r>
              <w:rPr>
                <w:rFonts w:ascii="Arial" w:cs="Arial" w:eastAsia="Arial" w:hAnsi="Arial"/>
                <w:sz w:val="8"/>
                <w:szCs w:val="8"/>
                <w:color w:val="auto"/>
              </w:rPr>
              <w:t>—</w:t>
            </w:r>
          </w:p>
        </w:tc>
        <w:tc>
          <w:tcPr>
            <w:tcW w:w="660" w:type="dxa"/>
            <w:vAlign w:val="bottom"/>
          </w:tcPr>
          <w:p>
            <w:pPr>
              <w:jc w:val="right"/>
              <w:ind w:right="20"/>
              <w:spacing w:after="0" w:line="81" w:lineRule="exact"/>
              <w:rPr>
                <w:sz w:val="20"/>
                <w:szCs w:val="20"/>
                <w:color w:val="auto"/>
              </w:rPr>
            </w:pPr>
            <w:r>
              <w:rPr>
                <w:rFonts w:ascii="Arial" w:cs="Arial" w:eastAsia="Arial" w:hAnsi="Arial"/>
                <w:sz w:val="8"/>
                <w:szCs w:val="8"/>
                <w:color w:val="auto"/>
              </w:rPr>
              <w:t>2,018,938</w:t>
            </w:r>
          </w:p>
        </w:tc>
        <w:tc>
          <w:tcPr>
            <w:tcW w:w="880" w:type="dxa"/>
            <w:vAlign w:val="bottom"/>
            <w:gridSpan w:val="3"/>
          </w:tcPr>
          <w:p>
            <w:pPr>
              <w:jc w:val="right"/>
              <w:ind w:right="104"/>
              <w:spacing w:after="0" w:line="81" w:lineRule="exact"/>
              <w:rPr>
                <w:sz w:val="20"/>
                <w:szCs w:val="20"/>
                <w:color w:val="auto"/>
              </w:rPr>
            </w:pPr>
            <w:r>
              <w:rPr>
                <w:rFonts w:ascii="Arial" w:cs="Arial" w:eastAsia="Arial" w:hAnsi="Arial"/>
                <w:sz w:val="8"/>
                <w:szCs w:val="8"/>
                <w:color w:val="auto"/>
              </w:rPr>
              <w:t>5,047,344</w:t>
            </w: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jc w:val="right"/>
              <w:ind w:right="160"/>
              <w:spacing w:after="0" w:line="81" w:lineRule="exact"/>
              <w:rPr>
                <w:sz w:val="20"/>
                <w:szCs w:val="20"/>
                <w:color w:val="auto"/>
              </w:rPr>
            </w:pPr>
            <w:r>
              <w:rPr>
                <w:rFonts w:ascii="Arial" w:cs="Arial" w:eastAsia="Arial" w:hAnsi="Arial"/>
                <w:sz w:val="8"/>
                <w:szCs w:val="8"/>
                <w:color w:val="auto"/>
              </w:rPr>
              <w:t>7,571,016</w:t>
            </w: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440" w:type="dxa"/>
            <w:vAlign w:val="bottom"/>
          </w:tcPr>
          <w:p>
            <w:pPr>
              <w:spacing w:after="0"/>
              <w:rPr>
                <w:sz w:val="7"/>
                <w:szCs w:val="7"/>
                <w:color w:val="auto"/>
              </w:rPr>
            </w:pPr>
          </w:p>
        </w:tc>
        <w:tc>
          <w:tcPr>
            <w:tcW w:w="740" w:type="dxa"/>
            <w:vAlign w:val="bottom"/>
            <w:gridSpan w:val="2"/>
          </w:tcPr>
          <w:p>
            <w:pPr>
              <w:jc w:val="right"/>
              <w:ind w:right="99"/>
              <w:spacing w:after="0" w:line="90" w:lineRule="exact"/>
              <w:rPr>
                <w:sz w:val="20"/>
                <w:szCs w:val="20"/>
                <w:color w:val="auto"/>
              </w:rPr>
            </w:pPr>
            <w:r>
              <w:rPr>
                <w:rFonts w:ascii="Arial" w:cs="Arial" w:eastAsia="Arial" w:hAnsi="Arial"/>
                <w:sz w:val="8"/>
                <w:szCs w:val="8"/>
                <w:color w:val="auto"/>
              </w:rPr>
              <w:t>3/27/2009</w:t>
            </w: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gridSpan w:val="2"/>
          </w:tcPr>
          <w:p>
            <w:pPr>
              <w:jc w:val="right"/>
              <w:ind w:right="44"/>
              <w:spacing w:after="0" w:line="90" w:lineRule="exact"/>
              <w:rPr>
                <w:sz w:val="20"/>
                <w:szCs w:val="20"/>
                <w:color w:val="auto"/>
              </w:rPr>
            </w:pPr>
            <w:r>
              <w:rPr>
                <w:rFonts w:ascii="Arial" w:cs="Arial" w:eastAsia="Arial" w:hAnsi="Arial"/>
                <w:sz w:val="8"/>
                <w:szCs w:val="8"/>
                <w:color w:val="auto"/>
              </w:rPr>
              <w:t>160,008</w:t>
            </w:r>
          </w:p>
        </w:tc>
        <w:tc>
          <w:tcPr>
            <w:tcW w:w="800" w:type="dxa"/>
            <w:vAlign w:val="bottom"/>
            <w:gridSpan w:val="3"/>
          </w:tcPr>
          <w:p>
            <w:pPr>
              <w:jc w:val="right"/>
              <w:ind w:right="104"/>
              <w:spacing w:after="0" w:line="90" w:lineRule="exact"/>
              <w:rPr>
                <w:sz w:val="20"/>
                <w:szCs w:val="20"/>
                <w:color w:val="auto"/>
              </w:rPr>
            </w:pPr>
            <w:r>
              <w:rPr>
                <w:rFonts w:ascii="Arial" w:cs="Arial" w:eastAsia="Arial" w:hAnsi="Arial"/>
                <w:sz w:val="8"/>
                <w:szCs w:val="8"/>
                <w:color w:val="auto"/>
              </w:rPr>
              <w:t>240,000</w:t>
            </w: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jc w:val="right"/>
              <w:ind w:right="239"/>
              <w:spacing w:after="0" w:line="90" w:lineRule="exact"/>
              <w:rPr>
                <w:sz w:val="20"/>
                <w:szCs w:val="20"/>
                <w:color w:val="auto"/>
              </w:rPr>
            </w:pPr>
            <w:r>
              <w:rPr>
                <w:rFonts w:ascii="Arial" w:cs="Arial" w:eastAsia="Arial" w:hAnsi="Arial"/>
                <w:sz w:val="8"/>
                <w:szCs w:val="8"/>
                <w:color w:val="auto"/>
              </w:rPr>
              <w:t>240,000</w:t>
            </w:r>
          </w:p>
        </w:tc>
        <w:tc>
          <w:tcPr>
            <w:tcW w:w="6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gridSpan w:val="2"/>
          </w:tcPr>
          <w:p>
            <w:pPr>
              <w:jc w:val="right"/>
              <w:ind w:right="164"/>
              <w:spacing w:after="0" w:line="90" w:lineRule="exact"/>
              <w:rPr>
                <w:sz w:val="20"/>
                <w:szCs w:val="20"/>
                <w:color w:val="auto"/>
              </w:rPr>
            </w:pPr>
            <w:r>
              <w:rPr>
                <w:rFonts w:ascii="Arial" w:cs="Arial" w:eastAsia="Arial" w:hAnsi="Arial"/>
                <w:sz w:val="8"/>
                <w:szCs w:val="8"/>
                <w:color w:val="auto"/>
              </w:rPr>
              <w:t>3,235,200</w:t>
            </w: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440" w:type="dxa"/>
            <w:vAlign w:val="bottom"/>
          </w:tcPr>
          <w:p>
            <w:pPr>
              <w:spacing w:after="0"/>
              <w:rPr>
                <w:sz w:val="7"/>
                <w:szCs w:val="7"/>
                <w:color w:val="auto"/>
              </w:rPr>
            </w:pPr>
          </w:p>
        </w:tc>
        <w:tc>
          <w:tcPr>
            <w:tcW w:w="740" w:type="dxa"/>
            <w:vAlign w:val="bottom"/>
            <w:gridSpan w:val="2"/>
          </w:tcPr>
          <w:p>
            <w:pPr>
              <w:jc w:val="right"/>
              <w:ind w:right="99"/>
              <w:spacing w:after="0" w:line="90" w:lineRule="exact"/>
              <w:rPr>
                <w:sz w:val="20"/>
                <w:szCs w:val="20"/>
                <w:color w:val="auto"/>
              </w:rPr>
            </w:pPr>
            <w:r>
              <w:rPr>
                <w:rFonts w:ascii="Arial" w:cs="Arial" w:eastAsia="Arial" w:hAnsi="Arial"/>
                <w:sz w:val="8"/>
                <w:szCs w:val="8"/>
                <w:color w:val="auto"/>
              </w:rPr>
              <w:t>3/27/2009</w:t>
            </w: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920" w:type="dxa"/>
            <w:vAlign w:val="bottom"/>
            <w:gridSpan w:val="2"/>
          </w:tcPr>
          <w:p>
            <w:pPr>
              <w:jc w:val="right"/>
              <w:ind w:right="224"/>
              <w:spacing w:after="0" w:line="90" w:lineRule="exact"/>
              <w:rPr>
                <w:sz w:val="20"/>
                <w:szCs w:val="20"/>
                <w:color w:val="auto"/>
              </w:rPr>
            </w:pPr>
            <w:r>
              <w:rPr>
                <w:rFonts w:ascii="Arial" w:cs="Arial" w:eastAsia="Arial" w:hAnsi="Arial"/>
                <w:sz w:val="8"/>
                <w:szCs w:val="8"/>
                <w:color w:val="auto"/>
              </w:rPr>
              <w:t>690,000</w:t>
            </w:r>
          </w:p>
        </w:tc>
        <w:tc>
          <w:tcPr>
            <w:tcW w:w="800" w:type="dxa"/>
            <w:vAlign w:val="bottom"/>
            <w:gridSpan w:val="2"/>
          </w:tcPr>
          <w:p>
            <w:pPr>
              <w:jc w:val="right"/>
              <w:ind w:right="244"/>
              <w:spacing w:after="0" w:line="90" w:lineRule="exact"/>
              <w:rPr>
                <w:sz w:val="20"/>
                <w:szCs w:val="20"/>
                <w:color w:val="auto"/>
              </w:rPr>
            </w:pPr>
            <w:r>
              <w:rPr>
                <w:rFonts w:ascii="Arial" w:cs="Arial" w:eastAsia="Arial" w:hAnsi="Arial"/>
                <w:sz w:val="8"/>
                <w:szCs w:val="8"/>
                <w:color w:val="auto"/>
              </w:rPr>
              <w:t>14.54</w:t>
            </w:r>
          </w:p>
        </w:tc>
        <w:tc>
          <w:tcPr>
            <w:tcW w:w="880" w:type="dxa"/>
            <w:vAlign w:val="bottom"/>
            <w:gridSpan w:val="2"/>
          </w:tcPr>
          <w:p>
            <w:pPr>
              <w:jc w:val="right"/>
              <w:ind w:right="164"/>
              <w:spacing w:after="0" w:line="90" w:lineRule="exact"/>
              <w:rPr>
                <w:sz w:val="20"/>
                <w:szCs w:val="20"/>
                <w:color w:val="auto"/>
              </w:rPr>
            </w:pPr>
            <w:r>
              <w:rPr>
                <w:rFonts w:ascii="Arial" w:cs="Arial" w:eastAsia="Arial" w:hAnsi="Arial"/>
                <w:sz w:val="8"/>
                <w:szCs w:val="8"/>
                <w:color w:val="auto"/>
              </w:rPr>
              <w:t>3,408,600</w:t>
            </w: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740" w:type="dxa"/>
            <w:vAlign w:val="bottom"/>
            <w:gridSpan w:val="2"/>
          </w:tcPr>
          <w:p>
            <w:pPr>
              <w:jc w:val="right"/>
              <w:ind w:right="99"/>
              <w:spacing w:after="0"/>
              <w:rPr>
                <w:sz w:val="20"/>
                <w:szCs w:val="20"/>
                <w:color w:val="auto"/>
              </w:rPr>
            </w:pPr>
            <w:r>
              <w:rPr>
                <w:rFonts w:ascii="Arial" w:cs="Arial" w:eastAsia="Arial" w:hAnsi="Arial"/>
                <w:sz w:val="8"/>
                <w:szCs w:val="8"/>
                <w:color w:val="auto"/>
              </w:rPr>
              <w:t>12/18/2009</w:t>
            </w: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gridSpan w:val="2"/>
          </w:tcPr>
          <w:p>
            <w:pPr>
              <w:jc w:val="right"/>
              <w:ind w:right="44"/>
              <w:spacing w:after="0"/>
              <w:rPr>
                <w:sz w:val="20"/>
                <w:szCs w:val="20"/>
                <w:color w:val="auto"/>
              </w:rPr>
            </w:pPr>
            <w:r>
              <w:rPr>
                <w:rFonts w:ascii="Arial" w:cs="Arial" w:eastAsia="Arial" w:hAnsi="Arial"/>
                <w:sz w:val="8"/>
                <w:szCs w:val="8"/>
                <w:color w:val="auto"/>
              </w:rPr>
              <w:t>174,015</w:t>
            </w:r>
          </w:p>
        </w:tc>
        <w:tc>
          <w:tcPr>
            <w:tcW w:w="800" w:type="dxa"/>
            <w:vAlign w:val="bottom"/>
            <w:gridSpan w:val="3"/>
          </w:tcPr>
          <w:p>
            <w:pPr>
              <w:jc w:val="right"/>
              <w:ind w:right="104"/>
              <w:spacing w:after="0"/>
              <w:rPr>
                <w:sz w:val="20"/>
                <w:szCs w:val="20"/>
                <w:color w:val="auto"/>
              </w:rPr>
            </w:pPr>
            <w:r>
              <w:rPr>
                <w:rFonts w:ascii="Arial" w:cs="Arial" w:eastAsia="Arial" w:hAnsi="Arial"/>
                <w:sz w:val="8"/>
                <w:szCs w:val="8"/>
                <w:color w:val="auto"/>
              </w:rPr>
              <w:t>174,015</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jc w:val="right"/>
              <w:ind w:right="239"/>
              <w:spacing w:after="0"/>
              <w:rPr>
                <w:sz w:val="20"/>
                <w:szCs w:val="20"/>
                <w:color w:val="auto"/>
              </w:rPr>
            </w:pPr>
            <w:r>
              <w:rPr>
                <w:rFonts w:ascii="Arial" w:cs="Arial" w:eastAsia="Arial" w:hAnsi="Arial"/>
                <w:sz w:val="8"/>
                <w:szCs w:val="8"/>
                <w:color w:val="auto"/>
              </w:rPr>
              <w:t>174,015</w:t>
            </w: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gridSpan w:val="2"/>
          </w:tcPr>
          <w:p>
            <w:pPr>
              <w:jc w:val="right"/>
              <w:ind w:right="164"/>
              <w:spacing w:after="0"/>
              <w:rPr>
                <w:sz w:val="20"/>
                <w:szCs w:val="20"/>
                <w:color w:val="auto"/>
              </w:rPr>
            </w:pPr>
            <w:r>
              <w:rPr>
                <w:rFonts w:ascii="Arial" w:cs="Arial" w:eastAsia="Arial" w:hAnsi="Arial"/>
                <w:sz w:val="8"/>
                <w:szCs w:val="8"/>
                <w:color w:val="auto"/>
              </w:rPr>
              <w:t>2,916,491</w:t>
            </w: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440" w:type="dxa"/>
            <w:vAlign w:val="bottom"/>
            <w:shd w:val="clear" w:color="auto" w:fill="CCEEFF"/>
          </w:tcPr>
          <w:p>
            <w:pPr>
              <w:spacing w:after="0" w:line="81" w:lineRule="exact"/>
              <w:rPr>
                <w:sz w:val="20"/>
                <w:szCs w:val="20"/>
                <w:color w:val="auto"/>
              </w:rPr>
            </w:pPr>
            <w:r>
              <w:rPr>
                <w:rFonts w:ascii="Arial" w:cs="Arial" w:eastAsia="Arial" w:hAnsi="Arial"/>
                <w:sz w:val="8"/>
                <w:szCs w:val="8"/>
                <w:color w:val="auto"/>
              </w:rPr>
              <w:t>Stephen B. Burke</w:t>
            </w:r>
          </w:p>
        </w:tc>
        <w:tc>
          <w:tcPr>
            <w:tcW w:w="80" w:type="dxa"/>
            <w:vAlign w:val="bottom"/>
            <w:shd w:val="clear" w:color="auto" w:fill="CCEEFF"/>
          </w:tcPr>
          <w:p>
            <w:pPr>
              <w:spacing w:after="0"/>
              <w:rPr>
                <w:sz w:val="7"/>
                <w:szCs w:val="7"/>
                <w:color w:val="auto"/>
              </w:rPr>
            </w:pPr>
          </w:p>
        </w:tc>
        <w:tc>
          <w:tcPr>
            <w:tcW w:w="720" w:type="dxa"/>
            <w:vAlign w:val="bottom"/>
            <w:gridSpan w:val="2"/>
            <w:shd w:val="clear" w:color="auto" w:fill="CCEEFF"/>
          </w:tcPr>
          <w:p>
            <w:pPr>
              <w:jc w:val="right"/>
              <w:ind w:right="200"/>
              <w:spacing w:after="0" w:line="81" w:lineRule="exact"/>
              <w:rPr>
                <w:sz w:val="20"/>
                <w:szCs w:val="20"/>
                <w:color w:val="auto"/>
              </w:rPr>
            </w:pPr>
            <w:r>
              <w:rPr>
                <w:rFonts w:ascii="Arial" w:cs="Arial" w:eastAsia="Arial" w:hAnsi="Arial"/>
                <w:sz w:val="8"/>
                <w:szCs w:val="8"/>
                <w:color w:val="auto"/>
              </w:rPr>
              <w:t>—</w:t>
            </w:r>
          </w:p>
        </w:tc>
        <w:tc>
          <w:tcPr>
            <w:tcW w:w="660" w:type="dxa"/>
            <w:vAlign w:val="bottom"/>
            <w:shd w:val="clear" w:color="auto" w:fill="CCEEFF"/>
          </w:tcPr>
          <w:p>
            <w:pPr>
              <w:jc w:val="right"/>
              <w:ind w:right="20"/>
              <w:spacing w:after="0" w:line="81" w:lineRule="exact"/>
              <w:rPr>
                <w:sz w:val="20"/>
                <w:szCs w:val="20"/>
                <w:color w:val="auto"/>
              </w:rPr>
            </w:pPr>
            <w:r>
              <w:rPr>
                <w:rFonts w:ascii="Arial" w:cs="Arial" w:eastAsia="Arial" w:hAnsi="Arial"/>
                <w:sz w:val="8"/>
                <w:szCs w:val="8"/>
                <w:color w:val="auto"/>
              </w:rPr>
              <w:t>2,691,917</w:t>
            </w:r>
          </w:p>
        </w:tc>
        <w:tc>
          <w:tcPr>
            <w:tcW w:w="880" w:type="dxa"/>
            <w:vAlign w:val="bottom"/>
            <w:gridSpan w:val="3"/>
            <w:shd w:val="clear" w:color="auto" w:fill="CCEEFF"/>
          </w:tcPr>
          <w:p>
            <w:pPr>
              <w:jc w:val="right"/>
              <w:ind w:right="104"/>
              <w:spacing w:after="0" w:line="81" w:lineRule="exact"/>
              <w:rPr>
                <w:sz w:val="20"/>
                <w:szCs w:val="20"/>
                <w:color w:val="auto"/>
              </w:rPr>
            </w:pPr>
            <w:r>
              <w:rPr>
                <w:rFonts w:ascii="Arial" w:cs="Arial" w:eastAsia="Arial" w:hAnsi="Arial"/>
                <w:sz w:val="8"/>
                <w:szCs w:val="8"/>
                <w:color w:val="auto"/>
              </w:rPr>
              <w:t>6,729,792</w:t>
            </w: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20" w:type="dxa"/>
            <w:vAlign w:val="bottom"/>
            <w:shd w:val="clear" w:color="auto" w:fill="CCEEFF"/>
          </w:tcPr>
          <w:p>
            <w:pPr>
              <w:jc w:val="right"/>
              <w:ind w:right="160"/>
              <w:spacing w:after="0" w:line="81" w:lineRule="exact"/>
              <w:rPr>
                <w:sz w:val="20"/>
                <w:szCs w:val="20"/>
                <w:color w:val="auto"/>
              </w:rPr>
            </w:pPr>
            <w:r>
              <w:rPr>
                <w:rFonts w:ascii="Arial" w:cs="Arial" w:eastAsia="Arial" w:hAnsi="Arial"/>
                <w:sz w:val="8"/>
                <w:szCs w:val="8"/>
                <w:color w:val="auto"/>
                <w:w w:val="99"/>
              </w:rPr>
              <w:t>10,094,688</w:t>
            </w:r>
          </w:p>
        </w:tc>
        <w:tc>
          <w:tcPr>
            <w:tcW w:w="8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440" w:type="dxa"/>
            <w:vAlign w:val="bottom"/>
            <w:shd w:val="clear" w:color="auto" w:fill="CCEEFF"/>
          </w:tcPr>
          <w:p>
            <w:pPr>
              <w:spacing w:after="0"/>
              <w:rPr>
                <w:sz w:val="7"/>
                <w:szCs w:val="7"/>
                <w:color w:val="auto"/>
              </w:rPr>
            </w:pPr>
          </w:p>
        </w:tc>
        <w:tc>
          <w:tcPr>
            <w:tcW w:w="740" w:type="dxa"/>
            <w:vAlign w:val="bottom"/>
            <w:gridSpan w:val="2"/>
            <w:shd w:val="clear" w:color="auto" w:fill="CCEEFF"/>
          </w:tcPr>
          <w:p>
            <w:pPr>
              <w:jc w:val="right"/>
              <w:ind w:right="99"/>
              <w:spacing w:after="0" w:line="90" w:lineRule="exact"/>
              <w:rPr>
                <w:sz w:val="20"/>
                <w:szCs w:val="20"/>
                <w:color w:val="auto"/>
              </w:rPr>
            </w:pPr>
            <w:r>
              <w:rPr>
                <w:rFonts w:ascii="Arial" w:cs="Arial" w:eastAsia="Arial" w:hAnsi="Arial"/>
                <w:sz w:val="8"/>
                <w:szCs w:val="8"/>
                <w:color w:val="auto"/>
              </w:rPr>
              <w:t>3/27/2009</w:t>
            </w:r>
          </w:p>
        </w:tc>
        <w:tc>
          <w:tcPr>
            <w:tcW w:w="6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680" w:type="dxa"/>
            <w:vAlign w:val="bottom"/>
            <w:gridSpan w:val="2"/>
            <w:shd w:val="clear" w:color="auto" w:fill="CCEEFF"/>
          </w:tcPr>
          <w:p>
            <w:pPr>
              <w:jc w:val="right"/>
              <w:ind w:right="44"/>
              <w:spacing w:after="0" w:line="90" w:lineRule="exact"/>
              <w:rPr>
                <w:sz w:val="20"/>
                <w:szCs w:val="20"/>
                <w:color w:val="auto"/>
              </w:rPr>
            </w:pPr>
            <w:r>
              <w:rPr>
                <w:rFonts w:ascii="Arial" w:cs="Arial" w:eastAsia="Arial" w:hAnsi="Arial"/>
                <w:sz w:val="8"/>
                <w:szCs w:val="8"/>
                <w:color w:val="auto"/>
              </w:rPr>
              <w:t>210,011</w:t>
            </w:r>
          </w:p>
        </w:tc>
        <w:tc>
          <w:tcPr>
            <w:tcW w:w="800" w:type="dxa"/>
            <w:vAlign w:val="bottom"/>
            <w:gridSpan w:val="3"/>
            <w:shd w:val="clear" w:color="auto" w:fill="CCEEFF"/>
          </w:tcPr>
          <w:p>
            <w:pPr>
              <w:jc w:val="right"/>
              <w:ind w:right="104"/>
              <w:spacing w:after="0" w:line="90" w:lineRule="exact"/>
              <w:rPr>
                <w:sz w:val="20"/>
                <w:szCs w:val="20"/>
                <w:color w:val="auto"/>
              </w:rPr>
            </w:pPr>
            <w:r>
              <w:rPr>
                <w:rFonts w:ascii="Arial" w:cs="Arial" w:eastAsia="Arial" w:hAnsi="Arial"/>
                <w:sz w:val="8"/>
                <w:szCs w:val="8"/>
                <w:color w:val="auto"/>
              </w:rPr>
              <w:t>315,000</w:t>
            </w: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40" w:type="dxa"/>
            <w:vAlign w:val="bottom"/>
            <w:shd w:val="clear" w:color="auto" w:fill="CCEEFF"/>
          </w:tcPr>
          <w:p>
            <w:pPr>
              <w:jc w:val="right"/>
              <w:ind w:right="239"/>
              <w:spacing w:after="0" w:line="90" w:lineRule="exact"/>
              <w:rPr>
                <w:sz w:val="20"/>
                <w:szCs w:val="20"/>
                <w:color w:val="auto"/>
              </w:rPr>
            </w:pPr>
            <w:r>
              <w:rPr>
                <w:rFonts w:ascii="Arial" w:cs="Arial" w:eastAsia="Arial" w:hAnsi="Arial"/>
                <w:sz w:val="8"/>
                <w:szCs w:val="8"/>
                <w:color w:val="auto"/>
              </w:rPr>
              <w:t>315,000</w:t>
            </w:r>
          </w:p>
        </w:tc>
        <w:tc>
          <w:tcPr>
            <w:tcW w:w="6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880" w:type="dxa"/>
            <w:vAlign w:val="bottom"/>
            <w:gridSpan w:val="2"/>
            <w:shd w:val="clear" w:color="auto" w:fill="CCEEFF"/>
          </w:tcPr>
          <w:p>
            <w:pPr>
              <w:jc w:val="right"/>
              <w:ind w:right="164"/>
              <w:spacing w:after="0" w:line="90" w:lineRule="exact"/>
              <w:rPr>
                <w:sz w:val="20"/>
                <w:szCs w:val="20"/>
                <w:color w:val="auto"/>
              </w:rPr>
            </w:pPr>
            <w:r>
              <w:rPr>
                <w:rFonts w:ascii="Arial" w:cs="Arial" w:eastAsia="Arial" w:hAnsi="Arial"/>
                <w:sz w:val="8"/>
                <w:szCs w:val="8"/>
                <w:color w:val="auto"/>
              </w:rPr>
              <w:t>4,246,200</w:t>
            </w:r>
          </w:p>
        </w:tc>
        <w:tc>
          <w:tcPr>
            <w:tcW w:w="3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440" w:type="dxa"/>
            <w:vAlign w:val="bottom"/>
            <w:shd w:val="clear" w:color="auto" w:fill="CCEEFF"/>
          </w:tcPr>
          <w:p>
            <w:pPr>
              <w:spacing w:after="0"/>
              <w:rPr>
                <w:sz w:val="7"/>
                <w:szCs w:val="7"/>
                <w:color w:val="auto"/>
              </w:rPr>
            </w:pPr>
          </w:p>
        </w:tc>
        <w:tc>
          <w:tcPr>
            <w:tcW w:w="740" w:type="dxa"/>
            <w:vAlign w:val="bottom"/>
            <w:gridSpan w:val="2"/>
            <w:shd w:val="clear" w:color="auto" w:fill="CCEEFF"/>
          </w:tcPr>
          <w:p>
            <w:pPr>
              <w:jc w:val="right"/>
              <w:ind w:right="99"/>
              <w:spacing w:after="0" w:line="90" w:lineRule="exact"/>
              <w:rPr>
                <w:sz w:val="20"/>
                <w:szCs w:val="20"/>
                <w:color w:val="auto"/>
              </w:rPr>
            </w:pPr>
            <w:r>
              <w:rPr>
                <w:rFonts w:ascii="Arial" w:cs="Arial" w:eastAsia="Arial" w:hAnsi="Arial"/>
                <w:sz w:val="8"/>
                <w:szCs w:val="8"/>
                <w:color w:val="auto"/>
              </w:rPr>
              <w:t>3/27/2009</w:t>
            </w:r>
          </w:p>
        </w:tc>
        <w:tc>
          <w:tcPr>
            <w:tcW w:w="6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920" w:type="dxa"/>
            <w:vAlign w:val="bottom"/>
            <w:gridSpan w:val="2"/>
            <w:shd w:val="clear" w:color="auto" w:fill="CCEEFF"/>
          </w:tcPr>
          <w:p>
            <w:pPr>
              <w:jc w:val="right"/>
              <w:ind w:right="224"/>
              <w:spacing w:after="0" w:line="90" w:lineRule="exact"/>
              <w:rPr>
                <w:sz w:val="20"/>
                <w:szCs w:val="20"/>
                <w:color w:val="auto"/>
              </w:rPr>
            </w:pPr>
            <w:r>
              <w:rPr>
                <w:rFonts w:ascii="Arial" w:cs="Arial" w:eastAsia="Arial" w:hAnsi="Arial"/>
                <w:sz w:val="8"/>
                <w:szCs w:val="8"/>
                <w:color w:val="auto"/>
              </w:rPr>
              <w:t>920,000</w:t>
            </w:r>
          </w:p>
        </w:tc>
        <w:tc>
          <w:tcPr>
            <w:tcW w:w="800" w:type="dxa"/>
            <w:vAlign w:val="bottom"/>
            <w:gridSpan w:val="2"/>
            <w:shd w:val="clear" w:color="auto" w:fill="CCEEFF"/>
          </w:tcPr>
          <w:p>
            <w:pPr>
              <w:jc w:val="right"/>
              <w:ind w:right="244"/>
              <w:spacing w:after="0" w:line="90" w:lineRule="exact"/>
              <w:rPr>
                <w:sz w:val="20"/>
                <w:szCs w:val="20"/>
                <w:color w:val="auto"/>
              </w:rPr>
            </w:pPr>
            <w:r>
              <w:rPr>
                <w:rFonts w:ascii="Arial" w:cs="Arial" w:eastAsia="Arial" w:hAnsi="Arial"/>
                <w:sz w:val="8"/>
                <w:szCs w:val="8"/>
                <w:color w:val="auto"/>
              </w:rPr>
              <w:t>14.54</w:t>
            </w:r>
          </w:p>
        </w:tc>
        <w:tc>
          <w:tcPr>
            <w:tcW w:w="880" w:type="dxa"/>
            <w:vAlign w:val="bottom"/>
            <w:gridSpan w:val="2"/>
            <w:shd w:val="clear" w:color="auto" w:fill="CCEEFF"/>
          </w:tcPr>
          <w:p>
            <w:pPr>
              <w:jc w:val="right"/>
              <w:ind w:right="164"/>
              <w:spacing w:after="0" w:line="90" w:lineRule="exact"/>
              <w:rPr>
                <w:sz w:val="20"/>
                <w:szCs w:val="20"/>
                <w:color w:val="auto"/>
              </w:rPr>
            </w:pPr>
            <w:r>
              <w:rPr>
                <w:rFonts w:ascii="Arial" w:cs="Arial" w:eastAsia="Arial" w:hAnsi="Arial"/>
                <w:sz w:val="8"/>
                <w:szCs w:val="8"/>
                <w:color w:val="auto"/>
              </w:rPr>
              <w:t>4,544,800</w:t>
            </w:r>
          </w:p>
        </w:tc>
        <w:tc>
          <w:tcPr>
            <w:tcW w:w="3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44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99"/>
              <w:spacing w:after="0"/>
              <w:rPr>
                <w:sz w:val="20"/>
                <w:szCs w:val="20"/>
                <w:color w:val="auto"/>
              </w:rPr>
            </w:pPr>
            <w:r>
              <w:rPr>
                <w:rFonts w:ascii="Arial" w:cs="Arial" w:eastAsia="Arial" w:hAnsi="Arial"/>
                <w:sz w:val="8"/>
                <w:szCs w:val="8"/>
                <w:color w:val="auto"/>
              </w:rPr>
              <w:t>12/18/2009</w:t>
            </w:r>
          </w:p>
        </w:tc>
        <w:tc>
          <w:tcPr>
            <w:tcW w:w="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44"/>
              <w:spacing w:after="0"/>
              <w:rPr>
                <w:sz w:val="20"/>
                <w:szCs w:val="20"/>
                <w:color w:val="auto"/>
              </w:rPr>
            </w:pPr>
            <w:r>
              <w:rPr>
                <w:rFonts w:ascii="Arial" w:cs="Arial" w:eastAsia="Arial" w:hAnsi="Arial"/>
                <w:sz w:val="8"/>
                <w:szCs w:val="8"/>
                <w:color w:val="auto"/>
              </w:rPr>
              <w:t>348,030</w:t>
            </w:r>
          </w:p>
        </w:tc>
        <w:tc>
          <w:tcPr>
            <w:tcW w:w="800" w:type="dxa"/>
            <w:vAlign w:val="bottom"/>
            <w:gridSpan w:val="3"/>
            <w:shd w:val="clear" w:color="auto" w:fill="CCEEFF"/>
          </w:tcPr>
          <w:p>
            <w:pPr>
              <w:jc w:val="right"/>
              <w:ind w:right="104"/>
              <w:spacing w:after="0"/>
              <w:rPr>
                <w:sz w:val="20"/>
                <w:szCs w:val="20"/>
                <w:color w:val="auto"/>
              </w:rPr>
            </w:pPr>
            <w:r>
              <w:rPr>
                <w:rFonts w:ascii="Arial" w:cs="Arial" w:eastAsia="Arial" w:hAnsi="Arial"/>
                <w:sz w:val="8"/>
                <w:szCs w:val="8"/>
                <w:color w:val="auto"/>
              </w:rPr>
              <w:t>348,030</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jc w:val="right"/>
              <w:ind w:right="239"/>
              <w:spacing w:after="0"/>
              <w:rPr>
                <w:sz w:val="20"/>
                <w:szCs w:val="20"/>
                <w:color w:val="auto"/>
              </w:rPr>
            </w:pPr>
            <w:r>
              <w:rPr>
                <w:rFonts w:ascii="Arial" w:cs="Arial" w:eastAsia="Arial" w:hAnsi="Arial"/>
                <w:sz w:val="8"/>
                <w:szCs w:val="8"/>
                <w:color w:val="auto"/>
              </w:rPr>
              <w:t>348,030</w:t>
            </w:r>
          </w:p>
        </w:tc>
        <w:tc>
          <w:tcPr>
            <w:tcW w:w="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880" w:type="dxa"/>
            <w:vAlign w:val="bottom"/>
            <w:gridSpan w:val="2"/>
            <w:shd w:val="clear" w:color="auto" w:fill="CCEEFF"/>
          </w:tcPr>
          <w:p>
            <w:pPr>
              <w:jc w:val="right"/>
              <w:ind w:right="164"/>
              <w:spacing w:after="0"/>
              <w:rPr>
                <w:sz w:val="20"/>
                <w:szCs w:val="20"/>
                <w:color w:val="auto"/>
              </w:rPr>
            </w:pPr>
            <w:r>
              <w:rPr>
                <w:rFonts w:ascii="Arial" w:cs="Arial" w:eastAsia="Arial" w:hAnsi="Arial"/>
                <w:sz w:val="8"/>
                <w:szCs w:val="8"/>
                <w:color w:val="auto"/>
              </w:rPr>
              <w:t>5,832,983</w:t>
            </w:r>
          </w:p>
        </w:tc>
        <w:tc>
          <w:tcPr>
            <w:tcW w:w="3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440" w:type="dxa"/>
            <w:vAlign w:val="bottom"/>
          </w:tcPr>
          <w:p>
            <w:pPr>
              <w:spacing w:after="0" w:line="81" w:lineRule="exact"/>
              <w:rPr>
                <w:sz w:val="20"/>
                <w:szCs w:val="20"/>
                <w:color w:val="auto"/>
              </w:rPr>
            </w:pPr>
            <w:r>
              <w:rPr>
                <w:rFonts w:ascii="Arial" w:cs="Arial" w:eastAsia="Arial" w:hAnsi="Arial"/>
                <w:sz w:val="8"/>
                <w:szCs w:val="8"/>
                <w:color w:val="auto"/>
              </w:rPr>
              <w:t>David L. Cohen</w:t>
            </w:r>
          </w:p>
        </w:tc>
        <w:tc>
          <w:tcPr>
            <w:tcW w:w="80" w:type="dxa"/>
            <w:vAlign w:val="bottom"/>
          </w:tcPr>
          <w:p>
            <w:pPr>
              <w:spacing w:after="0"/>
              <w:rPr>
                <w:sz w:val="7"/>
                <w:szCs w:val="7"/>
                <w:color w:val="auto"/>
              </w:rPr>
            </w:pPr>
          </w:p>
        </w:tc>
        <w:tc>
          <w:tcPr>
            <w:tcW w:w="720" w:type="dxa"/>
            <w:vAlign w:val="bottom"/>
            <w:gridSpan w:val="2"/>
          </w:tcPr>
          <w:p>
            <w:pPr>
              <w:jc w:val="right"/>
              <w:ind w:right="200"/>
              <w:spacing w:after="0" w:line="81" w:lineRule="exact"/>
              <w:rPr>
                <w:sz w:val="20"/>
                <w:szCs w:val="20"/>
                <w:color w:val="auto"/>
              </w:rPr>
            </w:pPr>
            <w:r>
              <w:rPr>
                <w:rFonts w:ascii="Arial" w:cs="Arial" w:eastAsia="Arial" w:hAnsi="Arial"/>
                <w:sz w:val="8"/>
                <w:szCs w:val="8"/>
                <w:color w:val="auto"/>
              </w:rPr>
              <w:t>—</w:t>
            </w:r>
          </w:p>
        </w:tc>
        <w:tc>
          <w:tcPr>
            <w:tcW w:w="660" w:type="dxa"/>
            <w:vAlign w:val="bottom"/>
          </w:tcPr>
          <w:p>
            <w:pPr>
              <w:jc w:val="right"/>
              <w:ind w:right="20"/>
              <w:spacing w:after="0" w:line="81" w:lineRule="exact"/>
              <w:rPr>
                <w:sz w:val="20"/>
                <w:szCs w:val="20"/>
                <w:color w:val="auto"/>
              </w:rPr>
            </w:pPr>
            <w:r>
              <w:rPr>
                <w:rFonts w:ascii="Arial" w:cs="Arial" w:eastAsia="Arial" w:hAnsi="Arial"/>
                <w:sz w:val="8"/>
                <w:szCs w:val="8"/>
                <w:color w:val="auto"/>
              </w:rPr>
              <w:t>668,997</w:t>
            </w:r>
          </w:p>
        </w:tc>
        <w:tc>
          <w:tcPr>
            <w:tcW w:w="880" w:type="dxa"/>
            <w:vAlign w:val="bottom"/>
            <w:gridSpan w:val="3"/>
          </w:tcPr>
          <w:p>
            <w:pPr>
              <w:jc w:val="right"/>
              <w:ind w:right="104"/>
              <w:spacing w:after="0" w:line="81" w:lineRule="exact"/>
              <w:rPr>
                <w:sz w:val="20"/>
                <w:szCs w:val="20"/>
                <w:color w:val="auto"/>
              </w:rPr>
            </w:pPr>
            <w:r>
              <w:rPr>
                <w:rFonts w:ascii="Arial" w:cs="Arial" w:eastAsia="Arial" w:hAnsi="Arial"/>
                <w:sz w:val="8"/>
                <w:szCs w:val="8"/>
                <w:color w:val="auto"/>
              </w:rPr>
              <w:t>1,672,493</w:t>
            </w: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jc w:val="right"/>
              <w:ind w:right="160"/>
              <w:spacing w:after="0" w:line="81" w:lineRule="exact"/>
              <w:rPr>
                <w:sz w:val="20"/>
                <w:szCs w:val="20"/>
                <w:color w:val="auto"/>
              </w:rPr>
            </w:pPr>
            <w:r>
              <w:rPr>
                <w:rFonts w:ascii="Arial" w:cs="Arial" w:eastAsia="Arial" w:hAnsi="Arial"/>
                <w:sz w:val="8"/>
                <w:szCs w:val="8"/>
                <w:color w:val="auto"/>
              </w:rPr>
              <w:t>2,508,739</w:t>
            </w: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440" w:type="dxa"/>
            <w:vAlign w:val="bottom"/>
          </w:tcPr>
          <w:p>
            <w:pPr>
              <w:spacing w:after="0"/>
              <w:rPr>
                <w:sz w:val="7"/>
                <w:szCs w:val="7"/>
                <w:color w:val="auto"/>
              </w:rPr>
            </w:pPr>
          </w:p>
        </w:tc>
        <w:tc>
          <w:tcPr>
            <w:tcW w:w="740" w:type="dxa"/>
            <w:vAlign w:val="bottom"/>
            <w:gridSpan w:val="2"/>
          </w:tcPr>
          <w:p>
            <w:pPr>
              <w:jc w:val="right"/>
              <w:ind w:right="99"/>
              <w:spacing w:after="0" w:line="90" w:lineRule="exact"/>
              <w:rPr>
                <w:sz w:val="20"/>
                <w:szCs w:val="20"/>
                <w:color w:val="auto"/>
              </w:rPr>
            </w:pPr>
            <w:r>
              <w:rPr>
                <w:rFonts w:ascii="Arial" w:cs="Arial" w:eastAsia="Arial" w:hAnsi="Arial"/>
                <w:sz w:val="8"/>
                <w:szCs w:val="8"/>
                <w:color w:val="auto"/>
              </w:rPr>
              <w:t>3/27/2009</w:t>
            </w: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gridSpan w:val="2"/>
          </w:tcPr>
          <w:p>
            <w:pPr>
              <w:jc w:val="right"/>
              <w:ind w:right="44"/>
              <w:spacing w:after="0" w:line="90" w:lineRule="exact"/>
              <w:rPr>
                <w:sz w:val="20"/>
                <w:szCs w:val="20"/>
                <w:color w:val="auto"/>
              </w:rPr>
            </w:pPr>
            <w:r>
              <w:rPr>
                <w:rFonts w:ascii="Arial" w:cs="Arial" w:eastAsia="Arial" w:hAnsi="Arial"/>
                <w:sz w:val="8"/>
                <w:szCs w:val="8"/>
                <w:color w:val="auto"/>
              </w:rPr>
              <w:t>123,340</w:t>
            </w:r>
          </w:p>
        </w:tc>
        <w:tc>
          <w:tcPr>
            <w:tcW w:w="800" w:type="dxa"/>
            <w:vAlign w:val="bottom"/>
            <w:gridSpan w:val="3"/>
          </w:tcPr>
          <w:p>
            <w:pPr>
              <w:jc w:val="right"/>
              <w:ind w:right="104"/>
              <w:spacing w:after="0" w:line="90" w:lineRule="exact"/>
              <w:rPr>
                <w:sz w:val="20"/>
                <w:szCs w:val="20"/>
                <w:color w:val="auto"/>
              </w:rPr>
            </w:pPr>
            <w:r>
              <w:rPr>
                <w:rFonts w:ascii="Arial" w:cs="Arial" w:eastAsia="Arial" w:hAnsi="Arial"/>
                <w:sz w:val="8"/>
                <w:szCs w:val="8"/>
                <w:color w:val="auto"/>
              </w:rPr>
              <w:t>185,000</w:t>
            </w: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jc w:val="right"/>
              <w:ind w:right="239"/>
              <w:spacing w:after="0" w:line="90" w:lineRule="exact"/>
              <w:rPr>
                <w:sz w:val="20"/>
                <w:szCs w:val="20"/>
                <w:color w:val="auto"/>
              </w:rPr>
            </w:pPr>
            <w:r>
              <w:rPr>
                <w:rFonts w:ascii="Arial" w:cs="Arial" w:eastAsia="Arial" w:hAnsi="Arial"/>
                <w:sz w:val="8"/>
                <w:szCs w:val="8"/>
                <w:color w:val="auto"/>
              </w:rPr>
              <w:t>185,000</w:t>
            </w:r>
          </w:p>
        </w:tc>
        <w:tc>
          <w:tcPr>
            <w:tcW w:w="6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gridSpan w:val="2"/>
          </w:tcPr>
          <w:p>
            <w:pPr>
              <w:jc w:val="right"/>
              <w:ind w:right="164"/>
              <w:spacing w:after="0" w:line="90" w:lineRule="exact"/>
              <w:rPr>
                <w:sz w:val="20"/>
                <w:szCs w:val="20"/>
                <w:color w:val="auto"/>
              </w:rPr>
            </w:pPr>
            <w:r>
              <w:rPr>
                <w:rFonts w:ascii="Arial" w:cs="Arial" w:eastAsia="Arial" w:hAnsi="Arial"/>
                <w:sz w:val="8"/>
                <w:szCs w:val="8"/>
                <w:color w:val="auto"/>
              </w:rPr>
              <w:t>2,493,800</w:t>
            </w: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740" w:type="dxa"/>
            <w:vAlign w:val="bottom"/>
            <w:gridSpan w:val="2"/>
          </w:tcPr>
          <w:p>
            <w:pPr>
              <w:jc w:val="right"/>
              <w:ind w:right="99"/>
              <w:spacing w:after="0"/>
              <w:rPr>
                <w:sz w:val="20"/>
                <w:szCs w:val="20"/>
                <w:color w:val="auto"/>
              </w:rPr>
            </w:pPr>
            <w:r>
              <w:rPr>
                <w:rFonts w:ascii="Arial" w:cs="Arial" w:eastAsia="Arial" w:hAnsi="Arial"/>
                <w:sz w:val="8"/>
                <w:szCs w:val="8"/>
                <w:color w:val="auto"/>
              </w:rPr>
              <w:t>3/27/2009</w:t>
            </w: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gridSpan w:val="2"/>
          </w:tcPr>
          <w:p>
            <w:pPr>
              <w:jc w:val="right"/>
              <w:ind w:right="224"/>
              <w:spacing w:after="0"/>
              <w:rPr>
                <w:sz w:val="20"/>
                <w:szCs w:val="20"/>
                <w:color w:val="auto"/>
              </w:rPr>
            </w:pPr>
            <w:r>
              <w:rPr>
                <w:rFonts w:ascii="Arial" w:cs="Arial" w:eastAsia="Arial" w:hAnsi="Arial"/>
                <w:sz w:val="8"/>
                <w:szCs w:val="8"/>
                <w:color w:val="auto"/>
              </w:rPr>
              <w:t>540,000</w:t>
            </w:r>
          </w:p>
        </w:tc>
        <w:tc>
          <w:tcPr>
            <w:tcW w:w="800" w:type="dxa"/>
            <w:vAlign w:val="bottom"/>
            <w:gridSpan w:val="2"/>
          </w:tcPr>
          <w:p>
            <w:pPr>
              <w:jc w:val="right"/>
              <w:ind w:right="244"/>
              <w:spacing w:after="0"/>
              <w:rPr>
                <w:sz w:val="20"/>
                <w:szCs w:val="20"/>
                <w:color w:val="auto"/>
              </w:rPr>
            </w:pPr>
            <w:r>
              <w:rPr>
                <w:rFonts w:ascii="Arial" w:cs="Arial" w:eastAsia="Arial" w:hAnsi="Arial"/>
                <w:sz w:val="8"/>
                <w:szCs w:val="8"/>
                <w:color w:val="auto"/>
              </w:rPr>
              <w:t>14.54</w:t>
            </w:r>
          </w:p>
        </w:tc>
        <w:tc>
          <w:tcPr>
            <w:tcW w:w="880" w:type="dxa"/>
            <w:vAlign w:val="bottom"/>
            <w:gridSpan w:val="2"/>
          </w:tcPr>
          <w:p>
            <w:pPr>
              <w:jc w:val="right"/>
              <w:ind w:right="164"/>
              <w:spacing w:after="0"/>
              <w:rPr>
                <w:sz w:val="20"/>
                <w:szCs w:val="20"/>
                <w:color w:val="auto"/>
              </w:rPr>
            </w:pPr>
            <w:r>
              <w:rPr>
                <w:rFonts w:ascii="Arial" w:cs="Arial" w:eastAsia="Arial" w:hAnsi="Arial"/>
                <w:sz w:val="8"/>
                <w:szCs w:val="8"/>
                <w:color w:val="auto"/>
              </w:rPr>
              <w:t>2,667,600</w:t>
            </w: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440" w:type="dxa"/>
            <w:vAlign w:val="bottom"/>
            <w:shd w:val="clear" w:color="auto" w:fill="CCEEFF"/>
          </w:tcPr>
          <w:p>
            <w:pPr>
              <w:spacing w:after="0" w:line="81" w:lineRule="exact"/>
              <w:rPr>
                <w:sz w:val="20"/>
                <w:szCs w:val="20"/>
                <w:color w:val="auto"/>
              </w:rPr>
            </w:pPr>
            <w:r>
              <w:rPr>
                <w:rFonts w:ascii="Arial" w:cs="Arial" w:eastAsia="Arial" w:hAnsi="Arial"/>
                <w:sz w:val="8"/>
                <w:szCs w:val="8"/>
                <w:color w:val="auto"/>
              </w:rPr>
              <w:t>Arthur R. Block</w:t>
            </w:r>
          </w:p>
        </w:tc>
        <w:tc>
          <w:tcPr>
            <w:tcW w:w="80" w:type="dxa"/>
            <w:vAlign w:val="bottom"/>
            <w:shd w:val="clear" w:color="auto" w:fill="CCEEFF"/>
          </w:tcPr>
          <w:p>
            <w:pPr>
              <w:spacing w:after="0"/>
              <w:rPr>
                <w:sz w:val="7"/>
                <w:szCs w:val="7"/>
                <w:color w:val="auto"/>
              </w:rPr>
            </w:pPr>
          </w:p>
        </w:tc>
        <w:tc>
          <w:tcPr>
            <w:tcW w:w="720" w:type="dxa"/>
            <w:vAlign w:val="bottom"/>
            <w:gridSpan w:val="2"/>
            <w:shd w:val="clear" w:color="auto" w:fill="CCEEFF"/>
          </w:tcPr>
          <w:p>
            <w:pPr>
              <w:jc w:val="right"/>
              <w:ind w:right="200"/>
              <w:spacing w:after="0" w:line="81" w:lineRule="exact"/>
              <w:rPr>
                <w:sz w:val="20"/>
                <w:szCs w:val="20"/>
                <w:color w:val="auto"/>
              </w:rPr>
            </w:pPr>
            <w:r>
              <w:rPr>
                <w:rFonts w:ascii="Arial" w:cs="Arial" w:eastAsia="Arial" w:hAnsi="Arial"/>
                <w:sz w:val="8"/>
                <w:szCs w:val="8"/>
                <w:color w:val="auto"/>
              </w:rPr>
              <w:t>—</w:t>
            </w:r>
          </w:p>
        </w:tc>
        <w:tc>
          <w:tcPr>
            <w:tcW w:w="660" w:type="dxa"/>
            <w:vAlign w:val="bottom"/>
            <w:shd w:val="clear" w:color="auto" w:fill="CCEEFF"/>
          </w:tcPr>
          <w:p>
            <w:pPr>
              <w:jc w:val="right"/>
              <w:ind w:right="20"/>
              <w:spacing w:after="0" w:line="81" w:lineRule="exact"/>
              <w:rPr>
                <w:sz w:val="20"/>
                <w:szCs w:val="20"/>
                <w:color w:val="auto"/>
              </w:rPr>
            </w:pPr>
            <w:r>
              <w:rPr>
                <w:rFonts w:ascii="Arial" w:cs="Arial" w:eastAsia="Arial" w:hAnsi="Arial"/>
                <w:sz w:val="8"/>
                <w:szCs w:val="8"/>
                <w:color w:val="auto"/>
              </w:rPr>
              <w:t>326,406</w:t>
            </w:r>
          </w:p>
        </w:tc>
        <w:tc>
          <w:tcPr>
            <w:tcW w:w="880" w:type="dxa"/>
            <w:vAlign w:val="bottom"/>
            <w:gridSpan w:val="3"/>
            <w:shd w:val="clear" w:color="auto" w:fill="CCEEFF"/>
          </w:tcPr>
          <w:p>
            <w:pPr>
              <w:jc w:val="right"/>
              <w:ind w:right="104"/>
              <w:spacing w:after="0" w:line="81" w:lineRule="exact"/>
              <w:rPr>
                <w:sz w:val="20"/>
                <w:szCs w:val="20"/>
                <w:color w:val="auto"/>
              </w:rPr>
            </w:pPr>
            <w:r>
              <w:rPr>
                <w:rFonts w:ascii="Arial" w:cs="Arial" w:eastAsia="Arial" w:hAnsi="Arial"/>
                <w:sz w:val="8"/>
                <w:szCs w:val="8"/>
                <w:color w:val="auto"/>
              </w:rPr>
              <w:t>816,016</w:t>
            </w: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20" w:type="dxa"/>
            <w:vAlign w:val="bottom"/>
            <w:shd w:val="clear" w:color="auto" w:fill="CCEEFF"/>
          </w:tcPr>
          <w:p>
            <w:pPr>
              <w:jc w:val="right"/>
              <w:ind w:right="160"/>
              <w:spacing w:after="0" w:line="81" w:lineRule="exact"/>
              <w:rPr>
                <w:sz w:val="20"/>
                <w:szCs w:val="20"/>
                <w:color w:val="auto"/>
              </w:rPr>
            </w:pPr>
            <w:r>
              <w:rPr>
                <w:rFonts w:ascii="Arial" w:cs="Arial" w:eastAsia="Arial" w:hAnsi="Arial"/>
                <w:sz w:val="8"/>
                <w:szCs w:val="8"/>
                <w:color w:val="auto"/>
              </w:rPr>
              <w:t>1,224,024</w:t>
            </w:r>
          </w:p>
        </w:tc>
        <w:tc>
          <w:tcPr>
            <w:tcW w:w="8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60" w:type="dxa"/>
            <w:vAlign w:val="bottom"/>
            <w:shd w:val="clear" w:color="auto" w:fill="CCEEFF"/>
          </w:tcPr>
          <w:p>
            <w:pPr>
              <w:jc w:val="right"/>
              <w:ind w:right="99"/>
              <w:spacing w:after="0" w:line="90" w:lineRule="exact"/>
              <w:rPr>
                <w:sz w:val="20"/>
                <w:szCs w:val="20"/>
                <w:color w:val="auto"/>
              </w:rPr>
            </w:pPr>
            <w:r>
              <w:rPr>
                <w:rFonts w:ascii="Arial" w:cs="Arial" w:eastAsia="Arial" w:hAnsi="Arial"/>
                <w:sz w:val="8"/>
                <w:szCs w:val="8"/>
                <w:color w:val="auto"/>
              </w:rPr>
              <w:t>3/20/2009</w:t>
            </w:r>
          </w:p>
        </w:tc>
        <w:tc>
          <w:tcPr>
            <w:tcW w:w="6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680" w:type="dxa"/>
            <w:vAlign w:val="bottom"/>
            <w:gridSpan w:val="2"/>
            <w:shd w:val="clear" w:color="auto" w:fill="CCEEFF"/>
          </w:tcPr>
          <w:p>
            <w:pPr>
              <w:jc w:val="right"/>
              <w:ind w:right="44"/>
              <w:spacing w:after="0" w:line="90" w:lineRule="exact"/>
              <w:rPr>
                <w:sz w:val="20"/>
                <w:szCs w:val="20"/>
                <w:color w:val="auto"/>
              </w:rPr>
            </w:pPr>
            <w:r>
              <w:rPr>
                <w:rFonts w:ascii="Arial" w:cs="Arial" w:eastAsia="Arial" w:hAnsi="Arial"/>
                <w:sz w:val="8"/>
                <w:szCs w:val="8"/>
                <w:color w:val="auto"/>
              </w:rPr>
              <w:t>15,734</w:t>
            </w:r>
          </w:p>
        </w:tc>
        <w:tc>
          <w:tcPr>
            <w:tcW w:w="800" w:type="dxa"/>
            <w:vAlign w:val="bottom"/>
            <w:gridSpan w:val="3"/>
            <w:shd w:val="clear" w:color="auto" w:fill="CCEEFF"/>
          </w:tcPr>
          <w:p>
            <w:pPr>
              <w:jc w:val="right"/>
              <w:ind w:right="104"/>
              <w:spacing w:after="0" w:line="90" w:lineRule="exact"/>
              <w:rPr>
                <w:sz w:val="20"/>
                <w:szCs w:val="20"/>
                <w:color w:val="auto"/>
              </w:rPr>
            </w:pPr>
            <w:r>
              <w:rPr>
                <w:rFonts w:ascii="Arial" w:cs="Arial" w:eastAsia="Arial" w:hAnsi="Arial"/>
                <w:sz w:val="8"/>
                <w:szCs w:val="8"/>
                <w:color w:val="auto"/>
              </w:rPr>
              <w:t>23,600</w:t>
            </w: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40" w:type="dxa"/>
            <w:vAlign w:val="bottom"/>
            <w:shd w:val="clear" w:color="auto" w:fill="CCEEFF"/>
          </w:tcPr>
          <w:p>
            <w:pPr>
              <w:jc w:val="right"/>
              <w:ind w:right="239"/>
              <w:spacing w:after="0" w:line="90" w:lineRule="exact"/>
              <w:rPr>
                <w:sz w:val="20"/>
                <w:szCs w:val="20"/>
                <w:color w:val="auto"/>
              </w:rPr>
            </w:pPr>
            <w:r>
              <w:rPr>
                <w:rFonts w:ascii="Arial" w:cs="Arial" w:eastAsia="Arial" w:hAnsi="Arial"/>
                <w:sz w:val="8"/>
                <w:szCs w:val="8"/>
                <w:color w:val="auto"/>
              </w:rPr>
              <w:t>23,600</w:t>
            </w:r>
          </w:p>
        </w:tc>
        <w:tc>
          <w:tcPr>
            <w:tcW w:w="6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880" w:type="dxa"/>
            <w:vAlign w:val="bottom"/>
            <w:gridSpan w:val="2"/>
            <w:shd w:val="clear" w:color="auto" w:fill="CCEEFF"/>
          </w:tcPr>
          <w:p>
            <w:pPr>
              <w:jc w:val="right"/>
              <w:ind w:right="164"/>
              <w:spacing w:after="0" w:line="90" w:lineRule="exact"/>
              <w:rPr>
                <w:sz w:val="20"/>
                <w:szCs w:val="20"/>
                <w:color w:val="auto"/>
              </w:rPr>
            </w:pPr>
            <w:r>
              <w:rPr>
                <w:rFonts w:ascii="Arial" w:cs="Arial" w:eastAsia="Arial" w:hAnsi="Arial"/>
                <w:sz w:val="8"/>
                <w:szCs w:val="8"/>
                <w:color w:val="auto"/>
              </w:rPr>
              <w:t>275,176</w:t>
            </w:r>
          </w:p>
        </w:tc>
        <w:tc>
          <w:tcPr>
            <w:tcW w:w="3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60" w:type="dxa"/>
            <w:vAlign w:val="bottom"/>
            <w:shd w:val="clear" w:color="auto" w:fill="CCEEFF"/>
          </w:tcPr>
          <w:p>
            <w:pPr>
              <w:jc w:val="right"/>
              <w:ind w:right="99"/>
              <w:spacing w:after="0" w:line="90" w:lineRule="exact"/>
              <w:rPr>
                <w:sz w:val="20"/>
                <w:szCs w:val="20"/>
                <w:color w:val="auto"/>
              </w:rPr>
            </w:pPr>
            <w:r>
              <w:rPr>
                <w:rFonts w:ascii="Arial" w:cs="Arial" w:eastAsia="Arial" w:hAnsi="Arial"/>
                <w:sz w:val="8"/>
                <w:szCs w:val="8"/>
                <w:color w:val="auto"/>
              </w:rPr>
              <w:t>3/27/2009</w:t>
            </w:r>
          </w:p>
        </w:tc>
        <w:tc>
          <w:tcPr>
            <w:tcW w:w="6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680" w:type="dxa"/>
            <w:vAlign w:val="bottom"/>
            <w:gridSpan w:val="2"/>
            <w:shd w:val="clear" w:color="auto" w:fill="CCEEFF"/>
          </w:tcPr>
          <w:p>
            <w:pPr>
              <w:jc w:val="right"/>
              <w:ind w:right="44"/>
              <w:spacing w:after="0" w:line="90" w:lineRule="exact"/>
              <w:rPr>
                <w:sz w:val="20"/>
                <w:szCs w:val="20"/>
                <w:color w:val="auto"/>
              </w:rPr>
            </w:pPr>
            <w:r>
              <w:rPr>
                <w:rFonts w:ascii="Arial" w:cs="Arial" w:eastAsia="Arial" w:hAnsi="Arial"/>
                <w:sz w:val="8"/>
                <w:szCs w:val="8"/>
                <w:color w:val="auto"/>
              </w:rPr>
              <w:t>31,602</w:t>
            </w:r>
          </w:p>
        </w:tc>
        <w:tc>
          <w:tcPr>
            <w:tcW w:w="800" w:type="dxa"/>
            <w:vAlign w:val="bottom"/>
            <w:gridSpan w:val="3"/>
            <w:shd w:val="clear" w:color="auto" w:fill="CCEEFF"/>
          </w:tcPr>
          <w:p>
            <w:pPr>
              <w:jc w:val="right"/>
              <w:ind w:right="104"/>
              <w:spacing w:after="0" w:line="90" w:lineRule="exact"/>
              <w:rPr>
                <w:sz w:val="20"/>
                <w:szCs w:val="20"/>
                <w:color w:val="auto"/>
              </w:rPr>
            </w:pPr>
            <w:r>
              <w:rPr>
                <w:rFonts w:ascii="Arial" w:cs="Arial" w:eastAsia="Arial" w:hAnsi="Arial"/>
                <w:sz w:val="8"/>
                <w:szCs w:val="8"/>
                <w:color w:val="auto"/>
              </w:rPr>
              <w:t>47,400</w:t>
            </w: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40" w:type="dxa"/>
            <w:vAlign w:val="bottom"/>
            <w:shd w:val="clear" w:color="auto" w:fill="CCEEFF"/>
          </w:tcPr>
          <w:p>
            <w:pPr>
              <w:jc w:val="right"/>
              <w:ind w:right="239"/>
              <w:spacing w:after="0" w:line="90" w:lineRule="exact"/>
              <w:rPr>
                <w:sz w:val="20"/>
                <w:szCs w:val="20"/>
                <w:color w:val="auto"/>
              </w:rPr>
            </w:pPr>
            <w:r>
              <w:rPr>
                <w:rFonts w:ascii="Arial" w:cs="Arial" w:eastAsia="Arial" w:hAnsi="Arial"/>
                <w:sz w:val="8"/>
                <w:szCs w:val="8"/>
                <w:color w:val="auto"/>
              </w:rPr>
              <w:t>47,400</w:t>
            </w:r>
          </w:p>
        </w:tc>
        <w:tc>
          <w:tcPr>
            <w:tcW w:w="6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880" w:type="dxa"/>
            <w:vAlign w:val="bottom"/>
            <w:gridSpan w:val="2"/>
            <w:shd w:val="clear" w:color="auto" w:fill="CCEEFF"/>
          </w:tcPr>
          <w:p>
            <w:pPr>
              <w:jc w:val="right"/>
              <w:ind w:right="164"/>
              <w:spacing w:after="0" w:line="90" w:lineRule="exact"/>
              <w:rPr>
                <w:sz w:val="20"/>
                <w:szCs w:val="20"/>
                <w:color w:val="auto"/>
              </w:rPr>
            </w:pPr>
            <w:r>
              <w:rPr>
                <w:rFonts w:ascii="Arial" w:cs="Arial" w:eastAsia="Arial" w:hAnsi="Arial"/>
                <w:sz w:val="8"/>
                <w:szCs w:val="8"/>
                <w:color w:val="auto"/>
              </w:rPr>
              <w:t>638,952</w:t>
            </w:r>
          </w:p>
        </w:tc>
        <w:tc>
          <w:tcPr>
            <w:tcW w:w="3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60" w:type="dxa"/>
            <w:vAlign w:val="bottom"/>
            <w:shd w:val="clear" w:color="auto" w:fill="CCEEFF"/>
          </w:tcPr>
          <w:p>
            <w:pPr>
              <w:jc w:val="right"/>
              <w:ind w:right="99"/>
              <w:spacing w:after="0" w:line="90" w:lineRule="exact"/>
              <w:rPr>
                <w:sz w:val="20"/>
                <w:szCs w:val="20"/>
                <w:color w:val="auto"/>
              </w:rPr>
            </w:pPr>
            <w:r>
              <w:rPr>
                <w:rFonts w:ascii="Arial" w:cs="Arial" w:eastAsia="Arial" w:hAnsi="Arial"/>
                <w:sz w:val="8"/>
                <w:szCs w:val="8"/>
                <w:color w:val="auto"/>
              </w:rPr>
              <w:t>3/27/2009</w:t>
            </w:r>
          </w:p>
        </w:tc>
        <w:tc>
          <w:tcPr>
            <w:tcW w:w="6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920" w:type="dxa"/>
            <w:vAlign w:val="bottom"/>
            <w:gridSpan w:val="2"/>
            <w:shd w:val="clear" w:color="auto" w:fill="CCEEFF"/>
          </w:tcPr>
          <w:p>
            <w:pPr>
              <w:jc w:val="right"/>
              <w:ind w:right="224"/>
              <w:spacing w:after="0" w:line="90" w:lineRule="exact"/>
              <w:rPr>
                <w:sz w:val="20"/>
                <w:szCs w:val="20"/>
                <w:color w:val="auto"/>
              </w:rPr>
            </w:pPr>
            <w:r>
              <w:rPr>
                <w:rFonts w:ascii="Arial" w:cs="Arial" w:eastAsia="Arial" w:hAnsi="Arial"/>
                <w:sz w:val="8"/>
                <w:szCs w:val="8"/>
                <w:color w:val="auto"/>
              </w:rPr>
              <w:t>141,000</w:t>
            </w:r>
          </w:p>
        </w:tc>
        <w:tc>
          <w:tcPr>
            <w:tcW w:w="800" w:type="dxa"/>
            <w:vAlign w:val="bottom"/>
            <w:gridSpan w:val="2"/>
            <w:shd w:val="clear" w:color="auto" w:fill="CCEEFF"/>
          </w:tcPr>
          <w:p>
            <w:pPr>
              <w:jc w:val="right"/>
              <w:ind w:right="244"/>
              <w:spacing w:after="0" w:line="90" w:lineRule="exact"/>
              <w:rPr>
                <w:sz w:val="20"/>
                <w:szCs w:val="20"/>
                <w:color w:val="auto"/>
              </w:rPr>
            </w:pPr>
            <w:r>
              <w:rPr>
                <w:rFonts w:ascii="Arial" w:cs="Arial" w:eastAsia="Arial" w:hAnsi="Arial"/>
                <w:sz w:val="8"/>
                <w:szCs w:val="8"/>
                <w:color w:val="auto"/>
              </w:rPr>
              <w:t>14.54</w:t>
            </w:r>
          </w:p>
        </w:tc>
        <w:tc>
          <w:tcPr>
            <w:tcW w:w="880" w:type="dxa"/>
            <w:vAlign w:val="bottom"/>
            <w:gridSpan w:val="2"/>
            <w:shd w:val="clear" w:color="auto" w:fill="CCEEFF"/>
          </w:tcPr>
          <w:p>
            <w:pPr>
              <w:jc w:val="right"/>
              <w:ind w:right="164"/>
              <w:spacing w:after="0" w:line="90" w:lineRule="exact"/>
              <w:rPr>
                <w:sz w:val="20"/>
                <w:szCs w:val="20"/>
                <w:color w:val="auto"/>
              </w:rPr>
            </w:pPr>
            <w:r>
              <w:rPr>
                <w:rFonts w:ascii="Arial" w:cs="Arial" w:eastAsia="Arial" w:hAnsi="Arial"/>
                <w:sz w:val="8"/>
                <w:szCs w:val="8"/>
                <w:color w:val="auto"/>
              </w:rPr>
              <w:t>696,540</w:t>
            </w:r>
          </w:p>
        </w:tc>
        <w:tc>
          <w:tcPr>
            <w:tcW w:w="3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60" w:type="dxa"/>
            <w:vAlign w:val="bottom"/>
            <w:shd w:val="clear" w:color="auto" w:fill="CCEEFF"/>
          </w:tcPr>
          <w:p>
            <w:pPr>
              <w:jc w:val="right"/>
              <w:ind w:right="99"/>
              <w:spacing w:after="0" w:line="90" w:lineRule="exact"/>
              <w:rPr>
                <w:sz w:val="20"/>
                <w:szCs w:val="20"/>
                <w:color w:val="auto"/>
              </w:rPr>
            </w:pPr>
            <w:r>
              <w:rPr>
                <w:rFonts w:ascii="Arial" w:cs="Arial" w:eastAsia="Arial" w:hAnsi="Arial"/>
                <w:sz w:val="8"/>
                <w:szCs w:val="8"/>
                <w:color w:val="auto"/>
              </w:rPr>
              <w:t>12/18/2009</w:t>
            </w:r>
          </w:p>
        </w:tc>
        <w:tc>
          <w:tcPr>
            <w:tcW w:w="6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680" w:type="dxa"/>
            <w:vAlign w:val="bottom"/>
            <w:gridSpan w:val="2"/>
            <w:shd w:val="clear" w:color="auto" w:fill="CCEEFF"/>
          </w:tcPr>
          <w:p>
            <w:pPr>
              <w:jc w:val="right"/>
              <w:ind w:right="44"/>
              <w:spacing w:after="0" w:line="90" w:lineRule="exact"/>
              <w:rPr>
                <w:sz w:val="20"/>
                <w:szCs w:val="20"/>
                <w:color w:val="auto"/>
              </w:rPr>
            </w:pPr>
            <w:r>
              <w:rPr>
                <w:rFonts w:ascii="Arial" w:cs="Arial" w:eastAsia="Arial" w:hAnsi="Arial"/>
                <w:sz w:val="8"/>
                <w:szCs w:val="8"/>
                <w:color w:val="auto"/>
              </w:rPr>
              <w:t>98,160</w:t>
            </w:r>
          </w:p>
        </w:tc>
        <w:tc>
          <w:tcPr>
            <w:tcW w:w="800" w:type="dxa"/>
            <w:vAlign w:val="bottom"/>
            <w:gridSpan w:val="3"/>
            <w:shd w:val="clear" w:color="auto" w:fill="CCEEFF"/>
          </w:tcPr>
          <w:p>
            <w:pPr>
              <w:jc w:val="right"/>
              <w:ind w:right="104"/>
              <w:spacing w:after="0" w:line="90" w:lineRule="exact"/>
              <w:rPr>
                <w:sz w:val="20"/>
                <w:szCs w:val="20"/>
                <w:color w:val="auto"/>
              </w:rPr>
            </w:pPr>
            <w:r>
              <w:rPr>
                <w:rFonts w:ascii="Arial" w:cs="Arial" w:eastAsia="Arial" w:hAnsi="Arial"/>
                <w:sz w:val="8"/>
                <w:szCs w:val="8"/>
                <w:color w:val="auto"/>
              </w:rPr>
              <w:t>98,160</w:t>
            </w: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40" w:type="dxa"/>
            <w:vAlign w:val="bottom"/>
            <w:shd w:val="clear" w:color="auto" w:fill="CCEEFF"/>
          </w:tcPr>
          <w:p>
            <w:pPr>
              <w:jc w:val="right"/>
              <w:ind w:right="239"/>
              <w:spacing w:after="0" w:line="90" w:lineRule="exact"/>
              <w:rPr>
                <w:sz w:val="20"/>
                <w:szCs w:val="20"/>
                <w:color w:val="auto"/>
              </w:rPr>
            </w:pPr>
            <w:r>
              <w:rPr>
                <w:rFonts w:ascii="Arial" w:cs="Arial" w:eastAsia="Arial" w:hAnsi="Arial"/>
                <w:sz w:val="8"/>
                <w:szCs w:val="8"/>
                <w:color w:val="auto"/>
              </w:rPr>
              <w:t>98,160</w:t>
            </w:r>
          </w:p>
        </w:tc>
        <w:tc>
          <w:tcPr>
            <w:tcW w:w="6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880" w:type="dxa"/>
            <w:vAlign w:val="bottom"/>
            <w:gridSpan w:val="2"/>
            <w:shd w:val="clear" w:color="auto" w:fill="CCEEFF"/>
          </w:tcPr>
          <w:p>
            <w:pPr>
              <w:jc w:val="right"/>
              <w:ind w:right="164"/>
              <w:spacing w:after="0" w:line="90" w:lineRule="exact"/>
              <w:rPr>
                <w:sz w:val="20"/>
                <w:szCs w:val="20"/>
                <w:color w:val="auto"/>
              </w:rPr>
            </w:pPr>
            <w:r>
              <w:rPr>
                <w:rFonts w:ascii="Arial" w:cs="Arial" w:eastAsia="Arial" w:hAnsi="Arial"/>
                <w:sz w:val="8"/>
                <w:szCs w:val="8"/>
                <w:color w:val="auto"/>
              </w:rPr>
              <w:t>1,538,167</w:t>
            </w:r>
          </w:p>
        </w:tc>
        <w:tc>
          <w:tcPr>
            <w:tcW w:w="3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60" w:type="dxa"/>
            <w:vAlign w:val="bottom"/>
            <w:shd w:val="clear" w:color="auto" w:fill="CCEEFF"/>
          </w:tcPr>
          <w:p>
            <w:pPr>
              <w:jc w:val="right"/>
              <w:ind w:right="99"/>
              <w:spacing w:after="0"/>
              <w:rPr>
                <w:sz w:val="20"/>
                <w:szCs w:val="20"/>
                <w:color w:val="auto"/>
              </w:rPr>
            </w:pPr>
            <w:r>
              <w:rPr>
                <w:rFonts w:ascii="Arial" w:cs="Arial" w:eastAsia="Arial" w:hAnsi="Arial"/>
                <w:sz w:val="8"/>
                <w:szCs w:val="8"/>
                <w:color w:val="auto"/>
              </w:rPr>
              <w:t>12/18/2009</w:t>
            </w:r>
          </w:p>
        </w:tc>
        <w:tc>
          <w:tcPr>
            <w:tcW w:w="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24"/>
              <w:spacing w:after="0"/>
              <w:rPr>
                <w:sz w:val="20"/>
                <w:szCs w:val="20"/>
                <w:color w:val="auto"/>
              </w:rPr>
            </w:pPr>
            <w:r>
              <w:rPr>
                <w:rFonts w:ascii="Arial" w:cs="Arial" w:eastAsia="Arial" w:hAnsi="Arial"/>
                <w:sz w:val="8"/>
                <w:szCs w:val="8"/>
                <w:color w:val="auto"/>
              </w:rPr>
              <w:t>130,860</w:t>
            </w:r>
          </w:p>
        </w:tc>
        <w:tc>
          <w:tcPr>
            <w:tcW w:w="800" w:type="dxa"/>
            <w:vAlign w:val="bottom"/>
            <w:gridSpan w:val="2"/>
            <w:shd w:val="clear" w:color="auto" w:fill="CCEEFF"/>
          </w:tcPr>
          <w:p>
            <w:pPr>
              <w:jc w:val="right"/>
              <w:ind w:right="244"/>
              <w:spacing w:after="0"/>
              <w:rPr>
                <w:sz w:val="20"/>
                <w:szCs w:val="20"/>
                <w:color w:val="auto"/>
              </w:rPr>
            </w:pPr>
            <w:r>
              <w:rPr>
                <w:rFonts w:ascii="Arial" w:cs="Arial" w:eastAsia="Arial" w:hAnsi="Arial"/>
                <w:sz w:val="8"/>
                <w:szCs w:val="8"/>
                <w:color w:val="auto"/>
              </w:rPr>
              <w:t>17.24</w:t>
            </w:r>
          </w:p>
        </w:tc>
        <w:tc>
          <w:tcPr>
            <w:tcW w:w="880" w:type="dxa"/>
            <w:vAlign w:val="bottom"/>
            <w:gridSpan w:val="2"/>
            <w:shd w:val="clear" w:color="auto" w:fill="CCEEFF"/>
          </w:tcPr>
          <w:p>
            <w:pPr>
              <w:jc w:val="right"/>
              <w:ind w:right="164"/>
              <w:spacing w:after="0"/>
              <w:rPr>
                <w:sz w:val="20"/>
                <w:szCs w:val="20"/>
                <w:color w:val="auto"/>
              </w:rPr>
            </w:pPr>
            <w:r>
              <w:rPr>
                <w:rFonts w:ascii="Arial" w:cs="Arial" w:eastAsia="Arial" w:hAnsi="Arial"/>
                <w:sz w:val="8"/>
                <w:szCs w:val="8"/>
                <w:color w:val="auto"/>
              </w:rPr>
              <w:t>692,249</w:t>
            </w:r>
          </w:p>
        </w:tc>
        <w:tc>
          <w:tcPr>
            <w:tcW w:w="3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57150</wp:posOffset>
            </wp:positionV>
            <wp:extent cx="823595"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23595" cy="5715"/>
                    </a:xfrm>
                    <a:prstGeom prst="rect">
                      <a:avLst/>
                    </a:prstGeom>
                    <a:noFill/>
                  </pic:spPr>
                </pic:pic>
              </a:graphicData>
            </a:graphic>
          </wp:anchor>
        </w:drawing>
      </w:r>
    </w:p>
    <w:p>
      <w:pPr>
        <w:spacing w:after="0" w:line="115" w:lineRule="exact"/>
        <w:rPr>
          <w:sz w:val="20"/>
          <w:szCs w:val="20"/>
          <w:color w:val="auto"/>
        </w:rPr>
      </w:pPr>
    </w:p>
    <w:p>
      <w:pPr>
        <w:ind w:left="980" w:right="80" w:hanging="232"/>
        <w:spacing w:after="0" w:line="281" w:lineRule="auto"/>
        <w:tabs>
          <w:tab w:leader="none" w:pos="980" w:val="left"/>
        </w:tabs>
        <w:numPr>
          <w:ilvl w:val="0"/>
          <w:numId w:val="20"/>
        </w:numPr>
        <w:rPr>
          <w:rFonts w:ascii="Arial" w:cs="Arial" w:eastAsia="Arial" w:hAnsi="Arial"/>
          <w:sz w:val="11"/>
          <w:szCs w:val="11"/>
          <w:color w:val="auto"/>
        </w:rPr>
      </w:pPr>
      <w:r>
        <w:rPr>
          <w:rFonts w:ascii="Arial" w:cs="Arial" w:eastAsia="Arial" w:hAnsi="Arial"/>
          <w:sz w:val="11"/>
          <w:szCs w:val="11"/>
          <w:color w:val="auto"/>
        </w:rPr>
        <w:t>Represents annual performance-based bonus awards granted to our named executive officers under our 2006 Cash Bonus Plan. The actual amounts earned with respect to these bonuses for 2009 are included in the “Summary Compensation Table for 2009” on page 40 under the “Non-Equity Incentive Plan Compensation” column (see footnote (5) to the “Summary Compensation Table for 2009”). As described above in “Compensation Discussion and Analysis — Elements and Mix of Our Compensation Program — Cash Bonus Incentive Compensation,” based on 2009 achievement of specified consolidated operating cash flow increases and free cash flow and revenue results, the named executive officers were entitled to receive 109% of their respective target amounts for their 2009 bonus. However, putting this achievement level in the context of lower levels of annual cash bonus achievement in 2009 by certain operating management (whose cash bonuses are based in large part on business unit operating metrics rather than consolidated financial performance), the named executive officers, prior to their bonuses being determined, advised the Compensation Committee of their recommendation that they only receive 98% of their target amounts.</w:t>
      </w:r>
    </w:p>
    <w:p>
      <w:pPr>
        <w:spacing w:after="0" w:line="8" w:lineRule="exact"/>
        <w:rPr>
          <w:rFonts w:ascii="Arial" w:cs="Arial" w:eastAsia="Arial" w:hAnsi="Arial"/>
          <w:sz w:val="11"/>
          <w:szCs w:val="11"/>
          <w:color w:val="auto"/>
        </w:rPr>
      </w:pPr>
    </w:p>
    <w:p>
      <w:pPr>
        <w:jc w:val="both"/>
        <w:ind w:left="980" w:right="320" w:hanging="232"/>
        <w:spacing w:after="0" w:line="263" w:lineRule="auto"/>
        <w:tabs>
          <w:tab w:leader="none" w:pos="98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amounts in this column represent shares of our Class A common stock underlying performance-based RSUs granted under our restricted stock plan. Subject to achieving specified increases in consolidated operating cash flow or free cash flow, as described above in “Compensation Discussion and Analysis — Elements and Mix of Our Compensation Program — Equity-Based Incentive Compensation,” shares</w:t>
      </w:r>
    </w:p>
    <w:p>
      <w:pPr>
        <w:spacing w:after="0" w:line="240"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97790</wp:posOffset>
            </wp:positionV>
            <wp:extent cx="7299325" cy="184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680"/>
          </w:cols>
          <w:pgMar w:left="220" w:top="327" w:right="999" w:bottom="1440" w:gutter="0" w:footer="0" w:header="0"/>
        </w:sectPr>
      </w:pPr>
    </w:p>
    <w:bookmarkStart w:id="47" w:name="page48"/>
    <w:bookmarkEnd w:id="47"/>
    <w:p>
      <w:pPr>
        <w:spacing w:after="0"/>
        <w:rPr>
          <w:rFonts w:ascii="Arial" w:cs="Arial" w:eastAsia="Arial" w:hAnsi="Arial"/>
          <w:sz w:val="12"/>
          <w:szCs w:val="12"/>
          <w:b w:val="1"/>
          <w:bCs w:val="1"/>
          <w:u w:val="single" w:color="auto"/>
          <w:color w:val="0000EE"/>
        </w:rPr>
      </w:pP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980" w:right="20"/>
        <w:spacing w:after="0" w:line="283" w:lineRule="auto"/>
        <w:rPr>
          <w:sz w:val="20"/>
          <w:szCs w:val="20"/>
          <w:color w:val="auto"/>
        </w:rPr>
      </w:pPr>
      <w:r>
        <w:rPr>
          <w:rFonts w:ascii="Arial" w:cs="Arial" w:eastAsia="Arial" w:hAnsi="Arial"/>
          <w:sz w:val="11"/>
          <w:szCs w:val="11"/>
          <w:color w:val="auto"/>
        </w:rPr>
        <w:t>subject to these RSUs will vest as follows: RSUs granted on March 20, 2009 and March 27, 2009 vest at the rate of 15% on the 13-month anniversary of the date of grant (April 20, 2010 for RSUs granted on March 20, 2009 and April 27, 2010 for RSUs granted on March 27, 2009), 15% on each of the second, third and fourth anniversaries of the date of grant (March 20, 2011, 2012 and 2013, respectively, for RSUs granted on March 20, 2009 and March 27, 2011, 2012 and 2013, respectively, for RSUs granted on March 27, 2009) and 40% on the fifth anniversary of the date of grant (March 20, 2014 for RSUs granted on March 20, 2009 and March 27, 2014 for RSUs granted on March 27, 2009); RSUs granted to Messrs. Angelakis and Burke on December 18, 2009 vest 100% on the 13-month anniversary of the date of grant (January 18, 2011); and RSUs granted to Mr. Block on December 18, 2009 vest at the rate of 15% on each of the first, second, third and fourth 13-month anniversaries of the date of grant (January 18, 2011, 2012, 2013 and 2014, respectively) and 40% on the fifth 13-month anniversary of the date of grant (January 18, 2015).</w:t>
      </w:r>
    </w:p>
    <w:p>
      <w:pPr>
        <w:spacing w:after="0" w:line="6" w:lineRule="exact"/>
        <w:rPr>
          <w:sz w:val="20"/>
          <w:szCs w:val="20"/>
          <w:color w:val="auto"/>
        </w:rPr>
      </w:pPr>
    </w:p>
    <w:p>
      <w:pPr>
        <w:ind w:left="980" w:hanging="232"/>
        <w:spacing w:after="0" w:line="313" w:lineRule="auto"/>
        <w:tabs>
          <w:tab w:leader="none" w:pos="980" w:val="left"/>
        </w:tabs>
        <w:numPr>
          <w:ilvl w:val="0"/>
          <w:numId w:val="21"/>
        </w:numPr>
        <w:rPr>
          <w:rFonts w:ascii="Arial" w:cs="Arial" w:eastAsia="Arial" w:hAnsi="Arial"/>
          <w:sz w:val="10"/>
          <w:szCs w:val="10"/>
          <w:color w:val="auto"/>
        </w:rPr>
      </w:pPr>
      <w:r>
        <w:rPr>
          <w:rFonts w:ascii="Arial" w:cs="Arial" w:eastAsia="Arial" w:hAnsi="Arial"/>
          <w:sz w:val="10"/>
          <w:szCs w:val="10"/>
          <w:color w:val="auto"/>
        </w:rPr>
        <w:t>The amounts in this column represent shares of our Class A common stock underlying stock options granted to our named executive officers under our 2003 Stock Option Plan. These options become exercisable as follows: 30% of the shares covered thereby become exercisable on the second anniversary of the date of grant (March 27, 2011 for options granted on March 27, 2009 and December 18, 2011 for options granted on December 18, 2009), 15% on each of the third, fourth and fifth anniversaries of the date of grant (March 27, 2012, 2013 and 2014, respectively, for options granted on March 27, 2009 and December 18, 2012, 2013 and 2014, respectively, for options granted on December 18, 2009), 5% on each of the sixth through ninth anniversaries of the date of grant (March 27, 2015, 2016, 2017 and 2018, respectively, for options granted on March 27, 2009 and December 18, 2015, 2016, 2017 and 2018, respectively, for options granted on December 18, 2009) and 5% on the nine and one-half year anniversary of the date of grant (September 27, 2018 for options granted on March 27, 2009 and June 18, 2019 for options granted on December 18, 2009).</w:t>
      </w:r>
    </w:p>
    <w:p>
      <w:pPr>
        <w:ind w:left="980" w:right="220" w:hanging="232"/>
        <w:spacing w:after="0" w:line="259" w:lineRule="auto"/>
        <w:tabs>
          <w:tab w:leader="none" w:pos="98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amounts in this column represent the grant date fair value of RSUs and stock options computed in accordance with FASB ASC Topic 718. These amounts do not necessarily correspond to the actual value that may be realized by the named executive officers. The grant date fair value of RSUs was determined as described in footnote (3) to the “Summary Compensation Table for 2009” beginning on page 40. Amounts with respect to stock options were calculated using the Black-Scholes option-pricing model, based upon the assumptions set forth in footnote (4) to the “Summary Compensation Table for 2009” beginning on page 40.</w:t>
      </w:r>
    </w:p>
    <w:p>
      <w:pPr>
        <w:spacing w:after="0" w:line="251"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97790</wp:posOffset>
            </wp:positionV>
            <wp:extent cx="7299325" cy="184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580"/>
          </w:cols>
          <w:pgMar w:left="220" w:top="327" w:right="1099" w:bottom="1440" w:gutter="0" w:footer="0" w:header="0"/>
        </w:sectPr>
      </w:pPr>
    </w:p>
    <w:bookmarkStart w:id="48" w:name="page49"/>
    <w:bookmarkEnd w:id="48"/>
    <w:p>
      <w:pPr>
        <w:spacing w:after="0"/>
        <w:rPr>
          <w:rFonts w:ascii="Arial" w:cs="Arial" w:eastAsia="Arial" w:hAnsi="Arial"/>
          <w:sz w:val="12"/>
          <w:szCs w:val="12"/>
          <w:b w:val="1"/>
          <w:bCs w:val="1"/>
          <w:u w:val="single" w:color="auto"/>
          <w:color w:val="0000EE"/>
        </w:rPr>
      </w:pPr>
      <w:hyperlink w:anchor="page4">
        <w:r>
          <w:rPr>
            <w:rFonts w:ascii="Arial" w:cs="Arial" w:eastAsia="Arial" w:hAnsi="Arial"/>
            <w:sz w:val="12"/>
            <w:szCs w:val="12"/>
            <w:b w:val="1"/>
            <w:bCs w:val="1"/>
            <w:u w:val="single" w:color="auto"/>
            <w:color w:val="0000EE"/>
          </w:rPr>
          <w:t>Table of Contents</w:t>
        </w:r>
      </w:hyperlink>
    </w:p>
    <w:p>
      <w:pPr>
        <w:spacing w:after="0" w:line="211" w:lineRule="exact"/>
        <w:rPr>
          <w:sz w:val="20"/>
          <w:szCs w:val="20"/>
          <w:color w:val="auto"/>
        </w:rPr>
      </w:pPr>
    </w:p>
    <w:p>
      <w:pPr>
        <w:ind w:left="680"/>
        <w:spacing w:after="0"/>
        <w:rPr>
          <w:sz w:val="20"/>
          <w:szCs w:val="20"/>
          <w:color w:val="auto"/>
        </w:rPr>
      </w:pPr>
      <w:r>
        <w:rPr>
          <w:rFonts w:ascii="Arial" w:cs="Arial" w:eastAsia="Arial" w:hAnsi="Arial"/>
          <w:sz w:val="12"/>
          <w:szCs w:val="12"/>
          <w:b w:val="1"/>
          <w:bCs w:val="1"/>
          <w:color w:val="auto"/>
        </w:rPr>
        <w:t>Outstanding Equity Awards at 2009 Fiscal Year-End</w:t>
      </w:r>
    </w:p>
    <w:p>
      <w:pPr>
        <w:spacing w:after="0" w:line="91" w:lineRule="exact"/>
        <w:rPr>
          <w:sz w:val="20"/>
          <w:szCs w:val="20"/>
          <w:color w:val="auto"/>
        </w:rPr>
      </w:pPr>
    </w:p>
    <w:p>
      <w:pPr>
        <w:ind w:left="680" w:right="40" w:firstLine="400"/>
        <w:spacing w:after="0" w:line="257" w:lineRule="auto"/>
        <w:rPr>
          <w:sz w:val="20"/>
          <w:szCs w:val="20"/>
          <w:color w:val="auto"/>
        </w:rPr>
      </w:pPr>
      <w:r>
        <w:rPr>
          <w:rFonts w:ascii="Arial" w:cs="Arial" w:eastAsia="Arial" w:hAnsi="Arial"/>
          <w:sz w:val="12"/>
          <w:szCs w:val="12"/>
          <w:color w:val="auto"/>
        </w:rPr>
        <w:t>The following table provides information on the holdings of stock option and stock awards by our named executive officers as of December 31, 2009. This table includes unexercised vested and unvested stock options (see columns (a), (b), (c) and (d)), unvested RSUs (see columns (e) and (f)) and unvested performance-based RSUs (see columns (g) and (h)). The vesting schedules for these grants are disclosed in the footnotes to this table. The market value of stock awards is based on the closing market price of a share of our Class A common stock as of December 31, 2009, or $16.86. The performance-based RSUs are subject to achieving specified increases in consolidated operating cash flow or free cash flow, as described in further detail above in “Compensation Discussion and Analysis — Elements and Mix of our Compensation Program — Equity-Based Incentive Compensation.”</w:t>
      </w:r>
    </w:p>
    <w:p>
      <w:pPr>
        <w:spacing w:after="0" w:line="70" w:lineRule="exact"/>
        <w:rPr>
          <w:sz w:val="20"/>
          <w:szCs w:val="20"/>
          <w:color w:val="auto"/>
        </w:rPr>
      </w:pPr>
    </w:p>
    <w:tbl>
      <w:tblPr>
        <w:tblLayout w:type="fixed"/>
        <w:tblInd w:w="680" w:type="dxa"/>
        <w:tblCellMar>
          <w:top w:w="0" w:type="dxa"/>
          <w:left w:w="0" w:type="dxa"/>
          <w:bottom w:w="0" w:type="dxa"/>
          <w:right w:w="0" w:type="dxa"/>
        </w:tblCellMar>
      </w:tblPr>
      <w:tr>
        <w:trPr>
          <w:trHeight w:val="101"/>
        </w:trPr>
        <w:tc>
          <w:tcPr>
            <w:tcW w:w="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gridSpan w:val="2"/>
          </w:tcPr>
          <w:p>
            <w:pPr>
              <w:ind w:left="680"/>
              <w:spacing w:after="0"/>
              <w:rPr>
                <w:sz w:val="20"/>
                <w:szCs w:val="20"/>
                <w:color w:val="auto"/>
              </w:rPr>
            </w:pPr>
            <w:r>
              <w:rPr>
                <w:rFonts w:ascii="Arial" w:cs="Arial" w:eastAsia="Arial" w:hAnsi="Arial"/>
                <w:sz w:val="8"/>
                <w:szCs w:val="8"/>
                <w:b w:val="1"/>
                <w:bCs w:val="1"/>
                <w:color w:val="auto"/>
                <w:w w:val="98"/>
              </w:rPr>
              <w:t>Option Awards</w:t>
            </w:r>
          </w:p>
        </w:tc>
        <w:tc>
          <w:tcPr>
            <w:tcW w:w="6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jc w:val="right"/>
              <w:ind w:right="358"/>
              <w:spacing w:after="0"/>
              <w:rPr>
                <w:sz w:val="20"/>
                <w:szCs w:val="20"/>
                <w:color w:val="auto"/>
              </w:rPr>
            </w:pPr>
            <w:r>
              <w:rPr>
                <w:rFonts w:ascii="Arial" w:cs="Arial" w:eastAsia="Arial" w:hAnsi="Arial"/>
                <w:sz w:val="8"/>
                <w:szCs w:val="8"/>
                <w:b w:val="1"/>
                <w:bCs w:val="1"/>
                <w:color w:val="auto"/>
                <w:w w:val="90"/>
              </w:rPr>
              <w:t>Stock Awards</w:t>
            </w:r>
          </w:p>
        </w:tc>
        <w:tc>
          <w:tcPr>
            <w:tcW w:w="3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80" w:type="dxa"/>
            <w:vAlign w:val="bottom"/>
          </w:tcPr>
          <w:p>
            <w:pPr>
              <w:jc w:val="center"/>
              <w:spacing w:after="0" w:line="69" w:lineRule="exact"/>
              <w:rPr>
                <w:sz w:val="20"/>
                <w:szCs w:val="20"/>
                <w:color w:val="auto"/>
              </w:rPr>
            </w:pPr>
            <w:r>
              <w:rPr>
                <w:rFonts w:ascii="Arial" w:cs="Arial" w:eastAsia="Arial" w:hAnsi="Arial"/>
                <w:sz w:val="7"/>
                <w:szCs w:val="7"/>
                <w:b w:val="1"/>
                <w:bCs w:val="1"/>
                <w:color w:val="auto"/>
              </w:rPr>
              <w:t>(h)</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80" w:type="dxa"/>
            <w:vAlign w:val="bottom"/>
          </w:tcPr>
          <w:p>
            <w:pPr>
              <w:jc w:val="center"/>
              <w:spacing w:after="0" w:line="90" w:lineRule="exact"/>
              <w:rPr>
                <w:sz w:val="20"/>
                <w:szCs w:val="20"/>
                <w:color w:val="auto"/>
              </w:rPr>
            </w:pPr>
            <w:r>
              <w:rPr>
                <w:rFonts w:ascii="Arial" w:cs="Arial" w:eastAsia="Arial" w:hAnsi="Arial"/>
                <w:sz w:val="8"/>
                <w:szCs w:val="8"/>
                <w:b w:val="1"/>
                <w:bCs w:val="1"/>
                <w:color w:val="auto"/>
              </w:rPr>
              <w:t>Equity</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7"/>
              </w:rPr>
              <w:t>(g)</w:t>
            </w:r>
          </w:p>
        </w:tc>
        <w:tc>
          <w:tcPr>
            <w:tcW w:w="340" w:type="dxa"/>
            <w:vAlign w:val="bottom"/>
          </w:tcPr>
          <w:p>
            <w:pPr>
              <w:spacing w:after="0"/>
              <w:rPr>
                <w:sz w:val="7"/>
                <w:szCs w:val="7"/>
                <w:color w:val="auto"/>
              </w:rPr>
            </w:pPr>
          </w:p>
        </w:tc>
        <w:tc>
          <w:tcPr>
            <w:tcW w:w="88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7"/>
              </w:rPr>
              <w:t>Incentive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tcPr>
          <w:p>
            <w:pPr>
              <w:jc w:val="center"/>
              <w:spacing w:after="0" w:line="90" w:lineRule="exact"/>
              <w:rPr>
                <w:sz w:val="20"/>
                <w:szCs w:val="20"/>
                <w:color w:val="auto"/>
              </w:rPr>
            </w:pPr>
            <w:r>
              <w:rPr>
                <w:rFonts w:ascii="Arial" w:cs="Arial" w:eastAsia="Arial" w:hAnsi="Arial"/>
                <w:sz w:val="8"/>
                <w:szCs w:val="8"/>
                <w:b w:val="1"/>
                <w:bCs w:val="1"/>
                <w:color w:val="auto"/>
              </w:rPr>
              <w:t>Equity</w:t>
            </w:r>
          </w:p>
        </w:tc>
        <w:tc>
          <w:tcPr>
            <w:tcW w:w="340" w:type="dxa"/>
            <w:vAlign w:val="bottom"/>
          </w:tcPr>
          <w:p>
            <w:pPr>
              <w:spacing w:after="0"/>
              <w:rPr>
                <w:sz w:val="7"/>
                <w:szCs w:val="7"/>
                <w:color w:val="auto"/>
              </w:rPr>
            </w:pPr>
          </w:p>
        </w:tc>
        <w:tc>
          <w:tcPr>
            <w:tcW w:w="880" w:type="dxa"/>
            <w:vAlign w:val="bottom"/>
          </w:tcPr>
          <w:p>
            <w:pPr>
              <w:jc w:val="center"/>
              <w:spacing w:after="0" w:line="90" w:lineRule="exact"/>
              <w:rPr>
                <w:sz w:val="20"/>
                <w:szCs w:val="20"/>
                <w:color w:val="auto"/>
              </w:rPr>
            </w:pPr>
            <w:r>
              <w:rPr>
                <w:rFonts w:ascii="Arial" w:cs="Arial" w:eastAsia="Arial" w:hAnsi="Arial"/>
                <w:sz w:val="8"/>
                <w:szCs w:val="8"/>
                <w:b w:val="1"/>
                <w:bCs w:val="1"/>
                <w:color w:val="auto"/>
              </w:rPr>
              <w:t>Plan</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7"/>
              </w:rPr>
              <w:t>Incentive</w:t>
            </w:r>
          </w:p>
        </w:tc>
        <w:tc>
          <w:tcPr>
            <w:tcW w:w="340" w:type="dxa"/>
            <w:vAlign w:val="bottom"/>
          </w:tcPr>
          <w:p>
            <w:pPr>
              <w:spacing w:after="0"/>
              <w:rPr>
                <w:sz w:val="7"/>
                <w:szCs w:val="7"/>
                <w:color w:val="auto"/>
              </w:rPr>
            </w:pPr>
          </w:p>
        </w:tc>
        <w:tc>
          <w:tcPr>
            <w:tcW w:w="88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4"/>
              </w:rPr>
              <w:t>Awards:</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tcPr>
          <w:p>
            <w:pPr>
              <w:jc w:val="center"/>
              <w:spacing w:after="0" w:line="90" w:lineRule="exact"/>
              <w:rPr>
                <w:sz w:val="20"/>
                <w:szCs w:val="20"/>
                <w:color w:val="auto"/>
              </w:rPr>
            </w:pPr>
            <w:r>
              <w:rPr>
                <w:rFonts w:ascii="Arial" w:cs="Arial" w:eastAsia="Arial" w:hAnsi="Arial"/>
                <w:sz w:val="8"/>
                <w:szCs w:val="8"/>
                <w:b w:val="1"/>
                <w:bCs w:val="1"/>
                <w:color w:val="auto"/>
              </w:rPr>
              <w:t>Plan</w:t>
            </w:r>
          </w:p>
        </w:tc>
        <w:tc>
          <w:tcPr>
            <w:tcW w:w="340" w:type="dxa"/>
            <w:vAlign w:val="bottom"/>
          </w:tcPr>
          <w:p>
            <w:pPr>
              <w:spacing w:after="0"/>
              <w:rPr>
                <w:sz w:val="7"/>
                <w:szCs w:val="7"/>
                <w:color w:val="auto"/>
              </w:rPr>
            </w:pPr>
          </w:p>
        </w:tc>
        <w:tc>
          <w:tcPr>
            <w:tcW w:w="880" w:type="dxa"/>
            <w:vAlign w:val="bottom"/>
          </w:tcPr>
          <w:p>
            <w:pPr>
              <w:jc w:val="center"/>
              <w:spacing w:after="0" w:line="90" w:lineRule="exact"/>
              <w:rPr>
                <w:sz w:val="20"/>
                <w:szCs w:val="20"/>
                <w:color w:val="auto"/>
              </w:rPr>
            </w:pPr>
            <w:r>
              <w:rPr>
                <w:rFonts w:ascii="Arial" w:cs="Arial" w:eastAsia="Arial" w:hAnsi="Arial"/>
                <w:sz w:val="8"/>
                <w:szCs w:val="8"/>
                <w:b w:val="1"/>
                <w:bCs w:val="1"/>
                <w:color w:val="auto"/>
              </w:rPr>
              <w:t>Market or</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4"/>
              </w:rPr>
              <w:t>Awards:</w:t>
            </w:r>
          </w:p>
        </w:tc>
        <w:tc>
          <w:tcPr>
            <w:tcW w:w="340" w:type="dxa"/>
            <w:vAlign w:val="bottom"/>
          </w:tcPr>
          <w:p>
            <w:pPr>
              <w:spacing w:after="0"/>
              <w:rPr>
                <w:sz w:val="7"/>
                <w:szCs w:val="7"/>
                <w:color w:val="auto"/>
              </w:rPr>
            </w:pPr>
          </w:p>
        </w:tc>
        <w:tc>
          <w:tcPr>
            <w:tcW w:w="88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7"/>
              </w:rPr>
              <w:t>Payout</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9"/>
              </w:rPr>
              <w:t>(f)</w:t>
            </w:r>
          </w:p>
        </w:tc>
        <w:tc>
          <w:tcPr>
            <w:tcW w:w="240" w:type="dxa"/>
            <w:vAlign w:val="bottom"/>
          </w:tcPr>
          <w:p>
            <w:pPr>
              <w:spacing w:after="0"/>
              <w:rPr>
                <w:sz w:val="7"/>
                <w:szCs w:val="7"/>
                <w:color w:val="auto"/>
              </w:rPr>
            </w:pPr>
          </w:p>
        </w:tc>
        <w:tc>
          <w:tcPr>
            <w:tcW w:w="90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4"/>
              </w:rPr>
              <w:t>Number of</w:t>
            </w:r>
          </w:p>
        </w:tc>
        <w:tc>
          <w:tcPr>
            <w:tcW w:w="340" w:type="dxa"/>
            <w:vAlign w:val="bottom"/>
          </w:tcPr>
          <w:p>
            <w:pPr>
              <w:spacing w:after="0"/>
              <w:rPr>
                <w:sz w:val="7"/>
                <w:szCs w:val="7"/>
                <w:color w:val="auto"/>
              </w:rPr>
            </w:pPr>
          </w:p>
        </w:tc>
        <w:tc>
          <w:tcPr>
            <w:tcW w:w="88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6"/>
              </w:rPr>
              <w:t>Value of</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jc w:val="center"/>
              <w:spacing w:after="0" w:line="90" w:lineRule="exact"/>
              <w:rPr>
                <w:sz w:val="20"/>
                <w:szCs w:val="20"/>
                <w:color w:val="auto"/>
              </w:rPr>
            </w:pPr>
            <w:r>
              <w:rPr>
                <w:rFonts w:ascii="Arial" w:cs="Arial" w:eastAsia="Arial" w:hAnsi="Arial"/>
                <w:sz w:val="8"/>
                <w:szCs w:val="8"/>
                <w:b w:val="1"/>
                <w:bCs w:val="1"/>
                <w:color w:val="auto"/>
              </w:rPr>
              <w:t>Market</w:t>
            </w:r>
          </w:p>
        </w:tc>
        <w:tc>
          <w:tcPr>
            <w:tcW w:w="240" w:type="dxa"/>
            <w:vAlign w:val="bottom"/>
          </w:tcPr>
          <w:p>
            <w:pPr>
              <w:spacing w:after="0"/>
              <w:rPr>
                <w:sz w:val="7"/>
                <w:szCs w:val="7"/>
                <w:color w:val="auto"/>
              </w:rPr>
            </w:pPr>
          </w:p>
        </w:tc>
        <w:tc>
          <w:tcPr>
            <w:tcW w:w="90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2"/>
              </w:rPr>
              <w:t>Unearned</w:t>
            </w:r>
          </w:p>
        </w:tc>
        <w:tc>
          <w:tcPr>
            <w:tcW w:w="340" w:type="dxa"/>
            <w:vAlign w:val="bottom"/>
          </w:tcPr>
          <w:p>
            <w:pPr>
              <w:spacing w:after="0"/>
              <w:rPr>
                <w:sz w:val="7"/>
                <w:szCs w:val="7"/>
                <w:color w:val="auto"/>
              </w:rPr>
            </w:pPr>
          </w:p>
        </w:tc>
        <w:tc>
          <w:tcPr>
            <w:tcW w:w="88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2"/>
              </w:rPr>
              <w:t>Unearned</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6"/>
              </w:rPr>
              <w:t>Value of</w:t>
            </w:r>
          </w:p>
        </w:tc>
        <w:tc>
          <w:tcPr>
            <w:tcW w:w="240" w:type="dxa"/>
            <w:vAlign w:val="bottom"/>
          </w:tcPr>
          <w:p>
            <w:pPr>
              <w:spacing w:after="0"/>
              <w:rPr>
                <w:sz w:val="7"/>
                <w:szCs w:val="7"/>
                <w:color w:val="auto"/>
              </w:rPr>
            </w:pPr>
          </w:p>
        </w:tc>
        <w:tc>
          <w:tcPr>
            <w:tcW w:w="90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89"/>
              </w:rPr>
              <w:t>Shares,</w:t>
            </w:r>
          </w:p>
        </w:tc>
        <w:tc>
          <w:tcPr>
            <w:tcW w:w="340" w:type="dxa"/>
            <w:vAlign w:val="bottom"/>
          </w:tcPr>
          <w:p>
            <w:pPr>
              <w:spacing w:after="0"/>
              <w:rPr>
                <w:sz w:val="7"/>
                <w:szCs w:val="7"/>
                <w:color w:val="auto"/>
              </w:rPr>
            </w:pPr>
          </w:p>
        </w:tc>
        <w:tc>
          <w:tcPr>
            <w:tcW w:w="88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89"/>
              </w:rPr>
              <w:t>Shares,</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jc w:val="center"/>
              <w:spacing w:after="0" w:line="90" w:lineRule="exact"/>
              <w:rPr>
                <w:sz w:val="20"/>
                <w:szCs w:val="20"/>
                <w:color w:val="auto"/>
              </w:rPr>
            </w:pPr>
            <w:r>
              <w:rPr>
                <w:rFonts w:ascii="Arial" w:cs="Arial" w:eastAsia="Arial" w:hAnsi="Arial"/>
                <w:sz w:val="8"/>
                <w:szCs w:val="8"/>
                <w:b w:val="1"/>
                <w:bCs w:val="1"/>
                <w:color w:val="auto"/>
              </w:rPr>
              <w:t>(a)</w:t>
            </w:r>
          </w:p>
        </w:tc>
        <w:tc>
          <w:tcPr>
            <w:tcW w:w="240" w:type="dxa"/>
            <w:vAlign w:val="bottom"/>
          </w:tcPr>
          <w:p>
            <w:pPr>
              <w:spacing w:after="0"/>
              <w:rPr>
                <w:sz w:val="7"/>
                <w:szCs w:val="7"/>
                <w:color w:val="auto"/>
              </w:rPr>
            </w:pPr>
          </w:p>
        </w:tc>
        <w:tc>
          <w:tcPr>
            <w:tcW w:w="1260" w:type="dxa"/>
            <w:vAlign w:val="bottom"/>
            <w:gridSpan w:val="2"/>
          </w:tcPr>
          <w:p>
            <w:pPr>
              <w:jc w:val="center"/>
              <w:ind w:right="240"/>
              <w:spacing w:after="0" w:line="90" w:lineRule="exact"/>
              <w:rPr>
                <w:sz w:val="20"/>
                <w:szCs w:val="20"/>
                <w:color w:val="auto"/>
              </w:rPr>
            </w:pPr>
            <w:r>
              <w:rPr>
                <w:rFonts w:ascii="Arial" w:cs="Arial" w:eastAsia="Arial" w:hAnsi="Arial"/>
                <w:sz w:val="8"/>
                <w:szCs w:val="8"/>
                <w:b w:val="1"/>
                <w:bCs w:val="1"/>
                <w:color w:val="auto"/>
                <w:w w:val="97"/>
              </w:rPr>
              <w:t>(b)</w:t>
            </w: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jc w:val="center"/>
              <w:spacing w:after="0" w:line="90" w:lineRule="exact"/>
              <w:rPr>
                <w:sz w:val="20"/>
                <w:szCs w:val="20"/>
                <w:color w:val="auto"/>
              </w:rPr>
            </w:pPr>
            <w:r>
              <w:rPr>
                <w:rFonts w:ascii="Arial" w:cs="Arial" w:eastAsia="Arial" w:hAnsi="Arial"/>
                <w:sz w:val="8"/>
                <w:szCs w:val="8"/>
                <w:b w:val="1"/>
                <w:bCs w:val="1"/>
                <w:color w:val="auto"/>
              </w:rPr>
              <w:t>(e)</w:t>
            </w:r>
          </w:p>
        </w:tc>
        <w:tc>
          <w:tcPr>
            <w:tcW w:w="240" w:type="dxa"/>
            <w:vAlign w:val="bottom"/>
          </w:tcPr>
          <w:p>
            <w:pPr>
              <w:spacing w:after="0"/>
              <w:rPr>
                <w:sz w:val="7"/>
                <w:szCs w:val="7"/>
                <w:color w:val="auto"/>
              </w:rPr>
            </w:pPr>
          </w:p>
        </w:tc>
        <w:tc>
          <w:tcPr>
            <w:tcW w:w="48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1"/>
              </w:rPr>
              <w:t>Shares or</w:t>
            </w:r>
          </w:p>
        </w:tc>
        <w:tc>
          <w:tcPr>
            <w:tcW w:w="240" w:type="dxa"/>
            <w:vAlign w:val="bottom"/>
          </w:tcPr>
          <w:p>
            <w:pPr>
              <w:spacing w:after="0"/>
              <w:rPr>
                <w:sz w:val="7"/>
                <w:szCs w:val="7"/>
                <w:color w:val="auto"/>
              </w:rPr>
            </w:pPr>
          </w:p>
        </w:tc>
        <w:tc>
          <w:tcPr>
            <w:tcW w:w="90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9"/>
              </w:rPr>
              <w:t>Units or</w:t>
            </w:r>
          </w:p>
        </w:tc>
        <w:tc>
          <w:tcPr>
            <w:tcW w:w="340" w:type="dxa"/>
            <w:vAlign w:val="bottom"/>
          </w:tcPr>
          <w:p>
            <w:pPr>
              <w:spacing w:after="0"/>
              <w:rPr>
                <w:sz w:val="7"/>
                <w:szCs w:val="7"/>
                <w:color w:val="auto"/>
              </w:rPr>
            </w:pPr>
          </w:p>
        </w:tc>
        <w:tc>
          <w:tcPr>
            <w:tcW w:w="88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9"/>
              </w:rPr>
              <w:t>Units or</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9"/>
              </w:rPr>
              <w:t>Number of</w:t>
            </w:r>
          </w:p>
        </w:tc>
        <w:tc>
          <w:tcPr>
            <w:tcW w:w="240" w:type="dxa"/>
            <w:vAlign w:val="bottom"/>
          </w:tcPr>
          <w:p>
            <w:pPr>
              <w:spacing w:after="0"/>
              <w:rPr>
                <w:sz w:val="7"/>
                <w:szCs w:val="7"/>
                <w:color w:val="auto"/>
              </w:rPr>
            </w:pPr>
          </w:p>
        </w:tc>
        <w:tc>
          <w:tcPr>
            <w:tcW w:w="1260" w:type="dxa"/>
            <w:vAlign w:val="bottom"/>
            <w:gridSpan w:val="2"/>
          </w:tcPr>
          <w:p>
            <w:pPr>
              <w:jc w:val="center"/>
              <w:ind w:right="240"/>
              <w:spacing w:after="0" w:line="90" w:lineRule="exact"/>
              <w:rPr>
                <w:sz w:val="20"/>
                <w:szCs w:val="20"/>
                <w:color w:val="auto"/>
              </w:rPr>
            </w:pPr>
            <w:r>
              <w:rPr>
                <w:rFonts w:ascii="Arial" w:cs="Arial" w:eastAsia="Arial" w:hAnsi="Arial"/>
                <w:sz w:val="8"/>
                <w:szCs w:val="8"/>
                <w:b w:val="1"/>
                <w:bCs w:val="1"/>
                <w:color w:val="auto"/>
                <w:w w:val="94"/>
              </w:rPr>
              <w:t>Number of</w:t>
            </w: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9"/>
              </w:rPr>
              <w:t>Number of</w:t>
            </w:r>
          </w:p>
        </w:tc>
        <w:tc>
          <w:tcPr>
            <w:tcW w:w="240" w:type="dxa"/>
            <w:vAlign w:val="bottom"/>
          </w:tcPr>
          <w:p>
            <w:pPr>
              <w:spacing w:after="0"/>
              <w:rPr>
                <w:sz w:val="7"/>
                <w:szCs w:val="7"/>
                <w:color w:val="auto"/>
              </w:rPr>
            </w:pPr>
          </w:p>
        </w:tc>
        <w:tc>
          <w:tcPr>
            <w:tcW w:w="48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3"/>
              </w:rPr>
              <w:t>Units of</w:t>
            </w:r>
          </w:p>
        </w:tc>
        <w:tc>
          <w:tcPr>
            <w:tcW w:w="240" w:type="dxa"/>
            <w:vAlign w:val="bottom"/>
          </w:tcPr>
          <w:p>
            <w:pPr>
              <w:spacing w:after="0"/>
              <w:rPr>
                <w:sz w:val="7"/>
                <w:szCs w:val="7"/>
                <w:color w:val="auto"/>
              </w:rPr>
            </w:pPr>
          </w:p>
        </w:tc>
        <w:tc>
          <w:tcPr>
            <w:tcW w:w="900" w:type="dxa"/>
            <w:vAlign w:val="bottom"/>
          </w:tcPr>
          <w:p>
            <w:pPr>
              <w:jc w:val="center"/>
              <w:spacing w:after="0" w:line="90" w:lineRule="exact"/>
              <w:rPr>
                <w:sz w:val="20"/>
                <w:szCs w:val="20"/>
                <w:color w:val="auto"/>
              </w:rPr>
            </w:pPr>
            <w:r>
              <w:rPr>
                <w:rFonts w:ascii="Arial" w:cs="Arial" w:eastAsia="Arial" w:hAnsi="Arial"/>
                <w:sz w:val="8"/>
                <w:szCs w:val="8"/>
                <w:b w:val="1"/>
                <w:bCs w:val="1"/>
                <w:color w:val="auto"/>
              </w:rPr>
              <w:t>Other</w:t>
            </w:r>
          </w:p>
        </w:tc>
        <w:tc>
          <w:tcPr>
            <w:tcW w:w="340" w:type="dxa"/>
            <w:vAlign w:val="bottom"/>
          </w:tcPr>
          <w:p>
            <w:pPr>
              <w:spacing w:after="0"/>
              <w:rPr>
                <w:sz w:val="7"/>
                <w:szCs w:val="7"/>
                <w:color w:val="auto"/>
              </w:rPr>
            </w:pPr>
          </w:p>
        </w:tc>
        <w:tc>
          <w:tcPr>
            <w:tcW w:w="880" w:type="dxa"/>
            <w:vAlign w:val="bottom"/>
          </w:tcPr>
          <w:p>
            <w:pPr>
              <w:jc w:val="center"/>
              <w:spacing w:after="0" w:line="90" w:lineRule="exact"/>
              <w:rPr>
                <w:sz w:val="20"/>
                <w:szCs w:val="20"/>
                <w:color w:val="auto"/>
              </w:rPr>
            </w:pPr>
            <w:r>
              <w:rPr>
                <w:rFonts w:ascii="Arial" w:cs="Arial" w:eastAsia="Arial" w:hAnsi="Arial"/>
                <w:sz w:val="8"/>
                <w:szCs w:val="8"/>
                <w:b w:val="1"/>
                <w:bCs w:val="1"/>
                <w:color w:val="auto"/>
              </w:rPr>
              <w:t>Other</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4"/>
              </w:rPr>
              <w:t>Securities</w:t>
            </w:r>
          </w:p>
        </w:tc>
        <w:tc>
          <w:tcPr>
            <w:tcW w:w="240" w:type="dxa"/>
            <w:vAlign w:val="bottom"/>
          </w:tcPr>
          <w:p>
            <w:pPr>
              <w:spacing w:after="0"/>
              <w:rPr>
                <w:sz w:val="7"/>
                <w:szCs w:val="7"/>
                <w:color w:val="auto"/>
              </w:rPr>
            </w:pPr>
          </w:p>
        </w:tc>
        <w:tc>
          <w:tcPr>
            <w:tcW w:w="1260" w:type="dxa"/>
            <w:vAlign w:val="bottom"/>
            <w:gridSpan w:val="2"/>
          </w:tcPr>
          <w:p>
            <w:pPr>
              <w:jc w:val="center"/>
              <w:ind w:right="240"/>
              <w:spacing w:after="0" w:line="90" w:lineRule="exact"/>
              <w:rPr>
                <w:sz w:val="20"/>
                <w:szCs w:val="20"/>
                <w:color w:val="auto"/>
              </w:rPr>
            </w:pPr>
            <w:r>
              <w:rPr>
                <w:rFonts w:ascii="Arial" w:cs="Arial" w:eastAsia="Arial" w:hAnsi="Arial"/>
                <w:sz w:val="8"/>
                <w:szCs w:val="8"/>
                <w:b w:val="1"/>
                <w:bCs w:val="1"/>
                <w:color w:val="auto"/>
                <w:w w:val="88"/>
              </w:rPr>
              <w:t>Securities</w:t>
            </w: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1"/>
              </w:rPr>
              <w:t>Shares or</w:t>
            </w:r>
          </w:p>
        </w:tc>
        <w:tc>
          <w:tcPr>
            <w:tcW w:w="240" w:type="dxa"/>
            <w:vAlign w:val="bottom"/>
          </w:tcPr>
          <w:p>
            <w:pPr>
              <w:spacing w:after="0"/>
              <w:rPr>
                <w:sz w:val="7"/>
                <w:szCs w:val="7"/>
                <w:color w:val="auto"/>
              </w:rPr>
            </w:pPr>
          </w:p>
        </w:tc>
        <w:tc>
          <w:tcPr>
            <w:tcW w:w="48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1"/>
              </w:rPr>
              <w:t>Stock</w:t>
            </w:r>
          </w:p>
        </w:tc>
        <w:tc>
          <w:tcPr>
            <w:tcW w:w="240" w:type="dxa"/>
            <w:vAlign w:val="bottom"/>
          </w:tcPr>
          <w:p>
            <w:pPr>
              <w:spacing w:after="0"/>
              <w:rPr>
                <w:sz w:val="7"/>
                <w:szCs w:val="7"/>
                <w:color w:val="auto"/>
              </w:rPr>
            </w:pPr>
          </w:p>
        </w:tc>
        <w:tc>
          <w:tcPr>
            <w:tcW w:w="90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88"/>
              </w:rPr>
              <w:t>Rights</w:t>
            </w:r>
          </w:p>
        </w:tc>
        <w:tc>
          <w:tcPr>
            <w:tcW w:w="340" w:type="dxa"/>
            <w:vAlign w:val="bottom"/>
          </w:tcPr>
          <w:p>
            <w:pPr>
              <w:spacing w:after="0"/>
              <w:rPr>
                <w:sz w:val="7"/>
                <w:szCs w:val="7"/>
                <w:color w:val="auto"/>
              </w:rPr>
            </w:pPr>
          </w:p>
        </w:tc>
        <w:tc>
          <w:tcPr>
            <w:tcW w:w="88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88"/>
              </w:rPr>
              <w:t>Rights</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5"/>
              </w:rPr>
              <w:t>Underlying</w:t>
            </w:r>
          </w:p>
        </w:tc>
        <w:tc>
          <w:tcPr>
            <w:tcW w:w="240" w:type="dxa"/>
            <w:vAlign w:val="bottom"/>
          </w:tcPr>
          <w:p>
            <w:pPr>
              <w:spacing w:after="0"/>
              <w:rPr>
                <w:sz w:val="7"/>
                <w:szCs w:val="7"/>
                <w:color w:val="auto"/>
              </w:rPr>
            </w:pPr>
          </w:p>
        </w:tc>
        <w:tc>
          <w:tcPr>
            <w:tcW w:w="1260" w:type="dxa"/>
            <w:vAlign w:val="bottom"/>
            <w:gridSpan w:val="2"/>
          </w:tcPr>
          <w:p>
            <w:pPr>
              <w:jc w:val="center"/>
              <w:ind w:right="220"/>
              <w:spacing w:after="0" w:line="90" w:lineRule="exact"/>
              <w:rPr>
                <w:sz w:val="20"/>
                <w:szCs w:val="20"/>
                <w:color w:val="auto"/>
              </w:rPr>
            </w:pPr>
            <w:r>
              <w:rPr>
                <w:rFonts w:ascii="Arial" w:cs="Arial" w:eastAsia="Arial" w:hAnsi="Arial"/>
                <w:sz w:val="8"/>
                <w:szCs w:val="8"/>
                <w:b w:val="1"/>
                <w:bCs w:val="1"/>
                <w:color w:val="auto"/>
                <w:w w:val="95"/>
              </w:rPr>
              <w:t>Underlying</w:t>
            </w:r>
          </w:p>
        </w:tc>
        <w:tc>
          <w:tcPr>
            <w:tcW w:w="640" w:type="dxa"/>
            <w:vAlign w:val="bottom"/>
          </w:tcPr>
          <w:p>
            <w:pPr>
              <w:jc w:val="center"/>
              <w:spacing w:after="0" w:line="90" w:lineRule="exact"/>
              <w:rPr>
                <w:sz w:val="20"/>
                <w:szCs w:val="20"/>
                <w:color w:val="auto"/>
              </w:rPr>
            </w:pPr>
            <w:r>
              <w:rPr>
                <w:rFonts w:ascii="Arial" w:cs="Arial" w:eastAsia="Arial" w:hAnsi="Arial"/>
                <w:sz w:val="8"/>
                <w:szCs w:val="8"/>
                <w:b w:val="1"/>
                <w:bCs w:val="1"/>
                <w:color w:val="auto"/>
              </w:rPr>
              <w:t>(c)</w:t>
            </w:r>
          </w:p>
        </w:tc>
        <w:tc>
          <w:tcPr>
            <w:tcW w:w="240" w:type="dxa"/>
            <w:vAlign w:val="bottom"/>
          </w:tcPr>
          <w:p>
            <w:pPr>
              <w:spacing w:after="0"/>
              <w:rPr>
                <w:sz w:val="7"/>
                <w:szCs w:val="7"/>
                <w:color w:val="auto"/>
              </w:rPr>
            </w:pPr>
          </w:p>
        </w:tc>
        <w:tc>
          <w:tcPr>
            <w:tcW w:w="84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7"/>
              </w:rPr>
              <w:t>(d)</w:t>
            </w:r>
          </w:p>
        </w:tc>
        <w:tc>
          <w:tcPr>
            <w:tcW w:w="240" w:type="dxa"/>
            <w:vAlign w:val="bottom"/>
          </w:tcPr>
          <w:p>
            <w:pPr>
              <w:spacing w:after="0"/>
              <w:rPr>
                <w:sz w:val="7"/>
                <w:szCs w:val="7"/>
                <w:color w:val="auto"/>
              </w:rPr>
            </w:pPr>
          </w:p>
        </w:tc>
        <w:tc>
          <w:tcPr>
            <w:tcW w:w="64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3"/>
              </w:rPr>
              <w:t>Units of</w:t>
            </w:r>
          </w:p>
        </w:tc>
        <w:tc>
          <w:tcPr>
            <w:tcW w:w="240" w:type="dxa"/>
            <w:vAlign w:val="bottom"/>
          </w:tcPr>
          <w:p>
            <w:pPr>
              <w:spacing w:after="0"/>
              <w:rPr>
                <w:sz w:val="7"/>
                <w:szCs w:val="7"/>
                <w:color w:val="auto"/>
              </w:rPr>
            </w:pPr>
          </w:p>
        </w:tc>
        <w:tc>
          <w:tcPr>
            <w:tcW w:w="480" w:type="dxa"/>
            <w:vAlign w:val="bottom"/>
          </w:tcPr>
          <w:p>
            <w:pPr>
              <w:jc w:val="center"/>
              <w:spacing w:after="0" w:line="90" w:lineRule="exact"/>
              <w:rPr>
                <w:sz w:val="20"/>
                <w:szCs w:val="20"/>
                <w:color w:val="auto"/>
              </w:rPr>
            </w:pPr>
            <w:r>
              <w:rPr>
                <w:rFonts w:ascii="Arial" w:cs="Arial" w:eastAsia="Arial" w:hAnsi="Arial"/>
                <w:sz w:val="8"/>
                <w:szCs w:val="8"/>
                <w:b w:val="1"/>
                <w:bCs w:val="1"/>
                <w:color w:val="auto"/>
              </w:rPr>
              <w:t>That</w:t>
            </w:r>
          </w:p>
        </w:tc>
        <w:tc>
          <w:tcPr>
            <w:tcW w:w="240" w:type="dxa"/>
            <w:vAlign w:val="bottom"/>
          </w:tcPr>
          <w:p>
            <w:pPr>
              <w:spacing w:after="0"/>
              <w:rPr>
                <w:sz w:val="7"/>
                <w:szCs w:val="7"/>
                <w:color w:val="auto"/>
              </w:rPr>
            </w:pPr>
          </w:p>
        </w:tc>
        <w:tc>
          <w:tcPr>
            <w:tcW w:w="900" w:type="dxa"/>
            <w:vAlign w:val="bottom"/>
          </w:tcPr>
          <w:p>
            <w:pPr>
              <w:jc w:val="center"/>
              <w:spacing w:after="0" w:line="90" w:lineRule="exact"/>
              <w:rPr>
                <w:sz w:val="20"/>
                <w:szCs w:val="20"/>
                <w:color w:val="auto"/>
              </w:rPr>
            </w:pPr>
            <w:r>
              <w:rPr>
                <w:rFonts w:ascii="Arial" w:cs="Arial" w:eastAsia="Arial" w:hAnsi="Arial"/>
                <w:sz w:val="8"/>
                <w:szCs w:val="8"/>
                <w:b w:val="1"/>
                <w:bCs w:val="1"/>
                <w:color w:val="auto"/>
              </w:rPr>
              <w:t>That</w:t>
            </w:r>
          </w:p>
        </w:tc>
        <w:tc>
          <w:tcPr>
            <w:tcW w:w="340" w:type="dxa"/>
            <w:vAlign w:val="bottom"/>
          </w:tcPr>
          <w:p>
            <w:pPr>
              <w:spacing w:after="0"/>
              <w:rPr>
                <w:sz w:val="7"/>
                <w:szCs w:val="7"/>
                <w:color w:val="auto"/>
              </w:rPr>
            </w:pPr>
          </w:p>
        </w:tc>
        <w:tc>
          <w:tcPr>
            <w:tcW w:w="880" w:type="dxa"/>
            <w:vAlign w:val="bottom"/>
          </w:tcPr>
          <w:p>
            <w:pPr>
              <w:jc w:val="center"/>
              <w:spacing w:after="0" w:line="90" w:lineRule="exact"/>
              <w:rPr>
                <w:sz w:val="20"/>
                <w:szCs w:val="20"/>
                <w:color w:val="auto"/>
              </w:rPr>
            </w:pPr>
            <w:r>
              <w:rPr>
                <w:rFonts w:ascii="Arial" w:cs="Arial" w:eastAsia="Arial" w:hAnsi="Arial"/>
                <w:sz w:val="8"/>
                <w:szCs w:val="8"/>
                <w:b w:val="1"/>
                <w:bCs w:val="1"/>
                <w:color w:val="auto"/>
              </w:rPr>
              <w:t>That</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2"/>
              </w:rPr>
              <w:t>Unexercised</w:t>
            </w:r>
          </w:p>
        </w:tc>
        <w:tc>
          <w:tcPr>
            <w:tcW w:w="240" w:type="dxa"/>
            <w:vAlign w:val="bottom"/>
          </w:tcPr>
          <w:p>
            <w:pPr>
              <w:spacing w:after="0"/>
              <w:rPr>
                <w:sz w:val="7"/>
                <w:szCs w:val="7"/>
                <w:color w:val="auto"/>
              </w:rPr>
            </w:pPr>
          </w:p>
        </w:tc>
        <w:tc>
          <w:tcPr>
            <w:tcW w:w="1260" w:type="dxa"/>
            <w:vAlign w:val="bottom"/>
            <w:gridSpan w:val="2"/>
          </w:tcPr>
          <w:p>
            <w:pPr>
              <w:jc w:val="center"/>
              <w:ind w:right="220"/>
              <w:spacing w:after="0" w:line="90" w:lineRule="exact"/>
              <w:rPr>
                <w:sz w:val="20"/>
                <w:szCs w:val="20"/>
                <w:color w:val="auto"/>
              </w:rPr>
            </w:pPr>
            <w:r>
              <w:rPr>
                <w:rFonts w:ascii="Arial" w:cs="Arial" w:eastAsia="Arial" w:hAnsi="Arial"/>
                <w:sz w:val="8"/>
                <w:szCs w:val="8"/>
                <w:b w:val="1"/>
                <w:bCs w:val="1"/>
                <w:color w:val="auto"/>
                <w:w w:val="92"/>
              </w:rPr>
              <w:t>Unexercised</w:t>
            </w:r>
          </w:p>
        </w:tc>
        <w:tc>
          <w:tcPr>
            <w:tcW w:w="64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2"/>
              </w:rPr>
              <w:t>Option</w:t>
            </w:r>
          </w:p>
        </w:tc>
        <w:tc>
          <w:tcPr>
            <w:tcW w:w="240" w:type="dxa"/>
            <w:vAlign w:val="bottom"/>
          </w:tcPr>
          <w:p>
            <w:pPr>
              <w:spacing w:after="0"/>
              <w:rPr>
                <w:sz w:val="7"/>
                <w:szCs w:val="7"/>
                <w:color w:val="auto"/>
              </w:rPr>
            </w:pPr>
          </w:p>
        </w:tc>
        <w:tc>
          <w:tcPr>
            <w:tcW w:w="840" w:type="dxa"/>
            <w:vAlign w:val="bottom"/>
          </w:tcPr>
          <w:p>
            <w:pPr>
              <w:jc w:val="center"/>
              <w:spacing w:after="0" w:line="90" w:lineRule="exact"/>
              <w:rPr>
                <w:sz w:val="20"/>
                <w:szCs w:val="20"/>
                <w:color w:val="auto"/>
              </w:rPr>
            </w:pPr>
            <w:r>
              <w:rPr>
                <w:rFonts w:ascii="Arial" w:cs="Arial" w:eastAsia="Arial" w:hAnsi="Arial"/>
                <w:sz w:val="8"/>
                <w:szCs w:val="8"/>
                <w:b w:val="1"/>
                <w:bCs w:val="1"/>
                <w:color w:val="auto"/>
              </w:rPr>
              <w:t>Option</w:t>
            </w:r>
          </w:p>
        </w:tc>
        <w:tc>
          <w:tcPr>
            <w:tcW w:w="240" w:type="dxa"/>
            <w:vAlign w:val="bottom"/>
          </w:tcPr>
          <w:p>
            <w:pPr>
              <w:spacing w:after="0"/>
              <w:rPr>
                <w:sz w:val="7"/>
                <w:szCs w:val="7"/>
                <w:color w:val="auto"/>
              </w:rPr>
            </w:pPr>
          </w:p>
        </w:tc>
        <w:tc>
          <w:tcPr>
            <w:tcW w:w="64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7"/>
              </w:rPr>
              <w:t>Stock That</w:t>
            </w:r>
          </w:p>
        </w:tc>
        <w:tc>
          <w:tcPr>
            <w:tcW w:w="240" w:type="dxa"/>
            <w:vAlign w:val="bottom"/>
          </w:tcPr>
          <w:p>
            <w:pPr>
              <w:spacing w:after="0"/>
              <w:rPr>
                <w:sz w:val="7"/>
                <w:szCs w:val="7"/>
                <w:color w:val="auto"/>
              </w:rPr>
            </w:pPr>
          </w:p>
        </w:tc>
        <w:tc>
          <w:tcPr>
            <w:tcW w:w="48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3"/>
              </w:rPr>
              <w:t>Have</w:t>
            </w:r>
          </w:p>
        </w:tc>
        <w:tc>
          <w:tcPr>
            <w:tcW w:w="240" w:type="dxa"/>
            <w:vAlign w:val="bottom"/>
          </w:tcPr>
          <w:p>
            <w:pPr>
              <w:spacing w:after="0"/>
              <w:rPr>
                <w:sz w:val="7"/>
                <w:szCs w:val="7"/>
                <w:color w:val="auto"/>
              </w:rPr>
            </w:pPr>
          </w:p>
        </w:tc>
        <w:tc>
          <w:tcPr>
            <w:tcW w:w="90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3"/>
              </w:rPr>
              <w:t>Have</w:t>
            </w:r>
          </w:p>
        </w:tc>
        <w:tc>
          <w:tcPr>
            <w:tcW w:w="340" w:type="dxa"/>
            <w:vAlign w:val="bottom"/>
          </w:tcPr>
          <w:p>
            <w:pPr>
              <w:spacing w:after="0"/>
              <w:rPr>
                <w:sz w:val="7"/>
                <w:szCs w:val="7"/>
                <w:color w:val="auto"/>
              </w:rPr>
            </w:pPr>
          </w:p>
        </w:tc>
        <w:tc>
          <w:tcPr>
            <w:tcW w:w="88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3"/>
              </w:rPr>
              <w:t>Have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4"/>
              </w:rPr>
              <w:t>Options (#)</w:t>
            </w:r>
          </w:p>
        </w:tc>
        <w:tc>
          <w:tcPr>
            <w:tcW w:w="240" w:type="dxa"/>
            <w:vAlign w:val="bottom"/>
          </w:tcPr>
          <w:p>
            <w:pPr>
              <w:spacing w:after="0"/>
              <w:rPr>
                <w:sz w:val="7"/>
                <w:szCs w:val="7"/>
                <w:color w:val="auto"/>
              </w:rPr>
            </w:pPr>
          </w:p>
        </w:tc>
        <w:tc>
          <w:tcPr>
            <w:tcW w:w="1260" w:type="dxa"/>
            <w:vAlign w:val="bottom"/>
            <w:gridSpan w:val="2"/>
          </w:tcPr>
          <w:p>
            <w:pPr>
              <w:jc w:val="center"/>
              <w:ind w:right="220"/>
              <w:spacing w:after="0" w:line="90" w:lineRule="exact"/>
              <w:rPr>
                <w:sz w:val="20"/>
                <w:szCs w:val="20"/>
                <w:color w:val="auto"/>
              </w:rPr>
            </w:pPr>
            <w:r>
              <w:rPr>
                <w:rFonts w:ascii="Arial" w:cs="Arial" w:eastAsia="Arial" w:hAnsi="Arial"/>
                <w:sz w:val="8"/>
                <w:szCs w:val="8"/>
                <w:b w:val="1"/>
                <w:bCs w:val="1"/>
                <w:color w:val="auto"/>
                <w:w w:val="94"/>
              </w:rPr>
              <w:t>Options (#)</w:t>
            </w:r>
          </w:p>
        </w:tc>
        <w:tc>
          <w:tcPr>
            <w:tcW w:w="64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1"/>
              </w:rPr>
              <w:t>Exercise</w:t>
            </w:r>
          </w:p>
        </w:tc>
        <w:tc>
          <w:tcPr>
            <w:tcW w:w="240" w:type="dxa"/>
            <w:vAlign w:val="bottom"/>
          </w:tcPr>
          <w:p>
            <w:pPr>
              <w:spacing w:after="0"/>
              <w:rPr>
                <w:sz w:val="7"/>
                <w:szCs w:val="7"/>
                <w:color w:val="auto"/>
              </w:rPr>
            </w:pPr>
          </w:p>
        </w:tc>
        <w:tc>
          <w:tcPr>
            <w:tcW w:w="84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7"/>
              </w:rPr>
              <w:t>Expiration</w:t>
            </w:r>
          </w:p>
        </w:tc>
        <w:tc>
          <w:tcPr>
            <w:tcW w:w="240" w:type="dxa"/>
            <w:vAlign w:val="bottom"/>
          </w:tcPr>
          <w:p>
            <w:pPr>
              <w:spacing w:after="0"/>
              <w:rPr>
                <w:sz w:val="7"/>
                <w:szCs w:val="7"/>
                <w:color w:val="auto"/>
              </w:rPr>
            </w:pPr>
          </w:p>
        </w:tc>
        <w:tc>
          <w:tcPr>
            <w:tcW w:w="64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7"/>
              </w:rPr>
              <w:t>Have Not</w:t>
            </w:r>
          </w:p>
        </w:tc>
        <w:tc>
          <w:tcPr>
            <w:tcW w:w="240" w:type="dxa"/>
            <w:vAlign w:val="bottom"/>
          </w:tcPr>
          <w:p>
            <w:pPr>
              <w:spacing w:after="0"/>
              <w:rPr>
                <w:sz w:val="7"/>
                <w:szCs w:val="7"/>
                <w:color w:val="auto"/>
              </w:rPr>
            </w:pPr>
          </w:p>
        </w:tc>
        <w:tc>
          <w:tcPr>
            <w:tcW w:w="480" w:type="dxa"/>
            <w:vAlign w:val="bottom"/>
          </w:tcPr>
          <w:p>
            <w:pPr>
              <w:jc w:val="center"/>
              <w:spacing w:after="0" w:line="90" w:lineRule="exact"/>
              <w:rPr>
                <w:sz w:val="20"/>
                <w:szCs w:val="20"/>
                <w:color w:val="auto"/>
              </w:rPr>
            </w:pPr>
            <w:r>
              <w:rPr>
                <w:rFonts w:ascii="Arial" w:cs="Arial" w:eastAsia="Arial" w:hAnsi="Arial"/>
                <w:sz w:val="8"/>
                <w:szCs w:val="8"/>
                <w:b w:val="1"/>
                <w:bCs w:val="1"/>
                <w:color w:val="auto"/>
              </w:rPr>
              <w:t>Not</w:t>
            </w:r>
          </w:p>
        </w:tc>
        <w:tc>
          <w:tcPr>
            <w:tcW w:w="240" w:type="dxa"/>
            <w:vAlign w:val="bottom"/>
          </w:tcPr>
          <w:p>
            <w:pPr>
              <w:spacing w:after="0"/>
              <w:rPr>
                <w:sz w:val="7"/>
                <w:szCs w:val="7"/>
                <w:color w:val="auto"/>
              </w:rPr>
            </w:pPr>
          </w:p>
        </w:tc>
        <w:tc>
          <w:tcPr>
            <w:tcW w:w="900" w:type="dxa"/>
            <w:vAlign w:val="bottom"/>
          </w:tcPr>
          <w:p>
            <w:pPr>
              <w:jc w:val="center"/>
              <w:spacing w:after="0" w:line="90" w:lineRule="exact"/>
              <w:rPr>
                <w:sz w:val="20"/>
                <w:szCs w:val="20"/>
                <w:color w:val="auto"/>
              </w:rPr>
            </w:pPr>
            <w:r>
              <w:rPr>
                <w:rFonts w:ascii="Arial" w:cs="Arial" w:eastAsia="Arial" w:hAnsi="Arial"/>
                <w:sz w:val="8"/>
                <w:szCs w:val="8"/>
                <w:b w:val="1"/>
                <w:bCs w:val="1"/>
                <w:color w:val="auto"/>
              </w:rPr>
              <w:t>Not</w:t>
            </w:r>
          </w:p>
        </w:tc>
        <w:tc>
          <w:tcPr>
            <w:tcW w:w="340" w:type="dxa"/>
            <w:vAlign w:val="bottom"/>
          </w:tcPr>
          <w:p>
            <w:pPr>
              <w:spacing w:after="0"/>
              <w:rPr>
                <w:sz w:val="7"/>
                <w:szCs w:val="7"/>
                <w:color w:val="auto"/>
              </w:rPr>
            </w:pPr>
          </w:p>
        </w:tc>
        <w:tc>
          <w:tcPr>
            <w:tcW w:w="880" w:type="dxa"/>
            <w:vAlign w:val="bottom"/>
          </w:tcPr>
          <w:p>
            <w:pPr>
              <w:jc w:val="center"/>
              <w:spacing w:after="0" w:line="90" w:lineRule="exact"/>
              <w:rPr>
                <w:sz w:val="20"/>
                <w:szCs w:val="20"/>
                <w:color w:val="auto"/>
              </w:rPr>
            </w:pPr>
            <w:r>
              <w:rPr>
                <w:rFonts w:ascii="Arial" w:cs="Arial" w:eastAsia="Arial" w:hAnsi="Arial"/>
                <w:sz w:val="8"/>
                <w:szCs w:val="8"/>
                <w:b w:val="1"/>
                <w:bCs w:val="1"/>
                <w:color w:val="auto"/>
              </w:rPr>
              <w:t>Not</w:t>
            </w:r>
          </w:p>
        </w:tc>
        <w:tc>
          <w:tcPr>
            <w:tcW w:w="0" w:type="dxa"/>
            <w:vAlign w:val="bottom"/>
          </w:tcPr>
          <w:p>
            <w:pPr>
              <w:spacing w:after="0"/>
              <w:rPr>
                <w:sz w:val="1"/>
                <w:szCs w:val="1"/>
                <w:color w:val="auto"/>
              </w:rPr>
            </w:pPr>
          </w:p>
        </w:tc>
      </w:tr>
      <w:tr>
        <w:trPr>
          <w:trHeight w:val="101"/>
        </w:trPr>
        <w:tc>
          <w:tcPr>
            <w:tcW w:w="1980" w:type="dxa"/>
            <w:vAlign w:val="bottom"/>
            <w:gridSpan w:val="3"/>
          </w:tcPr>
          <w:p>
            <w:pPr>
              <w:spacing w:after="0"/>
              <w:rPr>
                <w:sz w:val="20"/>
                <w:szCs w:val="20"/>
                <w:color w:val="auto"/>
              </w:rPr>
            </w:pPr>
            <w:r>
              <w:rPr>
                <w:rFonts w:ascii="Arial" w:cs="Arial" w:eastAsia="Arial" w:hAnsi="Arial"/>
                <w:sz w:val="8"/>
                <w:szCs w:val="8"/>
                <w:b w:val="1"/>
                <w:bCs w:val="1"/>
                <w:color w:val="auto"/>
              </w:rPr>
              <w:t>Name</w:t>
            </w:r>
          </w:p>
        </w:tc>
        <w:tc>
          <w:tcPr>
            <w:tcW w:w="840" w:type="dxa"/>
            <w:vAlign w:val="bottom"/>
          </w:tcPr>
          <w:p>
            <w:pPr>
              <w:jc w:val="center"/>
              <w:spacing w:after="0"/>
              <w:rPr>
                <w:sz w:val="20"/>
                <w:szCs w:val="20"/>
                <w:color w:val="auto"/>
              </w:rPr>
            </w:pPr>
            <w:r>
              <w:rPr>
                <w:rFonts w:ascii="Arial" w:cs="Arial" w:eastAsia="Arial" w:hAnsi="Arial"/>
                <w:sz w:val="8"/>
                <w:szCs w:val="8"/>
                <w:b w:val="1"/>
                <w:bCs w:val="1"/>
                <w:color w:val="auto"/>
                <w:w w:val="89"/>
              </w:rPr>
              <w:t>Exercisable</w:t>
            </w:r>
          </w:p>
        </w:tc>
        <w:tc>
          <w:tcPr>
            <w:tcW w:w="240" w:type="dxa"/>
            <w:vAlign w:val="bottom"/>
          </w:tcPr>
          <w:p>
            <w:pPr>
              <w:spacing w:after="0"/>
              <w:rPr>
                <w:sz w:val="8"/>
                <w:szCs w:val="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w w:val="92"/>
              </w:rPr>
              <w:t>Unexercisable</w:t>
            </w:r>
          </w:p>
        </w:tc>
        <w:tc>
          <w:tcPr>
            <w:tcW w:w="640" w:type="dxa"/>
            <w:vAlign w:val="bottom"/>
          </w:tcPr>
          <w:p>
            <w:pPr>
              <w:jc w:val="center"/>
              <w:spacing w:after="0"/>
              <w:rPr>
                <w:sz w:val="20"/>
                <w:szCs w:val="20"/>
                <w:color w:val="auto"/>
              </w:rPr>
            </w:pPr>
            <w:r>
              <w:rPr>
                <w:rFonts w:ascii="Arial" w:cs="Arial" w:eastAsia="Arial" w:hAnsi="Arial"/>
                <w:sz w:val="8"/>
                <w:szCs w:val="8"/>
                <w:b w:val="1"/>
                <w:bCs w:val="1"/>
                <w:color w:val="auto"/>
                <w:w w:val="94"/>
              </w:rPr>
              <w:t>Price ($)</w:t>
            </w:r>
          </w:p>
        </w:tc>
        <w:tc>
          <w:tcPr>
            <w:tcW w:w="240" w:type="dxa"/>
            <w:vAlign w:val="bottom"/>
          </w:tcPr>
          <w:p>
            <w:pPr>
              <w:spacing w:after="0"/>
              <w:rPr>
                <w:sz w:val="8"/>
                <w:szCs w:val="8"/>
                <w:color w:val="auto"/>
              </w:rPr>
            </w:pPr>
          </w:p>
        </w:tc>
        <w:tc>
          <w:tcPr>
            <w:tcW w:w="840" w:type="dxa"/>
            <w:vAlign w:val="bottom"/>
          </w:tcPr>
          <w:p>
            <w:pPr>
              <w:jc w:val="center"/>
              <w:spacing w:after="0"/>
              <w:rPr>
                <w:sz w:val="20"/>
                <w:szCs w:val="20"/>
                <w:color w:val="auto"/>
              </w:rPr>
            </w:pPr>
            <w:r>
              <w:rPr>
                <w:rFonts w:ascii="Arial" w:cs="Arial" w:eastAsia="Arial" w:hAnsi="Arial"/>
                <w:sz w:val="8"/>
                <w:szCs w:val="8"/>
                <w:b w:val="1"/>
                <w:bCs w:val="1"/>
                <w:color w:val="auto"/>
              </w:rPr>
              <w:t>Date</w:t>
            </w:r>
          </w:p>
        </w:tc>
        <w:tc>
          <w:tcPr>
            <w:tcW w:w="240" w:type="dxa"/>
            <w:vAlign w:val="bottom"/>
          </w:tcPr>
          <w:p>
            <w:pPr>
              <w:spacing w:after="0"/>
              <w:rPr>
                <w:sz w:val="8"/>
                <w:szCs w:val="8"/>
                <w:color w:val="auto"/>
              </w:rPr>
            </w:pPr>
          </w:p>
        </w:tc>
        <w:tc>
          <w:tcPr>
            <w:tcW w:w="640" w:type="dxa"/>
            <w:vAlign w:val="bottom"/>
          </w:tcPr>
          <w:p>
            <w:pPr>
              <w:jc w:val="center"/>
              <w:spacing w:after="0"/>
              <w:rPr>
                <w:sz w:val="20"/>
                <w:szCs w:val="20"/>
                <w:color w:val="auto"/>
              </w:rPr>
            </w:pPr>
            <w:r>
              <w:rPr>
                <w:rFonts w:ascii="Arial" w:cs="Arial" w:eastAsia="Arial" w:hAnsi="Arial"/>
                <w:sz w:val="8"/>
                <w:szCs w:val="8"/>
                <w:b w:val="1"/>
                <w:bCs w:val="1"/>
                <w:color w:val="auto"/>
                <w:w w:val="94"/>
              </w:rPr>
              <w:t>Vested (#)</w:t>
            </w:r>
          </w:p>
        </w:tc>
        <w:tc>
          <w:tcPr>
            <w:tcW w:w="240" w:type="dxa"/>
            <w:vAlign w:val="bottom"/>
          </w:tcPr>
          <w:p>
            <w:pPr>
              <w:spacing w:after="0"/>
              <w:rPr>
                <w:sz w:val="8"/>
                <w:szCs w:val="8"/>
                <w:color w:val="auto"/>
              </w:rPr>
            </w:pPr>
          </w:p>
        </w:tc>
        <w:tc>
          <w:tcPr>
            <w:tcW w:w="480" w:type="dxa"/>
            <w:vAlign w:val="bottom"/>
          </w:tcPr>
          <w:p>
            <w:pPr>
              <w:jc w:val="center"/>
              <w:spacing w:after="0"/>
              <w:rPr>
                <w:sz w:val="20"/>
                <w:szCs w:val="20"/>
                <w:color w:val="auto"/>
              </w:rPr>
            </w:pPr>
            <w:r>
              <w:rPr>
                <w:rFonts w:ascii="Arial" w:cs="Arial" w:eastAsia="Arial" w:hAnsi="Arial"/>
                <w:sz w:val="8"/>
                <w:szCs w:val="8"/>
                <w:b w:val="1"/>
                <w:bCs w:val="1"/>
                <w:color w:val="auto"/>
                <w:w w:val="88"/>
              </w:rPr>
              <w:t>Vested ($)</w:t>
            </w:r>
          </w:p>
        </w:tc>
        <w:tc>
          <w:tcPr>
            <w:tcW w:w="240" w:type="dxa"/>
            <w:vAlign w:val="bottom"/>
          </w:tcPr>
          <w:p>
            <w:pPr>
              <w:spacing w:after="0"/>
              <w:rPr>
                <w:sz w:val="8"/>
                <w:szCs w:val="8"/>
                <w:color w:val="auto"/>
              </w:rPr>
            </w:pPr>
          </w:p>
        </w:tc>
        <w:tc>
          <w:tcPr>
            <w:tcW w:w="900" w:type="dxa"/>
            <w:vAlign w:val="bottom"/>
          </w:tcPr>
          <w:p>
            <w:pPr>
              <w:jc w:val="center"/>
              <w:spacing w:after="0"/>
              <w:rPr>
                <w:sz w:val="20"/>
                <w:szCs w:val="20"/>
                <w:color w:val="auto"/>
              </w:rPr>
            </w:pPr>
            <w:r>
              <w:rPr>
                <w:rFonts w:ascii="Arial" w:cs="Arial" w:eastAsia="Arial" w:hAnsi="Arial"/>
                <w:sz w:val="8"/>
                <w:szCs w:val="8"/>
                <w:b w:val="1"/>
                <w:bCs w:val="1"/>
                <w:color w:val="auto"/>
                <w:w w:val="88"/>
              </w:rPr>
              <w:t>Vested (#)</w:t>
            </w:r>
          </w:p>
        </w:tc>
        <w:tc>
          <w:tcPr>
            <w:tcW w:w="340" w:type="dxa"/>
            <w:vAlign w:val="bottom"/>
          </w:tcPr>
          <w:p>
            <w:pPr>
              <w:spacing w:after="0"/>
              <w:rPr>
                <w:sz w:val="8"/>
                <w:szCs w:val="8"/>
                <w:color w:val="auto"/>
              </w:rPr>
            </w:pPr>
          </w:p>
        </w:tc>
        <w:tc>
          <w:tcPr>
            <w:tcW w:w="880" w:type="dxa"/>
            <w:vAlign w:val="bottom"/>
          </w:tcPr>
          <w:p>
            <w:pPr>
              <w:jc w:val="center"/>
              <w:spacing w:after="0"/>
              <w:rPr>
                <w:sz w:val="20"/>
                <w:szCs w:val="20"/>
                <w:color w:val="auto"/>
              </w:rPr>
            </w:pPr>
            <w:r>
              <w:rPr>
                <w:rFonts w:ascii="Arial" w:cs="Arial" w:eastAsia="Arial" w:hAnsi="Arial"/>
                <w:sz w:val="8"/>
                <w:szCs w:val="8"/>
                <w:b w:val="1"/>
                <w:bCs w:val="1"/>
                <w:color w:val="auto"/>
                <w:w w:val="88"/>
              </w:rPr>
              <w:t>Vested ($)</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172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7"/>
        </w:trPr>
        <w:tc>
          <w:tcPr>
            <w:tcW w:w="20" w:type="dxa"/>
            <w:vAlign w:val="bottom"/>
            <w:vMerge w:val="continue"/>
          </w:tcPr>
          <w:p>
            <w:pPr>
              <w:spacing w:after="0"/>
              <w:rPr>
                <w:sz w:val="9"/>
                <w:szCs w:val="9"/>
                <w:color w:val="auto"/>
              </w:rPr>
            </w:pPr>
          </w:p>
        </w:tc>
        <w:tc>
          <w:tcPr>
            <w:tcW w:w="1960" w:type="dxa"/>
            <w:vAlign w:val="bottom"/>
            <w:gridSpan w:val="2"/>
            <w:shd w:val="clear" w:color="auto" w:fill="CCEEFF"/>
          </w:tcPr>
          <w:p>
            <w:pPr>
              <w:spacing w:after="0"/>
              <w:rPr>
                <w:sz w:val="20"/>
                <w:szCs w:val="20"/>
                <w:color w:val="auto"/>
              </w:rPr>
            </w:pPr>
            <w:r>
              <w:rPr>
                <w:rFonts w:ascii="Arial" w:cs="Arial" w:eastAsia="Arial" w:hAnsi="Arial"/>
                <w:sz w:val="8"/>
                <w:szCs w:val="8"/>
                <w:b w:val="1"/>
                <w:bCs w:val="1"/>
                <w:color w:val="auto"/>
              </w:rPr>
              <w:t>Brian L. Roberts</w:t>
            </w:r>
          </w:p>
        </w:tc>
        <w:tc>
          <w:tcPr>
            <w:tcW w:w="8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140" w:type="dxa"/>
            <w:vAlign w:val="bottom"/>
            <w:gridSpan w:val="2"/>
            <w:vMerge w:val="restart"/>
            <w:shd w:val="clear" w:color="auto" w:fill="CCEEFF"/>
          </w:tcPr>
          <w:p>
            <w:pPr>
              <w:jc w:val="right"/>
              <w:ind w:right="18"/>
              <w:spacing w:after="0"/>
              <w:rPr>
                <w:sz w:val="20"/>
                <w:szCs w:val="20"/>
                <w:color w:val="auto"/>
              </w:rPr>
            </w:pPr>
            <w:r>
              <w:rPr>
                <w:rFonts w:ascii="Arial" w:cs="Arial" w:eastAsia="Arial" w:hAnsi="Arial"/>
                <w:sz w:val="8"/>
                <w:szCs w:val="8"/>
                <w:color w:val="auto"/>
              </w:rPr>
              <w:t>936,165</w:t>
            </w:r>
            <w:r>
              <w:rPr>
                <w:rFonts w:ascii="Arial" w:cs="Arial" w:eastAsia="Arial" w:hAnsi="Arial"/>
                <w:sz w:val="7"/>
                <w:szCs w:val="7"/>
                <w:color w:val="auto"/>
              </w:rPr>
              <w:t>(4)(7)(8)</w:t>
            </w:r>
          </w:p>
        </w:tc>
        <w:tc>
          <w:tcPr>
            <w:tcW w:w="1220" w:type="dxa"/>
            <w:vAlign w:val="bottom"/>
            <w:gridSpan w:val="2"/>
            <w:vMerge w:val="restart"/>
            <w:shd w:val="clear" w:color="auto" w:fill="CCEEFF"/>
          </w:tcPr>
          <w:p>
            <w:pPr>
              <w:jc w:val="right"/>
              <w:ind w:right="218"/>
              <w:spacing w:after="0"/>
              <w:rPr>
                <w:sz w:val="20"/>
                <w:szCs w:val="20"/>
                <w:color w:val="auto"/>
              </w:rPr>
            </w:pPr>
            <w:r>
              <w:rPr>
                <w:rFonts w:ascii="Arial" w:cs="Arial" w:eastAsia="Arial" w:hAnsi="Arial"/>
                <w:sz w:val="8"/>
                <w:szCs w:val="8"/>
                <w:color w:val="auto"/>
              </w:rPr>
              <w:t>$15,783,742</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7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40" w:type="dxa"/>
            <w:vAlign w:val="bottom"/>
            <w:vMerge w:val="restart"/>
            <w:shd w:val="clear" w:color="auto" w:fill="CCEEFF"/>
          </w:tcPr>
          <w:p>
            <w:pPr>
              <w:jc w:val="right"/>
              <w:ind w:right="138"/>
              <w:spacing w:after="0"/>
              <w:rPr>
                <w:sz w:val="20"/>
                <w:szCs w:val="20"/>
                <w:color w:val="auto"/>
              </w:rPr>
            </w:pPr>
            <w:r>
              <w:rPr>
                <w:rFonts w:ascii="Arial" w:cs="Arial" w:eastAsia="Arial" w:hAnsi="Arial"/>
                <w:sz w:val="8"/>
                <w:szCs w:val="8"/>
                <w:color w:val="auto"/>
              </w:rPr>
              <w:t>1,500,000</w:t>
            </w:r>
            <w:r>
              <w:rPr>
                <w:rFonts w:ascii="Arial" w:cs="Arial" w:eastAsia="Arial" w:hAnsi="Arial"/>
                <w:sz w:val="7"/>
                <w:szCs w:val="7"/>
                <w:color w:val="auto"/>
              </w:rPr>
              <w:t>(1)</w:t>
            </w:r>
          </w:p>
        </w:tc>
        <w:tc>
          <w:tcPr>
            <w:tcW w:w="240" w:type="dxa"/>
            <w:vAlign w:val="bottom"/>
            <w:shd w:val="clear" w:color="auto" w:fill="CCEEFF"/>
          </w:tcPr>
          <w:p>
            <w:pPr>
              <w:spacing w:after="0"/>
              <w:rPr>
                <w:sz w:val="6"/>
                <w:szCs w:val="6"/>
                <w:color w:val="auto"/>
              </w:rPr>
            </w:pPr>
          </w:p>
        </w:tc>
        <w:tc>
          <w:tcPr>
            <w:tcW w:w="1260" w:type="dxa"/>
            <w:vAlign w:val="bottom"/>
            <w:gridSpan w:val="2"/>
            <w:vMerge w:val="restart"/>
            <w:shd w:val="clear" w:color="auto" w:fill="CCEEFF"/>
          </w:tcPr>
          <w:p>
            <w:pPr>
              <w:jc w:val="right"/>
              <w:ind w:right="580"/>
              <w:spacing w:after="0"/>
              <w:rPr>
                <w:sz w:val="20"/>
                <w:szCs w:val="20"/>
                <w:color w:val="auto"/>
              </w:rPr>
            </w:pPr>
            <w:r>
              <w:rPr>
                <w:rFonts w:ascii="Arial" w:cs="Arial" w:eastAsia="Arial" w:hAnsi="Arial"/>
                <w:sz w:val="8"/>
                <w:szCs w:val="8"/>
                <w:color w:val="auto"/>
              </w:rPr>
              <w:t>—</w:t>
            </w:r>
          </w:p>
        </w:tc>
        <w:tc>
          <w:tcPr>
            <w:tcW w:w="640" w:type="dxa"/>
            <w:vAlign w:val="bottom"/>
            <w:vMerge w:val="restart"/>
            <w:shd w:val="clear" w:color="auto" w:fill="CCEEFF"/>
          </w:tcPr>
          <w:p>
            <w:pPr>
              <w:jc w:val="right"/>
              <w:ind w:right="138"/>
              <w:spacing w:after="0"/>
              <w:rPr>
                <w:sz w:val="20"/>
                <w:szCs w:val="20"/>
                <w:color w:val="auto"/>
              </w:rPr>
            </w:pPr>
            <w:r>
              <w:rPr>
                <w:rFonts w:ascii="Arial" w:cs="Arial" w:eastAsia="Arial" w:hAnsi="Arial"/>
                <w:sz w:val="8"/>
                <w:szCs w:val="8"/>
                <w:color w:val="auto"/>
              </w:rPr>
              <w:t>$ 33.1666</w:t>
            </w:r>
          </w:p>
        </w:tc>
        <w:tc>
          <w:tcPr>
            <w:tcW w:w="1080" w:type="dxa"/>
            <w:vAlign w:val="bottom"/>
            <w:gridSpan w:val="2"/>
            <w:vMerge w:val="restart"/>
            <w:shd w:val="clear" w:color="auto" w:fill="CCEEFF"/>
          </w:tcPr>
          <w:p>
            <w:pPr>
              <w:jc w:val="center"/>
              <w:ind w:left="178"/>
              <w:spacing w:after="0"/>
              <w:rPr>
                <w:sz w:val="20"/>
                <w:szCs w:val="20"/>
                <w:color w:val="auto"/>
              </w:rPr>
            </w:pPr>
            <w:r>
              <w:rPr>
                <w:rFonts w:ascii="Arial" w:cs="Arial" w:eastAsia="Arial" w:hAnsi="Arial"/>
                <w:sz w:val="8"/>
                <w:szCs w:val="8"/>
                <w:color w:val="auto"/>
                <w:w w:val="96"/>
              </w:rPr>
              <w:t>01/04/10</w:t>
            </w:r>
          </w:p>
        </w:tc>
        <w:tc>
          <w:tcPr>
            <w:tcW w:w="24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140" w:type="dxa"/>
            <w:vAlign w:val="bottom"/>
            <w:gridSpan w:val="2"/>
            <w:vMerge w:val="continue"/>
            <w:shd w:val="clear" w:color="auto" w:fill="CCEEFF"/>
          </w:tcPr>
          <w:p>
            <w:pPr>
              <w:spacing w:after="0"/>
              <w:rPr>
                <w:sz w:val="6"/>
                <w:szCs w:val="6"/>
                <w:color w:val="auto"/>
              </w:rPr>
            </w:pPr>
          </w:p>
        </w:tc>
        <w:tc>
          <w:tcPr>
            <w:tcW w:w="122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7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60" w:type="dxa"/>
            <w:vAlign w:val="bottom"/>
            <w:gridSpan w:val="2"/>
            <w:vMerge w:val="continue"/>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080" w:type="dxa"/>
            <w:vAlign w:val="bottom"/>
            <w:gridSpan w:val="2"/>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7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1,499,289</w:t>
            </w:r>
            <w:r>
              <w:rPr>
                <w:rFonts w:ascii="Arial" w:cs="Arial" w:eastAsia="Arial" w:hAnsi="Arial"/>
                <w:sz w:val="7"/>
                <w:szCs w:val="7"/>
                <w:color w:val="auto"/>
              </w:rPr>
              <w:t>(1)</w:t>
            </w:r>
          </w:p>
        </w:tc>
        <w:tc>
          <w:tcPr>
            <w:tcW w:w="240" w:type="dxa"/>
            <w:vAlign w:val="bottom"/>
            <w:shd w:val="clear" w:color="auto" w:fill="CCEEFF"/>
          </w:tcPr>
          <w:p>
            <w:pPr>
              <w:spacing w:after="0"/>
              <w:rPr>
                <w:sz w:val="7"/>
                <w:szCs w:val="7"/>
                <w:color w:val="auto"/>
              </w:rPr>
            </w:pPr>
          </w:p>
        </w:tc>
        <w:tc>
          <w:tcPr>
            <w:tcW w:w="1260" w:type="dxa"/>
            <w:vAlign w:val="bottom"/>
            <w:gridSpan w:val="2"/>
            <w:shd w:val="clear" w:color="auto" w:fill="CCEEFF"/>
          </w:tcPr>
          <w:p>
            <w:pPr>
              <w:jc w:val="right"/>
              <w:ind w:right="580"/>
              <w:spacing w:after="0" w:line="90" w:lineRule="exact"/>
              <w:rPr>
                <w:sz w:val="20"/>
                <w:szCs w:val="20"/>
                <w:color w:val="auto"/>
              </w:rPr>
            </w:pPr>
            <w:r>
              <w:rPr>
                <w:rFonts w:ascii="Arial" w:cs="Arial" w:eastAsia="Arial" w:hAnsi="Arial"/>
                <w:sz w:val="8"/>
                <w:szCs w:val="8"/>
                <w:color w:val="auto"/>
              </w:rPr>
              <w:t>—</w:t>
            </w: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25.6666</w:t>
            </w:r>
          </w:p>
        </w:tc>
        <w:tc>
          <w:tcPr>
            <w:tcW w:w="1080" w:type="dxa"/>
            <w:vAlign w:val="bottom"/>
            <w:gridSpan w:val="2"/>
            <w:shd w:val="clear" w:color="auto" w:fill="CCEEFF"/>
          </w:tcPr>
          <w:p>
            <w:pPr>
              <w:jc w:val="center"/>
              <w:ind w:left="178"/>
              <w:spacing w:after="0" w:line="90" w:lineRule="exact"/>
              <w:rPr>
                <w:sz w:val="20"/>
                <w:szCs w:val="20"/>
                <w:color w:val="auto"/>
              </w:rPr>
            </w:pPr>
            <w:r>
              <w:rPr>
                <w:rFonts w:ascii="Arial" w:cs="Arial" w:eastAsia="Arial" w:hAnsi="Arial"/>
                <w:sz w:val="8"/>
                <w:szCs w:val="8"/>
                <w:color w:val="auto"/>
                <w:w w:val="96"/>
              </w:rPr>
              <w:t>03/30/10</w:t>
            </w:r>
          </w:p>
        </w:tc>
        <w:tc>
          <w:tcPr>
            <w:tcW w:w="2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7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1,496,347</w:t>
            </w:r>
            <w:r>
              <w:rPr>
                <w:rFonts w:ascii="Arial" w:cs="Arial" w:eastAsia="Arial" w:hAnsi="Arial"/>
                <w:sz w:val="7"/>
                <w:szCs w:val="7"/>
                <w:color w:val="auto"/>
              </w:rPr>
              <w:t>(1)</w:t>
            </w:r>
          </w:p>
        </w:tc>
        <w:tc>
          <w:tcPr>
            <w:tcW w:w="240" w:type="dxa"/>
            <w:vAlign w:val="bottom"/>
            <w:shd w:val="clear" w:color="auto" w:fill="CCEEFF"/>
          </w:tcPr>
          <w:p>
            <w:pPr>
              <w:spacing w:after="0"/>
              <w:rPr>
                <w:sz w:val="7"/>
                <w:szCs w:val="7"/>
                <w:color w:val="auto"/>
              </w:rPr>
            </w:pPr>
          </w:p>
        </w:tc>
        <w:tc>
          <w:tcPr>
            <w:tcW w:w="1260" w:type="dxa"/>
            <w:vAlign w:val="bottom"/>
            <w:gridSpan w:val="2"/>
            <w:shd w:val="clear" w:color="auto" w:fill="CCEEFF"/>
          </w:tcPr>
          <w:p>
            <w:pPr>
              <w:jc w:val="right"/>
              <w:ind w:right="580"/>
              <w:spacing w:after="0" w:line="90" w:lineRule="exact"/>
              <w:rPr>
                <w:sz w:val="20"/>
                <w:szCs w:val="20"/>
                <w:color w:val="auto"/>
              </w:rPr>
            </w:pPr>
            <w:r>
              <w:rPr>
                <w:rFonts w:ascii="Arial" w:cs="Arial" w:eastAsia="Arial" w:hAnsi="Arial"/>
                <w:sz w:val="8"/>
                <w:szCs w:val="8"/>
                <w:color w:val="auto"/>
              </w:rPr>
              <w:t>—</w:t>
            </w: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27.3750</w:t>
            </w:r>
          </w:p>
        </w:tc>
        <w:tc>
          <w:tcPr>
            <w:tcW w:w="1080" w:type="dxa"/>
            <w:vAlign w:val="bottom"/>
            <w:gridSpan w:val="2"/>
            <w:shd w:val="clear" w:color="auto" w:fill="CCEEFF"/>
          </w:tcPr>
          <w:p>
            <w:pPr>
              <w:jc w:val="center"/>
              <w:ind w:left="178"/>
              <w:spacing w:after="0" w:line="90" w:lineRule="exact"/>
              <w:rPr>
                <w:sz w:val="20"/>
                <w:szCs w:val="20"/>
                <w:color w:val="auto"/>
              </w:rPr>
            </w:pPr>
            <w:r>
              <w:rPr>
                <w:rFonts w:ascii="Arial" w:cs="Arial" w:eastAsia="Arial" w:hAnsi="Arial"/>
                <w:sz w:val="8"/>
                <w:szCs w:val="8"/>
                <w:color w:val="auto"/>
                <w:w w:val="96"/>
              </w:rPr>
              <w:t>07/05/10</w:t>
            </w:r>
          </w:p>
        </w:tc>
        <w:tc>
          <w:tcPr>
            <w:tcW w:w="2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7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1,500,000</w:t>
            </w:r>
            <w:r>
              <w:rPr>
                <w:rFonts w:ascii="Arial" w:cs="Arial" w:eastAsia="Arial" w:hAnsi="Arial"/>
                <w:sz w:val="7"/>
                <w:szCs w:val="7"/>
                <w:color w:val="auto"/>
              </w:rPr>
              <w:t>(1)</w:t>
            </w:r>
          </w:p>
        </w:tc>
        <w:tc>
          <w:tcPr>
            <w:tcW w:w="240" w:type="dxa"/>
            <w:vAlign w:val="bottom"/>
            <w:shd w:val="clear" w:color="auto" w:fill="CCEEFF"/>
          </w:tcPr>
          <w:p>
            <w:pPr>
              <w:spacing w:after="0"/>
              <w:rPr>
                <w:sz w:val="7"/>
                <w:szCs w:val="7"/>
                <w:color w:val="auto"/>
              </w:rPr>
            </w:pPr>
          </w:p>
        </w:tc>
        <w:tc>
          <w:tcPr>
            <w:tcW w:w="1260" w:type="dxa"/>
            <w:vAlign w:val="bottom"/>
            <w:gridSpan w:val="2"/>
            <w:shd w:val="clear" w:color="auto" w:fill="CCEEFF"/>
          </w:tcPr>
          <w:p>
            <w:pPr>
              <w:jc w:val="right"/>
              <w:ind w:right="580"/>
              <w:spacing w:after="0" w:line="90" w:lineRule="exact"/>
              <w:rPr>
                <w:sz w:val="20"/>
                <w:szCs w:val="20"/>
                <w:color w:val="auto"/>
              </w:rPr>
            </w:pPr>
            <w:r>
              <w:rPr>
                <w:rFonts w:ascii="Arial" w:cs="Arial" w:eastAsia="Arial" w:hAnsi="Arial"/>
                <w:sz w:val="8"/>
                <w:szCs w:val="8"/>
                <w:color w:val="auto"/>
              </w:rPr>
              <w:t>—</w:t>
            </w: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27.6250</w:t>
            </w:r>
          </w:p>
        </w:tc>
        <w:tc>
          <w:tcPr>
            <w:tcW w:w="1080" w:type="dxa"/>
            <w:vAlign w:val="bottom"/>
            <w:gridSpan w:val="2"/>
            <w:shd w:val="clear" w:color="auto" w:fill="CCEEFF"/>
          </w:tcPr>
          <w:p>
            <w:pPr>
              <w:jc w:val="center"/>
              <w:ind w:left="178"/>
              <w:spacing w:after="0" w:line="90" w:lineRule="exact"/>
              <w:rPr>
                <w:sz w:val="20"/>
                <w:szCs w:val="20"/>
                <w:color w:val="auto"/>
              </w:rPr>
            </w:pPr>
            <w:r>
              <w:rPr>
                <w:rFonts w:ascii="Arial" w:cs="Arial" w:eastAsia="Arial" w:hAnsi="Arial"/>
                <w:sz w:val="8"/>
                <w:szCs w:val="8"/>
                <w:color w:val="auto"/>
                <w:w w:val="96"/>
              </w:rPr>
              <w:t>10/05/10</w:t>
            </w:r>
          </w:p>
        </w:tc>
        <w:tc>
          <w:tcPr>
            <w:tcW w:w="2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7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1,120,944</w:t>
            </w:r>
            <w:r>
              <w:rPr>
                <w:rFonts w:ascii="Arial" w:cs="Arial" w:eastAsia="Arial" w:hAnsi="Arial"/>
                <w:sz w:val="7"/>
                <w:szCs w:val="7"/>
                <w:color w:val="auto"/>
              </w:rPr>
              <w:t>(1)</w:t>
            </w:r>
          </w:p>
        </w:tc>
        <w:tc>
          <w:tcPr>
            <w:tcW w:w="240" w:type="dxa"/>
            <w:vAlign w:val="bottom"/>
            <w:shd w:val="clear" w:color="auto" w:fill="CCEEFF"/>
          </w:tcPr>
          <w:p>
            <w:pPr>
              <w:spacing w:after="0"/>
              <w:rPr>
                <w:sz w:val="7"/>
                <w:szCs w:val="7"/>
                <w:color w:val="auto"/>
              </w:rPr>
            </w:pPr>
          </w:p>
        </w:tc>
        <w:tc>
          <w:tcPr>
            <w:tcW w:w="1260" w:type="dxa"/>
            <w:vAlign w:val="bottom"/>
            <w:gridSpan w:val="2"/>
            <w:shd w:val="clear" w:color="auto" w:fill="CCEEFF"/>
          </w:tcPr>
          <w:p>
            <w:pPr>
              <w:jc w:val="right"/>
              <w:ind w:right="580"/>
              <w:spacing w:after="0" w:line="90" w:lineRule="exact"/>
              <w:rPr>
                <w:sz w:val="20"/>
                <w:szCs w:val="20"/>
                <w:color w:val="auto"/>
              </w:rPr>
            </w:pPr>
            <w:r>
              <w:rPr>
                <w:rFonts w:ascii="Arial" w:cs="Arial" w:eastAsia="Arial" w:hAnsi="Arial"/>
                <w:sz w:val="8"/>
                <w:szCs w:val="8"/>
                <w:color w:val="auto"/>
              </w:rPr>
              <w:t>—</w:t>
            </w: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24.6466</w:t>
            </w:r>
          </w:p>
        </w:tc>
        <w:tc>
          <w:tcPr>
            <w:tcW w:w="1080" w:type="dxa"/>
            <w:vAlign w:val="bottom"/>
            <w:gridSpan w:val="2"/>
            <w:shd w:val="clear" w:color="auto" w:fill="CCEEFF"/>
          </w:tcPr>
          <w:p>
            <w:pPr>
              <w:jc w:val="center"/>
              <w:ind w:left="198"/>
              <w:spacing w:after="0" w:line="90" w:lineRule="exact"/>
              <w:rPr>
                <w:sz w:val="20"/>
                <w:szCs w:val="20"/>
                <w:color w:val="auto"/>
              </w:rPr>
            </w:pPr>
            <w:r>
              <w:rPr>
                <w:rFonts w:ascii="Arial" w:cs="Arial" w:eastAsia="Arial" w:hAnsi="Arial"/>
                <w:sz w:val="8"/>
                <w:szCs w:val="8"/>
                <w:color w:val="auto"/>
                <w:w w:val="89"/>
              </w:rPr>
              <w:t>07/30/11</w:t>
            </w:r>
          </w:p>
        </w:tc>
        <w:tc>
          <w:tcPr>
            <w:tcW w:w="2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7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1,125,000</w:t>
            </w:r>
            <w:r>
              <w:rPr>
                <w:rFonts w:ascii="Arial" w:cs="Arial" w:eastAsia="Arial" w:hAnsi="Arial"/>
                <w:sz w:val="7"/>
                <w:szCs w:val="7"/>
                <w:color w:val="auto"/>
              </w:rPr>
              <w:t>(1)</w:t>
            </w:r>
          </w:p>
        </w:tc>
        <w:tc>
          <w:tcPr>
            <w:tcW w:w="240" w:type="dxa"/>
            <w:vAlign w:val="bottom"/>
            <w:shd w:val="clear" w:color="auto" w:fill="CCEEFF"/>
          </w:tcPr>
          <w:p>
            <w:pPr>
              <w:spacing w:after="0"/>
              <w:rPr>
                <w:sz w:val="7"/>
                <w:szCs w:val="7"/>
                <w:color w:val="auto"/>
              </w:rPr>
            </w:pPr>
          </w:p>
        </w:tc>
        <w:tc>
          <w:tcPr>
            <w:tcW w:w="1260" w:type="dxa"/>
            <w:vAlign w:val="bottom"/>
            <w:gridSpan w:val="2"/>
            <w:shd w:val="clear" w:color="auto" w:fill="CCEEFF"/>
          </w:tcPr>
          <w:p>
            <w:pPr>
              <w:jc w:val="right"/>
              <w:ind w:right="580"/>
              <w:spacing w:after="0" w:line="90" w:lineRule="exact"/>
              <w:rPr>
                <w:sz w:val="20"/>
                <w:szCs w:val="20"/>
                <w:color w:val="auto"/>
              </w:rPr>
            </w:pPr>
            <w:r>
              <w:rPr>
                <w:rFonts w:ascii="Arial" w:cs="Arial" w:eastAsia="Arial" w:hAnsi="Arial"/>
                <w:sz w:val="8"/>
                <w:szCs w:val="8"/>
                <w:color w:val="auto"/>
              </w:rPr>
              <w:t>—</w:t>
            </w: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23.6600</w:t>
            </w:r>
          </w:p>
        </w:tc>
        <w:tc>
          <w:tcPr>
            <w:tcW w:w="1080" w:type="dxa"/>
            <w:vAlign w:val="bottom"/>
            <w:gridSpan w:val="2"/>
            <w:shd w:val="clear" w:color="auto" w:fill="CCEEFF"/>
          </w:tcPr>
          <w:p>
            <w:pPr>
              <w:jc w:val="center"/>
              <w:ind w:left="178"/>
              <w:spacing w:after="0" w:line="90" w:lineRule="exact"/>
              <w:rPr>
                <w:sz w:val="20"/>
                <w:szCs w:val="20"/>
                <w:color w:val="auto"/>
              </w:rPr>
            </w:pPr>
            <w:r>
              <w:rPr>
                <w:rFonts w:ascii="Arial" w:cs="Arial" w:eastAsia="Arial" w:hAnsi="Arial"/>
                <w:sz w:val="8"/>
                <w:szCs w:val="8"/>
                <w:color w:val="auto"/>
                <w:w w:val="96"/>
              </w:rPr>
              <w:t>01/24/12</w:t>
            </w:r>
          </w:p>
        </w:tc>
        <w:tc>
          <w:tcPr>
            <w:tcW w:w="2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7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1,147,500</w:t>
            </w:r>
            <w:r>
              <w:rPr>
                <w:rFonts w:ascii="Arial" w:cs="Arial" w:eastAsia="Arial" w:hAnsi="Arial"/>
                <w:sz w:val="7"/>
                <w:szCs w:val="7"/>
                <w:color w:val="auto"/>
              </w:rPr>
              <w:t>(2)</w:t>
            </w:r>
          </w:p>
        </w:tc>
        <w:tc>
          <w:tcPr>
            <w:tcW w:w="1260" w:type="dxa"/>
            <w:vAlign w:val="bottom"/>
            <w:gridSpan w:val="2"/>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277,500</w:t>
            </w:r>
            <w:r>
              <w:rPr>
                <w:rFonts w:ascii="Arial" w:cs="Arial" w:eastAsia="Arial" w:hAnsi="Arial"/>
                <w:sz w:val="7"/>
                <w:szCs w:val="7"/>
                <w:color w:val="auto"/>
              </w:rPr>
              <w:t>(2)(6)</w:t>
            </w:r>
          </w:p>
        </w:tc>
        <w:tc>
          <w:tcPr>
            <w:tcW w:w="240" w:type="dxa"/>
            <w:vAlign w:val="bottom"/>
            <w:shd w:val="clear" w:color="auto" w:fill="CCEEFF"/>
          </w:tcPr>
          <w:p>
            <w:pPr>
              <w:spacing w:after="0"/>
              <w:rPr>
                <w:sz w:val="7"/>
                <w:szCs w:val="7"/>
                <w:color w:val="auto"/>
              </w:rPr>
            </w:pP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18.0800</w:t>
            </w:r>
          </w:p>
        </w:tc>
        <w:tc>
          <w:tcPr>
            <w:tcW w:w="1080" w:type="dxa"/>
            <w:vAlign w:val="bottom"/>
            <w:gridSpan w:val="2"/>
            <w:shd w:val="clear" w:color="auto" w:fill="CCEEFF"/>
          </w:tcPr>
          <w:p>
            <w:pPr>
              <w:jc w:val="center"/>
              <w:ind w:left="178"/>
              <w:spacing w:after="0" w:line="90" w:lineRule="exact"/>
              <w:rPr>
                <w:sz w:val="20"/>
                <w:szCs w:val="20"/>
                <w:color w:val="auto"/>
              </w:rPr>
            </w:pPr>
            <w:r>
              <w:rPr>
                <w:rFonts w:ascii="Arial" w:cs="Arial" w:eastAsia="Arial" w:hAnsi="Arial"/>
                <w:sz w:val="8"/>
                <w:szCs w:val="8"/>
                <w:color w:val="auto"/>
                <w:w w:val="96"/>
              </w:rPr>
              <w:t>02/26/13</w:t>
            </w:r>
          </w:p>
        </w:tc>
        <w:tc>
          <w:tcPr>
            <w:tcW w:w="2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7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900,000</w:t>
            </w:r>
            <w:r>
              <w:rPr>
                <w:rFonts w:ascii="Arial" w:cs="Arial" w:eastAsia="Arial" w:hAnsi="Arial"/>
                <w:sz w:val="7"/>
                <w:szCs w:val="7"/>
                <w:color w:val="auto"/>
              </w:rPr>
              <w:t>(2)</w:t>
            </w:r>
          </w:p>
        </w:tc>
        <w:tc>
          <w:tcPr>
            <w:tcW w:w="1260" w:type="dxa"/>
            <w:vAlign w:val="bottom"/>
            <w:gridSpan w:val="2"/>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300,000</w:t>
            </w:r>
            <w:r>
              <w:rPr>
                <w:rFonts w:ascii="Arial" w:cs="Arial" w:eastAsia="Arial" w:hAnsi="Arial"/>
                <w:sz w:val="7"/>
                <w:szCs w:val="7"/>
                <w:color w:val="auto"/>
              </w:rPr>
              <w:t>(2)(6)</w:t>
            </w:r>
          </w:p>
        </w:tc>
        <w:tc>
          <w:tcPr>
            <w:tcW w:w="240" w:type="dxa"/>
            <w:vAlign w:val="bottom"/>
            <w:shd w:val="clear" w:color="auto" w:fill="CCEEFF"/>
          </w:tcPr>
          <w:p>
            <w:pPr>
              <w:spacing w:after="0"/>
              <w:rPr>
                <w:sz w:val="7"/>
                <w:szCs w:val="7"/>
                <w:color w:val="auto"/>
              </w:rPr>
            </w:pP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19.9200</w:t>
            </w:r>
          </w:p>
        </w:tc>
        <w:tc>
          <w:tcPr>
            <w:tcW w:w="1080" w:type="dxa"/>
            <w:vAlign w:val="bottom"/>
            <w:gridSpan w:val="2"/>
            <w:shd w:val="clear" w:color="auto" w:fill="CCEEFF"/>
          </w:tcPr>
          <w:p>
            <w:pPr>
              <w:jc w:val="center"/>
              <w:ind w:left="178"/>
              <w:spacing w:after="0" w:line="90" w:lineRule="exact"/>
              <w:rPr>
                <w:sz w:val="20"/>
                <w:szCs w:val="20"/>
                <w:color w:val="auto"/>
              </w:rPr>
            </w:pPr>
            <w:r>
              <w:rPr>
                <w:rFonts w:ascii="Arial" w:cs="Arial" w:eastAsia="Arial" w:hAnsi="Arial"/>
                <w:sz w:val="8"/>
                <w:szCs w:val="8"/>
                <w:color w:val="auto"/>
                <w:w w:val="96"/>
              </w:rPr>
              <w:t>03/09/14</w:t>
            </w:r>
          </w:p>
        </w:tc>
        <w:tc>
          <w:tcPr>
            <w:tcW w:w="2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7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382,500</w:t>
            </w:r>
            <w:r>
              <w:rPr>
                <w:rFonts w:ascii="Arial" w:cs="Arial" w:eastAsia="Arial" w:hAnsi="Arial"/>
                <w:sz w:val="7"/>
                <w:szCs w:val="7"/>
                <w:color w:val="auto"/>
              </w:rPr>
              <w:t>(2)</w:t>
            </w:r>
          </w:p>
        </w:tc>
        <w:tc>
          <w:tcPr>
            <w:tcW w:w="1260" w:type="dxa"/>
            <w:vAlign w:val="bottom"/>
            <w:gridSpan w:val="2"/>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255,000</w:t>
            </w:r>
            <w:r>
              <w:rPr>
                <w:rFonts w:ascii="Arial" w:cs="Arial" w:eastAsia="Arial" w:hAnsi="Arial"/>
                <w:sz w:val="7"/>
                <w:szCs w:val="7"/>
                <w:color w:val="auto"/>
              </w:rPr>
              <w:t>(2)(6)</w:t>
            </w:r>
          </w:p>
        </w:tc>
        <w:tc>
          <w:tcPr>
            <w:tcW w:w="240" w:type="dxa"/>
            <w:vAlign w:val="bottom"/>
            <w:shd w:val="clear" w:color="auto" w:fill="CCEEFF"/>
          </w:tcPr>
          <w:p>
            <w:pPr>
              <w:spacing w:after="0"/>
              <w:rPr>
                <w:sz w:val="7"/>
                <w:szCs w:val="7"/>
                <w:color w:val="auto"/>
              </w:rPr>
            </w:pP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22.6600</w:t>
            </w:r>
          </w:p>
        </w:tc>
        <w:tc>
          <w:tcPr>
            <w:tcW w:w="1080" w:type="dxa"/>
            <w:vAlign w:val="bottom"/>
            <w:gridSpan w:val="2"/>
            <w:shd w:val="clear" w:color="auto" w:fill="CCEEFF"/>
          </w:tcPr>
          <w:p>
            <w:pPr>
              <w:jc w:val="center"/>
              <w:ind w:left="178"/>
              <w:spacing w:after="0" w:line="90" w:lineRule="exact"/>
              <w:rPr>
                <w:sz w:val="20"/>
                <w:szCs w:val="20"/>
                <w:color w:val="auto"/>
              </w:rPr>
            </w:pPr>
            <w:r>
              <w:rPr>
                <w:rFonts w:ascii="Arial" w:cs="Arial" w:eastAsia="Arial" w:hAnsi="Arial"/>
                <w:sz w:val="8"/>
                <w:szCs w:val="8"/>
                <w:color w:val="auto"/>
                <w:w w:val="96"/>
              </w:rPr>
              <w:t>03/14/15</w:t>
            </w:r>
          </w:p>
        </w:tc>
        <w:tc>
          <w:tcPr>
            <w:tcW w:w="2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7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340,200</w:t>
            </w:r>
            <w:r>
              <w:rPr>
                <w:rFonts w:ascii="Arial" w:cs="Arial" w:eastAsia="Arial" w:hAnsi="Arial"/>
                <w:sz w:val="7"/>
                <w:szCs w:val="7"/>
                <w:color w:val="auto"/>
              </w:rPr>
              <w:t>(2)</w:t>
            </w:r>
          </w:p>
        </w:tc>
        <w:tc>
          <w:tcPr>
            <w:tcW w:w="1260" w:type="dxa"/>
            <w:vAlign w:val="bottom"/>
            <w:gridSpan w:val="2"/>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415,800</w:t>
            </w:r>
            <w:r>
              <w:rPr>
                <w:rFonts w:ascii="Arial" w:cs="Arial" w:eastAsia="Arial" w:hAnsi="Arial"/>
                <w:sz w:val="7"/>
                <w:szCs w:val="7"/>
                <w:color w:val="auto"/>
              </w:rPr>
              <w:t>(2)(6)</w:t>
            </w:r>
          </w:p>
        </w:tc>
        <w:tc>
          <w:tcPr>
            <w:tcW w:w="240" w:type="dxa"/>
            <w:vAlign w:val="bottom"/>
            <w:shd w:val="clear" w:color="auto" w:fill="CCEEFF"/>
          </w:tcPr>
          <w:p>
            <w:pPr>
              <w:spacing w:after="0"/>
              <w:rPr>
                <w:sz w:val="7"/>
                <w:szCs w:val="7"/>
                <w:color w:val="auto"/>
              </w:rPr>
            </w:pP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17.5000</w:t>
            </w:r>
          </w:p>
        </w:tc>
        <w:tc>
          <w:tcPr>
            <w:tcW w:w="1080" w:type="dxa"/>
            <w:vAlign w:val="bottom"/>
            <w:gridSpan w:val="2"/>
            <w:shd w:val="clear" w:color="auto" w:fill="CCEEFF"/>
          </w:tcPr>
          <w:p>
            <w:pPr>
              <w:jc w:val="center"/>
              <w:ind w:left="178"/>
              <w:spacing w:after="0" w:line="90" w:lineRule="exact"/>
              <w:rPr>
                <w:sz w:val="20"/>
                <w:szCs w:val="20"/>
                <w:color w:val="auto"/>
              </w:rPr>
            </w:pPr>
            <w:r>
              <w:rPr>
                <w:rFonts w:ascii="Arial" w:cs="Arial" w:eastAsia="Arial" w:hAnsi="Arial"/>
                <w:sz w:val="8"/>
                <w:szCs w:val="8"/>
                <w:color w:val="auto"/>
                <w:w w:val="96"/>
              </w:rPr>
              <w:t>03/09/16</w:t>
            </w:r>
          </w:p>
        </w:tc>
        <w:tc>
          <w:tcPr>
            <w:tcW w:w="2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7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164,400</w:t>
            </w:r>
            <w:r>
              <w:rPr>
                <w:rFonts w:ascii="Arial" w:cs="Arial" w:eastAsia="Arial" w:hAnsi="Arial"/>
                <w:sz w:val="7"/>
                <w:szCs w:val="7"/>
                <w:color w:val="auto"/>
              </w:rPr>
              <w:t>(2)</w:t>
            </w:r>
          </w:p>
        </w:tc>
        <w:tc>
          <w:tcPr>
            <w:tcW w:w="1260" w:type="dxa"/>
            <w:vAlign w:val="bottom"/>
            <w:gridSpan w:val="2"/>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383,600</w:t>
            </w:r>
            <w:r>
              <w:rPr>
                <w:rFonts w:ascii="Arial" w:cs="Arial" w:eastAsia="Arial" w:hAnsi="Arial"/>
                <w:sz w:val="7"/>
                <w:szCs w:val="7"/>
                <w:color w:val="auto"/>
              </w:rPr>
              <w:t>(2)(6)</w:t>
            </w:r>
          </w:p>
        </w:tc>
        <w:tc>
          <w:tcPr>
            <w:tcW w:w="240" w:type="dxa"/>
            <w:vAlign w:val="bottom"/>
            <w:shd w:val="clear" w:color="auto" w:fill="CCEEFF"/>
          </w:tcPr>
          <w:p>
            <w:pPr>
              <w:spacing w:after="0"/>
              <w:rPr>
                <w:sz w:val="7"/>
                <w:szCs w:val="7"/>
                <w:color w:val="auto"/>
              </w:rPr>
            </w:pP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25.4400</w:t>
            </w:r>
          </w:p>
        </w:tc>
        <w:tc>
          <w:tcPr>
            <w:tcW w:w="1080" w:type="dxa"/>
            <w:vAlign w:val="bottom"/>
            <w:gridSpan w:val="2"/>
            <w:shd w:val="clear" w:color="auto" w:fill="CCEEFF"/>
          </w:tcPr>
          <w:p>
            <w:pPr>
              <w:jc w:val="center"/>
              <w:ind w:left="178"/>
              <w:spacing w:after="0" w:line="90" w:lineRule="exact"/>
              <w:rPr>
                <w:sz w:val="20"/>
                <w:szCs w:val="20"/>
                <w:color w:val="auto"/>
              </w:rPr>
            </w:pPr>
            <w:r>
              <w:rPr>
                <w:rFonts w:ascii="Arial" w:cs="Arial" w:eastAsia="Arial" w:hAnsi="Arial"/>
                <w:sz w:val="8"/>
                <w:szCs w:val="8"/>
                <w:color w:val="auto"/>
                <w:w w:val="96"/>
              </w:rPr>
              <w:t>03/15/17</w:t>
            </w:r>
          </w:p>
        </w:tc>
        <w:tc>
          <w:tcPr>
            <w:tcW w:w="2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7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40" w:type="dxa"/>
            <w:vAlign w:val="bottom"/>
            <w:shd w:val="clear" w:color="auto" w:fill="CCEEFF"/>
          </w:tcPr>
          <w:p>
            <w:pPr>
              <w:jc w:val="right"/>
              <w:ind w:right="218"/>
              <w:spacing w:after="0" w:line="90" w:lineRule="exact"/>
              <w:rPr>
                <w:sz w:val="20"/>
                <w:szCs w:val="20"/>
                <w:color w:val="auto"/>
              </w:rPr>
            </w:pPr>
            <w:r>
              <w:rPr>
                <w:rFonts w:ascii="Arial" w:cs="Arial" w:eastAsia="Arial" w:hAnsi="Arial"/>
                <w:sz w:val="8"/>
                <w:szCs w:val="8"/>
                <w:color w:val="auto"/>
              </w:rPr>
              <w:t>—</w:t>
            </w:r>
          </w:p>
        </w:tc>
        <w:tc>
          <w:tcPr>
            <w:tcW w:w="1260" w:type="dxa"/>
            <w:vAlign w:val="bottom"/>
            <w:gridSpan w:val="2"/>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803,000</w:t>
            </w:r>
            <w:r>
              <w:rPr>
                <w:rFonts w:ascii="Arial" w:cs="Arial" w:eastAsia="Arial" w:hAnsi="Arial"/>
                <w:sz w:val="7"/>
                <w:szCs w:val="7"/>
                <w:color w:val="auto"/>
              </w:rPr>
              <w:t>(2)(6)</w:t>
            </w:r>
          </w:p>
        </w:tc>
        <w:tc>
          <w:tcPr>
            <w:tcW w:w="240" w:type="dxa"/>
            <w:vAlign w:val="bottom"/>
            <w:shd w:val="clear" w:color="auto" w:fill="CCEEFF"/>
          </w:tcPr>
          <w:p>
            <w:pPr>
              <w:spacing w:after="0"/>
              <w:rPr>
                <w:sz w:val="7"/>
                <w:szCs w:val="7"/>
                <w:color w:val="auto"/>
              </w:rPr>
            </w:pP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18.9800</w:t>
            </w:r>
          </w:p>
        </w:tc>
        <w:tc>
          <w:tcPr>
            <w:tcW w:w="1080" w:type="dxa"/>
            <w:vAlign w:val="bottom"/>
            <w:gridSpan w:val="2"/>
            <w:shd w:val="clear" w:color="auto" w:fill="CCEEFF"/>
          </w:tcPr>
          <w:p>
            <w:pPr>
              <w:jc w:val="center"/>
              <w:ind w:left="178"/>
              <w:spacing w:after="0" w:line="90" w:lineRule="exact"/>
              <w:rPr>
                <w:sz w:val="20"/>
                <w:szCs w:val="20"/>
                <w:color w:val="auto"/>
              </w:rPr>
            </w:pPr>
            <w:r>
              <w:rPr>
                <w:rFonts w:ascii="Arial" w:cs="Arial" w:eastAsia="Arial" w:hAnsi="Arial"/>
                <w:sz w:val="8"/>
                <w:szCs w:val="8"/>
                <w:color w:val="auto"/>
                <w:w w:val="96"/>
              </w:rPr>
              <w:t>03/27/18</w:t>
            </w:r>
          </w:p>
        </w:tc>
        <w:tc>
          <w:tcPr>
            <w:tcW w:w="2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7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40" w:type="dxa"/>
            <w:vAlign w:val="bottom"/>
            <w:shd w:val="clear" w:color="auto" w:fill="CCEEFF"/>
          </w:tcPr>
          <w:p>
            <w:pPr>
              <w:jc w:val="right"/>
              <w:ind w:right="218"/>
              <w:spacing w:after="0"/>
              <w:rPr>
                <w:sz w:val="20"/>
                <w:szCs w:val="20"/>
                <w:color w:val="auto"/>
              </w:rPr>
            </w:pPr>
            <w:r>
              <w:rPr>
                <w:rFonts w:ascii="Arial" w:cs="Arial" w:eastAsia="Arial" w:hAnsi="Arial"/>
                <w:sz w:val="8"/>
                <w:szCs w:val="8"/>
                <w:color w:val="auto"/>
              </w:rPr>
              <w:t>—</w:t>
            </w:r>
          </w:p>
        </w:tc>
        <w:tc>
          <w:tcPr>
            <w:tcW w:w="1260" w:type="dxa"/>
            <w:vAlign w:val="bottom"/>
            <w:gridSpan w:val="2"/>
            <w:shd w:val="clear" w:color="auto" w:fill="CCEEFF"/>
          </w:tcPr>
          <w:p>
            <w:pPr>
              <w:jc w:val="right"/>
              <w:ind w:right="138"/>
              <w:spacing w:after="0"/>
              <w:rPr>
                <w:sz w:val="20"/>
                <w:szCs w:val="20"/>
                <w:color w:val="auto"/>
              </w:rPr>
            </w:pPr>
            <w:r>
              <w:rPr>
                <w:rFonts w:ascii="Arial" w:cs="Arial" w:eastAsia="Arial" w:hAnsi="Arial"/>
                <w:sz w:val="8"/>
                <w:szCs w:val="8"/>
                <w:color w:val="auto"/>
              </w:rPr>
              <w:t>1,145,000</w:t>
            </w:r>
            <w:r>
              <w:rPr>
                <w:rFonts w:ascii="Arial" w:cs="Arial" w:eastAsia="Arial" w:hAnsi="Arial"/>
                <w:sz w:val="7"/>
                <w:szCs w:val="7"/>
                <w:color w:val="auto"/>
              </w:rPr>
              <w:t>(2)(6)</w:t>
            </w:r>
          </w:p>
        </w:tc>
        <w:tc>
          <w:tcPr>
            <w:tcW w:w="240" w:type="dxa"/>
            <w:vAlign w:val="bottom"/>
            <w:shd w:val="clear" w:color="auto" w:fill="CCEEFF"/>
          </w:tcPr>
          <w:p>
            <w:pPr>
              <w:spacing w:after="0"/>
              <w:rPr>
                <w:sz w:val="8"/>
                <w:szCs w:val="8"/>
                <w:color w:val="auto"/>
              </w:rPr>
            </w:pPr>
          </w:p>
        </w:tc>
        <w:tc>
          <w:tcPr>
            <w:tcW w:w="640" w:type="dxa"/>
            <w:vAlign w:val="bottom"/>
            <w:shd w:val="clear" w:color="auto" w:fill="CCEEFF"/>
          </w:tcPr>
          <w:p>
            <w:pPr>
              <w:jc w:val="right"/>
              <w:ind w:right="138"/>
              <w:spacing w:after="0"/>
              <w:rPr>
                <w:sz w:val="20"/>
                <w:szCs w:val="20"/>
                <w:color w:val="auto"/>
              </w:rPr>
            </w:pPr>
            <w:r>
              <w:rPr>
                <w:rFonts w:ascii="Arial" w:cs="Arial" w:eastAsia="Arial" w:hAnsi="Arial"/>
                <w:sz w:val="8"/>
                <w:szCs w:val="8"/>
                <w:color w:val="auto"/>
              </w:rPr>
              <w:t>14.5400</w:t>
            </w:r>
          </w:p>
        </w:tc>
        <w:tc>
          <w:tcPr>
            <w:tcW w:w="1080" w:type="dxa"/>
            <w:vAlign w:val="bottom"/>
            <w:gridSpan w:val="2"/>
            <w:shd w:val="clear" w:color="auto" w:fill="CCEEFF"/>
          </w:tcPr>
          <w:p>
            <w:pPr>
              <w:jc w:val="center"/>
              <w:ind w:left="178"/>
              <w:spacing w:after="0"/>
              <w:rPr>
                <w:sz w:val="20"/>
                <w:szCs w:val="20"/>
                <w:color w:val="auto"/>
              </w:rPr>
            </w:pPr>
            <w:r>
              <w:rPr>
                <w:rFonts w:ascii="Arial" w:cs="Arial" w:eastAsia="Arial" w:hAnsi="Arial"/>
                <w:sz w:val="8"/>
                <w:szCs w:val="8"/>
                <w:color w:val="auto"/>
                <w:w w:val="96"/>
              </w:rPr>
              <w:t>03/26/19</w:t>
            </w:r>
          </w:p>
        </w:tc>
        <w:tc>
          <w:tcPr>
            <w:tcW w:w="2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960" w:type="dxa"/>
            <w:vAlign w:val="bottom"/>
            <w:gridSpan w:val="2"/>
          </w:tcPr>
          <w:p>
            <w:pPr>
              <w:spacing w:after="0"/>
              <w:rPr>
                <w:sz w:val="20"/>
                <w:szCs w:val="20"/>
                <w:color w:val="auto"/>
              </w:rPr>
            </w:pPr>
            <w:r>
              <w:rPr>
                <w:rFonts w:ascii="Arial" w:cs="Arial" w:eastAsia="Arial" w:hAnsi="Arial"/>
                <w:sz w:val="8"/>
                <w:szCs w:val="8"/>
                <w:b w:val="1"/>
                <w:bCs w:val="1"/>
                <w:color w:val="auto"/>
              </w:rPr>
              <w:t>Michael J. Angelakis</w:t>
            </w: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40" w:type="dxa"/>
            <w:vAlign w:val="bottom"/>
            <w:gridSpan w:val="2"/>
            <w:vMerge w:val="restart"/>
          </w:tcPr>
          <w:p>
            <w:pPr>
              <w:jc w:val="right"/>
              <w:ind w:right="98"/>
              <w:spacing w:after="0"/>
              <w:rPr>
                <w:sz w:val="20"/>
                <w:szCs w:val="20"/>
                <w:color w:val="auto"/>
              </w:rPr>
            </w:pPr>
            <w:r>
              <w:rPr>
                <w:rFonts w:ascii="Arial" w:cs="Arial" w:eastAsia="Arial" w:hAnsi="Arial"/>
                <w:sz w:val="8"/>
                <w:szCs w:val="8"/>
                <w:color w:val="auto"/>
              </w:rPr>
              <w:t>620,673</w:t>
            </w:r>
            <w:r>
              <w:rPr>
                <w:rFonts w:ascii="Arial" w:cs="Arial" w:eastAsia="Arial" w:hAnsi="Arial"/>
                <w:sz w:val="7"/>
                <w:szCs w:val="7"/>
                <w:color w:val="auto"/>
              </w:rPr>
              <w:t>(4)(7)</w:t>
            </w:r>
          </w:p>
        </w:tc>
        <w:tc>
          <w:tcPr>
            <w:tcW w:w="1220" w:type="dxa"/>
            <w:vAlign w:val="bottom"/>
            <w:gridSpan w:val="2"/>
            <w:vMerge w:val="restart"/>
          </w:tcPr>
          <w:p>
            <w:pPr>
              <w:jc w:val="right"/>
              <w:ind w:right="218"/>
              <w:spacing w:after="0"/>
              <w:rPr>
                <w:sz w:val="20"/>
                <w:szCs w:val="20"/>
                <w:color w:val="auto"/>
              </w:rPr>
            </w:pPr>
            <w:r>
              <w:rPr>
                <w:rFonts w:ascii="Arial" w:cs="Arial" w:eastAsia="Arial" w:hAnsi="Arial"/>
                <w:sz w:val="8"/>
                <w:szCs w:val="8"/>
                <w:color w:val="auto"/>
              </w:rPr>
              <w:t>10,464,547</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7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vMerge w:val="restart"/>
          </w:tcPr>
          <w:p>
            <w:pPr>
              <w:jc w:val="right"/>
              <w:ind w:right="138"/>
              <w:spacing w:after="0"/>
              <w:rPr>
                <w:sz w:val="20"/>
                <w:szCs w:val="20"/>
                <w:color w:val="auto"/>
              </w:rPr>
            </w:pPr>
            <w:r>
              <w:rPr>
                <w:rFonts w:ascii="Arial" w:cs="Arial" w:eastAsia="Arial" w:hAnsi="Arial"/>
                <w:sz w:val="8"/>
                <w:szCs w:val="8"/>
                <w:color w:val="auto"/>
              </w:rPr>
              <w:t>74,320</w:t>
            </w:r>
            <w:r>
              <w:rPr>
                <w:rFonts w:ascii="Arial" w:cs="Arial" w:eastAsia="Arial" w:hAnsi="Arial"/>
                <w:sz w:val="7"/>
                <w:szCs w:val="7"/>
                <w:color w:val="auto"/>
              </w:rPr>
              <w:t>(2)</w:t>
            </w:r>
          </w:p>
        </w:tc>
        <w:tc>
          <w:tcPr>
            <w:tcW w:w="1260" w:type="dxa"/>
            <w:vAlign w:val="bottom"/>
            <w:gridSpan w:val="2"/>
            <w:vMerge w:val="restart"/>
          </w:tcPr>
          <w:p>
            <w:pPr>
              <w:jc w:val="right"/>
              <w:ind w:right="138"/>
              <w:spacing w:after="0"/>
              <w:rPr>
                <w:sz w:val="20"/>
                <w:szCs w:val="20"/>
                <w:color w:val="auto"/>
              </w:rPr>
            </w:pPr>
            <w:r>
              <w:rPr>
                <w:rFonts w:ascii="Arial" w:cs="Arial" w:eastAsia="Arial" w:hAnsi="Arial"/>
                <w:sz w:val="8"/>
                <w:szCs w:val="8"/>
                <w:color w:val="auto"/>
              </w:rPr>
              <w:t>173,415</w:t>
            </w:r>
            <w:r>
              <w:rPr>
                <w:rFonts w:ascii="Arial" w:cs="Arial" w:eastAsia="Arial" w:hAnsi="Arial"/>
                <w:sz w:val="7"/>
                <w:szCs w:val="7"/>
                <w:color w:val="auto"/>
              </w:rPr>
              <w:t>(2)(6)</w:t>
            </w:r>
          </w:p>
        </w:tc>
        <w:tc>
          <w:tcPr>
            <w:tcW w:w="240" w:type="dxa"/>
            <w:vAlign w:val="bottom"/>
          </w:tcPr>
          <w:p>
            <w:pPr>
              <w:spacing w:after="0"/>
              <w:rPr>
                <w:sz w:val="6"/>
                <w:szCs w:val="6"/>
                <w:color w:val="auto"/>
              </w:rPr>
            </w:pPr>
          </w:p>
        </w:tc>
        <w:tc>
          <w:tcPr>
            <w:tcW w:w="640" w:type="dxa"/>
            <w:vAlign w:val="bottom"/>
            <w:vMerge w:val="restart"/>
          </w:tcPr>
          <w:p>
            <w:pPr>
              <w:jc w:val="right"/>
              <w:ind w:right="138"/>
              <w:spacing w:after="0"/>
              <w:rPr>
                <w:sz w:val="20"/>
                <w:szCs w:val="20"/>
                <w:color w:val="auto"/>
              </w:rPr>
            </w:pPr>
            <w:r>
              <w:rPr>
                <w:rFonts w:ascii="Arial" w:cs="Arial" w:eastAsia="Arial" w:hAnsi="Arial"/>
                <w:sz w:val="8"/>
                <w:szCs w:val="8"/>
                <w:color w:val="auto"/>
              </w:rPr>
              <w:t>25.9500</w:t>
            </w:r>
          </w:p>
        </w:tc>
        <w:tc>
          <w:tcPr>
            <w:tcW w:w="1080" w:type="dxa"/>
            <w:vAlign w:val="bottom"/>
            <w:gridSpan w:val="2"/>
            <w:vMerge w:val="restart"/>
          </w:tcPr>
          <w:p>
            <w:pPr>
              <w:jc w:val="center"/>
              <w:ind w:left="178"/>
              <w:spacing w:after="0"/>
              <w:rPr>
                <w:sz w:val="20"/>
                <w:szCs w:val="20"/>
                <w:color w:val="auto"/>
              </w:rPr>
            </w:pPr>
            <w:r>
              <w:rPr>
                <w:rFonts w:ascii="Arial" w:cs="Arial" w:eastAsia="Arial" w:hAnsi="Arial"/>
                <w:sz w:val="8"/>
                <w:szCs w:val="8"/>
                <w:color w:val="auto"/>
                <w:w w:val="96"/>
              </w:rPr>
              <w:t>03/29/17</w:t>
            </w:r>
          </w:p>
        </w:tc>
        <w:tc>
          <w:tcPr>
            <w:tcW w:w="2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7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jc w:val="right"/>
              <w:ind w:right="218"/>
              <w:spacing w:after="0" w:line="90" w:lineRule="exact"/>
              <w:rPr>
                <w:sz w:val="20"/>
                <w:szCs w:val="20"/>
                <w:color w:val="auto"/>
              </w:rPr>
            </w:pPr>
            <w:r>
              <w:rPr>
                <w:rFonts w:ascii="Arial" w:cs="Arial" w:eastAsia="Arial" w:hAnsi="Arial"/>
                <w:sz w:val="8"/>
                <w:szCs w:val="8"/>
                <w:color w:val="auto"/>
              </w:rPr>
              <w:t>—</w:t>
            </w:r>
          </w:p>
        </w:tc>
        <w:tc>
          <w:tcPr>
            <w:tcW w:w="1260" w:type="dxa"/>
            <w:vAlign w:val="bottom"/>
            <w:gridSpan w:val="2"/>
          </w:tcPr>
          <w:p>
            <w:pPr>
              <w:jc w:val="right"/>
              <w:ind w:right="138"/>
              <w:spacing w:after="0" w:line="90" w:lineRule="exact"/>
              <w:rPr>
                <w:sz w:val="20"/>
                <w:szCs w:val="20"/>
                <w:color w:val="auto"/>
              </w:rPr>
            </w:pPr>
            <w:r>
              <w:rPr>
                <w:rFonts w:ascii="Arial" w:cs="Arial" w:eastAsia="Arial" w:hAnsi="Arial"/>
                <w:sz w:val="8"/>
                <w:szCs w:val="8"/>
                <w:color w:val="auto"/>
              </w:rPr>
              <w:t>481,800</w:t>
            </w:r>
            <w:r>
              <w:rPr>
                <w:rFonts w:ascii="Arial" w:cs="Arial" w:eastAsia="Arial" w:hAnsi="Arial"/>
                <w:sz w:val="7"/>
                <w:szCs w:val="7"/>
                <w:color w:val="auto"/>
              </w:rPr>
              <w:t>(2)(6)</w:t>
            </w:r>
          </w:p>
        </w:tc>
        <w:tc>
          <w:tcPr>
            <w:tcW w:w="240" w:type="dxa"/>
            <w:vAlign w:val="bottom"/>
          </w:tcPr>
          <w:p>
            <w:pPr>
              <w:spacing w:after="0"/>
              <w:rPr>
                <w:sz w:val="7"/>
                <w:szCs w:val="7"/>
                <w:color w:val="auto"/>
              </w:rPr>
            </w:pPr>
          </w:p>
        </w:tc>
        <w:tc>
          <w:tcPr>
            <w:tcW w:w="640" w:type="dxa"/>
            <w:vAlign w:val="bottom"/>
          </w:tcPr>
          <w:p>
            <w:pPr>
              <w:jc w:val="right"/>
              <w:ind w:right="138"/>
              <w:spacing w:after="0" w:line="90" w:lineRule="exact"/>
              <w:rPr>
                <w:sz w:val="20"/>
                <w:szCs w:val="20"/>
                <w:color w:val="auto"/>
              </w:rPr>
            </w:pPr>
            <w:r>
              <w:rPr>
                <w:rFonts w:ascii="Arial" w:cs="Arial" w:eastAsia="Arial" w:hAnsi="Arial"/>
                <w:sz w:val="8"/>
                <w:szCs w:val="8"/>
                <w:color w:val="auto"/>
              </w:rPr>
              <w:t>18.9800</w:t>
            </w:r>
          </w:p>
        </w:tc>
        <w:tc>
          <w:tcPr>
            <w:tcW w:w="1080" w:type="dxa"/>
            <w:vAlign w:val="bottom"/>
            <w:gridSpan w:val="2"/>
          </w:tcPr>
          <w:p>
            <w:pPr>
              <w:jc w:val="center"/>
              <w:ind w:left="178"/>
              <w:spacing w:after="0" w:line="90" w:lineRule="exact"/>
              <w:rPr>
                <w:sz w:val="20"/>
                <w:szCs w:val="20"/>
                <w:color w:val="auto"/>
              </w:rPr>
            </w:pPr>
            <w:r>
              <w:rPr>
                <w:rFonts w:ascii="Arial" w:cs="Arial" w:eastAsia="Arial" w:hAnsi="Arial"/>
                <w:sz w:val="8"/>
                <w:szCs w:val="8"/>
                <w:color w:val="auto"/>
                <w:w w:val="96"/>
              </w:rPr>
              <w:t>03/27/18</w:t>
            </w: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jc w:val="right"/>
              <w:ind w:right="218"/>
              <w:spacing w:after="0"/>
              <w:rPr>
                <w:sz w:val="20"/>
                <w:szCs w:val="20"/>
                <w:color w:val="auto"/>
              </w:rPr>
            </w:pPr>
            <w:r>
              <w:rPr>
                <w:rFonts w:ascii="Arial" w:cs="Arial" w:eastAsia="Arial" w:hAnsi="Arial"/>
                <w:sz w:val="8"/>
                <w:szCs w:val="8"/>
                <w:color w:val="auto"/>
              </w:rPr>
              <w:t>—</w:t>
            </w:r>
          </w:p>
        </w:tc>
        <w:tc>
          <w:tcPr>
            <w:tcW w:w="1260" w:type="dxa"/>
            <w:vAlign w:val="bottom"/>
            <w:gridSpan w:val="2"/>
          </w:tcPr>
          <w:p>
            <w:pPr>
              <w:jc w:val="right"/>
              <w:ind w:right="138"/>
              <w:spacing w:after="0"/>
              <w:rPr>
                <w:sz w:val="20"/>
                <w:szCs w:val="20"/>
                <w:color w:val="auto"/>
              </w:rPr>
            </w:pPr>
            <w:r>
              <w:rPr>
                <w:rFonts w:ascii="Arial" w:cs="Arial" w:eastAsia="Arial" w:hAnsi="Arial"/>
                <w:sz w:val="8"/>
                <w:szCs w:val="8"/>
                <w:color w:val="auto"/>
              </w:rPr>
              <w:t>690,000</w:t>
            </w:r>
            <w:r>
              <w:rPr>
                <w:rFonts w:ascii="Arial" w:cs="Arial" w:eastAsia="Arial" w:hAnsi="Arial"/>
                <w:sz w:val="7"/>
                <w:szCs w:val="7"/>
                <w:color w:val="auto"/>
              </w:rPr>
              <w:t>(2)(6)</w:t>
            </w:r>
          </w:p>
        </w:tc>
        <w:tc>
          <w:tcPr>
            <w:tcW w:w="240" w:type="dxa"/>
            <w:vAlign w:val="bottom"/>
          </w:tcPr>
          <w:p>
            <w:pPr>
              <w:spacing w:after="0"/>
              <w:rPr>
                <w:sz w:val="8"/>
                <w:szCs w:val="8"/>
                <w:color w:val="auto"/>
              </w:rPr>
            </w:pPr>
          </w:p>
        </w:tc>
        <w:tc>
          <w:tcPr>
            <w:tcW w:w="640" w:type="dxa"/>
            <w:vAlign w:val="bottom"/>
          </w:tcPr>
          <w:p>
            <w:pPr>
              <w:jc w:val="right"/>
              <w:ind w:right="138"/>
              <w:spacing w:after="0"/>
              <w:rPr>
                <w:sz w:val="20"/>
                <w:szCs w:val="20"/>
                <w:color w:val="auto"/>
              </w:rPr>
            </w:pPr>
            <w:r>
              <w:rPr>
                <w:rFonts w:ascii="Arial" w:cs="Arial" w:eastAsia="Arial" w:hAnsi="Arial"/>
                <w:sz w:val="8"/>
                <w:szCs w:val="8"/>
                <w:color w:val="auto"/>
              </w:rPr>
              <w:t>14.5400</w:t>
            </w:r>
          </w:p>
        </w:tc>
        <w:tc>
          <w:tcPr>
            <w:tcW w:w="1080" w:type="dxa"/>
            <w:vAlign w:val="bottom"/>
            <w:gridSpan w:val="2"/>
          </w:tcPr>
          <w:p>
            <w:pPr>
              <w:jc w:val="center"/>
              <w:ind w:left="178"/>
              <w:spacing w:after="0"/>
              <w:rPr>
                <w:sz w:val="20"/>
                <w:szCs w:val="20"/>
                <w:color w:val="auto"/>
              </w:rPr>
            </w:pPr>
            <w:r>
              <w:rPr>
                <w:rFonts w:ascii="Arial" w:cs="Arial" w:eastAsia="Arial" w:hAnsi="Arial"/>
                <w:sz w:val="8"/>
                <w:szCs w:val="8"/>
                <w:color w:val="auto"/>
                <w:w w:val="96"/>
              </w:rPr>
              <w:t>03/26/19</w:t>
            </w: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960" w:type="dxa"/>
            <w:vAlign w:val="bottom"/>
            <w:gridSpan w:val="2"/>
            <w:shd w:val="clear" w:color="auto" w:fill="CCEEFF"/>
          </w:tcPr>
          <w:p>
            <w:pPr>
              <w:spacing w:after="0"/>
              <w:rPr>
                <w:sz w:val="20"/>
                <w:szCs w:val="20"/>
                <w:color w:val="auto"/>
              </w:rPr>
            </w:pPr>
            <w:r>
              <w:rPr>
                <w:rFonts w:ascii="Arial" w:cs="Arial" w:eastAsia="Arial" w:hAnsi="Arial"/>
                <w:sz w:val="8"/>
                <w:szCs w:val="8"/>
                <w:b w:val="1"/>
                <w:bCs w:val="1"/>
                <w:color w:val="auto"/>
              </w:rPr>
              <w:t>Stephen B. Burke</w:t>
            </w:r>
          </w:p>
        </w:tc>
        <w:tc>
          <w:tcPr>
            <w:tcW w:w="8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140" w:type="dxa"/>
            <w:vAlign w:val="bottom"/>
            <w:gridSpan w:val="2"/>
            <w:vMerge w:val="restart"/>
            <w:shd w:val="clear" w:color="auto" w:fill="CCEEFF"/>
          </w:tcPr>
          <w:p>
            <w:pPr>
              <w:jc w:val="right"/>
              <w:ind w:right="18"/>
              <w:spacing w:after="0"/>
              <w:rPr>
                <w:sz w:val="20"/>
                <w:szCs w:val="20"/>
                <w:color w:val="auto"/>
              </w:rPr>
            </w:pPr>
            <w:r>
              <w:rPr>
                <w:rFonts w:ascii="Arial" w:cs="Arial" w:eastAsia="Arial" w:hAnsi="Arial"/>
                <w:sz w:val="8"/>
                <w:szCs w:val="8"/>
                <w:color w:val="auto"/>
              </w:rPr>
              <w:t>1,099,962</w:t>
            </w:r>
            <w:r>
              <w:rPr>
                <w:rFonts w:ascii="Arial" w:cs="Arial" w:eastAsia="Arial" w:hAnsi="Arial"/>
                <w:sz w:val="7"/>
                <w:szCs w:val="7"/>
                <w:color w:val="auto"/>
              </w:rPr>
              <w:t>(4)(7)(8)</w:t>
            </w:r>
          </w:p>
        </w:tc>
        <w:tc>
          <w:tcPr>
            <w:tcW w:w="1220" w:type="dxa"/>
            <w:vAlign w:val="bottom"/>
            <w:gridSpan w:val="2"/>
            <w:vMerge w:val="restart"/>
            <w:shd w:val="clear" w:color="auto" w:fill="CCEEFF"/>
          </w:tcPr>
          <w:p>
            <w:pPr>
              <w:jc w:val="right"/>
              <w:ind w:right="218"/>
              <w:spacing w:after="0"/>
              <w:rPr>
                <w:sz w:val="20"/>
                <w:szCs w:val="20"/>
                <w:color w:val="auto"/>
              </w:rPr>
            </w:pPr>
            <w:r>
              <w:rPr>
                <w:rFonts w:ascii="Arial" w:cs="Arial" w:eastAsia="Arial" w:hAnsi="Arial"/>
                <w:sz w:val="8"/>
                <w:szCs w:val="8"/>
                <w:color w:val="auto"/>
              </w:rPr>
              <w:t>18,545,359</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7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40" w:type="dxa"/>
            <w:vAlign w:val="bottom"/>
            <w:vMerge w:val="restart"/>
            <w:shd w:val="clear" w:color="auto" w:fill="CCEEFF"/>
          </w:tcPr>
          <w:p>
            <w:pPr>
              <w:jc w:val="right"/>
              <w:ind w:right="138"/>
              <w:spacing w:after="0"/>
              <w:rPr>
                <w:sz w:val="20"/>
                <w:szCs w:val="20"/>
                <w:color w:val="auto"/>
              </w:rPr>
            </w:pPr>
            <w:r>
              <w:rPr>
                <w:rFonts w:ascii="Arial" w:cs="Arial" w:eastAsia="Arial" w:hAnsi="Arial"/>
                <w:sz w:val="8"/>
                <w:szCs w:val="8"/>
                <w:color w:val="auto"/>
              </w:rPr>
              <w:t>900,000</w:t>
            </w:r>
            <w:r>
              <w:rPr>
                <w:rFonts w:ascii="Arial" w:cs="Arial" w:eastAsia="Arial" w:hAnsi="Arial"/>
                <w:sz w:val="7"/>
                <w:szCs w:val="7"/>
                <w:color w:val="auto"/>
              </w:rPr>
              <w:t>(1)</w:t>
            </w:r>
          </w:p>
        </w:tc>
        <w:tc>
          <w:tcPr>
            <w:tcW w:w="240" w:type="dxa"/>
            <w:vAlign w:val="bottom"/>
            <w:shd w:val="clear" w:color="auto" w:fill="CCEEFF"/>
          </w:tcPr>
          <w:p>
            <w:pPr>
              <w:spacing w:after="0"/>
              <w:rPr>
                <w:sz w:val="6"/>
                <w:szCs w:val="6"/>
                <w:color w:val="auto"/>
              </w:rPr>
            </w:pPr>
          </w:p>
        </w:tc>
        <w:tc>
          <w:tcPr>
            <w:tcW w:w="1260" w:type="dxa"/>
            <w:vAlign w:val="bottom"/>
            <w:gridSpan w:val="2"/>
            <w:vMerge w:val="restart"/>
            <w:shd w:val="clear" w:color="auto" w:fill="CCEEFF"/>
          </w:tcPr>
          <w:p>
            <w:pPr>
              <w:jc w:val="right"/>
              <w:ind w:right="580"/>
              <w:spacing w:after="0"/>
              <w:rPr>
                <w:sz w:val="20"/>
                <w:szCs w:val="20"/>
                <w:color w:val="auto"/>
              </w:rPr>
            </w:pPr>
            <w:r>
              <w:rPr>
                <w:rFonts w:ascii="Arial" w:cs="Arial" w:eastAsia="Arial" w:hAnsi="Arial"/>
                <w:sz w:val="8"/>
                <w:szCs w:val="8"/>
                <w:color w:val="auto"/>
              </w:rPr>
              <w:t>—</w:t>
            </w:r>
          </w:p>
        </w:tc>
        <w:tc>
          <w:tcPr>
            <w:tcW w:w="640" w:type="dxa"/>
            <w:vAlign w:val="bottom"/>
            <w:vMerge w:val="restart"/>
            <w:shd w:val="clear" w:color="auto" w:fill="CCEEFF"/>
          </w:tcPr>
          <w:p>
            <w:pPr>
              <w:jc w:val="right"/>
              <w:ind w:right="138"/>
              <w:spacing w:after="0"/>
              <w:rPr>
                <w:sz w:val="20"/>
                <w:szCs w:val="20"/>
                <w:color w:val="auto"/>
              </w:rPr>
            </w:pPr>
            <w:r>
              <w:rPr>
                <w:rFonts w:ascii="Arial" w:cs="Arial" w:eastAsia="Arial" w:hAnsi="Arial"/>
                <w:sz w:val="8"/>
                <w:szCs w:val="8"/>
                <w:color w:val="auto"/>
              </w:rPr>
              <w:t>25.6250</w:t>
            </w:r>
          </w:p>
        </w:tc>
        <w:tc>
          <w:tcPr>
            <w:tcW w:w="1080" w:type="dxa"/>
            <w:vAlign w:val="bottom"/>
            <w:gridSpan w:val="2"/>
            <w:vMerge w:val="restart"/>
            <w:shd w:val="clear" w:color="auto" w:fill="CCEEFF"/>
          </w:tcPr>
          <w:p>
            <w:pPr>
              <w:jc w:val="center"/>
              <w:ind w:left="178"/>
              <w:spacing w:after="0"/>
              <w:rPr>
                <w:sz w:val="20"/>
                <w:szCs w:val="20"/>
                <w:color w:val="auto"/>
              </w:rPr>
            </w:pPr>
            <w:r>
              <w:rPr>
                <w:rFonts w:ascii="Arial" w:cs="Arial" w:eastAsia="Arial" w:hAnsi="Arial"/>
                <w:sz w:val="8"/>
                <w:szCs w:val="8"/>
                <w:color w:val="auto"/>
                <w:w w:val="96"/>
              </w:rPr>
              <w:t>03/15/10</w:t>
            </w:r>
          </w:p>
        </w:tc>
        <w:tc>
          <w:tcPr>
            <w:tcW w:w="24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140" w:type="dxa"/>
            <w:vAlign w:val="bottom"/>
            <w:gridSpan w:val="2"/>
            <w:vMerge w:val="continue"/>
            <w:shd w:val="clear" w:color="auto" w:fill="CCEEFF"/>
          </w:tcPr>
          <w:p>
            <w:pPr>
              <w:spacing w:after="0"/>
              <w:rPr>
                <w:sz w:val="6"/>
                <w:szCs w:val="6"/>
                <w:color w:val="auto"/>
              </w:rPr>
            </w:pPr>
          </w:p>
        </w:tc>
        <w:tc>
          <w:tcPr>
            <w:tcW w:w="122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7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60" w:type="dxa"/>
            <w:vAlign w:val="bottom"/>
            <w:gridSpan w:val="2"/>
            <w:vMerge w:val="continue"/>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080" w:type="dxa"/>
            <w:vAlign w:val="bottom"/>
            <w:gridSpan w:val="2"/>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7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1,050,000</w:t>
            </w:r>
            <w:r>
              <w:rPr>
                <w:rFonts w:ascii="Arial" w:cs="Arial" w:eastAsia="Arial" w:hAnsi="Arial"/>
                <w:sz w:val="7"/>
                <w:szCs w:val="7"/>
                <w:color w:val="auto"/>
              </w:rPr>
              <w:t>(1)</w:t>
            </w:r>
          </w:p>
        </w:tc>
        <w:tc>
          <w:tcPr>
            <w:tcW w:w="240" w:type="dxa"/>
            <w:vAlign w:val="bottom"/>
            <w:shd w:val="clear" w:color="auto" w:fill="CCEEFF"/>
          </w:tcPr>
          <w:p>
            <w:pPr>
              <w:spacing w:after="0"/>
              <w:rPr>
                <w:sz w:val="7"/>
                <w:szCs w:val="7"/>
                <w:color w:val="auto"/>
              </w:rPr>
            </w:pPr>
          </w:p>
        </w:tc>
        <w:tc>
          <w:tcPr>
            <w:tcW w:w="1260" w:type="dxa"/>
            <w:vAlign w:val="bottom"/>
            <w:gridSpan w:val="2"/>
            <w:shd w:val="clear" w:color="auto" w:fill="CCEEFF"/>
          </w:tcPr>
          <w:p>
            <w:pPr>
              <w:jc w:val="right"/>
              <w:ind w:right="580"/>
              <w:spacing w:after="0" w:line="90" w:lineRule="exact"/>
              <w:rPr>
                <w:sz w:val="20"/>
                <w:szCs w:val="20"/>
                <w:color w:val="auto"/>
              </w:rPr>
            </w:pPr>
            <w:r>
              <w:rPr>
                <w:rFonts w:ascii="Arial" w:cs="Arial" w:eastAsia="Arial" w:hAnsi="Arial"/>
                <w:sz w:val="8"/>
                <w:szCs w:val="8"/>
                <w:color w:val="auto"/>
              </w:rPr>
              <w:t>—</w:t>
            </w: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25.0416</w:t>
            </w:r>
          </w:p>
        </w:tc>
        <w:tc>
          <w:tcPr>
            <w:tcW w:w="1080" w:type="dxa"/>
            <w:vAlign w:val="bottom"/>
            <w:gridSpan w:val="2"/>
            <w:shd w:val="clear" w:color="auto" w:fill="CCEEFF"/>
          </w:tcPr>
          <w:p>
            <w:pPr>
              <w:jc w:val="center"/>
              <w:ind w:left="178"/>
              <w:spacing w:after="0" w:line="90" w:lineRule="exact"/>
              <w:rPr>
                <w:sz w:val="20"/>
                <w:szCs w:val="20"/>
                <w:color w:val="auto"/>
              </w:rPr>
            </w:pPr>
            <w:r>
              <w:rPr>
                <w:rFonts w:ascii="Arial" w:cs="Arial" w:eastAsia="Arial" w:hAnsi="Arial"/>
                <w:sz w:val="8"/>
                <w:szCs w:val="8"/>
                <w:color w:val="auto"/>
                <w:w w:val="96"/>
              </w:rPr>
              <w:t>06/02/10</w:t>
            </w:r>
          </w:p>
        </w:tc>
        <w:tc>
          <w:tcPr>
            <w:tcW w:w="2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7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750,000</w:t>
            </w:r>
            <w:r>
              <w:rPr>
                <w:rFonts w:ascii="Arial" w:cs="Arial" w:eastAsia="Arial" w:hAnsi="Arial"/>
                <w:sz w:val="7"/>
                <w:szCs w:val="7"/>
                <w:color w:val="auto"/>
              </w:rPr>
              <w:t>(1)</w:t>
            </w:r>
          </w:p>
        </w:tc>
        <w:tc>
          <w:tcPr>
            <w:tcW w:w="240" w:type="dxa"/>
            <w:vAlign w:val="bottom"/>
            <w:shd w:val="clear" w:color="auto" w:fill="CCEEFF"/>
          </w:tcPr>
          <w:p>
            <w:pPr>
              <w:spacing w:after="0"/>
              <w:rPr>
                <w:sz w:val="7"/>
                <w:szCs w:val="7"/>
                <w:color w:val="auto"/>
              </w:rPr>
            </w:pPr>
          </w:p>
        </w:tc>
        <w:tc>
          <w:tcPr>
            <w:tcW w:w="1260" w:type="dxa"/>
            <w:vAlign w:val="bottom"/>
            <w:gridSpan w:val="2"/>
            <w:shd w:val="clear" w:color="auto" w:fill="CCEEFF"/>
          </w:tcPr>
          <w:p>
            <w:pPr>
              <w:jc w:val="right"/>
              <w:ind w:right="580"/>
              <w:spacing w:after="0" w:line="90" w:lineRule="exact"/>
              <w:rPr>
                <w:sz w:val="20"/>
                <w:szCs w:val="20"/>
                <w:color w:val="auto"/>
              </w:rPr>
            </w:pPr>
            <w:r>
              <w:rPr>
                <w:rFonts w:ascii="Arial" w:cs="Arial" w:eastAsia="Arial" w:hAnsi="Arial"/>
                <w:sz w:val="8"/>
                <w:szCs w:val="8"/>
                <w:color w:val="auto"/>
              </w:rPr>
              <w:t>—</w:t>
            </w: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24.6466</w:t>
            </w:r>
          </w:p>
        </w:tc>
        <w:tc>
          <w:tcPr>
            <w:tcW w:w="1080" w:type="dxa"/>
            <w:vAlign w:val="bottom"/>
            <w:gridSpan w:val="2"/>
            <w:shd w:val="clear" w:color="auto" w:fill="CCEEFF"/>
          </w:tcPr>
          <w:p>
            <w:pPr>
              <w:jc w:val="center"/>
              <w:ind w:left="198"/>
              <w:spacing w:after="0" w:line="90" w:lineRule="exact"/>
              <w:rPr>
                <w:sz w:val="20"/>
                <w:szCs w:val="20"/>
                <w:color w:val="auto"/>
              </w:rPr>
            </w:pPr>
            <w:r>
              <w:rPr>
                <w:rFonts w:ascii="Arial" w:cs="Arial" w:eastAsia="Arial" w:hAnsi="Arial"/>
                <w:sz w:val="8"/>
                <w:szCs w:val="8"/>
                <w:color w:val="auto"/>
                <w:w w:val="89"/>
              </w:rPr>
              <w:t>07/30/11</w:t>
            </w:r>
          </w:p>
        </w:tc>
        <w:tc>
          <w:tcPr>
            <w:tcW w:w="2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7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750,000</w:t>
            </w:r>
            <w:r>
              <w:rPr>
                <w:rFonts w:ascii="Arial" w:cs="Arial" w:eastAsia="Arial" w:hAnsi="Arial"/>
                <w:sz w:val="7"/>
                <w:szCs w:val="7"/>
                <w:color w:val="auto"/>
              </w:rPr>
              <w:t>(1)</w:t>
            </w:r>
          </w:p>
        </w:tc>
        <w:tc>
          <w:tcPr>
            <w:tcW w:w="240" w:type="dxa"/>
            <w:vAlign w:val="bottom"/>
            <w:shd w:val="clear" w:color="auto" w:fill="CCEEFF"/>
          </w:tcPr>
          <w:p>
            <w:pPr>
              <w:spacing w:after="0"/>
              <w:rPr>
                <w:sz w:val="7"/>
                <w:szCs w:val="7"/>
                <w:color w:val="auto"/>
              </w:rPr>
            </w:pPr>
          </w:p>
        </w:tc>
        <w:tc>
          <w:tcPr>
            <w:tcW w:w="1260" w:type="dxa"/>
            <w:vAlign w:val="bottom"/>
            <w:gridSpan w:val="2"/>
            <w:shd w:val="clear" w:color="auto" w:fill="CCEEFF"/>
          </w:tcPr>
          <w:p>
            <w:pPr>
              <w:jc w:val="right"/>
              <w:ind w:right="580"/>
              <w:spacing w:after="0" w:line="90" w:lineRule="exact"/>
              <w:rPr>
                <w:sz w:val="20"/>
                <w:szCs w:val="20"/>
                <w:color w:val="auto"/>
              </w:rPr>
            </w:pPr>
            <w:r>
              <w:rPr>
                <w:rFonts w:ascii="Arial" w:cs="Arial" w:eastAsia="Arial" w:hAnsi="Arial"/>
                <w:sz w:val="8"/>
                <w:szCs w:val="8"/>
                <w:color w:val="auto"/>
              </w:rPr>
              <w:t>—</w:t>
            </w: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23.2666</w:t>
            </w:r>
          </w:p>
        </w:tc>
        <w:tc>
          <w:tcPr>
            <w:tcW w:w="1080" w:type="dxa"/>
            <w:vAlign w:val="bottom"/>
            <w:gridSpan w:val="2"/>
            <w:shd w:val="clear" w:color="auto" w:fill="CCEEFF"/>
          </w:tcPr>
          <w:p>
            <w:pPr>
              <w:jc w:val="center"/>
              <w:ind w:left="178"/>
              <w:spacing w:after="0" w:line="90" w:lineRule="exact"/>
              <w:rPr>
                <w:sz w:val="20"/>
                <w:szCs w:val="20"/>
                <w:color w:val="auto"/>
              </w:rPr>
            </w:pPr>
            <w:r>
              <w:rPr>
                <w:rFonts w:ascii="Arial" w:cs="Arial" w:eastAsia="Arial" w:hAnsi="Arial"/>
                <w:sz w:val="8"/>
                <w:szCs w:val="8"/>
                <w:color w:val="auto"/>
                <w:w w:val="96"/>
              </w:rPr>
              <w:t>01/07/12</w:t>
            </w:r>
          </w:p>
        </w:tc>
        <w:tc>
          <w:tcPr>
            <w:tcW w:w="2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7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450,000</w:t>
            </w:r>
            <w:r>
              <w:rPr>
                <w:rFonts w:ascii="Arial" w:cs="Arial" w:eastAsia="Arial" w:hAnsi="Arial"/>
                <w:sz w:val="7"/>
                <w:szCs w:val="7"/>
                <w:color w:val="auto"/>
              </w:rPr>
              <w:t>(1)</w:t>
            </w:r>
          </w:p>
        </w:tc>
        <w:tc>
          <w:tcPr>
            <w:tcW w:w="240" w:type="dxa"/>
            <w:vAlign w:val="bottom"/>
            <w:shd w:val="clear" w:color="auto" w:fill="CCEEFF"/>
          </w:tcPr>
          <w:p>
            <w:pPr>
              <w:spacing w:after="0"/>
              <w:rPr>
                <w:sz w:val="7"/>
                <w:szCs w:val="7"/>
                <w:color w:val="auto"/>
              </w:rPr>
            </w:pPr>
          </w:p>
        </w:tc>
        <w:tc>
          <w:tcPr>
            <w:tcW w:w="1260" w:type="dxa"/>
            <w:vAlign w:val="bottom"/>
            <w:gridSpan w:val="2"/>
            <w:shd w:val="clear" w:color="auto" w:fill="CCEEFF"/>
          </w:tcPr>
          <w:p>
            <w:pPr>
              <w:jc w:val="right"/>
              <w:ind w:right="580"/>
              <w:spacing w:after="0" w:line="90" w:lineRule="exact"/>
              <w:rPr>
                <w:sz w:val="20"/>
                <w:szCs w:val="20"/>
                <w:color w:val="auto"/>
              </w:rPr>
            </w:pPr>
            <w:r>
              <w:rPr>
                <w:rFonts w:ascii="Arial" w:cs="Arial" w:eastAsia="Arial" w:hAnsi="Arial"/>
                <w:sz w:val="8"/>
                <w:szCs w:val="8"/>
                <w:color w:val="auto"/>
              </w:rPr>
              <w:t>—</w:t>
            </w: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23.6600</w:t>
            </w:r>
          </w:p>
        </w:tc>
        <w:tc>
          <w:tcPr>
            <w:tcW w:w="1080" w:type="dxa"/>
            <w:vAlign w:val="bottom"/>
            <w:gridSpan w:val="2"/>
            <w:shd w:val="clear" w:color="auto" w:fill="CCEEFF"/>
          </w:tcPr>
          <w:p>
            <w:pPr>
              <w:jc w:val="center"/>
              <w:ind w:left="178"/>
              <w:spacing w:after="0" w:line="90" w:lineRule="exact"/>
              <w:rPr>
                <w:sz w:val="20"/>
                <w:szCs w:val="20"/>
                <w:color w:val="auto"/>
              </w:rPr>
            </w:pPr>
            <w:r>
              <w:rPr>
                <w:rFonts w:ascii="Arial" w:cs="Arial" w:eastAsia="Arial" w:hAnsi="Arial"/>
                <w:sz w:val="8"/>
                <w:szCs w:val="8"/>
                <w:color w:val="auto"/>
                <w:w w:val="96"/>
              </w:rPr>
              <w:t>01/24/12</w:t>
            </w:r>
          </w:p>
        </w:tc>
        <w:tc>
          <w:tcPr>
            <w:tcW w:w="2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7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423,750</w:t>
            </w:r>
            <w:r>
              <w:rPr>
                <w:rFonts w:ascii="Arial" w:cs="Arial" w:eastAsia="Arial" w:hAnsi="Arial"/>
                <w:sz w:val="7"/>
                <w:szCs w:val="7"/>
                <w:color w:val="auto"/>
              </w:rPr>
              <w:t>(1)</w:t>
            </w:r>
          </w:p>
        </w:tc>
        <w:tc>
          <w:tcPr>
            <w:tcW w:w="1260" w:type="dxa"/>
            <w:vAlign w:val="bottom"/>
            <w:gridSpan w:val="2"/>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84,375</w:t>
            </w:r>
            <w:r>
              <w:rPr>
                <w:rFonts w:ascii="Arial" w:cs="Arial" w:eastAsia="Arial" w:hAnsi="Arial"/>
                <w:sz w:val="7"/>
                <w:szCs w:val="7"/>
                <w:color w:val="auto"/>
              </w:rPr>
              <w:t>(1)(6)</w:t>
            </w:r>
          </w:p>
        </w:tc>
        <w:tc>
          <w:tcPr>
            <w:tcW w:w="240" w:type="dxa"/>
            <w:vAlign w:val="bottom"/>
            <w:shd w:val="clear" w:color="auto" w:fill="CCEEFF"/>
          </w:tcPr>
          <w:p>
            <w:pPr>
              <w:spacing w:after="0"/>
              <w:rPr>
                <w:sz w:val="7"/>
                <w:szCs w:val="7"/>
                <w:color w:val="auto"/>
              </w:rPr>
            </w:pP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15.8933</w:t>
            </w:r>
          </w:p>
        </w:tc>
        <w:tc>
          <w:tcPr>
            <w:tcW w:w="1080" w:type="dxa"/>
            <w:vAlign w:val="bottom"/>
            <w:gridSpan w:val="2"/>
            <w:shd w:val="clear" w:color="auto" w:fill="CCEEFF"/>
          </w:tcPr>
          <w:p>
            <w:pPr>
              <w:jc w:val="center"/>
              <w:ind w:left="178"/>
              <w:spacing w:after="0" w:line="90" w:lineRule="exact"/>
              <w:rPr>
                <w:sz w:val="20"/>
                <w:szCs w:val="20"/>
                <w:color w:val="auto"/>
              </w:rPr>
            </w:pPr>
            <w:r>
              <w:rPr>
                <w:rFonts w:ascii="Arial" w:cs="Arial" w:eastAsia="Arial" w:hAnsi="Arial"/>
                <w:sz w:val="8"/>
                <w:szCs w:val="8"/>
                <w:color w:val="auto"/>
                <w:w w:val="96"/>
              </w:rPr>
              <w:t>10/28/12</w:t>
            </w:r>
          </w:p>
        </w:tc>
        <w:tc>
          <w:tcPr>
            <w:tcW w:w="2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7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607,500</w:t>
            </w:r>
            <w:r>
              <w:rPr>
                <w:rFonts w:ascii="Arial" w:cs="Arial" w:eastAsia="Arial" w:hAnsi="Arial"/>
                <w:sz w:val="7"/>
                <w:szCs w:val="7"/>
                <w:color w:val="auto"/>
              </w:rPr>
              <w:t>(2)</w:t>
            </w:r>
          </w:p>
        </w:tc>
        <w:tc>
          <w:tcPr>
            <w:tcW w:w="1260" w:type="dxa"/>
            <w:vAlign w:val="bottom"/>
            <w:gridSpan w:val="2"/>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142,500</w:t>
            </w:r>
            <w:r>
              <w:rPr>
                <w:rFonts w:ascii="Arial" w:cs="Arial" w:eastAsia="Arial" w:hAnsi="Arial"/>
                <w:sz w:val="7"/>
                <w:szCs w:val="7"/>
                <w:color w:val="auto"/>
              </w:rPr>
              <w:t>(2)(6)</w:t>
            </w:r>
          </w:p>
        </w:tc>
        <w:tc>
          <w:tcPr>
            <w:tcW w:w="240" w:type="dxa"/>
            <w:vAlign w:val="bottom"/>
            <w:shd w:val="clear" w:color="auto" w:fill="CCEEFF"/>
          </w:tcPr>
          <w:p>
            <w:pPr>
              <w:spacing w:after="0"/>
              <w:rPr>
                <w:sz w:val="7"/>
                <w:szCs w:val="7"/>
                <w:color w:val="auto"/>
              </w:rPr>
            </w:pP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18.0800</w:t>
            </w:r>
          </w:p>
        </w:tc>
        <w:tc>
          <w:tcPr>
            <w:tcW w:w="1080" w:type="dxa"/>
            <w:vAlign w:val="bottom"/>
            <w:gridSpan w:val="2"/>
            <w:shd w:val="clear" w:color="auto" w:fill="CCEEFF"/>
          </w:tcPr>
          <w:p>
            <w:pPr>
              <w:jc w:val="center"/>
              <w:ind w:left="178"/>
              <w:spacing w:after="0" w:line="90" w:lineRule="exact"/>
              <w:rPr>
                <w:sz w:val="20"/>
                <w:szCs w:val="20"/>
                <w:color w:val="auto"/>
              </w:rPr>
            </w:pPr>
            <w:r>
              <w:rPr>
                <w:rFonts w:ascii="Arial" w:cs="Arial" w:eastAsia="Arial" w:hAnsi="Arial"/>
                <w:sz w:val="8"/>
                <w:szCs w:val="8"/>
                <w:color w:val="auto"/>
                <w:w w:val="96"/>
              </w:rPr>
              <w:t>02/26/13</w:t>
            </w:r>
          </w:p>
        </w:tc>
        <w:tc>
          <w:tcPr>
            <w:tcW w:w="2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7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450,000</w:t>
            </w:r>
            <w:r>
              <w:rPr>
                <w:rFonts w:ascii="Arial" w:cs="Arial" w:eastAsia="Arial" w:hAnsi="Arial"/>
                <w:sz w:val="7"/>
                <w:szCs w:val="7"/>
                <w:color w:val="auto"/>
              </w:rPr>
              <w:t>(2)</w:t>
            </w:r>
          </w:p>
        </w:tc>
        <w:tc>
          <w:tcPr>
            <w:tcW w:w="1260" w:type="dxa"/>
            <w:vAlign w:val="bottom"/>
            <w:gridSpan w:val="2"/>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150,000</w:t>
            </w:r>
            <w:r>
              <w:rPr>
                <w:rFonts w:ascii="Arial" w:cs="Arial" w:eastAsia="Arial" w:hAnsi="Arial"/>
                <w:sz w:val="7"/>
                <w:szCs w:val="7"/>
                <w:color w:val="auto"/>
              </w:rPr>
              <w:t>(2)(6)</w:t>
            </w:r>
          </w:p>
        </w:tc>
        <w:tc>
          <w:tcPr>
            <w:tcW w:w="240" w:type="dxa"/>
            <w:vAlign w:val="bottom"/>
            <w:shd w:val="clear" w:color="auto" w:fill="CCEEFF"/>
          </w:tcPr>
          <w:p>
            <w:pPr>
              <w:spacing w:after="0"/>
              <w:rPr>
                <w:sz w:val="7"/>
                <w:szCs w:val="7"/>
                <w:color w:val="auto"/>
              </w:rPr>
            </w:pP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19.9200</w:t>
            </w:r>
          </w:p>
        </w:tc>
        <w:tc>
          <w:tcPr>
            <w:tcW w:w="1080" w:type="dxa"/>
            <w:vAlign w:val="bottom"/>
            <w:gridSpan w:val="2"/>
            <w:shd w:val="clear" w:color="auto" w:fill="CCEEFF"/>
          </w:tcPr>
          <w:p>
            <w:pPr>
              <w:jc w:val="center"/>
              <w:ind w:left="178"/>
              <w:spacing w:after="0" w:line="90" w:lineRule="exact"/>
              <w:rPr>
                <w:sz w:val="20"/>
                <w:szCs w:val="20"/>
                <w:color w:val="auto"/>
              </w:rPr>
            </w:pPr>
            <w:r>
              <w:rPr>
                <w:rFonts w:ascii="Arial" w:cs="Arial" w:eastAsia="Arial" w:hAnsi="Arial"/>
                <w:sz w:val="8"/>
                <w:szCs w:val="8"/>
                <w:color w:val="auto"/>
                <w:w w:val="96"/>
              </w:rPr>
              <w:t>03/09/14</w:t>
            </w:r>
          </w:p>
        </w:tc>
        <w:tc>
          <w:tcPr>
            <w:tcW w:w="2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7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209,250</w:t>
            </w:r>
            <w:r>
              <w:rPr>
                <w:rFonts w:ascii="Arial" w:cs="Arial" w:eastAsia="Arial" w:hAnsi="Arial"/>
                <w:sz w:val="7"/>
                <w:szCs w:val="7"/>
                <w:color w:val="auto"/>
              </w:rPr>
              <w:t>(2)</w:t>
            </w:r>
          </w:p>
        </w:tc>
        <w:tc>
          <w:tcPr>
            <w:tcW w:w="1260" w:type="dxa"/>
            <w:vAlign w:val="bottom"/>
            <w:gridSpan w:val="2"/>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139,500</w:t>
            </w:r>
            <w:r>
              <w:rPr>
                <w:rFonts w:ascii="Arial" w:cs="Arial" w:eastAsia="Arial" w:hAnsi="Arial"/>
                <w:sz w:val="7"/>
                <w:szCs w:val="7"/>
                <w:color w:val="auto"/>
              </w:rPr>
              <w:t>(2)(6)</w:t>
            </w:r>
          </w:p>
        </w:tc>
        <w:tc>
          <w:tcPr>
            <w:tcW w:w="240" w:type="dxa"/>
            <w:vAlign w:val="bottom"/>
            <w:shd w:val="clear" w:color="auto" w:fill="CCEEFF"/>
          </w:tcPr>
          <w:p>
            <w:pPr>
              <w:spacing w:after="0"/>
              <w:rPr>
                <w:sz w:val="7"/>
                <w:szCs w:val="7"/>
                <w:color w:val="auto"/>
              </w:rPr>
            </w:pP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22.6600</w:t>
            </w:r>
          </w:p>
        </w:tc>
        <w:tc>
          <w:tcPr>
            <w:tcW w:w="1080" w:type="dxa"/>
            <w:vAlign w:val="bottom"/>
            <w:gridSpan w:val="2"/>
            <w:shd w:val="clear" w:color="auto" w:fill="CCEEFF"/>
          </w:tcPr>
          <w:p>
            <w:pPr>
              <w:jc w:val="center"/>
              <w:ind w:left="178"/>
              <w:spacing w:after="0" w:line="90" w:lineRule="exact"/>
              <w:rPr>
                <w:sz w:val="20"/>
                <w:szCs w:val="20"/>
                <w:color w:val="auto"/>
              </w:rPr>
            </w:pPr>
            <w:r>
              <w:rPr>
                <w:rFonts w:ascii="Arial" w:cs="Arial" w:eastAsia="Arial" w:hAnsi="Arial"/>
                <w:sz w:val="8"/>
                <w:szCs w:val="8"/>
                <w:color w:val="auto"/>
                <w:w w:val="96"/>
              </w:rPr>
              <w:t>03/14/15</w:t>
            </w:r>
          </w:p>
        </w:tc>
        <w:tc>
          <w:tcPr>
            <w:tcW w:w="2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7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272,160</w:t>
            </w:r>
            <w:r>
              <w:rPr>
                <w:rFonts w:ascii="Arial" w:cs="Arial" w:eastAsia="Arial" w:hAnsi="Arial"/>
                <w:sz w:val="7"/>
                <w:szCs w:val="7"/>
                <w:color w:val="auto"/>
              </w:rPr>
              <w:t>(2)</w:t>
            </w:r>
          </w:p>
        </w:tc>
        <w:tc>
          <w:tcPr>
            <w:tcW w:w="1260" w:type="dxa"/>
            <w:vAlign w:val="bottom"/>
            <w:gridSpan w:val="2"/>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332,640</w:t>
            </w:r>
            <w:r>
              <w:rPr>
                <w:rFonts w:ascii="Arial" w:cs="Arial" w:eastAsia="Arial" w:hAnsi="Arial"/>
                <w:sz w:val="7"/>
                <w:szCs w:val="7"/>
                <w:color w:val="auto"/>
              </w:rPr>
              <w:t>(2)(6)</w:t>
            </w:r>
          </w:p>
        </w:tc>
        <w:tc>
          <w:tcPr>
            <w:tcW w:w="240" w:type="dxa"/>
            <w:vAlign w:val="bottom"/>
            <w:shd w:val="clear" w:color="auto" w:fill="CCEEFF"/>
          </w:tcPr>
          <w:p>
            <w:pPr>
              <w:spacing w:after="0"/>
              <w:rPr>
                <w:sz w:val="7"/>
                <w:szCs w:val="7"/>
                <w:color w:val="auto"/>
              </w:rPr>
            </w:pP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17.5000</w:t>
            </w:r>
          </w:p>
        </w:tc>
        <w:tc>
          <w:tcPr>
            <w:tcW w:w="1080" w:type="dxa"/>
            <w:vAlign w:val="bottom"/>
            <w:gridSpan w:val="2"/>
            <w:shd w:val="clear" w:color="auto" w:fill="CCEEFF"/>
          </w:tcPr>
          <w:p>
            <w:pPr>
              <w:jc w:val="center"/>
              <w:ind w:left="178"/>
              <w:spacing w:after="0" w:line="90" w:lineRule="exact"/>
              <w:rPr>
                <w:sz w:val="20"/>
                <w:szCs w:val="20"/>
                <w:color w:val="auto"/>
              </w:rPr>
            </w:pPr>
            <w:r>
              <w:rPr>
                <w:rFonts w:ascii="Arial" w:cs="Arial" w:eastAsia="Arial" w:hAnsi="Arial"/>
                <w:sz w:val="8"/>
                <w:szCs w:val="8"/>
                <w:color w:val="auto"/>
                <w:w w:val="96"/>
              </w:rPr>
              <w:t>03/09/16</w:t>
            </w:r>
          </w:p>
        </w:tc>
        <w:tc>
          <w:tcPr>
            <w:tcW w:w="2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7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131,520</w:t>
            </w:r>
            <w:r>
              <w:rPr>
                <w:rFonts w:ascii="Arial" w:cs="Arial" w:eastAsia="Arial" w:hAnsi="Arial"/>
                <w:sz w:val="7"/>
                <w:szCs w:val="7"/>
                <w:color w:val="auto"/>
              </w:rPr>
              <w:t>(2)</w:t>
            </w:r>
          </w:p>
        </w:tc>
        <w:tc>
          <w:tcPr>
            <w:tcW w:w="1260" w:type="dxa"/>
            <w:vAlign w:val="bottom"/>
            <w:gridSpan w:val="2"/>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306,880</w:t>
            </w:r>
            <w:r>
              <w:rPr>
                <w:rFonts w:ascii="Arial" w:cs="Arial" w:eastAsia="Arial" w:hAnsi="Arial"/>
                <w:sz w:val="7"/>
                <w:szCs w:val="7"/>
                <w:color w:val="auto"/>
              </w:rPr>
              <w:t>(2)(6)</w:t>
            </w:r>
          </w:p>
        </w:tc>
        <w:tc>
          <w:tcPr>
            <w:tcW w:w="240" w:type="dxa"/>
            <w:vAlign w:val="bottom"/>
            <w:shd w:val="clear" w:color="auto" w:fill="CCEEFF"/>
          </w:tcPr>
          <w:p>
            <w:pPr>
              <w:spacing w:after="0"/>
              <w:rPr>
                <w:sz w:val="7"/>
                <w:szCs w:val="7"/>
                <w:color w:val="auto"/>
              </w:rPr>
            </w:pP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25.4400</w:t>
            </w:r>
          </w:p>
        </w:tc>
        <w:tc>
          <w:tcPr>
            <w:tcW w:w="1080" w:type="dxa"/>
            <w:vAlign w:val="bottom"/>
            <w:gridSpan w:val="2"/>
            <w:shd w:val="clear" w:color="auto" w:fill="CCEEFF"/>
          </w:tcPr>
          <w:p>
            <w:pPr>
              <w:jc w:val="center"/>
              <w:ind w:left="178"/>
              <w:spacing w:after="0" w:line="90" w:lineRule="exact"/>
              <w:rPr>
                <w:sz w:val="20"/>
                <w:szCs w:val="20"/>
                <w:color w:val="auto"/>
              </w:rPr>
            </w:pPr>
            <w:r>
              <w:rPr>
                <w:rFonts w:ascii="Arial" w:cs="Arial" w:eastAsia="Arial" w:hAnsi="Arial"/>
                <w:sz w:val="8"/>
                <w:szCs w:val="8"/>
                <w:color w:val="auto"/>
                <w:w w:val="96"/>
              </w:rPr>
              <w:t>03/15/17</w:t>
            </w:r>
          </w:p>
        </w:tc>
        <w:tc>
          <w:tcPr>
            <w:tcW w:w="2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7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40" w:type="dxa"/>
            <w:vAlign w:val="bottom"/>
            <w:shd w:val="clear" w:color="auto" w:fill="CCEEFF"/>
          </w:tcPr>
          <w:p>
            <w:pPr>
              <w:jc w:val="right"/>
              <w:ind w:right="218"/>
              <w:spacing w:after="0" w:line="90" w:lineRule="exact"/>
              <w:rPr>
                <w:sz w:val="20"/>
                <w:szCs w:val="20"/>
                <w:color w:val="auto"/>
              </w:rPr>
            </w:pPr>
            <w:r>
              <w:rPr>
                <w:rFonts w:ascii="Arial" w:cs="Arial" w:eastAsia="Arial" w:hAnsi="Arial"/>
                <w:sz w:val="8"/>
                <w:szCs w:val="8"/>
                <w:color w:val="auto"/>
              </w:rPr>
              <w:t>—</w:t>
            </w:r>
          </w:p>
        </w:tc>
        <w:tc>
          <w:tcPr>
            <w:tcW w:w="1260" w:type="dxa"/>
            <w:vAlign w:val="bottom"/>
            <w:gridSpan w:val="2"/>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642,400</w:t>
            </w:r>
            <w:r>
              <w:rPr>
                <w:rFonts w:ascii="Arial" w:cs="Arial" w:eastAsia="Arial" w:hAnsi="Arial"/>
                <w:sz w:val="7"/>
                <w:szCs w:val="7"/>
                <w:color w:val="auto"/>
              </w:rPr>
              <w:t>(2)(6)</w:t>
            </w:r>
          </w:p>
        </w:tc>
        <w:tc>
          <w:tcPr>
            <w:tcW w:w="240" w:type="dxa"/>
            <w:vAlign w:val="bottom"/>
            <w:shd w:val="clear" w:color="auto" w:fill="CCEEFF"/>
          </w:tcPr>
          <w:p>
            <w:pPr>
              <w:spacing w:after="0"/>
              <w:rPr>
                <w:sz w:val="7"/>
                <w:szCs w:val="7"/>
                <w:color w:val="auto"/>
              </w:rPr>
            </w:pP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18.9800</w:t>
            </w:r>
          </w:p>
        </w:tc>
        <w:tc>
          <w:tcPr>
            <w:tcW w:w="1080" w:type="dxa"/>
            <w:vAlign w:val="bottom"/>
            <w:gridSpan w:val="2"/>
            <w:shd w:val="clear" w:color="auto" w:fill="CCEEFF"/>
          </w:tcPr>
          <w:p>
            <w:pPr>
              <w:jc w:val="center"/>
              <w:ind w:left="178"/>
              <w:spacing w:after="0" w:line="90" w:lineRule="exact"/>
              <w:rPr>
                <w:sz w:val="20"/>
                <w:szCs w:val="20"/>
                <w:color w:val="auto"/>
              </w:rPr>
            </w:pPr>
            <w:r>
              <w:rPr>
                <w:rFonts w:ascii="Arial" w:cs="Arial" w:eastAsia="Arial" w:hAnsi="Arial"/>
                <w:sz w:val="8"/>
                <w:szCs w:val="8"/>
                <w:color w:val="auto"/>
                <w:w w:val="96"/>
              </w:rPr>
              <w:t>03/27/18</w:t>
            </w:r>
          </w:p>
        </w:tc>
        <w:tc>
          <w:tcPr>
            <w:tcW w:w="2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7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40" w:type="dxa"/>
            <w:vAlign w:val="bottom"/>
            <w:shd w:val="clear" w:color="auto" w:fill="CCEEFF"/>
          </w:tcPr>
          <w:p>
            <w:pPr>
              <w:jc w:val="right"/>
              <w:ind w:right="218"/>
              <w:spacing w:after="0"/>
              <w:rPr>
                <w:sz w:val="20"/>
                <w:szCs w:val="20"/>
                <w:color w:val="auto"/>
              </w:rPr>
            </w:pPr>
            <w:r>
              <w:rPr>
                <w:rFonts w:ascii="Arial" w:cs="Arial" w:eastAsia="Arial" w:hAnsi="Arial"/>
                <w:sz w:val="8"/>
                <w:szCs w:val="8"/>
                <w:color w:val="auto"/>
              </w:rPr>
              <w:t>—</w:t>
            </w:r>
          </w:p>
        </w:tc>
        <w:tc>
          <w:tcPr>
            <w:tcW w:w="1260" w:type="dxa"/>
            <w:vAlign w:val="bottom"/>
            <w:gridSpan w:val="2"/>
            <w:shd w:val="clear" w:color="auto" w:fill="CCEEFF"/>
          </w:tcPr>
          <w:p>
            <w:pPr>
              <w:jc w:val="right"/>
              <w:ind w:right="138"/>
              <w:spacing w:after="0"/>
              <w:rPr>
                <w:sz w:val="20"/>
                <w:szCs w:val="20"/>
                <w:color w:val="auto"/>
              </w:rPr>
            </w:pPr>
            <w:r>
              <w:rPr>
                <w:rFonts w:ascii="Arial" w:cs="Arial" w:eastAsia="Arial" w:hAnsi="Arial"/>
                <w:sz w:val="8"/>
                <w:szCs w:val="8"/>
                <w:color w:val="auto"/>
              </w:rPr>
              <w:t>920,000</w:t>
            </w:r>
            <w:r>
              <w:rPr>
                <w:rFonts w:ascii="Arial" w:cs="Arial" w:eastAsia="Arial" w:hAnsi="Arial"/>
                <w:sz w:val="7"/>
                <w:szCs w:val="7"/>
                <w:color w:val="auto"/>
              </w:rPr>
              <w:t>(2)(6)</w:t>
            </w:r>
          </w:p>
        </w:tc>
        <w:tc>
          <w:tcPr>
            <w:tcW w:w="240" w:type="dxa"/>
            <w:vAlign w:val="bottom"/>
            <w:shd w:val="clear" w:color="auto" w:fill="CCEEFF"/>
          </w:tcPr>
          <w:p>
            <w:pPr>
              <w:spacing w:after="0"/>
              <w:rPr>
                <w:sz w:val="8"/>
                <w:szCs w:val="8"/>
                <w:color w:val="auto"/>
              </w:rPr>
            </w:pPr>
          </w:p>
        </w:tc>
        <w:tc>
          <w:tcPr>
            <w:tcW w:w="640" w:type="dxa"/>
            <w:vAlign w:val="bottom"/>
            <w:shd w:val="clear" w:color="auto" w:fill="CCEEFF"/>
          </w:tcPr>
          <w:p>
            <w:pPr>
              <w:jc w:val="right"/>
              <w:ind w:right="138"/>
              <w:spacing w:after="0"/>
              <w:rPr>
                <w:sz w:val="20"/>
                <w:szCs w:val="20"/>
                <w:color w:val="auto"/>
              </w:rPr>
            </w:pPr>
            <w:r>
              <w:rPr>
                <w:rFonts w:ascii="Arial" w:cs="Arial" w:eastAsia="Arial" w:hAnsi="Arial"/>
                <w:sz w:val="8"/>
                <w:szCs w:val="8"/>
                <w:color w:val="auto"/>
              </w:rPr>
              <w:t>14.5400</w:t>
            </w:r>
          </w:p>
        </w:tc>
        <w:tc>
          <w:tcPr>
            <w:tcW w:w="1080" w:type="dxa"/>
            <w:vAlign w:val="bottom"/>
            <w:gridSpan w:val="2"/>
            <w:shd w:val="clear" w:color="auto" w:fill="CCEEFF"/>
          </w:tcPr>
          <w:p>
            <w:pPr>
              <w:jc w:val="center"/>
              <w:ind w:left="178"/>
              <w:spacing w:after="0"/>
              <w:rPr>
                <w:sz w:val="20"/>
                <w:szCs w:val="20"/>
                <w:color w:val="auto"/>
              </w:rPr>
            </w:pPr>
            <w:r>
              <w:rPr>
                <w:rFonts w:ascii="Arial" w:cs="Arial" w:eastAsia="Arial" w:hAnsi="Arial"/>
                <w:sz w:val="8"/>
                <w:szCs w:val="8"/>
                <w:color w:val="auto"/>
                <w:w w:val="96"/>
              </w:rPr>
              <w:t>03/26/19</w:t>
            </w:r>
          </w:p>
        </w:tc>
        <w:tc>
          <w:tcPr>
            <w:tcW w:w="2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261"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97790</wp:posOffset>
            </wp:positionV>
            <wp:extent cx="7299325" cy="184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680"/>
          </w:cols>
          <w:pgMar w:left="220" w:top="327" w:right="999" w:bottom="1440" w:gutter="0" w:footer="0" w:header="0"/>
        </w:sectPr>
      </w:pPr>
    </w:p>
    <w:bookmarkStart w:id="49" w:name="page50"/>
    <w:bookmarkEnd w:id="49"/>
    <w:p>
      <w:pPr>
        <w:spacing w:after="0"/>
        <w:rPr>
          <w:rFonts w:ascii="Arial" w:cs="Arial" w:eastAsia="Arial" w:hAnsi="Arial"/>
          <w:sz w:val="12"/>
          <w:szCs w:val="12"/>
          <w:b w:val="1"/>
          <w:bCs w:val="1"/>
          <w:u w:val="single" w:color="auto"/>
          <w:color w:val="0000EE"/>
        </w:rPr>
      </w:pPr>
      <w:hyperlink w:anchor="page4">
        <w:r>
          <w:rPr>
            <w:rFonts w:ascii="Arial" w:cs="Arial" w:eastAsia="Arial" w:hAnsi="Arial"/>
            <w:sz w:val="12"/>
            <w:szCs w:val="12"/>
            <w:b w:val="1"/>
            <w:bCs w:val="1"/>
            <w:u w:val="single" w:color="auto"/>
            <w:color w:val="0000EE"/>
          </w:rPr>
          <w:t>Table of Contents</w:t>
        </w:r>
      </w:hyperlink>
    </w:p>
    <w:p>
      <w:pPr>
        <w:spacing w:after="0" w:line="213" w:lineRule="exact"/>
        <w:rPr>
          <w:sz w:val="20"/>
          <w:szCs w:val="20"/>
          <w:color w:val="auto"/>
        </w:rPr>
      </w:pPr>
    </w:p>
    <w:tbl>
      <w:tblPr>
        <w:tblLayout w:type="fixed"/>
        <w:tblInd w:w="680" w:type="dxa"/>
        <w:tblCellMar>
          <w:top w:w="0" w:type="dxa"/>
          <w:left w:w="0" w:type="dxa"/>
          <w:bottom w:w="0" w:type="dxa"/>
          <w:right w:w="0" w:type="dxa"/>
        </w:tblCellMar>
      </w:tblPr>
      <w:tr>
        <w:trPr>
          <w:trHeight w:val="101"/>
        </w:trPr>
        <w:tc>
          <w:tcPr>
            <w:tcW w:w="1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gridSpan w:val="2"/>
          </w:tcPr>
          <w:p>
            <w:pPr>
              <w:ind w:left="680"/>
              <w:spacing w:after="0"/>
              <w:rPr>
                <w:sz w:val="20"/>
                <w:szCs w:val="20"/>
                <w:color w:val="auto"/>
              </w:rPr>
            </w:pPr>
            <w:r>
              <w:rPr>
                <w:rFonts w:ascii="Arial" w:cs="Arial" w:eastAsia="Arial" w:hAnsi="Arial"/>
                <w:sz w:val="8"/>
                <w:szCs w:val="8"/>
                <w:b w:val="1"/>
                <w:bCs w:val="1"/>
                <w:color w:val="auto"/>
                <w:w w:val="94"/>
              </w:rPr>
              <w:t>Option Awards</w:t>
            </w:r>
          </w:p>
        </w:tc>
        <w:tc>
          <w:tcPr>
            <w:tcW w:w="6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gridSpan w:val="2"/>
          </w:tcPr>
          <w:p>
            <w:pPr>
              <w:ind w:left="20"/>
              <w:spacing w:after="0"/>
              <w:rPr>
                <w:sz w:val="20"/>
                <w:szCs w:val="20"/>
                <w:color w:val="auto"/>
              </w:rPr>
            </w:pPr>
            <w:r>
              <w:rPr>
                <w:rFonts w:ascii="Arial" w:cs="Arial" w:eastAsia="Arial" w:hAnsi="Arial"/>
                <w:sz w:val="8"/>
                <w:szCs w:val="8"/>
                <w:b w:val="1"/>
                <w:bCs w:val="1"/>
                <w:color w:val="auto"/>
              </w:rPr>
              <w:t>Stock Awards</w:t>
            </w:r>
          </w:p>
        </w:tc>
        <w:tc>
          <w:tcPr>
            <w:tcW w:w="3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320" w:type="dxa"/>
            <w:vAlign w:val="bottom"/>
          </w:tcPr>
          <w:p>
            <w:pPr>
              <w:spacing w:after="0"/>
              <w:rPr>
                <w:sz w:val="5"/>
                <w:szCs w:val="5"/>
                <w:color w:val="auto"/>
              </w:rPr>
            </w:pPr>
          </w:p>
        </w:tc>
        <w:tc>
          <w:tcPr>
            <w:tcW w:w="840" w:type="dxa"/>
            <w:vAlign w:val="bottom"/>
          </w:tcPr>
          <w:p>
            <w:pPr>
              <w:jc w:val="center"/>
              <w:spacing w:after="0" w:line="69" w:lineRule="exact"/>
              <w:rPr>
                <w:sz w:val="20"/>
                <w:szCs w:val="20"/>
                <w:color w:val="auto"/>
              </w:rPr>
            </w:pPr>
            <w:r>
              <w:rPr>
                <w:rFonts w:ascii="Arial" w:cs="Arial" w:eastAsia="Arial" w:hAnsi="Arial"/>
                <w:sz w:val="7"/>
                <w:szCs w:val="7"/>
                <w:b w:val="1"/>
                <w:bCs w:val="1"/>
                <w:color w:val="auto"/>
              </w:rPr>
              <w:t>(h)</w:t>
            </w:r>
          </w:p>
        </w:tc>
        <w:tc>
          <w:tcPr>
            <w:tcW w:w="0" w:type="dxa"/>
            <w:vAlign w:val="bottom"/>
          </w:tcPr>
          <w:p>
            <w:pPr>
              <w:spacing w:after="0"/>
              <w:rPr>
                <w:sz w:val="1"/>
                <w:szCs w:val="1"/>
                <w:color w:val="auto"/>
              </w:rPr>
            </w:pPr>
          </w:p>
        </w:tc>
      </w:tr>
      <w:tr>
        <w:trPr>
          <w:trHeight w:val="90"/>
        </w:trPr>
        <w:tc>
          <w:tcPr>
            <w:tcW w:w="1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320" w:type="dxa"/>
            <w:vAlign w:val="bottom"/>
          </w:tcPr>
          <w:p>
            <w:pPr>
              <w:spacing w:after="0"/>
              <w:rPr>
                <w:sz w:val="7"/>
                <w:szCs w:val="7"/>
                <w:color w:val="auto"/>
              </w:rPr>
            </w:pPr>
          </w:p>
        </w:tc>
        <w:tc>
          <w:tcPr>
            <w:tcW w:w="84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7"/>
              </w:rPr>
              <w:t>Equity</w:t>
            </w:r>
          </w:p>
        </w:tc>
        <w:tc>
          <w:tcPr>
            <w:tcW w:w="0" w:type="dxa"/>
            <w:vAlign w:val="bottom"/>
          </w:tcPr>
          <w:p>
            <w:pPr>
              <w:spacing w:after="0"/>
              <w:rPr>
                <w:sz w:val="1"/>
                <w:szCs w:val="1"/>
                <w:color w:val="auto"/>
              </w:rPr>
            </w:pPr>
          </w:p>
        </w:tc>
      </w:tr>
      <w:tr>
        <w:trPr>
          <w:trHeight w:val="90"/>
        </w:trPr>
        <w:tc>
          <w:tcPr>
            <w:tcW w:w="1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7"/>
              </w:rPr>
              <w:t>(g)</w:t>
            </w:r>
          </w:p>
        </w:tc>
        <w:tc>
          <w:tcPr>
            <w:tcW w:w="320" w:type="dxa"/>
            <w:vAlign w:val="bottom"/>
          </w:tcPr>
          <w:p>
            <w:pPr>
              <w:spacing w:after="0"/>
              <w:rPr>
                <w:sz w:val="7"/>
                <w:szCs w:val="7"/>
                <w:color w:val="auto"/>
              </w:rPr>
            </w:pPr>
          </w:p>
        </w:tc>
        <w:tc>
          <w:tcPr>
            <w:tcW w:w="84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2"/>
              </w:rPr>
              <w:t>Incentive</w:t>
            </w:r>
          </w:p>
        </w:tc>
        <w:tc>
          <w:tcPr>
            <w:tcW w:w="0" w:type="dxa"/>
            <w:vAlign w:val="bottom"/>
          </w:tcPr>
          <w:p>
            <w:pPr>
              <w:spacing w:after="0"/>
              <w:rPr>
                <w:sz w:val="1"/>
                <w:szCs w:val="1"/>
                <w:color w:val="auto"/>
              </w:rPr>
            </w:pPr>
          </w:p>
        </w:tc>
      </w:tr>
      <w:tr>
        <w:trPr>
          <w:trHeight w:val="90"/>
        </w:trPr>
        <w:tc>
          <w:tcPr>
            <w:tcW w:w="1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7"/>
              </w:rPr>
              <w:t>Equity</w:t>
            </w:r>
          </w:p>
        </w:tc>
        <w:tc>
          <w:tcPr>
            <w:tcW w:w="320" w:type="dxa"/>
            <w:vAlign w:val="bottom"/>
          </w:tcPr>
          <w:p>
            <w:pPr>
              <w:spacing w:after="0"/>
              <w:rPr>
                <w:sz w:val="7"/>
                <w:szCs w:val="7"/>
                <w:color w:val="auto"/>
              </w:rPr>
            </w:pPr>
          </w:p>
        </w:tc>
        <w:tc>
          <w:tcPr>
            <w:tcW w:w="84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4"/>
              </w:rPr>
              <w:t>Plan</w:t>
            </w:r>
          </w:p>
        </w:tc>
        <w:tc>
          <w:tcPr>
            <w:tcW w:w="0" w:type="dxa"/>
            <w:vAlign w:val="bottom"/>
          </w:tcPr>
          <w:p>
            <w:pPr>
              <w:spacing w:after="0"/>
              <w:rPr>
                <w:sz w:val="1"/>
                <w:szCs w:val="1"/>
                <w:color w:val="auto"/>
              </w:rPr>
            </w:pPr>
          </w:p>
        </w:tc>
      </w:tr>
      <w:tr>
        <w:trPr>
          <w:trHeight w:val="90"/>
        </w:trPr>
        <w:tc>
          <w:tcPr>
            <w:tcW w:w="1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7"/>
              </w:rPr>
              <w:t>Incentive</w:t>
            </w:r>
          </w:p>
        </w:tc>
        <w:tc>
          <w:tcPr>
            <w:tcW w:w="320" w:type="dxa"/>
            <w:vAlign w:val="bottom"/>
          </w:tcPr>
          <w:p>
            <w:pPr>
              <w:spacing w:after="0"/>
              <w:rPr>
                <w:sz w:val="7"/>
                <w:szCs w:val="7"/>
                <w:color w:val="auto"/>
              </w:rPr>
            </w:pPr>
          </w:p>
        </w:tc>
        <w:tc>
          <w:tcPr>
            <w:tcW w:w="84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4"/>
              </w:rPr>
              <w:t>Awards:</w:t>
            </w:r>
          </w:p>
        </w:tc>
        <w:tc>
          <w:tcPr>
            <w:tcW w:w="0" w:type="dxa"/>
            <w:vAlign w:val="bottom"/>
          </w:tcPr>
          <w:p>
            <w:pPr>
              <w:spacing w:after="0"/>
              <w:rPr>
                <w:sz w:val="1"/>
                <w:szCs w:val="1"/>
                <w:color w:val="auto"/>
              </w:rPr>
            </w:pPr>
          </w:p>
        </w:tc>
      </w:tr>
      <w:tr>
        <w:trPr>
          <w:trHeight w:val="90"/>
        </w:trPr>
        <w:tc>
          <w:tcPr>
            <w:tcW w:w="1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4"/>
              </w:rPr>
              <w:t>Plan</w:t>
            </w:r>
          </w:p>
        </w:tc>
        <w:tc>
          <w:tcPr>
            <w:tcW w:w="320" w:type="dxa"/>
            <w:vAlign w:val="bottom"/>
          </w:tcPr>
          <w:p>
            <w:pPr>
              <w:spacing w:after="0"/>
              <w:rPr>
                <w:sz w:val="7"/>
                <w:szCs w:val="7"/>
                <w:color w:val="auto"/>
              </w:rPr>
            </w:pPr>
          </w:p>
        </w:tc>
        <w:tc>
          <w:tcPr>
            <w:tcW w:w="84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9"/>
              </w:rPr>
              <w:t>Market or</w:t>
            </w:r>
          </w:p>
        </w:tc>
        <w:tc>
          <w:tcPr>
            <w:tcW w:w="0" w:type="dxa"/>
            <w:vAlign w:val="bottom"/>
          </w:tcPr>
          <w:p>
            <w:pPr>
              <w:spacing w:after="0"/>
              <w:rPr>
                <w:sz w:val="1"/>
                <w:szCs w:val="1"/>
                <w:color w:val="auto"/>
              </w:rPr>
            </w:pPr>
          </w:p>
        </w:tc>
      </w:tr>
      <w:tr>
        <w:trPr>
          <w:trHeight w:val="90"/>
        </w:trPr>
        <w:tc>
          <w:tcPr>
            <w:tcW w:w="1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4"/>
              </w:rPr>
              <w:t>Awards:</w:t>
            </w:r>
          </w:p>
        </w:tc>
        <w:tc>
          <w:tcPr>
            <w:tcW w:w="320" w:type="dxa"/>
            <w:vAlign w:val="bottom"/>
          </w:tcPr>
          <w:p>
            <w:pPr>
              <w:spacing w:after="0"/>
              <w:rPr>
                <w:sz w:val="7"/>
                <w:szCs w:val="7"/>
                <w:color w:val="auto"/>
              </w:rPr>
            </w:pPr>
          </w:p>
        </w:tc>
        <w:tc>
          <w:tcPr>
            <w:tcW w:w="84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89"/>
              </w:rPr>
              <w:t>Payout</w:t>
            </w:r>
          </w:p>
        </w:tc>
        <w:tc>
          <w:tcPr>
            <w:tcW w:w="0" w:type="dxa"/>
            <w:vAlign w:val="bottom"/>
          </w:tcPr>
          <w:p>
            <w:pPr>
              <w:spacing w:after="0"/>
              <w:rPr>
                <w:sz w:val="1"/>
                <w:szCs w:val="1"/>
                <w:color w:val="auto"/>
              </w:rPr>
            </w:pPr>
          </w:p>
        </w:tc>
      </w:tr>
      <w:tr>
        <w:trPr>
          <w:trHeight w:val="90"/>
        </w:trPr>
        <w:tc>
          <w:tcPr>
            <w:tcW w:w="1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9"/>
              </w:rPr>
              <w:t>(f)</w:t>
            </w:r>
          </w:p>
        </w:tc>
        <w:tc>
          <w:tcPr>
            <w:tcW w:w="260" w:type="dxa"/>
            <w:vAlign w:val="bottom"/>
          </w:tcPr>
          <w:p>
            <w:pPr>
              <w:spacing w:after="0"/>
              <w:rPr>
                <w:sz w:val="7"/>
                <w:szCs w:val="7"/>
                <w:color w:val="auto"/>
              </w:rPr>
            </w:pPr>
          </w:p>
        </w:tc>
        <w:tc>
          <w:tcPr>
            <w:tcW w:w="80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4"/>
              </w:rPr>
              <w:t>Number of</w:t>
            </w:r>
          </w:p>
        </w:tc>
        <w:tc>
          <w:tcPr>
            <w:tcW w:w="320" w:type="dxa"/>
            <w:vAlign w:val="bottom"/>
          </w:tcPr>
          <w:p>
            <w:pPr>
              <w:spacing w:after="0"/>
              <w:rPr>
                <w:sz w:val="7"/>
                <w:szCs w:val="7"/>
                <w:color w:val="auto"/>
              </w:rPr>
            </w:pPr>
          </w:p>
        </w:tc>
        <w:tc>
          <w:tcPr>
            <w:tcW w:w="84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89"/>
              </w:rPr>
              <w:t>Value of</w:t>
            </w:r>
          </w:p>
        </w:tc>
        <w:tc>
          <w:tcPr>
            <w:tcW w:w="0" w:type="dxa"/>
            <w:vAlign w:val="bottom"/>
          </w:tcPr>
          <w:p>
            <w:pPr>
              <w:spacing w:after="0"/>
              <w:rPr>
                <w:sz w:val="1"/>
                <w:szCs w:val="1"/>
                <w:color w:val="auto"/>
              </w:rPr>
            </w:pPr>
          </w:p>
        </w:tc>
      </w:tr>
      <w:tr>
        <w:trPr>
          <w:trHeight w:val="90"/>
        </w:trPr>
        <w:tc>
          <w:tcPr>
            <w:tcW w:w="1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jc w:val="center"/>
              <w:spacing w:after="0" w:line="90" w:lineRule="exact"/>
              <w:rPr>
                <w:sz w:val="20"/>
                <w:szCs w:val="20"/>
                <w:color w:val="auto"/>
              </w:rPr>
            </w:pPr>
            <w:r>
              <w:rPr>
                <w:rFonts w:ascii="Arial" w:cs="Arial" w:eastAsia="Arial" w:hAnsi="Arial"/>
                <w:sz w:val="8"/>
                <w:szCs w:val="8"/>
                <w:b w:val="1"/>
                <w:bCs w:val="1"/>
                <w:color w:val="auto"/>
              </w:rPr>
              <w:t>Market</w:t>
            </w:r>
          </w:p>
        </w:tc>
        <w:tc>
          <w:tcPr>
            <w:tcW w:w="260" w:type="dxa"/>
            <w:vAlign w:val="bottom"/>
          </w:tcPr>
          <w:p>
            <w:pPr>
              <w:spacing w:after="0"/>
              <w:rPr>
                <w:sz w:val="7"/>
                <w:szCs w:val="7"/>
                <w:color w:val="auto"/>
              </w:rPr>
            </w:pPr>
          </w:p>
        </w:tc>
        <w:tc>
          <w:tcPr>
            <w:tcW w:w="80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7"/>
              </w:rPr>
              <w:t>Unearned</w:t>
            </w:r>
          </w:p>
        </w:tc>
        <w:tc>
          <w:tcPr>
            <w:tcW w:w="320" w:type="dxa"/>
            <w:vAlign w:val="bottom"/>
          </w:tcPr>
          <w:p>
            <w:pPr>
              <w:spacing w:after="0"/>
              <w:rPr>
                <w:sz w:val="7"/>
                <w:szCs w:val="7"/>
                <w:color w:val="auto"/>
              </w:rPr>
            </w:pPr>
          </w:p>
        </w:tc>
        <w:tc>
          <w:tcPr>
            <w:tcW w:w="84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7"/>
              </w:rPr>
              <w:t>Unearned</w:t>
            </w:r>
          </w:p>
        </w:tc>
        <w:tc>
          <w:tcPr>
            <w:tcW w:w="0" w:type="dxa"/>
            <w:vAlign w:val="bottom"/>
          </w:tcPr>
          <w:p>
            <w:pPr>
              <w:spacing w:after="0"/>
              <w:rPr>
                <w:sz w:val="1"/>
                <w:szCs w:val="1"/>
                <w:color w:val="auto"/>
              </w:rPr>
            </w:pPr>
          </w:p>
        </w:tc>
      </w:tr>
      <w:tr>
        <w:trPr>
          <w:trHeight w:val="90"/>
        </w:trPr>
        <w:tc>
          <w:tcPr>
            <w:tcW w:w="1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6"/>
              </w:rPr>
              <w:t>Value of</w:t>
            </w:r>
          </w:p>
        </w:tc>
        <w:tc>
          <w:tcPr>
            <w:tcW w:w="260" w:type="dxa"/>
            <w:vAlign w:val="bottom"/>
          </w:tcPr>
          <w:p>
            <w:pPr>
              <w:spacing w:after="0"/>
              <w:rPr>
                <w:sz w:val="7"/>
                <w:szCs w:val="7"/>
                <w:color w:val="auto"/>
              </w:rPr>
            </w:pPr>
          </w:p>
        </w:tc>
        <w:tc>
          <w:tcPr>
            <w:tcW w:w="80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89"/>
              </w:rPr>
              <w:t>Shares,</w:t>
            </w:r>
          </w:p>
        </w:tc>
        <w:tc>
          <w:tcPr>
            <w:tcW w:w="320" w:type="dxa"/>
            <w:vAlign w:val="bottom"/>
          </w:tcPr>
          <w:p>
            <w:pPr>
              <w:spacing w:after="0"/>
              <w:rPr>
                <w:sz w:val="7"/>
                <w:szCs w:val="7"/>
                <w:color w:val="auto"/>
              </w:rPr>
            </w:pPr>
          </w:p>
        </w:tc>
        <w:tc>
          <w:tcPr>
            <w:tcW w:w="84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89"/>
              </w:rPr>
              <w:t>Shares,</w:t>
            </w:r>
          </w:p>
        </w:tc>
        <w:tc>
          <w:tcPr>
            <w:tcW w:w="0" w:type="dxa"/>
            <w:vAlign w:val="bottom"/>
          </w:tcPr>
          <w:p>
            <w:pPr>
              <w:spacing w:after="0"/>
              <w:rPr>
                <w:sz w:val="1"/>
                <w:szCs w:val="1"/>
                <w:color w:val="auto"/>
              </w:rPr>
            </w:pPr>
          </w:p>
        </w:tc>
      </w:tr>
      <w:tr>
        <w:trPr>
          <w:trHeight w:val="90"/>
        </w:trPr>
        <w:tc>
          <w:tcPr>
            <w:tcW w:w="1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jc w:val="center"/>
              <w:spacing w:after="0" w:line="90" w:lineRule="exact"/>
              <w:rPr>
                <w:sz w:val="20"/>
                <w:szCs w:val="20"/>
                <w:color w:val="auto"/>
              </w:rPr>
            </w:pPr>
            <w:r>
              <w:rPr>
                <w:rFonts w:ascii="Arial" w:cs="Arial" w:eastAsia="Arial" w:hAnsi="Arial"/>
                <w:sz w:val="8"/>
                <w:szCs w:val="8"/>
                <w:b w:val="1"/>
                <w:bCs w:val="1"/>
                <w:color w:val="auto"/>
              </w:rPr>
              <w:t>(a)</w:t>
            </w:r>
          </w:p>
        </w:tc>
        <w:tc>
          <w:tcPr>
            <w:tcW w:w="240" w:type="dxa"/>
            <w:vAlign w:val="bottom"/>
          </w:tcPr>
          <w:p>
            <w:pPr>
              <w:spacing w:after="0"/>
              <w:rPr>
                <w:sz w:val="7"/>
                <w:szCs w:val="7"/>
                <w:color w:val="auto"/>
              </w:rPr>
            </w:pPr>
          </w:p>
        </w:tc>
        <w:tc>
          <w:tcPr>
            <w:tcW w:w="1240" w:type="dxa"/>
            <w:vAlign w:val="bottom"/>
            <w:gridSpan w:val="2"/>
          </w:tcPr>
          <w:p>
            <w:pPr>
              <w:jc w:val="center"/>
              <w:ind w:right="260"/>
              <w:spacing w:after="0" w:line="90" w:lineRule="exact"/>
              <w:rPr>
                <w:sz w:val="20"/>
                <w:szCs w:val="20"/>
                <w:color w:val="auto"/>
              </w:rPr>
            </w:pPr>
            <w:r>
              <w:rPr>
                <w:rFonts w:ascii="Arial" w:cs="Arial" w:eastAsia="Arial" w:hAnsi="Arial"/>
                <w:sz w:val="8"/>
                <w:szCs w:val="8"/>
                <w:b w:val="1"/>
                <w:bCs w:val="1"/>
                <w:color w:val="auto"/>
                <w:w w:val="97"/>
              </w:rPr>
              <w:t>(b)</w:t>
            </w: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40" w:type="dxa"/>
            <w:vAlign w:val="bottom"/>
          </w:tcPr>
          <w:p>
            <w:pPr>
              <w:jc w:val="center"/>
              <w:spacing w:after="0" w:line="90" w:lineRule="exact"/>
              <w:rPr>
                <w:sz w:val="20"/>
                <w:szCs w:val="20"/>
                <w:color w:val="auto"/>
              </w:rPr>
            </w:pPr>
            <w:r>
              <w:rPr>
                <w:rFonts w:ascii="Arial" w:cs="Arial" w:eastAsia="Arial" w:hAnsi="Arial"/>
                <w:sz w:val="8"/>
                <w:szCs w:val="8"/>
                <w:b w:val="1"/>
                <w:bCs w:val="1"/>
                <w:color w:val="auto"/>
              </w:rPr>
              <w:t>(e)</w:t>
            </w:r>
          </w:p>
        </w:tc>
        <w:tc>
          <w:tcPr>
            <w:tcW w:w="260" w:type="dxa"/>
            <w:vAlign w:val="bottom"/>
          </w:tcPr>
          <w:p>
            <w:pPr>
              <w:spacing w:after="0"/>
              <w:rPr>
                <w:sz w:val="7"/>
                <w:szCs w:val="7"/>
                <w:color w:val="auto"/>
              </w:rPr>
            </w:pPr>
          </w:p>
        </w:tc>
        <w:tc>
          <w:tcPr>
            <w:tcW w:w="66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1"/>
              </w:rPr>
              <w:t>Shares or</w:t>
            </w:r>
          </w:p>
        </w:tc>
        <w:tc>
          <w:tcPr>
            <w:tcW w:w="260" w:type="dxa"/>
            <w:vAlign w:val="bottom"/>
          </w:tcPr>
          <w:p>
            <w:pPr>
              <w:spacing w:after="0"/>
              <w:rPr>
                <w:sz w:val="7"/>
                <w:szCs w:val="7"/>
                <w:color w:val="auto"/>
              </w:rPr>
            </w:pPr>
          </w:p>
        </w:tc>
        <w:tc>
          <w:tcPr>
            <w:tcW w:w="80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9"/>
              </w:rPr>
              <w:t>Units or</w:t>
            </w:r>
          </w:p>
        </w:tc>
        <w:tc>
          <w:tcPr>
            <w:tcW w:w="320" w:type="dxa"/>
            <w:vAlign w:val="bottom"/>
          </w:tcPr>
          <w:p>
            <w:pPr>
              <w:spacing w:after="0"/>
              <w:rPr>
                <w:sz w:val="7"/>
                <w:szCs w:val="7"/>
                <w:color w:val="auto"/>
              </w:rPr>
            </w:pPr>
          </w:p>
        </w:tc>
        <w:tc>
          <w:tcPr>
            <w:tcW w:w="84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2"/>
              </w:rPr>
              <w:t>Units or</w:t>
            </w:r>
          </w:p>
        </w:tc>
        <w:tc>
          <w:tcPr>
            <w:tcW w:w="0" w:type="dxa"/>
            <w:vAlign w:val="bottom"/>
          </w:tcPr>
          <w:p>
            <w:pPr>
              <w:spacing w:after="0"/>
              <w:rPr>
                <w:sz w:val="1"/>
                <w:szCs w:val="1"/>
                <w:color w:val="auto"/>
              </w:rPr>
            </w:pPr>
          </w:p>
        </w:tc>
      </w:tr>
      <w:tr>
        <w:trPr>
          <w:trHeight w:val="90"/>
        </w:trPr>
        <w:tc>
          <w:tcPr>
            <w:tcW w:w="1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9"/>
              </w:rPr>
              <w:t>Number of</w:t>
            </w:r>
          </w:p>
        </w:tc>
        <w:tc>
          <w:tcPr>
            <w:tcW w:w="240" w:type="dxa"/>
            <w:vAlign w:val="bottom"/>
          </w:tcPr>
          <w:p>
            <w:pPr>
              <w:spacing w:after="0"/>
              <w:rPr>
                <w:sz w:val="7"/>
                <w:szCs w:val="7"/>
                <w:color w:val="auto"/>
              </w:rPr>
            </w:pPr>
          </w:p>
        </w:tc>
        <w:tc>
          <w:tcPr>
            <w:tcW w:w="1240" w:type="dxa"/>
            <w:vAlign w:val="bottom"/>
            <w:gridSpan w:val="2"/>
          </w:tcPr>
          <w:p>
            <w:pPr>
              <w:jc w:val="center"/>
              <w:ind w:right="240"/>
              <w:spacing w:after="0" w:line="90" w:lineRule="exact"/>
              <w:rPr>
                <w:sz w:val="20"/>
                <w:szCs w:val="20"/>
                <w:color w:val="auto"/>
              </w:rPr>
            </w:pPr>
            <w:r>
              <w:rPr>
                <w:rFonts w:ascii="Arial" w:cs="Arial" w:eastAsia="Arial" w:hAnsi="Arial"/>
                <w:sz w:val="8"/>
                <w:szCs w:val="8"/>
                <w:b w:val="1"/>
                <w:bCs w:val="1"/>
                <w:color w:val="auto"/>
                <w:w w:val="99"/>
              </w:rPr>
              <w:t>Number of</w:t>
            </w: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4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4"/>
              </w:rPr>
              <w:t>Number of</w:t>
            </w:r>
          </w:p>
        </w:tc>
        <w:tc>
          <w:tcPr>
            <w:tcW w:w="260" w:type="dxa"/>
            <w:vAlign w:val="bottom"/>
          </w:tcPr>
          <w:p>
            <w:pPr>
              <w:spacing w:after="0"/>
              <w:rPr>
                <w:sz w:val="7"/>
                <w:szCs w:val="7"/>
                <w:color w:val="auto"/>
              </w:rPr>
            </w:pPr>
          </w:p>
        </w:tc>
        <w:tc>
          <w:tcPr>
            <w:tcW w:w="66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3"/>
              </w:rPr>
              <w:t>Units of</w:t>
            </w:r>
          </w:p>
        </w:tc>
        <w:tc>
          <w:tcPr>
            <w:tcW w:w="260" w:type="dxa"/>
            <w:vAlign w:val="bottom"/>
          </w:tcPr>
          <w:p>
            <w:pPr>
              <w:spacing w:after="0"/>
              <w:rPr>
                <w:sz w:val="7"/>
                <w:szCs w:val="7"/>
                <w:color w:val="auto"/>
              </w:rPr>
            </w:pPr>
          </w:p>
        </w:tc>
        <w:tc>
          <w:tcPr>
            <w:tcW w:w="800" w:type="dxa"/>
            <w:vAlign w:val="bottom"/>
          </w:tcPr>
          <w:p>
            <w:pPr>
              <w:jc w:val="center"/>
              <w:spacing w:after="0" w:line="90" w:lineRule="exact"/>
              <w:rPr>
                <w:sz w:val="20"/>
                <w:szCs w:val="20"/>
                <w:color w:val="auto"/>
              </w:rPr>
            </w:pPr>
            <w:r>
              <w:rPr>
                <w:rFonts w:ascii="Arial" w:cs="Arial" w:eastAsia="Arial" w:hAnsi="Arial"/>
                <w:sz w:val="8"/>
                <w:szCs w:val="8"/>
                <w:b w:val="1"/>
                <w:bCs w:val="1"/>
                <w:color w:val="auto"/>
              </w:rPr>
              <w:t>Other</w:t>
            </w:r>
          </w:p>
        </w:tc>
        <w:tc>
          <w:tcPr>
            <w:tcW w:w="320" w:type="dxa"/>
            <w:vAlign w:val="bottom"/>
          </w:tcPr>
          <w:p>
            <w:pPr>
              <w:spacing w:after="0"/>
              <w:rPr>
                <w:sz w:val="7"/>
                <w:szCs w:val="7"/>
                <w:color w:val="auto"/>
              </w:rPr>
            </w:pPr>
          </w:p>
        </w:tc>
        <w:tc>
          <w:tcPr>
            <w:tcW w:w="840" w:type="dxa"/>
            <w:vAlign w:val="bottom"/>
          </w:tcPr>
          <w:p>
            <w:pPr>
              <w:jc w:val="center"/>
              <w:spacing w:after="0" w:line="90" w:lineRule="exact"/>
              <w:rPr>
                <w:sz w:val="20"/>
                <w:szCs w:val="20"/>
                <w:color w:val="auto"/>
              </w:rPr>
            </w:pPr>
            <w:r>
              <w:rPr>
                <w:rFonts w:ascii="Arial" w:cs="Arial" w:eastAsia="Arial" w:hAnsi="Arial"/>
                <w:sz w:val="8"/>
                <w:szCs w:val="8"/>
                <w:b w:val="1"/>
                <w:bCs w:val="1"/>
                <w:color w:val="auto"/>
              </w:rPr>
              <w:t>Other</w:t>
            </w:r>
          </w:p>
        </w:tc>
        <w:tc>
          <w:tcPr>
            <w:tcW w:w="0" w:type="dxa"/>
            <w:vAlign w:val="bottom"/>
          </w:tcPr>
          <w:p>
            <w:pPr>
              <w:spacing w:after="0"/>
              <w:rPr>
                <w:sz w:val="1"/>
                <w:szCs w:val="1"/>
                <w:color w:val="auto"/>
              </w:rPr>
            </w:pPr>
          </w:p>
        </w:tc>
      </w:tr>
      <w:tr>
        <w:trPr>
          <w:trHeight w:val="90"/>
        </w:trPr>
        <w:tc>
          <w:tcPr>
            <w:tcW w:w="1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4"/>
              </w:rPr>
              <w:t>Securities</w:t>
            </w:r>
          </w:p>
        </w:tc>
        <w:tc>
          <w:tcPr>
            <w:tcW w:w="240" w:type="dxa"/>
            <w:vAlign w:val="bottom"/>
          </w:tcPr>
          <w:p>
            <w:pPr>
              <w:spacing w:after="0"/>
              <w:rPr>
                <w:sz w:val="7"/>
                <w:szCs w:val="7"/>
                <w:color w:val="auto"/>
              </w:rPr>
            </w:pPr>
          </w:p>
        </w:tc>
        <w:tc>
          <w:tcPr>
            <w:tcW w:w="1240" w:type="dxa"/>
            <w:vAlign w:val="bottom"/>
            <w:gridSpan w:val="2"/>
          </w:tcPr>
          <w:p>
            <w:pPr>
              <w:jc w:val="center"/>
              <w:ind w:right="240"/>
              <w:spacing w:after="0" w:line="90" w:lineRule="exact"/>
              <w:rPr>
                <w:sz w:val="20"/>
                <w:szCs w:val="20"/>
                <w:color w:val="auto"/>
              </w:rPr>
            </w:pPr>
            <w:r>
              <w:rPr>
                <w:rFonts w:ascii="Arial" w:cs="Arial" w:eastAsia="Arial" w:hAnsi="Arial"/>
                <w:sz w:val="8"/>
                <w:szCs w:val="8"/>
                <w:b w:val="1"/>
                <w:bCs w:val="1"/>
                <w:color w:val="auto"/>
                <w:w w:val="94"/>
              </w:rPr>
              <w:t>Securities</w:t>
            </w: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4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1"/>
              </w:rPr>
              <w:t>Shares or</w:t>
            </w:r>
          </w:p>
        </w:tc>
        <w:tc>
          <w:tcPr>
            <w:tcW w:w="260" w:type="dxa"/>
            <w:vAlign w:val="bottom"/>
          </w:tcPr>
          <w:p>
            <w:pPr>
              <w:spacing w:after="0"/>
              <w:rPr>
                <w:sz w:val="7"/>
                <w:szCs w:val="7"/>
                <w:color w:val="auto"/>
              </w:rPr>
            </w:pPr>
          </w:p>
        </w:tc>
        <w:tc>
          <w:tcPr>
            <w:tcW w:w="66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1"/>
              </w:rPr>
              <w:t>Stock</w:t>
            </w:r>
          </w:p>
        </w:tc>
        <w:tc>
          <w:tcPr>
            <w:tcW w:w="260" w:type="dxa"/>
            <w:vAlign w:val="bottom"/>
          </w:tcPr>
          <w:p>
            <w:pPr>
              <w:spacing w:after="0"/>
              <w:rPr>
                <w:sz w:val="7"/>
                <w:szCs w:val="7"/>
                <w:color w:val="auto"/>
              </w:rPr>
            </w:pPr>
          </w:p>
        </w:tc>
        <w:tc>
          <w:tcPr>
            <w:tcW w:w="80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88"/>
              </w:rPr>
              <w:t>Rights</w:t>
            </w:r>
          </w:p>
        </w:tc>
        <w:tc>
          <w:tcPr>
            <w:tcW w:w="320" w:type="dxa"/>
            <w:vAlign w:val="bottom"/>
          </w:tcPr>
          <w:p>
            <w:pPr>
              <w:spacing w:after="0"/>
              <w:rPr>
                <w:sz w:val="7"/>
                <w:szCs w:val="7"/>
                <w:color w:val="auto"/>
              </w:rPr>
            </w:pPr>
          </w:p>
        </w:tc>
        <w:tc>
          <w:tcPr>
            <w:tcW w:w="84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6"/>
              </w:rPr>
              <w:t>Rights</w:t>
            </w:r>
          </w:p>
        </w:tc>
        <w:tc>
          <w:tcPr>
            <w:tcW w:w="0" w:type="dxa"/>
            <w:vAlign w:val="bottom"/>
          </w:tcPr>
          <w:p>
            <w:pPr>
              <w:spacing w:after="0"/>
              <w:rPr>
                <w:sz w:val="1"/>
                <w:szCs w:val="1"/>
                <w:color w:val="auto"/>
              </w:rPr>
            </w:pPr>
          </w:p>
        </w:tc>
      </w:tr>
      <w:tr>
        <w:trPr>
          <w:trHeight w:val="90"/>
        </w:trPr>
        <w:tc>
          <w:tcPr>
            <w:tcW w:w="1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5"/>
              </w:rPr>
              <w:t>Underlying</w:t>
            </w:r>
          </w:p>
        </w:tc>
        <w:tc>
          <w:tcPr>
            <w:tcW w:w="240" w:type="dxa"/>
            <w:vAlign w:val="bottom"/>
          </w:tcPr>
          <w:p>
            <w:pPr>
              <w:spacing w:after="0"/>
              <w:rPr>
                <w:sz w:val="7"/>
                <w:szCs w:val="7"/>
                <w:color w:val="auto"/>
              </w:rPr>
            </w:pPr>
          </w:p>
        </w:tc>
        <w:tc>
          <w:tcPr>
            <w:tcW w:w="1240" w:type="dxa"/>
            <w:vAlign w:val="bottom"/>
            <w:gridSpan w:val="2"/>
          </w:tcPr>
          <w:p>
            <w:pPr>
              <w:jc w:val="center"/>
              <w:ind w:right="240"/>
              <w:spacing w:after="0" w:line="90" w:lineRule="exact"/>
              <w:rPr>
                <w:sz w:val="20"/>
                <w:szCs w:val="20"/>
                <w:color w:val="auto"/>
              </w:rPr>
            </w:pPr>
            <w:r>
              <w:rPr>
                <w:rFonts w:ascii="Arial" w:cs="Arial" w:eastAsia="Arial" w:hAnsi="Arial"/>
                <w:sz w:val="8"/>
                <w:szCs w:val="8"/>
                <w:b w:val="1"/>
                <w:bCs w:val="1"/>
                <w:color w:val="auto"/>
                <w:w w:val="95"/>
              </w:rPr>
              <w:t>Underlying</w:t>
            </w:r>
          </w:p>
        </w:tc>
        <w:tc>
          <w:tcPr>
            <w:tcW w:w="60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81"/>
              </w:rPr>
              <w:t>(c)</w:t>
            </w:r>
          </w:p>
        </w:tc>
        <w:tc>
          <w:tcPr>
            <w:tcW w:w="260" w:type="dxa"/>
            <w:vAlign w:val="bottom"/>
          </w:tcPr>
          <w:p>
            <w:pPr>
              <w:spacing w:after="0"/>
              <w:rPr>
                <w:sz w:val="7"/>
                <w:szCs w:val="7"/>
                <w:color w:val="auto"/>
              </w:rPr>
            </w:pPr>
          </w:p>
        </w:tc>
        <w:tc>
          <w:tcPr>
            <w:tcW w:w="84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7"/>
              </w:rPr>
              <w:t>(d)</w:t>
            </w:r>
          </w:p>
        </w:tc>
        <w:tc>
          <w:tcPr>
            <w:tcW w:w="240" w:type="dxa"/>
            <w:vAlign w:val="bottom"/>
          </w:tcPr>
          <w:p>
            <w:pPr>
              <w:spacing w:after="0"/>
              <w:rPr>
                <w:sz w:val="7"/>
                <w:szCs w:val="7"/>
                <w:color w:val="auto"/>
              </w:rPr>
            </w:pPr>
          </w:p>
        </w:tc>
        <w:tc>
          <w:tcPr>
            <w:tcW w:w="74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3"/>
              </w:rPr>
              <w:t>Units of</w:t>
            </w:r>
          </w:p>
        </w:tc>
        <w:tc>
          <w:tcPr>
            <w:tcW w:w="260" w:type="dxa"/>
            <w:vAlign w:val="bottom"/>
          </w:tcPr>
          <w:p>
            <w:pPr>
              <w:spacing w:after="0"/>
              <w:rPr>
                <w:sz w:val="7"/>
                <w:szCs w:val="7"/>
                <w:color w:val="auto"/>
              </w:rPr>
            </w:pPr>
          </w:p>
        </w:tc>
        <w:tc>
          <w:tcPr>
            <w:tcW w:w="660" w:type="dxa"/>
            <w:vAlign w:val="bottom"/>
          </w:tcPr>
          <w:p>
            <w:pPr>
              <w:jc w:val="center"/>
              <w:spacing w:after="0" w:line="90" w:lineRule="exact"/>
              <w:rPr>
                <w:sz w:val="20"/>
                <w:szCs w:val="20"/>
                <w:color w:val="auto"/>
              </w:rPr>
            </w:pPr>
            <w:r>
              <w:rPr>
                <w:rFonts w:ascii="Arial" w:cs="Arial" w:eastAsia="Arial" w:hAnsi="Arial"/>
                <w:sz w:val="8"/>
                <w:szCs w:val="8"/>
                <w:b w:val="1"/>
                <w:bCs w:val="1"/>
                <w:color w:val="auto"/>
              </w:rPr>
              <w:t>That</w:t>
            </w:r>
          </w:p>
        </w:tc>
        <w:tc>
          <w:tcPr>
            <w:tcW w:w="260" w:type="dxa"/>
            <w:vAlign w:val="bottom"/>
          </w:tcPr>
          <w:p>
            <w:pPr>
              <w:spacing w:after="0"/>
              <w:rPr>
                <w:sz w:val="7"/>
                <w:szCs w:val="7"/>
                <w:color w:val="auto"/>
              </w:rPr>
            </w:pPr>
          </w:p>
        </w:tc>
        <w:tc>
          <w:tcPr>
            <w:tcW w:w="800" w:type="dxa"/>
            <w:vAlign w:val="bottom"/>
          </w:tcPr>
          <w:p>
            <w:pPr>
              <w:jc w:val="center"/>
              <w:spacing w:after="0" w:line="90" w:lineRule="exact"/>
              <w:rPr>
                <w:sz w:val="20"/>
                <w:szCs w:val="20"/>
                <w:color w:val="auto"/>
              </w:rPr>
            </w:pPr>
            <w:r>
              <w:rPr>
                <w:rFonts w:ascii="Arial" w:cs="Arial" w:eastAsia="Arial" w:hAnsi="Arial"/>
                <w:sz w:val="8"/>
                <w:szCs w:val="8"/>
                <w:b w:val="1"/>
                <w:bCs w:val="1"/>
                <w:color w:val="auto"/>
              </w:rPr>
              <w:t>That</w:t>
            </w:r>
          </w:p>
        </w:tc>
        <w:tc>
          <w:tcPr>
            <w:tcW w:w="320" w:type="dxa"/>
            <w:vAlign w:val="bottom"/>
          </w:tcPr>
          <w:p>
            <w:pPr>
              <w:spacing w:after="0"/>
              <w:rPr>
                <w:sz w:val="7"/>
                <w:szCs w:val="7"/>
                <w:color w:val="auto"/>
              </w:rPr>
            </w:pPr>
          </w:p>
        </w:tc>
        <w:tc>
          <w:tcPr>
            <w:tcW w:w="84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4"/>
              </w:rPr>
              <w:t>That</w:t>
            </w:r>
          </w:p>
        </w:tc>
        <w:tc>
          <w:tcPr>
            <w:tcW w:w="0" w:type="dxa"/>
            <w:vAlign w:val="bottom"/>
          </w:tcPr>
          <w:p>
            <w:pPr>
              <w:spacing w:after="0"/>
              <w:rPr>
                <w:sz w:val="1"/>
                <w:szCs w:val="1"/>
                <w:color w:val="auto"/>
              </w:rPr>
            </w:pPr>
          </w:p>
        </w:tc>
      </w:tr>
      <w:tr>
        <w:trPr>
          <w:trHeight w:val="90"/>
        </w:trPr>
        <w:tc>
          <w:tcPr>
            <w:tcW w:w="1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2"/>
              </w:rPr>
              <w:t>Unexercised</w:t>
            </w:r>
          </w:p>
        </w:tc>
        <w:tc>
          <w:tcPr>
            <w:tcW w:w="240" w:type="dxa"/>
            <w:vAlign w:val="bottom"/>
          </w:tcPr>
          <w:p>
            <w:pPr>
              <w:spacing w:after="0"/>
              <w:rPr>
                <w:sz w:val="7"/>
                <w:szCs w:val="7"/>
                <w:color w:val="auto"/>
              </w:rPr>
            </w:pPr>
          </w:p>
        </w:tc>
        <w:tc>
          <w:tcPr>
            <w:tcW w:w="1240" w:type="dxa"/>
            <w:vAlign w:val="bottom"/>
            <w:gridSpan w:val="2"/>
          </w:tcPr>
          <w:p>
            <w:pPr>
              <w:jc w:val="center"/>
              <w:ind w:right="240"/>
              <w:spacing w:after="0" w:line="90" w:lineRule="exact"/>
              <w:rPr>
                <w:sz w:val="20"/>
                <w:szCs w:val="20"/>
                <w:color w:val="auto"/>
              </w:rPr>
            </w:pPr>
            <w:r>
              <w:rPr>
                <w:rFonts w:ascii="Arial" w:cs="Arial" w:eastAsia="Arial" w:hAnsi="Arial"/>
                <w:sz w:val="8"/>
                <w:szCs w:val="8"/>
                <w:b w:val="1"/>
                <w:bCs w:val="1"/>
                <w:color w:val="auto"/>
                <w:w w:val="92"/>
              </w:rPr>
              <w:t>Unexercised</w:t>
            </w:r>
          </w:p>
        </w:tc>
        <w:tc>
          <w:tcPr>
            <w:tcW w:w="60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2"/>
              </w:rPr>
              <w:t>Option</w:t>
            </w:r>
          </w:p>
        </w:tc>
        <w:tc>
          <w:tcPr>
            <w:tcW w:w="260" w:type="dxa"/>
            <w:vAlign w:val="bottom"/>
          </w:tcPr>
          <w:p>
            <w:pPr>
              <w:spacing w:after="0"/>
              <w:rPr>
                <w:sz w:val="7"/>
                <w:szCs w:val="7"/>
                <w:color w:val="auto"/>
              </w:rPr>
            </w:pPr>
          </w:p>
        </w:tc>
        <w:tc>
          <w:tcPr>
            <w:tcW w:w="840" w:type="dxa"/>
            <w:vAlign w:val="bottom"/>
          </w:tcPr>
          <w:p>
            <w:pPr>
              <w:jc w:val="center"/>
              <w:spacing w:after="0" w:line="90" w:lineRule="exact"/>
              <w:rPr>
                <w:sz w:val="20"/>
                <w:szCs w:val="20"/>
                <w:color w:val="auto"/>
              </w:rPr>
            </w:pPr>
            <w:r>
              <w:rPr>
                <w:rFonts w:ascii="Arial" w:cs="Arial" w:eastAsia="Arial" w:hAnsi="Arial"/>
                <w:sz w:val="8"/>
                <w:szCs w:val="8"/>
                <w:b w:val="1"/>
                <w:bCs w:val="1"/>
                <w:color w:val="auto"/>
              </w:rPr>
              <w:t>Option</w:t>
            </w:r>
          </w:p>
        </w:tc>
        <w:tc>
          <w:tcPr>
            <w:tcW w:w="240" w:type="dxa"/>
            <w:vAlign w:val="bottom"/>
          </w:tcPr>
          <w:p>
            <w:pPr>
              <w:spacing w:after="0"/>
              <w:rPr>
                <w:sz w:val="7"/>
                <w:szCs w:val="7"/>
                <w:color w:val="auto"/>
              </w:rPr>
            </w:pPr>
          </w:p>
        </w:tc>
        <w:tc>
          <w:tcPr>
            <w:tcW w:w="74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2"/>
              </w:rPr>
              <w:t>Stock That</w:t>
            </w:r>
          </w:p>
        </w:tc>
        <w:tc>
          <w:tcPr>
            <w:tcW w:w="260" w:type="dxa"/>
            <w:vAlign w:val="bottom"/>
          </w:tcPr>
          <w:p>
            <w:pPr>
              <w:spacing w:after="0"/>
              <w:rPr>
                <w:sz w:val="7"/>
                <w:szCs w:val="7"/>
                <w:color w:val="auto"/>
              </w:rPr>
            </w:pPr>
          </w:p>
        </w:tc>
        <w:tc>
          <w:tcPr>
            <w:tcW w:w="66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3"/>
              </w:rPr>
              <w:t>Have</w:t>
            </w:r>
          </w:p>
        </w:tc>
        <w:tc>
          <w:tcPr>
            <w:tcW w:w="260" w:type="dxa"/>
            <w:vAlign w:val="bottom"/>
          </w:tcPr>
          <w:p>
            <w:pPr>
              <w:spacing w:after="0"/>
              <w:rPr>
                <w:sz w:val="7"/>
                <w:szCs w:val="7"/>
                <w:color w:val="auto"/>
              </w:rPr>
            </w:pPr>
          </w:p>
        </w:tc>
        <w:tc>
          <w:tcPr>
            <w:tcW w:w="80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3"/>
              </w:rPr>
              <w:t>Have</w:t>
            </w:r>
          </w:p>
        </w:tc>
        <w:tc>
          <w:tcPr>
            <w:tcW w:w="320" w:type="dxa"/>
            <w:vAlign w:val="bottom"/>
          </w:tcPr>
          <w:p>
            <w:pPr>
              <w:spacing w:after="0"/>
              <w:rPr>
                <w:sz w:val="7"/>
                <w:szCs w:val="7"/>
                <w:color w:val="auto"/>
              </w:rPr>
            </w:pPr>
          </w:p>
        </w:tc>
        <w:tc>
          <w:tcPr>
            <w:tcW w:w="840" w:type="dxa"/>
            <w:vAlign w:val="bottom"/>
          </w:tcPr>
          <w:p>
            <w:pPr>
              <w:jc w:val="center"/>
              <w:spacing w:after="0" w:line="90" w:lineRule="exact"/>
              <w:rPr>
                <w:sz w:val="20"/>
                <w:szCs w:val="20"/>
                <w:color w:val="auto"/>
              </w:rPr>
            </w:pPr>
            <w:r>
              <w:rPr>
                <w:rFonts w:ascii="Arial" w:cs="Arial" w:eastAsia="Arial" w:hAnsi="Arial"/>
                <w:sz w:val="8"/>
                <w:szCs w:val="8"/>
                <w:b w:val="1"/>
                <w:bCs w:val="1"/>
                <w:color w:val="auto"/>
              </w:rPr>
              <w:t>Have</w:t>
            </w:r>
          </w:p>
        </w:tc>
        <w:tc>
          <w:tcPr>
            <w:tcW w:w="0" w:type="dxa"/>
            <w:vAlign w:val="bottom"/>
          </w:tcPr>
          <w:p>
            <w:pPr>
              <w:spacing w:after="0"/>
              <w:rPr>
                <w:sz w:val="1"/>
                <w:szCs w:val="1"/>
                <w:color w:val="auto"/>
              </w:rPr>
            </w:pPr>
          </w:p>
        </w:tc>
      </w:tr>
      <w:tr>
        <w:trPr>
          <w:trHeight w:val="90"/>
        </w:trPr>
        <w:tc>
          <w:tcPr>
            <w:tcW w:w="1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4"/>
              </w:rPr>
              <w:t>Options (#)</w:t>
            </w:r>
          </w:p>
        </w:tc>
        <w:tc>
          <w:tcPr>
            <w:tcW w:w="240" w:type="dxa"/>
            <w:vAlign w:val="bottom"/>
          </w:tcPr>
          <w:p>
            <w:pPr>
              <w:spacing w:after="0"/>
              <w:rPr>
                <w:sz w:val="7"/>
                <w:szCs w:val="7"/>
                <w:color w:val="auto"/>
              </w:rPr>
            </w:pPr>
          </w:p>
        </w:tc>
        <w:tc>
          <w:tcPr>
            <w:tcW w:w="1240" w:type="dxa"/>
            <w:vAlign w:val="bottom"/>
            <w:gridSpan w:val="2"/>
          </w:tcPr>
          <w:p>
            <w:pPr>
              <w:jc w:val="center"/>
              <w:ind w:right="240"/>
              <w:spacing w:after="0" w:line="90" w:lineRule="exact"/>
              <w:rPr>
                <w:sz w:val="20"/>
                <w:szCs w:val="20"/>
                <w:color w:val="auto"/>
              </w:rPr>
            </w:pPr>
            <w:r>
              <w:rPr>
                <w:rFonts w:ascii="Arial" w:cs="Arial" w:eastAsia="Arial" w:hAnsi="Arial"/>
                <w:sz w:val="8"/>
                <w:szCs w:val="8"/>
                <w:b w:val="1"/>
                <w:bCs w:val="1"/>
                <w:color w:val="auto"/>
                <w:w w:val="94"/>
              </w:rPr>
              <w:t>Options (#)</w:t>
            </w:r>
          </w:p>
        </w:tc>
        <w:tc>
          <w:tcPr>
            <w:tcW w:w="60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1"/>
              </w:rPr>
              <w:t>Exercise</w:t>
            </w:r>
          </w:p>
        </w:tc>
        <w:tc>
          <w:tcPr>
            <w:tcW w:w="260" w:type="dxa"/>
            <w:vAlign w:val="bottom"/>
          </w:tcPr>
          <w:p>
            <w:pPr>
              <w:spacing w:after="0"/>
              <w:rPr>
                <w:sz w:val="7"/>
                <w:szCs w:val="7"/>
                <w:color w:val="auto"/>
              </w:rPr>
            </w:pPr>
          </w:p>
        </w:tc>
        <w:tc>
          <w:tcPr>
            <w:tcW w:w="84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7"/>
              </w:rPr>
              <w:t>Expiration</w:t>
            </w:r>
          </w:p>
        </w:tc>
        <w:tc>
          <w:tcPr>
            <w:tcW w:w="240" w:type="dxa"/>
            <w:vAlign w:val="bottom"/>
          </w:tcPr>
          <w:p>
            <w:pPr>
              <w:spacing w:after="0"/>
              <w:rPr>
                <w:sz w:val="7"/>
                <w:szCs w:val="7"/>
                <w:color w:val="auto"/>
              </w:rPr>
            </w:pPr>
          </w:p>
        </w:tc>
        <w:tc>
          <w:tcPr>
            <w:tcW w:w="74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7"/>
              </w:rPr>
              <w:t>Have Not</w:t>
            </w:r>
          </w:p>
        </w:tc>
        <w:tc>
          <w:tcPr>
            <w:tcW w:w="260" w:type="dxa"/>
            <w:vAlign w:val="bottom"/>
          </w:tcPr>
          <w:p>
            <w:pPr>
              <w:spacing w:after="0"/>
              <w:rPr>
                <w:sz w:val="7"/>
                <w:szCs w:val="7"/>
                <w:color w:val="auto"/>
              </w:rPr>
            </w:pPr>
          </w:p>
        </w:tc>
        <w:tc>
          <w:tcPr>
            <w:tcW w:w="660" w:type="dxa"/>
            <w:vAlign w:val="bottom"/>
          </w:tcPr>
          <w:p>
            <w:pPr>
              <w:jc w:val="center"/>
              <w:spacing w:after="0" w:line="90" w:lineRule="exact"/>
              <w:rPr>
                <w:sz w:val="20"/>
                <w:szCs w:val="20"/>
                <w:color w:val="auto"/>
              </w:rPr>
            </w:pPr>
            <w:r>
              <w:rPr>
                <w:rFonts w:ascii="Arial" w:cs="Arial" w:eastAsia="Arial" w:hAnsi="Arial"/>
                <w:sz w:val="8"/>
                <w:szCs w:val="8"/>
                <w:b w:val="1"/>
                <w:bCs w:val="1"/>
                <w:color w:val="auto"/>
              </w:rPr>
              <w:t>Not</w:t>
            </w:r>
          </w:p>
        </w:tc>
        <w:tc>
          <w:tcPr>
            <w:tcW w:w="260" w:type="dxa"/>
            <w:vAlign w:val="bottom"/>
          </w:tcPr>
          <w:p>
            <w:pPr>
              <w:spacing w:after="0"/>
              <w:rPr>
                <w:sz w:val="7"/>
                <w:szCs w:val="7"/>
                <w:color w:val="auto"/>
              </w:rPr>
            </w:pPr>
          </w:p>
        </w:tc>
        <w:tc>
          <w:tcPr>
            <w:tcW w:w="800" w:type="dxa"/>
            <w:vAlign w:val="bottom"/>
          </w:tcPr>
          <w:p>
            <w:pPr>
              <w:jc w:val="center"/>
              <w:spacing w:after="0" w:line="90" w:lineRule="exact"/>
              <w:rPr>
                <w:sz w:val="20"/>
                <w:szCs w:val="20"/>
                <w:color w:val="auto"/>
              </w:rPr>
            </w:pPr>
            <w:r>
              <w:rPr>
                <w:rFonts w:ascii="Arial" w:cs="Arial" w:eastAsia="Arial" w:hAnsi="Arial"/>
                <w:sz w:val="8"/>
                <w:szCs w:val="8"/>
                <w:b w:val="1"/>
                <w:bCs w:val="1"/>
                <w:color w:val="auto"/>
              </w:rPr>
              <w:t>Not</w:t>
            </w:r>
          </w:p>
        </w:tc>
        <w:tc>
          <w:tcPr>
            <w:tcW w:w="320" w:type="dxa"/>
            <w:vAlign w:val="bottom"/>
          </w:tcPr>
          <w:p>
            <w:pPr>
              <w:spacing w:after="0"/>
              <w:rPr>
                <w:sz w:val="7"/>
                <w:szCs w:val="7"/>
                <w:color w:val="auto"/>
              </w:rPr>
            </w:pPr>
          </w:p>
        </w:tc>
        <w:tc>
          <w:tcPr>
            <w:tcW w:w="84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89"/>
              </w:rPr>
              <w:t>Not</w:t>
            </w:r>
          </w:p>
        </w:tc>
        <w:tc>
          <w:tcPr>
            <w:tcW w:w="0" w:type="dxa"/>
            <w:vAlign w:val="bottom"/>
          </w:tcPr>
          <w:p>
            <w:pPr>
              <w:spacing w:after="0"/>
              <w:rPr>
                <w:sz w:val="1"/>
                <w:szCs w:val="1"/>
                <w:color w:val="auto"/>
              </w:rPr>
            </w:pPr>
          </w:p>
        </w:tc>
      </w:tr>
      <w:tr>
        <w:trPr>
          <w:trHeight w:val="101"/>
        </w:trPr>
        <w:tc>
          <w:tcPr>
            <w:tcW w:w="1680" w:type="dxa"/>
            <w:vAlign w:val="bottom"/>
            <w:tcBorders>
              <w:bottom w:val="single" w:sz="8" w:color="auto"/>
            </w:tcBorders>
          </w:tcPr>
          <w:p>
            <w:pPr>
              <w:spacing w:after="0"/>
              <w:rPr>
                <w:sz w:val="20"/>
                <w:szCs w:val="20"/>
                <w:color w:val="auto"/>
              </w:rPr>
            </w:pPr>
            <w:r>
              <w:rPr>
                <w:rFonts w:ascii="Arial" w:cs="Arial" w:eastAsia="Arial" w:hAnsi="Arial"/>
                <w:sz w:val="8"/>
                <w:szCs w:val="8"/>
                <w:b w:val="1"/>
                <w:bCs w:val="1"/>
                <w:color w:val="auto"/>
              </w:rPr>
              <w:t>Name</w:t>
            </w:r>
          </w:p>
        </w:tc>
        <w:tc>
          <w:tcPr>
            <w:tcW w:w="240" w:type="dxa"/>
            <w:vAlign w:val="bottom"/>
          </w:tcPr>
          <w:p>
            <w:pPr>
              <w:spacing w:after="0"/>
              <w:rPr>
                <w:sz w:val="8"/>
                <w:szCs w:val="8"/>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94"/>
              </w:rPr>
              <w:t>Exercisable</w:t>
            </w:r>
          </w:p>
        </w:tc>
        <w:tc>
          <w:tcPr>
            <w:tcW w:w="240" w:type="dxa"/>
            <w:vAlign w:val="bottom"/>
          </w:tcPr>
          <w:p>
            <w:pPr>
              <w:spacing w:after="0"/>
              <w:rPr>
                <w:sz w:val="8"/>
                <w:szCs w:val="8"/>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92"/>
              </w:rPr>
              <w:t>Unexercisable</w:t>
            </w:r>
          </w:p>
        </w:tc>
        <w:tc>
          <w:tcPr>
            <w:tcW w:w="240" w:type="dxa"/>
            <w:vAlign w:val="bottom"/>
          </w:tcPr>
          <w:p>
            <w:pPr>
              <w:spacing w:after="0"/>
              <w:rPr>
                <w:sz w:val="8"/>
                <w:szCs w:val="8"/>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94"/>
              </w:rPr>
              <w:t>Price ($)</w:t>
            </w:r>
          </w:p>
        </w:tc>
        <w:tc>
          <w:tcPr>
            <w:tcW w:w="260" w:type="dxa"/>
            <w:vAlign w:val="bottom"/>
          </w:tcPr>
          <w:p>
            <w:pPr>
              <w:spacing w:after="0"/>
              <w:rPr>
                <w:sz w:val="8"/>
                <w:szCs w:val="8"/>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Date</w:t>
            </w:r>
          </w:p>
        </w:tc>
        <w:tc>
          <w:tcPr>
            <w:tcW w:w="240" w:type="dxa"/>
            <w:vAlign w:val="bottom"/>
          </w:tcPr>
          <w:p>
            <w:pPr>
              <w:spacing w:after="0"/>
              <w:rPr>
                <w:sz w:val="8"/>
                <w:szCs w:val="8"/>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88"/>
              </w:rPr>
              <w:t>Vested (#)</w:t>
            </w:r>
          </w:p>
        </w:tc>
        <w:tc>
          <w:tcPr>
            <w:tcW w:w="260" w:type="dxa"/>
            <w:vAlign w:val="bottom"/>
          </w:tcPr>
          <w:p>
            <w:pPr>
              <w:spacing w:after="0"/>
              <w:rPr>
                <w:sz w:val="8"/>
                <w:szCs w:val="8"/>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94"/>
              </w:rPr>
              <w:t>Vested ($)</w:t>
            </w:r>
          </w:p>
        </w:tc>
        <w:tc>
          <w:tcPr>
            <w:tcW w:w="260" w:type="dxa"/>
            <w:vAlign w:val="bottom"/>
          </w:tcPr>
          <w:p>
            <w:pPr>
              <w:spacing w:after="0"/>
              <w:rPr>
                <w:sz w:val="8"/>
                <w:szCs w:val="8"/>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88"/>
              </w:rPr>
              <w:t>Vested (#)</w:t>
            </w:r>
          </w:p>
        </w:tc>
        <w:tc>
          <w:tcPr>
            <w:tcW w:w="320" w:type="dxa"/>
            <w:vAlign w:val="bottom"/>
          </w:tcPr>
          <w:p>
            <w:pPr>
              <w:spacing w:after="0"/>
              <w:rPr>
                <w:sz w:val="8"/>
                <w:szCs w:val="8"/>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94"/>
              </w:rPr>
              <w:t>Vested ($)</w:t>
            </w:r>
          </w:p>
        </w:tc>
        <w:tc>
          <w:tcPr>
            <w:tcW w:w="0" w:type="dxa"/>
            <w:vAlign w:val="bottom"/>
          </w:tcPr>
          <w:p>
            <w:pPr>
              <w:spacing w:after="0"/>
              <w:rPr>
                <w:sz w:val="1"/>
                <w:szCs w:val="1"/>
                <w:color w:val="auto"/>
              </w:rPr>
            </w:pPr>
          </w:p>
        </w:tc>
      </w:tr>
      <w:tr>
        <w:trPr>
          <w:trHeight w:val="121"/>
        </w:trPr>
        <w:tc>
          <w:tcPr>
            <w:tcW w:w="1920" w:type="dxa"/>
            <w:vAlign w:val="bottom"/>
            <w:gridSpan w:val="2"/>
          </w:tcPr>
          <w:p>
            <w:pPr>
              <w:spacing w:after="0"/>
              <w:rPr>
                <w:sz w:val="20"/>
                <w:szCs w:val="20"/>
                <w:color w:val="auto"/>
              </w:rPr>
            </w:pPr>
            <w:r>
              <w:rPr>
                <w:rFonts w:ascii="Arial" w:cs="Arial" w:eastAsia="Arial" w:hAnsi="Arial"/>
                <w:sz w:val="8"/>
                <w:szCs w:val="8"/>
                <w:b w:val="1"/>
                <w:bCs w:val="1"/>
                <w:color w:val="auto"/>
              </w:rPr>
              <w:t>David L. Cohen</w:t>
            </w: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60" w:type="dxa"/>
            <w:vAlign w:val="bottom"/>
            <w:gridSpan w:val="2"/>
            <w:vMerge w:val="restart"/>
          </w:tcPr>
          <w:p>
            <w:pPr>
              <w:ind w:left="500"/>
              <w:spacing w:after="0"/>
              <w:rPr>
                <w:sz w:val="20"/>
                <w:szCs w:val="20"/>
                <w:color w:val="auto"/>
              </w:rPr>
            </w:pPr>
            <w:r>
              <w:rPr>
                <w:rFonts w:ascii="Arial" w:cs="Arial" w:eastAsia="Arial" w:hAnsi="Arial"/>
                <w:sz w:val="8"/>
                <w:szCs w:val="8"/>
                <w:color w:val="auto"/>
                <w:w w:val="98"/>
              </w:rPr>
              <w:t>439,348</w:t>
            </w:r>
            <w:r>
              <w:rPr>
                <w:rFonts w:ascii="Arial" w:cs="Arial" w:eastAsia="Arial" w:hAnsi="Arial"/>
                <w:sz w:val="7"/>
                <w:szCs w:val="7"/>
                <w:color w:val="auto"/>
                <w:w w:val="98"/>
              </w:rPr>
              <w:t>(4)(7)(8)</w:t>
            </w:r>
          </w:p>
        </w:tc>
        <w:tc>
          <w:tcPr>
            <w:tcW w:w="1160" w:type="dxa"/>
            <w:vAlign w:val="bottom"/>
            <w:gridSpan w:val="2"/>
            <w:vMerge w:val="restart"/>
          </w:tcPr>
          <w:p>
            <w:pPr>
              <w:jc w:val="center"/>
              <w:ind w:left="278"/>
              <w:spacing w:after="0"/>
              <w:rPr>
                <w:sz w:val="20"/>
                <w:szCs w:val="20"/>
                <w:color w:val="auto"/>
              </w:rPr>
            </w:pPr>
            <w:r>
              <w:rPr>
                <w:rFonts w:ascii="Arial" w:cs="Arial" w:eastAsia="Arial" w:hAnsi="Arial"/>
                <w:sz w:val="8"/>
                <w:szCs w:val="8"/>
                <w:color w:val="auto"/>
                <w:w w:val="89"/>
              </w:rPr>
              <w:t>7,407,407</w:t>
            </w:r>
          </w:p>
        </w:tc>
        <w:tc>
          <w:tcPr>
            <w:tcW w:w="0" w:type="dxa"/>
            <w:vAlign w:val="bottom"/>
          </w:tcPr>
          <w:p>
            <w:pPr>
              <w:spacing w:after="0"/>
              <w:rPr>
                <w:sz w:val="1"/>
                <w:szCs w:val="1"/>
                <w:color w:val="auto"/>
              </w:rPr>
            </w:pPr>
          </w:p>
        </w:tc>
      </w:tr>
      <w:tr>
        <w:trPr>
          <w:trHeight w:val="90"/>
        </w:trPr>
        <w:tc>
          <w:tcPr>
            <w:tcW w:w="1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vMerge w:val="restart"/>
          </w:tcPr>
          <w:p>
            <w:pPr>
              <w:jc w:val="right"/>
              <w:ind w:right="58"/>
              <w:spacing w:after="0"/>
              <w:rPr>
                <w:sz w:val="20"/>
                <w:szCs w:val="20"/>
                <w:color w:val="auto"/>
              </w:rPr>
            </w:pPr>
            <w:r>
              <w:rPr>
                <w:rFonts w:ascii="Arial" w:cs="Arial" w:eastAsia="Arial" w:hAnsi="Arial"/>
                <w:sz w:val="8"/>
                <w:szCs w:val="8"/>
                <w:color w:val="auto"/>
              </w:rPr>
              <w:t>637,500</w:t>
            </w:r>
            <w:r>
              <w:rPr>
                <w:rFonts w:ascii="Arial" w:cs="Arial" w:eastAsia="Arial" w:hAnsi="Arial"/>
                <w:sz w:val="7"/>
                <w:szCs w:val="7"/>
                <w:color w:val="auto"/>
              </w:rPr>
              <w:t>(1)(5)</w:t>
            </w:r>
          </w:p>
        </w:tc>
        <w:tc>
          <w:tcPr>
            <w:tcW w:w="1240" w:type="dxa"/>
            <w:vAlign w:val="bottom"/>
            <w:gridSpan w:val="2"/>
            <w:vMerge w:val="restart"/>
          </w:tcPr>
          <w:p>
            <w:pPr>
              <w:jc w:val="right"/>
              <w:ind w:right="158"/>
              <w:spacing w:after="0"/>
              <w:rPr>
                <w:sz w:val="20"/>
                <w:szCs w:val="20"/>
                <w:color w:val="auto"/>
              </w:rPr>
            </w:pPr>
            <w:r>
              <w:rPr>
                <w:rFonts w:ascii="Arial" w:cs="Arial" w:eastAsia="Arial" w:hAnsi="Arial"/>
                <w:sz w:val="8"/>
                <w:szCs w:val="8"/>
                <w:color w:val="auto"/>
              </w:rPr>
              <w:t>112,500</w:t>
            </w:r>
            <w:r>
              <w:rPr>
                <w:rFonts w:ascii="Arial" w:cs="Arial" w:eastAsia="Arial" w:hAnsi="Arial"/>
                <w:sz w:val="7"/>
                <w:szCs w:val="7"/>
                <w:color w:val="auto"/>
              </w:rPr>
              <w:t>(1)(6)</w:t>
            </w:r>
          </w:p>
        </w:tc>
        <w:tc>
          <w:tcPr>
            <w:tcW w:w="240" w:type="dxa"/>
            <w:vAlign w:val="bottom"/>
          </w:tcPr>
          <w:p>
            <w:pPr>
              <w:spacing w:after="0"/>
              <w:rPr>
                <w:sz w:val="7"/>
                <w:szCs w:val="7"/>
                <w:color w:val="auto"/>
              </w:rPr>
            </w:pPr>
          </w:p>
        </w:tc>
        <w:tc>
          <w:tcPr>
            <w:tcW w:w="600" w:type="dxa"/>
            <w:vAlign w:val="bottom"/>
            <w:vMerge w:val="restart"/>
          </w:tcPr>
          <w:p>
            <w:pPr>
              <w:jc w:val="center"/>
              <w:spacing w:after="0"/>
              <w:rPr>
                <w:sz w:val="20"/>
                <w:szCs w:val="20"/>
                <w:color w:val="auto"/>
              </w:rPr>
            </w:pPr>
            <w:r>
              <w:rPr>
                <w:rFonts w:ascii="Arial" w:cs="Arial" w:eastAsia="Arial" w:hAnsi="Arial"/>
                <w:sz w:val="8"/>
                <w:szCs w:val="8"/>
                <w:color w:val="auto"/>
                <w:w w:val="96"/>
              </w:rPr>
              <w:t>15.8933</w:t>
            </w:r>
          </w:p>
        </w:tc>
        <w:tc>
          <w:tcPr>
            <w:tcW w:w="1100" w:type="dxa"/>
            <w:vAlign w:val="bottom"/>
            <w:gridSpan w:val="2"/>
            <w:vMerge w:val="restart"/>
          </w:tcPr>
          <w:p>
            <w:pPr>
              <w:jc w:val="right"/>
              <w:ind w:right="238"/>
              <w:spacing w:after="0"/>
              <w:rPr>
                <w:sz w:val="20"/>
                <w:szCs w:val="20"/>
                <w:color w:val="auto"/>
              </w:rPr>
            </w:pPr>
            <w:r>
              <w:rPr>
                <w:rFonts w:ascii="Arial" w:cs="Arial" w:eastAsia="Arial" w:hAnsi="Arial"/>
                <w:sz w:val="8"/>
                <w:szCs w:val="8"/>
                <w:color w:val="auto"/>
              </w:rPr>
              <w:t>07/01/12</w:t>
            </w:r>
          </w:p>
        </w:tc>
        <w:tc>
          <w:tcPr>
            <w:tcW w:w="2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1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32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1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jc w:val="right"/>
              <w:ind w:right="158"/>
              <w:spacing w:after="0" w:line="90" w:lineRule="exact"/>
              <w:rPr>
                <w:sz w:val="20"/>
                <w:szCs w:val="20"/>
                <w:color w:val="auto"/>
              </w:rPr>
            </w:pPr>
            <w:r>
              <w:rPr>
                <w:rFonts w:ascii="Arial" w:cs="Arial" w:eastAsia="Arial" w:hAnsi="Arial"/>
                <w:sz w:val="8"/>
                <w:szCs w:val="8"/>
                <w:color w:val="auto"/>
              </w:rPr>
              <w:t>145,875</w:t>
            </w:r>
            <w:r>
              <w:rPr>
                <w:rFonts w:ascii="Arial" w:cs="Arial" w:eastAsia="Arial" w:hAnsi="Arial"/>
                <w:sz w:val="7"/>
                <w:szCs w:val="7"/>
                <w:color w:val="auto"/>
              </w:rPr>
              <w:t>(1)</w:t>
            </w:r>
          </w:p>
        </w:tc>
        <w:tc>
          <w:tcPr>
            <w:tcW w:w="1240" w:type="dxa"/>
            <w:vAlign w:val="bottom"/>
            <w:gridSpan w:val="2"/>
          </w:tcPr>
          <w:p>
            <w:pPr>
              <w:jc w:val="right"/>
              <w:ind w:right="158"/>
              <w:spacing w:after="0" w:line="90" w:lineRule="exact"/>
              <w:rPr>
                <w:sz w:val="20"/>
                <w:szCs w:val="20"/>
                <w:color w:val="auto"/>
              </w:rPr>
            </w:pPr>
            <w:r>
              <w:rPr>
                <w:rFonts w:ascii="Arial" w:cs="Arial" w:eastAsia="Arial" w:hAnsi="Arial"/>
                <w:sz w:val="8"/>
                <w:szCs w:val="8"/>
                <w:color w:val="auto"/>
              </w:rPr>
              <w:t>19,125</w:t>
            </w:r>
            <w:r>
              <w:rPr>
                <w:rFonts w:ascii="Arial" w:cs="Arial" w:eastAsia="Arial" w:hAnsi="Arial"/>
                <w:sz w:val="7"/>
                <w:szCs w:val="7"/>
                <w:color w:val="auto"/>
              </w:rPr>
              <w:t>(1)(6)</w:t>
            </w:r>
          </w:p>
        </w:tc>
        <w:tc>
          <w:tcPr>
            <w:tcW w:w="240" w:type="dxa"/>
            <w:vAlign w:val="bottom"/>
          </w:tcPr>
          <w:p>
            <w:pPr>
              <w:spacing w:after="0"/>
              <w:rPr>
                <w:sz w:val="7"/>
                <w:szCs w:val="7"/>
                <w:color w:val="auto"/>
              </w:rPr>
            </w:pPr>
          </w:p>
        </w:tc>
        <w:tc>
          <w:tcPr>
            <w:tcW w:w="600" w:type="dxa"/>
            <w:vAlign w:val="bottom"/>
          </w:tcPr>
          <w:p>
            <w:pPr>
              <w:jc w:val="center"/>
              <w:spacing w:after="0" w:line="90" w:lineRule="exact"/>
              <w:rPr>
                <w:sz w:val="20"/>
                <w:szCs w:val="20"/>
                <w:color w:val="auto"/>
              </w:rPr>
            </w:pPr>
            <w:r>
              <w:rPr>
                <w:rFonts w:ascii="Arial" w:cs="Arial" w:eastAsia="Arial" w:hAnsi="Arial"/>
                <w:sz w:val="8"/>
                <w:szCs w:val="8"/>
                <w:color w:val="auto"/>
                <w:w w:val="96"/>
              </w:rPr>
              <w:t>15.8933</w:t>
            </w:r>
          </w:p>
        </w:tc>
        <w:tc>
          <w:tcPr>
            <w:tcW w:w="1100" w:type="dxa"/>
            <w:vAlign w:val="bottom"/>
            <w:gridSpan w:val="2"/>
          </w:tcPr>
          <w:p>
            <w:pPr>
              <w:jc w:val="right"/>
              <w:ind w:right="238"/>
              <w:spacing w:after="0" w:line="90" w:lineRule="exact"/>
              <w:rPr>
                <w:sz w:val="20"/>
                <w:szCs w:val="20"/>
                <w:color w:val="auto"/>
              </w:rPr>
            </w:pPr>
            <w:r>
              <w:rPr>
                <w:rFonts w:ascii="Arial" w:cs="Arial" w:eastAsia="Arial" w:hAnsi="Arial"/>
                <w:sz w:val="8"/>
                <w:szCs w:val="8"/>
                <w:color w:val="auto"/>
              </w:rPr>
              <w:t>10/28/12</w:t>
            </w:r>
          </w:p>
        </w:tc>
        <w:tc>
          <w:tcPr>
            <w:tcW w:w="2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3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jc w:val="right"/>
              <w:ind w:right="158"/>
              <w:spacing w:after="0" w:line="90" w:lineRule="exact"/>
              <w:rPr>
                <w:sz w:val="20"/>
                <w:szCs w:val="20"/>
                <w:color w:val="auto"/>
              </w:rPr>
            </w:pPr>
            <w:r>
              <w:rPr>
                <w:rFonts w:ascii="Arial" w:cs="Arial" w:eastAsia="Arial" w:hAnsi="Arial"/>
                <w:sz w:val="8"/>
                <w:szCs w:val="8"/>
                <w:color w:val="auto"/>
              </w:rPr>
              <w:t>487,500</w:t>
            </w:r>
            <w:r>
              <w:rPr>
                <w:rFonts w:ascii="Arial" w:cs="Arial" w:eastAsia="Arial" w:hAnsi="Arial"/>
                <w:sz w:val="7"/>
                <w:szCs w:val="7"/>
                <w:color w:val="auto"/>
              </w:rPr>
              <w:t>(2)</w:t>
            </w:r>
          </w:p>
        </w:tc>
        <w:tc>
          <w:tcPr>
            <w:tcW w:w="1240" w:type="dxa"/>
            <w:vAlign w:val="bottom"/>
            <w:gridSpan w:val="2"/>
          </w:tcPr>
          <w:p>
            <w:pPr>
              <w:jc w:val="right"/>
              <w:ind w:right="158"/>
              <w:spacing w:after="0" w:line="90" w:lineRule="exact"/>
              <w:rPr>
                <w:sz w:val="20"/>
                <w:szCs w:val="20"/>
                <w:color w:val="auto"/>
              </w:rPr>
            </w:pPr>
            <w:r>
              <w:rPr>
                <w:rFonts w:ascii="Arial" w:cs="Arial" w:eastAsia="Arial" w:hAnsi="Arial"/>
                <w:sz w:val="8"/>
                <w:szCs w:val="8"/>
                <w:color w:val="auto"/>
              </w:rPr>
              <w:t>112,500</w:t>
            </w:r>
            <w:r>
              <w:rPr>
                <w:rFonts w:ascii="Arial" w:cs="Arial" w:eastAsia="Arial" w:hAnsi="Arial"/>
                <w:sz w:val="7"/>
                <w:szCs w:val="7"/>
                <w:color w:val="auto"/>
              </w:rPr>
              <w:t>(2)(6)</w:t>
            </w:r>
          </w:p>
        </w:tc>
        <w:tc>
          <w:tcPr>
            <w:tcW w:w="240" w:type="dxa"/>
            <w:vAlign w:val="bottom"/>
          </w:tcPr>
          <w:p>
            <w:pPr>
              <w:spacing w:after="0"/>
              <w:rPr>
                <w:sz w:val="7"/>
                <w:szCs w:val="7"/>
                <w:color w:val="auto"/>
              </w:rPr>
            </w:pPr>
          </w:p>
        </w:tc>
        <w:tc>
          <w:tcPr>
            <w:tcW w:w="600" w:type="dxa"/>
            <w:vAlign w:val="bottom"/>
          </w:tcPr>
          <w:p>
            <w:pPr>
              <w:jc w:val="center"/>
              <w:spacing w:after="0" w:line="90" w:lineRule="exact"/>
              <w:rPr>
                <w:sz w:val="20"/>
                <w:szCs w:val="20"/>
                <w:color w:val="auto"/>
              </w:rPr>
            </w:pPr>
            <w:r>
              <w:rPr>
                <w:rFonts w:ascii="Arial" w:cs="Arial" w:eastAsia="Arial" w:hAnsi="Arial"/>
                <w:sz w:val="8"/>
                <w:szCs w:val="8"/>
                <w:color w:val="auto"/>
                <w:w w:val="96"/>
              </w:rPr>
              <w:t>18.0800</w:t>
            </w:r>
          </w:p>
        </w:tc>
        <w:tc>
          <w:tcPr>
            <w:tcW w:w="1100" w:type="dxa"/>
            <w:vAlign w:val="bottom"/>
            <w:gridSpan w:val="2"/>
          </w:tcPr>
          <w:p>
            <w:pPr>
              <w:jc w:val="right"/>
              <w:ind w:right="238"/>
              <w:spacing w:after="0" w:line="90" w:lineRule="exact"/>
              <w:rPr>
                <w:sz w:val="20"/>
                <w:szCs w:val="20"/>
                <w:color w:val="auto"/>
              </w:rPr>
            </w:pPr>
            <w:r>
              <w:rPr>
                <w:rFonts w:ascii="Arial" w:cs="Arial" w:eastAsia="Arial" w:hAnsi="Arial"/>
                <w:sz w:val="8"/>
                <w:szCs w:val="8"/>
                <w:color w:val="auto"/>
              </w:rPr>
              <w:t>02/26/13</w:t>
            </w:r>
          </w:p>
        </w:tc>
        <w:tc>
          <w:tcPr>
            <w:tcW w:w="2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3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jc w:val="right"/>
              <w:ind w:right="158"/>
              <w:spacing w:after="0" w:line="90" w:lineRule="exact"/>
              <w:rPr>
                <w:sz w:val="20"/>
                <w:szCs w:val="20"/>
                <w:color w:val="auto"/>
              </w:rPr>
            </w:pPr>
            <w:r>
              <w:rPr>
                <w:rFonts w:ascii="Arial" w:cs="Arial" w:eastAsia="Arial" w:hAnsi="Arial"/>
                <w:sz w:val="8"/>
                <w:szCs w:val="8"/>
                <w:color w:val="auto"/>
              </w:rPr>
              <w:t>421,875</w:t>
            </w:r>
            <w:r>
              <w:rPr>
                <w:rFonts w:ascii="Arial" w:cs="Arial" w:eastAsia="Arial" w:hAnsi="Arial"/>
                <w:sz w:val="7"/>
                <w:szCs w:val="7"/>
                <w:color w:val="auto"/>
              </w:rPr>
              <w:t>(2)</w:t>
            </w:r>
          </w:p>
        </w:tc>
        <w:tc>
          <w:tcPr>
            <w:tcW w:w="1240" w:type="dxa"/>
            <w:vAlign w:val="bottom"/>
            <w:gridSpan w:val="2"/>
          </w:tcPr>
          <w:p>
            <w:pPr>
              <w:jc w:val="right"/>
              <w:ind w:right="158"/>
              <w:spacing w:after="0" w:line="90" w:lineRule="exact"/>
              <w:rPr>
                <w:sz w:val="20"/>
                <w:szCs w:val="20"/>
                <w:color w:val="auto"/>
              </w:rPr>
            </w:pPr>
            <w:r>
              <w:rPr>
                <w:rFonts w:ascii="Arial" w:cs="Arial" w:eastAsia="Arial" w:hAnsi="Arial"/>
                <w:sz w:val="8"/>
                <w:szCs w:val="8"/>
                <w:color w:val="auto"/>
              </w:rPr>
              <w:t>140,625</w:t>
            </w:r>
            <w:r>
              <w:rPr>
                <w:rFonts w:ascii="Arial" w:cs="Arial" w:eastAsia="Arial" w:hAnsi="Arial"/>
                <w:sz w:val="7"/>
                <w:szCs w:val="7"/>
                <w:color w:val="auto"/>
              </w:rPr>
              <w:t>(2)(6)</w:t>
            </w:r>
          </w:p>
        </w:tc>
        <w:tc>
          <w:tcPr>
            <w:tcW w:w="240" w:type="dxa"/>
            <w:vAlign w:val="bottom"/>
          </w:tcPr>
          <w:p>
            <w:pPr>
              <w:spacing w:after="0"/>
              <w:rPr>
                <w:sz w:val="7"/>
                <w:szCs w:val="7"/>
                <w:color w:val="auto"/>
              </w:rPr>
            </w:pPr>
          </w:p>
        </w:tc>
        <w:tc>
          <w:tcPr>
            <w:tcW w:w="600" w:type="dxa"/>
            <w:vAlign w:val="bottom"/>
          </w:tcPr>
          <w:p>
            <w:pPr>
              <w:jc w:val="center"/>
              <w:spacing w:after="0" w:line="90" w:lineRule="exact"/>
              <w:rPr>
                <w:sz w:val="20"/>
                <w:szCs w:val="20"/>
                <w:color w:val="auto"/>
              </w:rPr>
            </w:pPr>
            <w:r>
              <w:rPr>
                <w:rFonts w:ascii="Arial" w:cs="Arial" w:eastAsia="Arial" w:hAnsi="Arial"/>
                <w:sz w:val="8"/>
                <w:szCs w:val="8"/>
                <w:color w:val="auto"/>
                <w:w w:val="96"/>
              </w:rPr>
              <w:t>19.9200</w:t>
            </w:r>
          </w:p>
        </w:tc>
        <w:tc>
          <w:tcPr>
            <w:tcW w:w="1100" w:type="dxa"/>
            <w:vAlign w:val="bottom"/>
            <w:gridSpan w:val="2"/>
          </w:tcPr>
          <w:p>
            <w:pPr>
              <w:jc w:val="right"/>
              <w:ind w:right="238"/>
              <w:spacing w:after="0" w:line="90" w:lineRule="exact"/>
              <w:rPr>
                <w:sz w:val="20"/>
                <w:szCs w:val="20"/>
                <w:color w:val="auto"/>
              </w:rPr>
            </w:pPr>
            <w:r>
              <w:rPr>
                <w:rFonts w:ascii="Arial" w:cs="Arial" w:eastAsia="Arial" w:hAnsi="Arial"/>
                <w:sz w:val="8"/>
                <w:szCs w:val="8"/>
                <w:color w:val="auto"/>
              </w:rPr>
              <w:t>03/09/14</w:t>
            </w:r>
          </w:p>
        </w:tc>
        <w:tc>
          <w:tcPr>
            <w:tcW w:w="2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3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jc w:val="right"/>
              <w:ind w:right="158"/>
              <w:spacing w:after="0" w:line="90" w:lineRule="exact"/>
              <w:rPr>
                <w:sz w:val="20"/>
                <w:szCs w:val="20"/>
                <w:color w:val="auto"/>
              </w:rPr>
            </w:pPr>
            <w:r>
              <w:rPr>
                <w:rFonts w:ascii="Arial" w:cs="Arial" w:eastAsia="Arial" w:hAnsi="Arial"/>
                <w:sz w:val="8"/>
                <w:szCs w:val="8"/>
                <w:color w:val="auto"/>
              </w:rPr>
              <w:t>180,000</w:t>
            </w:r>
            <w:r>
              <w:rPr>
                <w:rFonts w:ascii="Arial" w:cs="Arial" w:eastAsia="Arial" w:hAnsi="Arial"/>
                <w:sz w:val="7"/>
                <w:szCs w:val="7"/>
                <w:color w:val="auto"/>
              </w:rPr>
              <w:t>(2)</w:t>
            </w:r>
          </w:p>
        </w:tc>
        <w:tc>
          <w:tcPr>
            <w:tcW w:w="1240" w:type="dxa"/>
            <w:vAlign w:val="bottom"/>
            <w:gridSpan w:val="2"/>
          </w:tcPr>
          <w:p>
            <w:pPr>
              <w:jc w:val="right"/>
              <w:ind w:right="158"/>
              <w:spacing w:after="0" w:line="90" w:lineRule="exact"/>
              <w:rPr>
                <w:sz w:val="20"/>
                <w:szCs w:val="20"/>
                <w:color w:val="auto"/>
              </w:rPr>
            </w:pPr>
            <w:r>
              <w:rPr>
                <w:rFonts w:ascii="Arial" w:cs="Arial" w:eastAsia="Arial" w:hAnsi="Arial"/>
                <w:sz w:val="8"/>
                <w:szCs w:val="8"/>
                <w:color w:val="auto"/>
              </w:rPr>
              <w:t>120,000</w:t>
            </w:r>
            <w:r>
              <w:rPr>
                <w:rFonts w:ascii="Arial" w:cs="Arial" w:eastAsia="Arial" w:hAnsi="Arial"/>
                <w:sz w:val="7"/>
                <w:szCs w:val="7"/>
                <w:color w:val="auto"/>
              </w:rPr>
              <w:t>(2)(6)</w:t>
            </w:r>
          </w:p>
        </w:tc>
        <w:tc>
          <w:tcPr>
            <w:tcW w:w="240" w:type="dxa"/>
            <w:vAlign w:val="bottom"/>
          </w:tcPr>
          <w:p>
            <w:pPr>
              <w:spacing w:after="0"/>
              <w:rPr>
                <w:sz w:val="7"/>
                <w:szCs w:val="7"/>
                <w:color w:val="auto"/>
              </w:rPr>
            </w:pPr>
          </w:p>
        </w:tc>
        <w:tc>
          <w:tcPr>
            <w:tcW w:w="600" w:type="dxa"/>
            <w:vAlign w:val="bottom"/>
          </w:tcPr>
          <w:p>
            <w:pPr>
              <w:jc w:val="center"/>
              <w:spacing w:after="0" w:line="90" w:lineRule="exact"/>
              <w:rPr>
                <w:sz w:val="20"/>
                <w:szCs w:val="20"/>
                <w:color w:val="auto"/>
              </w:rPr>
            </w:pPr>
            <w:r>
              <w:rPr>
                <w:rFonts w:ascii="Arial" w:cs="Arial" w:eastAsia="Arial" w:hAnsi="Arial"/>
                <w:sz w:val="8"/>
                <w:szCs w:val="8"/>
                <w:color w:val="auto"/>
                <w:w w:val="96"/>
              </w:rPr>
              <w:t>22.6600</w:t>
            </w:r>
          </w:p>
        </w:tc>
        <w:tc>
          <w:tcPr>
            <w:tcW w:w="1100" w:type="dxa"/>
            <w:vAlign w:val="bottom"/>
            <w:gridSpan w:val="2"/>
          </w:tcPr>
          <w:p>
            <w:pPr>
              <w:jc w:val="right"/>
              <w:ind w:right="238"/>
              <w:spacing w:after="0" w:line="90" w:lineRule="exact"/>
              <w:rPr>
                <w:sz w:val="20"/>
                <w:szCs w:val="20"/>
                <w:color w:val="auto"/>
              </w:rPr>
            </w:pPr>
            <w:r>
              <w:rPr>
                <w:rFonts w:ascii="Arial" w:cs="Arial" w:eastAsia="Arial" w:hAnsi="Arial"/>
                <w:sz w:val="8"/>
                <w:szCs w:val="8"/>
                <w:color w:val="auto"/>
              </w:rPr>
              <w:t>03/14/15</w:t>
            </w:r>
          </w:p>
        </w:tc>
        <w:tc>
          <w:tcPr>
            <w:tcW w:w="2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3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jc w:val="right"/>
              <w:ind w:right="158"/>
              <w:spacing w:after="0" w:line="90" w:lineRule="exact"/>
              <w:rPr>
                <w:sz w:val="20"/>
                <w:szCs w:val="20"/>
                <w:color w:val="auto"/>
              </w:rPr>
            </w:pPr>
            <w:r>
              <w:rPr>
                <w:rFonts w:ascii="Arial" w:cs="Arial" w:eastAsia="Arial" w:hAnsi="Arial"/>
                <w:sz w:val="8"/>
                <w:szCs w:val="8"/>
                <w:color w:val="auto"/>
              </w:rPr>
              <w:t>202,500</w:t>
            </w:r>
            <w:r>
              <w:rPr>
                <w:rFonts w:ascii="Arial" w:cs="Arial" w:eastAsia="Arial" w:hAnsi="Arial"/>
                <w:sz w:val="7"/>
                <w:szCs w:val="7"/>
                <w:color w:val="auto"/>
              </w:rPr>
              <w:t>(2)</w:t>
            </w:r>
          </w:p>
        </w:tc>
        <w:tc>
          <w:tcPr>
            <w:tcW w:w="1240" w:type="dxa"/>
            <w:vAlign w:val="bottom"/>
            <w:gridSpan w:val="2"/>
          </w:tcPr>
          <w:p>
            <w:pPr>
              <w:jc w:val="right"/>
              <w:ind w:right="158"/>
              <w:spacing w:after="0" w:line="90" w:lineRule="exact"/>
              <w:rPr>
                <w:sz w:val="20"/>
                <w:szCs w:val="20"/>
                <w:color w:val="auto"/>
              </w:rPr>
            </w:pPr>
            <w:r>
              <w:rPr>
                <w:rFonts w:ascii="Arial" w:cs="Arial" w:eastAsia="Arial" w:hAnsi="Arial"/>
                <w:sz w:val="8"/>
                <w:szCs w:val="8"/>
                <w:color w:val="auto"/>
              </w:rPr>
              <w:t>135,000</w:t>
            </w:r>
            <w:r>
              <w:rPr>
                <w:rFonts w:ascii="Arial" w:cs="Arial" w:eastAsia="Arial" w:hAnsi="Arial"/>
                <w:sz w:val="7"/>
                <w:szCs w:val="7"/>
                <w:color w:val="auto"/>
              </w:rPr>
              <w:t>(2)(6)</w:t>
            </w:r>
          </w:p>
        </w:tc>
        <w:tc>
          <w:tcPr>
            <w:tcW w:w="240" w:type="dxa"/>
            <w:vAlign w:val="bottom"/>
          </w:tcPr>
          <w:p>
            <w:pPr>
              <w:spacing w:after="0"/>
              <w:rPr>
                <w:sz w:val="7"/>
                <w:szCs w:val="7"/>
                <w:color w:val="auto"/>
              </w:rPr>
            </w:pPr>
          </w:p>
        </w:tc>
        <w:tc>
          <w:tcPr>
            <w:tcW w:w="600" w:type="dxa"/>
            <w:vAlign w:val="bottom"/>
          </w:tcPr>
          <w:p>
            <w:pPr>
              <w:jc w:val="center"/>
              <w:spacing w:after="0" w:line="90" w:lineRule="exact"/>
              <w:rPr>
                <w:sz w:val="20"/>
                <w:szCs w:val="20"/>
                <w:color w:val="auto"/>
              </w:rPr>
            </w:pPr>
            <w:r>
              <w:rPr>
                <w:rFonts w:ascii="Arial" w:cs="Arial" w:eastAsia="Arial" w:hAnsi="Arial"/>
                <w:sz w:val="8"/>
                <w:szCs w:val="8"/>
                <w:color w:val="auto"/>
                <w:w w:val="96"/>
              </w:rPr>
              <w:t>17.9533</w:t>
            </w:r>
          </w:p>
        </w:tc>
        <w:tc>
          <w:tcPr>
            <w:tcW w:w="1100" w:type="dxa"/>
            <w:vAlign w:val="bottom"/>
            <w:gridSpan w:val="2"/>
          </w:tcPr>
          <w:p>
            <w:pPr>
              <w:jc w:val="right"/>
              <w:ind w:right="238"/>
              <w:spacing w:after="0" w:line="90" w:lineRule="exact"/>
              <w:rPr>
                <w:sz w:val="20"/>
                <w:szCs w:val="20"/>
                <w:color w:val="auto"/>
              </w:rPr>
            </w:pPr>
            <w:r>
              <w:rPr>
                <w:rFonts w:ascii="Arial" w:cs="Arial" w:eastAsia="Arial" w:hAnsi="Arial"/>
                <w:sz w:val="8"/>
                <w:szCs w:val="8"/>
                <w:color w:val="auto"/>
              </w:rPr>
              <w:t>11/11/15</w:t>
            </w:r>
          </w:p>
        </w:tc>
        <w:tc>
          <w:tcPr>
            <w:tcW w:w="2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3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jc w:val="right"/>
              <w:ind w:right="158"/>
              <w:spacing w:after="0" w:line="90" w:lineRule="exact"/>
              <w:rPr>
                <w:sz w:val="20"/>
                <w:szCs w:val="20"/>
                <w:color w:val="auto"/>
              </w:rPr>
            </w:pPr>
            <w:r>
              <w:rPr>
                <w:rFonts w:ascii="Arial" w:cs="Arial" w:eastAsia="Arial" w:hAnsi="Arial"/>
                <w:sz w:val="8"/>
                <w:szCs w:val="8"/>
                <w:color w:val="auto"/>
              </w:rPr>
              <w:t>158,625</w:t>
            </w:r>
            <w:r>
              <w:rPr>
                <w:rFonts w:ascii="Arial" w:cs="Arial" w:eastAsia="Arial" w:hAnsi="Arial"/>
                <w:sz w:val="7"/>
                <w:szCs w:val="7"/>
                <w:color w:val="auto"/>
              </w:rPr>
              <w:t>(2)</w:t>
            </w:r>
          </w:p>
        </w:tc>
        <w:tc>
          <w:tcPr>
            <w:tcW w:w="1240" w:type="dxa"/>
            <w:vAlign w:val="bottom"/>
            <w:gridSpan w:val="2"/>
          </w:tcPr>
          <w:p>
            <w:pPr>
              <w:jc w:val="right"/>
              <w:ind w:right="158"/>
              <w:spacing w:after="0" w:line="90" w:lineRule="exact"/>
              <w:rPr>
                <w:sz w:val="20"/>
                <w:szCs w:val="20"/>
                <w:color w:val="auto"/>
              </w:rPr>
            </w:pPr>
            <w:r>
              <w:rPr>
                <w:rFonts w:ascii="Arial" w:cs="Arial" w:eastAsia="Arial" w:hAnsi="Arial"/>
                <w:sz w:val="8"/>
                <w:szCs w:val="8"/>
                <w:color w:val="auto"/>
              </w:rPr>
              <w:t>193,875</w:t>
            </w:r>
            <w:r>
              <w:rPr>
                <w:rFonts w:ascii="Arial" w:cs="Arial" w:eastAsia="Arial" w:hAnsi="Arial"/>
                <w:sz w:val="7"/>
                <w:szCs w:val="7"/>
                <w:color w:val="auto"/>
              </w:rPr>
              <w:t>(2)(6)</w:t>
            </w:r>
          </w:p>
        </w:tc>
        <w:tc>
          <w:tcPr>
            <w:tcW w:w="240" w:type="dxa"/>
            <w:vAlign w:val="bottom"/>
          </w:tcPr>
          <w:p>
            <w:pPr>
              <w:spacing w:after="0"/>
              <w:rPr>
                <w:sz w:val="7"/>
                <w:szCs w:val="7"/>
                <w:color w:val="auto"/>
              </w:rPr>
            </w:pPr>
          </w:p>
        </w:tc>
        <w:tc>
          <w:tcPr>
            <w:tcW w:w="600" w:type="dxa"/>
            <w:vAlign w:val="bottom"/>
          </w:tcPr>
          <w:p>
            <w:pPr>
              <w:jc w:val="center"/>
              <w:spacing w:after="0" w:line="90" w:lineRule="exact"/>
              <w:rPr>
                <w:sz w:val="20"/>
                <w:szCs w:val="20"/>
                <w:color w:val="auto"/>
              </w:rPr>
            </w:pPr>
            <w:r>
              <w:rPr>
                <w:rFonts w:ascii="Arial" w:cs="Arial" w:eastAsia="Arial" w:hAnsi="Arial"/>
                <w:sz w:val="8"/>
                <w:szCs w:val="8"/>
                <w:color w:val="auto"/>
                <w:w w:val="96"/>
              </w:rPr>
              <w:t>17.5000</w:t>
            </w:r>
          </w:p>
        </w:tc>
        <w:tc>
          <w:tcPr>
            <w:tcW w:w="1100" w:type="dxa"/>
            <w:vAlign w:val="bottom"/>
            <w:gridSpan w:val="2"/>
          </w:tcPr>
          <w:p>
            <w:pPr>
              <w:jc w:val="right"/>
              <w:ind w:right="238"/>
              <w:spacing w:after="0" w:line="90" w:lineRule="exact"/>
              <w:rPr>
                <w:sz w:val="20"/>
                <w:szCs w:val="20"/>
                <w:color w:val="auto"/>
              </w:rPr>
            </w:pPr>
            <w:r>
              <w:rPr>
                <w:rFonts w:ascii="Arial" w:cs="Arial" w:eastAsia="Arial" w:hAnsi="Arial"/>
                <w:sz w:val="8"/>
                <w:szCs w:val="8"/>
                <w:color w:val="auto"/>
              </w:rPr>
              <w:t>03/09/16</w:t>
            </w:r>
          </w:p>
        </w:tc>
        <w:tc>
          <w:tcPr>
            <w:tcW w:w="2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3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jc w:val="right"/>
              <w:ind w:right="158"/>
              <w:spacing w:after="0" w:line="90" w:lineRule="exact"/>
              <w:rPr>
                <w:sz w:val="20"/>
                <w:szCs w:val="20"/>
                <w:color w:val="auto"/>
              </w:rPr>
            </w:pPr>
            <w:r>
              <w:rPr>
                <w:rFonts w:ascii="Arial" w:cs="Arial" w:eastAsia="Arial" w:hAnsi="Arial"/>
                <w:sz w:val="8"/>
                <w:szCs w:val="8"/>
                <w:color w:val="auto"/>
              </w:rPr>
              <w:t>76,560</w:t>
            </w:r>
            <w:r>
              <w:rPr>
                <w:rFonts w:ascii="Arial" w:cs="Arial" w:eastAsia="Arial" w:hAnsi="Arial"/>
                <w:sz w:val="7"/>
                <w:szCs w:val="7"/>
                <w:color w:val="auto"/>
              </w:rPr>
              <w:t>(2)</w:t>
            </w:r>
          </w:p>
        </w:tc>
        <w:tc>
          <w:tcPr>
            <w:tcW w:w="1240" w:type="dxa"/>
            <w:vAlign w:val="bottom"/>
            <w:gridSpan w:val="2"/>
          </w:tcPr>
          <w:p>
            <w:pPr>
              <w:jc w:val="right"/>
              <w:ind w:right="158"/>
              <w:spacing w:after="0" w:line="90" w:lineRule="exact"/>
              <w:rPr>
                <w:sz w:val="20"/>
                <w:szCs w:val="20"/>
                <w:color w:val="auto"/>
              </w:rPr>
            </w:pPr>
            <w:r>
              <w:rPr>
                <w:rFonts w:ascii="Arial" w:cs="Arial" w:eastAsia="Arial" w:hAnsi="Arial"/>
                <w:sz w:val="8"/>
                <w:szCs w:val="8"/>
                <w:color w:val="auto"/>
              </w:rPr>
              <w:t>178,640</w:t>
            </w:r>
            <w:r>
              <w:rPr>
                <w:rFonts w:ascii="Arial" w:cs="Arial" w:eastAsia="Arial" w:hAnsi="Arial"/>
                <w:sz w:val="7"/>
                <w:szCs w:val="7"/>
                <w:color w:val="auto"/>
              </w:rPr>
              <w:t>(2)(6)</w:t>
            </w:r>
          </w:p>
        </w:tc>
        <w:tc>
          <w:tcPr>
            <w:tcW w:w="240" w:type="dxa"/>
            <w:vAlign w:val="bottom"/>
          </w:tcPr>
          <w:p>
            <w:pPr>
              <w:spacing w:after="0"/>
              <w:rPr>
                <w:sz w:val="7"/>
                <w:szCs w:val="7"/>
                <w:color w:val="auto"/>
              </w:rPr>
            </w:pPr>
          </w:p>
        </w:tc>
        <w:tc>
          <w:tcPr>
            <w:tcW w:w="600" w:type="dxa"/>
            <w:vAlign w:val="bottom"/>
          </w:tcPr>
          <w:p>
            <w:pPr>
              <w:jc w:val="center"/>
              <w:spacing w:after="0" w:line="90" w:lineRule="exact"/>
              <w:rPr>
                <w:sz w:val="20"/>
                <w:szCs w:val="20"/>
                <w:color w:val="auto"/>
              </w:rPr>
            </w:pPr>
            <w:r>
              <w:rPr>
                <w:rFonts w:ascii="Arial" w:cs="Arial" w:eastAsia="Arial" w:hAnsi="Arial"/>
                <w:sz w:val="8"/>
                <w:szCs w:val="8"/>
                <w:color w:val="auto"/>
                <w:w w:val="96"/>
              </w:rPr>
              <w:t>25.4400</w:t>
            </w:r>
          </w:p>
        </w:tc>
        <w:tc>
          <w:tcPr>
            <w:tcW w:w="1100" w:type="dxa"/>
            <w:vAlign w:val="bottom"/>
            <w:gridSpan w:val="2"/>
          </w:tcPr>
          <w:p>
            <w:pPr>
              <w:jc w:val="right"/>
              <w:ind w:right="238"/>
              <w:spacing w:after="0" w:line="90" w:lineRule="exact"/>
              <w:rPr>
                <w:sz w:val="20"/>
                <w:szCs w:val="20"/>
                <w:color w:val="auto"/>
              </w:rPr>
            </w:pPr>
            <w:r>
              <w:rPr>
                <w:rFonts w:ascii="Arial" w:cs="Arial" w:eastAsia="Arial" w:hAnsi="Arial"/>
                <w:sz w:val="8"/>
                <w:szCs w:val="8"/>
                <w:color w:val="auto"/>
              </w:rPr>
              <w:t>03/15/17</w:t>
            </w:r>
          </w:p>
        </w:tc>
        <w:tc>
          <w:tcPr>
            <w:tcW w:w="2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3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jc w:val="right"/>
              <w:ind w:right="238"/>
              <w:spacing w:after="0" w:line="90" w:lineRule="exact"/>
              <w:rPr>
                <w:sz w:val="20"/>
                <w:szCs w:val="20"/>
                <w:color w:val="auto"/>
              </w:rPr>
            </w:pPr>
            <w:r>
              <w:rPr>
                <w:rFonts w:ascii="Arial" w:cs="Arial" w:eastAsia="Arial" w:hAnsi="Arial"/>
                <w:sz w:val="8"/>
                <w:szCs w:val="8"/>
                <w:color w:val="auto"/>
              </w:rPr>
              <w:t>—</w:t>
            </w:r>
          </w:p>
        </w:tc>
        <w:tc>
          <w:tcPr>
            <w:tcW w:w="1240" w:type="dxa"/>
            <w:vAlign w:val="bottom"/>
            <w:gridSpan w:val="2"/>
          </w:tcPr>
          <w:p>
            <w:pPr>
              <w:jc w:val="right"/>
              <w:ind w:right="158"/>
              <w:spacing w:after="0" w:line="90" w:lineRule="exact"/>
              <w:rPr>
                <w:sz w:val="20"/>
                <w:szCs w:val="20"/>
                <w:color w:val="auto"/>
              </w:rPr>
            </w:pPr>
            <w:r>
              <w:rPr>
                <w:rFonts w:ascii="Arial" w:cs="Arial" w:eastAsia="Arial" w:hAnsi="Arial"/>
                <w:sz w:val="8"/>
                <w:szCs w:val="8"/>
                <w:color w:val="auto"/>
              </w:rPr>
              <w:t>374,000</w:t>
            </w:r>
            <w:r>
              <w:rPr>
                <w:rFonts w:ascii="Arial" w:cs="Arial" w:eastAsia="Arial" w:hAnsi="Arial"/>
                <w:sz w:val="7"/>
                <w:szCs w:val="7"/>
                <w:color w:val="auto"/>
              </w:rPr>
              <w:t>(2)(6)</w:t>
            </w:r>
          </w:p>
        </w:tc>
        <w:tc>
          <w:tcPr>
            <w:tcW w:w="240" w:type="dxa"/>
            <w:vAlign w:val="bottom"/>
          </w:tcPr>
          <w:p>
            <w:pPr>
              <w:spacing w:after="0"/>
              <w:rPr>
                <w:sz w:val="7"/>
                <w:szCs w:val="7"/>
                <w:color w:val="auto"/>
              </w:rPr>
            </w:pPr>
          </w:p>
        </w:tc>
        <w:tc>
          <w:tcPr>
            <w:tcW w:w="600" w:type="dxa"/>
            <w:vAlign w:val="bottom"/>
          </w:tcPr>
          <w:p>
            <w:pPr>
              <w:jc w:val="center"/>
              <w:spacing w:after="0" w:line="90" w:lineRule="exact"/>
              <w:rPr>
                <w:sz w:val="20"/>
                <w:szCs w:val="20"/>
                <w:color w:val="auto"/>
              </w:rPr>
            </w:pPr>
            <w:r>
              <w:rPr>
                <w:rFonts w:ascii="Arial" w:cs="Arial" w:eastAsia="Arial" w:hAnsi="Arial"/>
                <w:sz w:val="8"/>
                <w:szCs w:val="8"/>
                <w:color w:val="auto"/>
                <w:w w:val="96"/>
              </w:rPr>
              <w:t>18.9800</w:t>
            </w:r>
          </w:p>
        </w:tc>
        <w:tc>
          <w:tcPr>
            <w:tcW w:w="1100" w:type="dxa"/>
            <w:vAlign w:val="bottom"/>
            <w:gridSpan w:val="2"/>
          </w:tcPr>
          <w:p>
            <w:pPr>
              <w:jc w:val="right"/>
              <w:ind w:right="238"/>
              <w:spacing w:after="0" w:line="90" w:lineRule="exact"/>
              <w:rPr>
                <w:sz w:val="20"/>
                <w:szCs w:val="20"/>
                <w:color w:val="auto"/>
              </w:rPr>
            </w:pPr>
            <w:r>
              <w:rPr>
                <w:rFonts w:ascii="Arial" w:cs="Arial" w:eastAsia="Arial" w:hAnsi="Arial"/>
                <w:sz w:val="8"/>
                <w:szCs w:val="8"/>
                <w:color w:val="auto"/>
              </w:rPr>
              <w:t>03/27/18</w:t>
            </w:r>
          </w:p>
        </w:tc>
        <w:tc>
          <w:tcPr>
            <w:tcW w:w="2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3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jc w:val="right"/>
              <w:ind w:right="238"/>
              <w:spacing w:after="0"/>
              <w:rPr>
                <w:sz w:val="20"/>
                <w:szCs w:val="20"/>
                <w:color w:val="auto"/>
              </w:rPr>
            </w:pPr>
            <w:r>
              <w:rPr>
                <w:rFonts w:ascii="Arial" w:cs="Arial" w:eastAsia="Arial" w:hAnsi="Arial"/>
                <w:sz w:val="8"/>
                <w:szCs w:val="8"/>
                <w:color w:val="auto"/>
              </w:rPr>
              <w:t>—</w:t>
            </w:r>
          </w:p>
        </w:tc>
        <w:tc>
          <w:tcPr>
            <w:tcW w:w="1240" w:type="dxa"/>
            <w:vAlign w:val="bottom"/>
            <w:gridSpan w:val="2"/>
          </w:tcPr>
          <w:p>
            <w:pPr>
              <w:jc w:val="right"/>
              <w:ind w:right="158"/>
              <w:spacing w:after="0"/>
              <w:rPr>
                <w:sz w:val="20"/>
                <w:szCs w:val="20"/>
                <w:color w:val="auto"/>
              </w:rPr>
            </w:pPr>
            <w:r>
              <w:rPr>
                <w:rFonts w:ascii="Arial" w:cs="Arial" w:eastAsia="Arial" w:hAnsi="Arial"/>
                <w:sz w:val="8"/>
                <w:szCs w:val="8"/>
                <w:color w:val="auto"/>
              </w:rPr>
              <w:t>540,000</w:t>
            </w:r>
            <w:r>
              <w:rPr>
                <w:rFonts w:ascii="Arial" w:cs="Arial" w:eastAsia="Arial" w:hAnsi="Arial"/>
                <w:sz w:val="7"/>
                <w:szCs w:val="7"/>
                <w:color w:val="auto"/>
              </w:rPr>
              <w:t>(2)(6)</w:t>
            </w:r>
          </w:p>
        </w:tc>
        <w:tc>
          <w:tcPr>
            <w:tcW w:w="240" w:type="dxa"/>
            <w:vAlign w:val="bottom"/>
          </w:tcPr>
          <w:p>
            <w:pPr>
              <w:spacing w:after="0"/>
              <w:rPr>
                <w:sz w:val="8"/>
                <w:szCs w:val="8"/>
                <w:color w:val="auto"/>
              </w:rPr>
            </w:pPr>
          </w:p>
        </w:tc>
        <w:tc>
          <w:tcPr>
            <w:tcW w:w="600" w:type="dxa"/>
            <w:vAlign w:val="bottom"/>
          </w:tcPr>
          <w:p>
            <w:pPr>
              <w:jc w:val="center"/>
              <w:spacing w:after="0"/>
              <w:rPr>
                <w:sz w:val="20"/>
                <w:szCs w:val="20"/>
                <w:color w:val="auto"/>
              </w:rPr>
            </w:pPr>
            <w:r>
              <w:rPr>
                <w:rFonts w:ascii="Arial" w:cs="Arial" w:eastAsia="Arial" w:hAnsi="Arial"/>
                <w:sz w:val="8"/>
                <w:szCs w:val="8"/>
                <w:color w:val="auto"/>
                <w:w w:val="96"/>
              </w:rPr>
              <w:t>14.5400</w:t>
            </w:r>
          </w:p>
        </w:tc>
        <w:tc>
          <w:tcPr>
            <w:tcW w:w="1100" w:type="dxa"/>
            <w:vAlign w:val="bottom"/>
            <w:gridSpan w:val="2"/>
          </w:tcPr>
          <w:p>
            <w:pPr>
              <w:jc w:val="right"/>
              <w:ind w:right="238"/>
              <w:spacing w:after="0"/>
              <w:rPr>
                <w:sz w:val="20"/>
                <w:szCs w:val="20"/>
                <w:color w:val="auto"/>
              </w:rPr>
            </w:pPr>
            <w:r>
              <w:rPr>
                <w:rFonts w:ascii="Arial" w:cs="Arial" w:eastAsia="Arial" w:hAnsi="Arial"/>
                <w:sz w:val="8"/>
                <w:szCs w:val="8"/>
                <w:color w:val="auto"/>
              </w:rPr>
              <w:t>03/26/19</w:t>
            </w:r>
          </w:p>
        </w:tc>
        <w:tc>
          <w:tcPr>
            <w:tcW w:w="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1920" w:type="dxa"/>
            <w:vAlign w:val="bottom"/>
            <w:gridSpan w:val="2"/>
            <w:shd w:val="clear" w:color="auto" w:fill="CCEEFF"/>
          </w:tcPr>
          <w:p>
            <w:pPr>
              <w:spacing w:after="0"/>
              <w:rPr>
                <w:sz w:val="20"/>
                <w:szCs w:val="20"/>
                <w:color w:val="auto"/>
              </w:rPr>
            </w:pPr>
            <w:r>
              <w:rPr>
                <w:rFonts w:ascii="Arial" w:cs="Arial" w:eastAsia="Arial" w:hAnsi="Arial"/>
                <w:sz w:val="8"/>
                <w:szCs w:val="8"/>
                <w:b w:val="1"/>
                <w:bCs w:val="1"/>
                <w:color w:val="auto"/>
              </w:rPr>
              <w:t>Arthur R. Block</w:t>
            </w:r>
          </w:p>
        </w:tc>
        <w:tc>
          <w:tcPr>
            <w:tcW w:w="7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ind w:right="58"/>
              <w:spacing w:after="0"/>
              <w:rPr>
                <w:sz w:val="20"/>
                <w:szCs w:val="20"/>
                <w:color w:val="auto"/>
              </w:rPr>
            </w:pPr>
            <w:r>
              <w:rPr>
                <w:rFonts w:ascii="Arial" w:cs="Arial" w:eastAsia="Arial" w:hAnsi="Arial"/>
                <w:sz w:val="8"/>
                <w:szCs w:val="8"/>
                <w:color w:val="auto"/>
              </w:rPr>
              <w:t>93,250</w:t>
            </w:r>
            <w:r>
              <w:rPr>
                <w:rFonts w:ascii="Arial" w:cs="Arial" w:eastAsia="Arial" w:hAnsi="Arial"/>
                <w:sz w:val="7"/>
                <w:szCs w:val="7"/>
                <w:color w:val="auto"/>
              </w:rPr>
              <w:t>(3)(7)</w:t>
            </w:r>
          </w:p>
        </w:tc>
        <w:tc>
          <w:tcPr>
            <w:tcW w:w="920" w:type="dxa"/>
            <w:vAlign w:val="bottom"/>
            <w:gridSpan w:val="2"/>
            <w:vMerge w:val="restart"/>
            <w:shd w:val="clear" w:color="auto" w:fill="CCEEFF"/>
          </w:tcPr>
          <w:p>
            <w:pPr>
              <w:jc w:val="right"/>
              <w:ind w:right="118"/>
              <w:spacing w:after="0"/>
              <w:rPr>
                <w:sz w:val="20"/>
                <w:szCs w:val="20"/>
                <w:color w:val="auto"/>
              </w:rPr>
            </w:pPr>
            <w:r>
              <w:rPr>
                <w:rFonts w:ascii="Arial" w:cs="Arial" w:eastAsia="Arial" w:hAnsi="Arial"/>
                <w:sz w:val="8"/>
                <w:szCs w:val="8"/>
                <w:color w:val="auto"/>
              </w:rPr>
              <w:t>$1,572,195</w:t>
            </w:r>
          </w:p>
        </w:tc>
        <w:tc>
          <w:tcPr>
            <w:tcW w:w="26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16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980" w:type="dxa"/>
            <w:vAlign w:val="bottom"/>
            <w:gridSpan w:val="2"/>
            <w:vMerge w:val="continue"/>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060" w:type="dxa"/>
            <w:vAlign w:val="bottom"/>
            <w:gridSpan w:val="2"/>
            <w:vMerge w:val="restart"/>
            <w:shd w:val="clear" w:color="auto" w:fill="CCEEFF"/>
          </w:tcPr>
          <w:p>
            <w:pPr>
              <w:ind w:left="500"/>
              <w:spacing w:after="0"/>
              <w:rPr>
                <w:sz w:val="20"/>
                <w:szCs w:val="20"/>
                <w:color w:val="auto"/>
              </w:rPr>
            </w:pPr>
            <w:r>
              <w:rPr>
                <w:rFonts w:ascii="Arial" w:cs="Arial" w:eastAsia="Arial" w:hAnsi="Arial"/>
                <w:sz w:val="8"/>
                <w:szCs w:val="8"/>
                <w:color w:val="auto"/>
              </w:rPr>
              <w:t>169,160</w:t>
            </w:r>
            <w:r>
              <w:rPr>
                <w:rFonts w:ascii="Arial" w:cs="Arial" w:eastAsia="Arial" w:hAnsi="Arial"/>
                <w:sz w:val="7"/>
                <w:szCs w:val="7"/>
                <w:color w:val="auto"/>
              </w:rPr>
              <w:t>(4)(7)</w:t>
            </w:r>
          </w:p>
        </w:tc>
        <w:tc>
          <w:tcPr>
            <w:tcW w:w="1160" w:type="dxa"/>
            <w:vAlign w:val="bottom"/>
            <w:gridSpan w:val="2"/>
            <w:vMerge w:val="restart"/>
            <w:shd w:val="clear" w:color="auto" w:fill="CCEEFF"/>
          </w:tcPr>
          <w:p>
            <w:pPr>
              <w:jc w:val="center"/>
              <w:ind w:left="278"/>
              <w:spacing w:after="0"/>
              <w:rPr>
                <w:sz w:val="20"/>
                <w:szCs w:val="20"/>
                <w:color w:val="auto"/>
              </w:rPr>
            </w:pPr>
            <w:r>
              <w:rPr>
                <w:rFonts w:ascii="Arial" w:cs="Arial" w:eastAsia="Arial" w:hAnsi="Arial"/>
                <w:sz w:val="8"/>
                <w:szCs w:val="8"/>
                <w:color w:val="auto"/>
                <w:w w:val="89"/>
              </w:rPr>
              <w:t>2,852,038</w:t>
            </w:r>
          </w:p>
        </w:tc>
        <w:tc>
          <w:tcPr>
            <w:tcW w:w="0" w:type="dxa"/>
            <w:vAlign w:val="bottom"/>
          </w:tcPr>
          <w:p>
            <w:pPr>
              <w:spacing w:after="0"/>
              <w:rPr>
                <w:sz w:val="1"/>
                <w:szCs w:val="1"/>
                <w:color w:val="auto"/>
              </w:rPr>
            </w:pPr>
          </w:p>
        </w:tc>
      </w:tr>
      <w:tr>
        <w:trPr>
          <w:trHeight w:val="90"/>
        </w:trPr>
        <w:tc>
          <w:tcPr>
            <w:tcW w:w="16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780" w:type="dxa"/>
            <w:vAlign w:val="bottom"/>
            <w:vMerge w:val="restart"/>
            <w:shd w:val="clear" w:color="auto" w:fill="CCEEFF"/>
          </w:tcPr>
          <w:p>
            <w:pPr>
              <w:jc w:val="right"/>
              <w:ind w:right="158"/>
              <w:spacing w:after="0"/>
              <w:rPr>
                <w:sz w:val="20"/>
                <w:szCs w:val="20"/>
                <w:color w:val="auto"/>
              </w:rPr>
            </w:pPr>
            <w:r>
              <w:rPr>
                <w:rFonts w:ascii="Arial" w:cs="Arial" w:eastAsia="Arial" w:hAnsi="Arial"/>
                <w:sz w:val="8"/>
                <w:szCs w:val="8"/>
                <w:color w:val="auto"/>
              </w:rPr>
              <w:t>300,000</w:t>
            </w:r>
            <w:r>
              <w:rPr>
                <w:rFonts w:ascii="Arial" w:cs="Arial" w:eastAsia="Arial" w:hAnsi="Arial"/>
                <w:sz w:val="7"/>
                <w:szCs w:val="7"/>
                <w:color w:val="auto"/>
              </w:rPr>
              <w:t>(1)</w:t>
            </w:r>
          </w:p>
        </w:tc>
        <w:tc>
          <w:tcPr>
            <w:tcW w:w="240" w:type="dxa"/>
            <w:vAlign w:val="bottom"/>
            <w:shd w:val="clear" w:color="auto" w:fill="CCEEFF"/>
          </w:tcPr>
          <w:p>
            <w:pPr>
              <w:spacing w:after="0"/>
              <w:rPr>
                <w:sz w:val="7"/>
                <w:szCs w:val="7"/>
                <w:color w:val="auto"/>
              </w:rPr>
            </w:pPr>
          </w:p>
        </w:tc>
        <w:tc>
          <w:tcPr>
            <w:tcW w:w="1240" w:type="dxa"/>
            <w:vAlign w:val="bottom"/>
            <w:gridSpan w:val="2"/>
            <w:vMerge w:val="restart"/>
            <w:shd w:val="clear" w:color="auto" w:fill="CCEEFF"/>
          </w:tcPr>
          <w:p>
            <w:pPr>
              <w:jc w:val="right"/>
              <w:ind w:right="600"/>
              <w:spacing w:after="0"/>
              <w:rPr>
                <w:sz w:val="20"/>
                <w:szCs w:val="20"/>
                <w:color w:val="auto"/>
              </w:rPr>
            </w:pPr>
            <w:r>
              <w:rPr>
                <w:rFonts w:ascii="Arial" w:cs="Arial" w:eastAsia="Arial" w:hAnsi="Arial"/>
                <w:sz w:val="8"/>
                <w:szCs w:val="8"/>
                <w:color w:val="auto"/>
              </w:rPr>
              <w:t>—</w:t>
            </w:r>
          </w:p>
        </w:tc>
        <w:tc>
          <w:tcPr>
            <w:tcW w:w="600" w:type="dxa"/>
            <w:vAlign w:val="bottom"/>
            <w:vMerge w:val="restart"/>
            <w:shd w:val="clear" w:color="auto" w:fill="CCEEFF"/>
          </w:tcPr>
          <w:p>
            <w:pPr>
              <w:jc w:val="center"/>
              <w:spacing w:after="0"/>
              <w:rPr>
                <w:sz w:val="20"/>
                <w:szCs w:val="20"/>
                <w:color w:val="auto"/>
              </w:rPr>
            </w:pPr>
            <w:r>
              <w:rPr>
                <w:rFonts w:ascii="Arial" w:cs="Arial" w:eastAsia="Arial" w:hAnsi="Arial"/>
                <w:sz w:val="8"/>
                <w:szCs w:val="8"/>
                <w:color w:val="auto"/>
                <w:w w:val="96"/>
              </w:rPr>
              <w:t>25.0416</w:t>
            </w:r>
          </w:p>
        </w:tc>
        <w:tc>
          <w:tcPr>
            <w:tcW w:w="1100" w:type="dxa"/>
            <w:vAlign w:val="bottom"/>
            <w:gridSpan w:val="2"/>
            <w:vMerge w:val="restart"/>
            <w:shd w:val="clear" w:color="auto" w:fill="CCEEFF"/>
          </w:tcPr>
          <w:p>
            <w:pPr>
              <w:jc w:val="right"/>
              <w:ind w:right="238"/>
              <w:spacing w:after="0"/>
              <w:rPr>
                <w:sz w:val="20"/>
                <w:szCs w:val="20"/>
                <w:color w:val="auto"/>
              </w:rPr>
            </w:pPr>
            <w:r>
              <w:rPr>
                <w:rFonts w:ascii="Arial" w:cs="Arial" w:eastAsia="Arial" w:hAnsi="Arial"/>
                <w:sz w:val="8"/>
                <w:szCs w:val="8"/>
                <w:color w:val="auto"/>
              </w:rPr>
              <w:t>06/02/10</w:t>
            </w:r>
          </w:p>
        </w:tc>
        <w:tc>
          <w:tcPr>
            <w:tcW w:w="24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060" w:type="dxa"/>
            <w:vAlign w:val="bottom"/>
            <w:gridSpan w:val="2"/>
            <w:vMerge w:val="continue"/>
            <w:shd w:val="clear" w:color="auto" w:fill="CCEEFF"/>
          </w:tcPr>
          <w:p>
            <w:pPr>
              <w:spacing w:after="0"/>
              <w:rPr>
                <w:sz w:val="7"/>
                <w:szCs w:val="7"/>
                <w:color w:val="auto"/>
              </w:rPr>
            </w:pPr>
          </w:p>
        </w:tc>
        <w:tc>
          <w:tcPr>
            <w:tcW w:w="1160" w:type="dxa"/>
            <w:vAlign w:val="bottom"/>
            <w:gridSpan w:val="2"/>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16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16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780" w:type="dxa"/>
            <w:vAlign w:val="bottom"/>
            <w:shd w:val="clear" w:color="auto" w:fill="CCEEFF"/>
          </w:tcPr>
          <w:p>
            <w:pPr>
              <w:jc w:val="right"/>
              <w:ind w:right="158"/>
              <w:spacing w:after="0" w:line="90" w:lineRule="exact"/>
              <w:rPr>
                <w:sz w:val="20"/>
                <w:szCs w:val="20"/>
                <w:color w:val="auto"/>
              </w:rPr>
            </w:pPr>
            <w:r>
              <w:rPr>
                <w:rFonts w:ascii="Arial" w:cs="Arial" w:eastAsia="Arial" w:hAnsi="Arial"/>
                <w:sz w:val="8"/>
                <w:szCs w:val="8"/>
                <w:color w:val="auto"/>
              </w:rPr>
              <w:t>104,388</w:t>
            </w:r>
            <w:r>
              <w:rPr>
                <w:rFonts w:ascii="Arial" w:cs="Arial" w:eastAsia="Arial" w:hAnsi="Arial"/>
                <w:sz w:val="7"/>
                <w:szCs w:val="7"/>
                <w:color w:val="auto"/>
              </w:rPr>
              <w:t>(1)</w:t>
            </w:r>
          </w:p>
        </w:tc>
        <w:tc>
          <w:tcPr>
            <w:tcW w:w="1240" w:type="dxa"/>
            <w:vAlign w:val="bottom"/>
            <w:gridSpan w:val="2"/>
            <w:shd w:val="clear" w:color="auto" w:fill="CCEEFF"/>
          </w:tcPr>
          <w:p>
            <w:pPr>
              <w:jc w:val="right"/>
              <w:ind w:right="158"/>
              <w:spacing w:after="0" w:line="90" w:lineRule="exact"/>
              <w:rPr>
                <w:sz w:val="20"/>
                <w:szCs w:val="20"/>
                <w:color w:val="auto"/>
              </w:rPr>
            </w:pPr>
            <w:r>
              <w:rPr>
                <w:rFonts w:ascii="Arial" w:cs="Arial" w:eastAsia="Arial" w:hAnsi="Arial"/>
                <w:sz w:val="8"/>
                <w:szCs w:val="8"/>
                <w:color w:val="auto"/>
              </w:rPr>
              <w:t>8,112</w:t>
            </w:r>
            <w:r>
              <w:rPr>
                <w:rFonts w:ascii="Arial" w:cs="Arial" w:eastAsia="Arial" w:hAnsi="Arial"/>
                <w:sz w:val="7"/>
                <w:szCs w:val="7"/>
                <w:color w:val="auto"/>
              </w:rPr>
              <w:t>(1)(6)</w:t>
            </w:r>
          </w:p>
        </w:tc>
        <w:tc>
          <w:tcPr>
            <w:tcW w:w="240" w:type="dxa"/>
            <w:vAlign w:val="bottom"/>
            <w:shd w:val="clear" w:color="auto" w:fill="CCEEFF"/>
          </w:tcPr>
          <w:p>
            <w:pPr>
              <w:spacing w:after="0"/>
              <w:rPr>
                <w:sz w:val="7"/>
                <w:szCs w:val="7"/>
                <w:color w:val="auto"/>
              </w:rPr>
            </w:pPr>
          </w:p>
        </w:tc>
        <w:tc>
          <w:tcPr>
            <w:tcW w:w="600" w:type="dxa"/>
            <w:vAlign w:val="bottom"/>
            <w:shd w:val="clear" w:color="auto" w:fill="CCEEFF"/>
          </w:tcPr>
          <w:p>
            <w:pPr>
              <w:jc w:val="center"/>
              <w:spacing w:after="0" w:line="90" w:lineRule="exact"/>
              <w:rPr>
                <w:sz w:val="20"/>
                <w:szCs w:val="20"/>
                <w:color w:val="auto"/>
              </w:rPr>
            </w:pPr>
            <w:r>
              <w:rPr>
                <w:rFonts w:ascii="Arial" w:cs="Arial" w:eastAsia="Arial" w:hAnsi="Arial"/>
                <w:sz w:val="8"/>
                <w:szCs w:val="8"/>
                <w:color w:val="auto"/>
                <w:w w:val="96"/>
              </w:rPr>
              <w:t>24.6466</w:t>
            </w:r>
          </w:p>
        </w:tc>
        <w:tc>
          <w:tcPr>
            <w:tcW w:w="1100" w:type="dxa"/>
            <w:vAlign w:val="bottom"/>
            <w:gridSpan w:val="2"/>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rPr>
              <w:t>07/30/11</w:t>
            </w:r>
          </w:p>
        </w:tc>
        <w:tc>
          <w:tcPr>
            <w:tcW w:w="24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6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780" w:type="dxa"/>
            <w:vAlign w:val="bottom"/>
            <w:shd w:val="clear" w:color="auto" w:fill="CCEEFF"/>
          </w:tcPr>
          <w:p>
            <w:pPr>
              <w:jc w:val="right"/>
              <w:ind w:right="158"/>
              <w:spacing w:after="0" w:line="90" w:lineRule="exact"/>
              <w:rPr>
                <w:sz w:val="20"/>
                <w:szCs w:val="20"/>
                <w:color w:val="auto"/>
              </w:rPr>
            </w:pPr>
            <w:r>
              <w:rPr>
                <w:rFonts w:ascii="Arial" w:cs="Arial" w:eastAsia="Arial" w:hAnsi="Arial"/>
                <w:sz w:val="8"/>
                <w:szCs w:val="8"/>
                <w:color w:val="auto"/>
              </w:rPr>
              <w:t>187,500</w:t>
            </w:r>
            <w:r>
              <w:rPr>
                <w:rFonts w:ascii="Arial" w:cs="Arial" w:eastAsia="Arial" w:hAnsi="Arial"/>
                <w:sz w:val="7"/>
                <w:szCs w:val="7"/>
                <w:color w:val="auto"/>
              </w:rPr>
              <w:t>(1)</w:t>
            </w:r>
          </w:p>
        </w:tc>
        <w:tc>
          <w:tcPr>
            <w:tcW w:w="240" w:type="dxa"/>
            <w:vAlign w:val="bottom"/>
            <w:shd w:val="clear" w:color="auto" w:fill="CCEEFF"/>
          </w:tcPr>
          <w:p>
            <w:pPr>
              <w:spacing w:after="0"/>
              <w:rPr>
                <w:sz w:val="7"/>
                <w:szCs w:val="7"/>
                <w:color w:val="auto"/>
              </w:rPr>
            </w:pPr>
          </w:p>
        </w:tc>
        <w:tc>
          <w:tcPr>
            <w:tcW w:w="1240" w:type="dxa"/>
            <w:vAlign w:val="bottom"/>
            <w:gridSpan w:val="2"/>
            <w:shd w:val="clear" w:color="auto" w:fill="CCEEFF"/>
          </w:tcPr>
          <w:p>
            <w:pPr>
              <w:jc w:val="right"/>
              <w:ind w:right="600"/>
              <w:spacing w:after="0" w:line="90" w:lineRule="exact"/>
              <w:rPr>
                <w:sz w:val="20"/>
                <w:szCs w:val="20"/>
                <w:color w:val="auto"/>
              </w:rPr>
            </w:pPr>
            <w:r>
              <w:rPr>
                <w:rFonts w:ascii="Arial" w:cs="Arial" w:eastAsia="Arial" w:hAnsi="Arial"/>
                <w:sz w:val="8"/>
                <w:szCs w:val="8"/>
                <w:color w:val="auto"/>
              </w:rPr>
              <w:t>—</w:t>
            </w:r>
          </w:p>
        </w:tc>
        <w:tc>
          <w:tcPr>
            <w:tcW w:w="600" w:type="dxa"/>
            <w:vAlign w:val="bottom"/>
            <w:shd w:val="clear" w:color="auto" w:fill="CCEEFF"/>
          </w:tcPr>
          <w:p>
            <w:pPr>
              <w:jc w:val="center"/>
              <w:spacing w:after="0" w:line="90" w:lineRule="exact"/>
              <w:rPr>
                <w:sz w:val="20"/>
                <w:szCs w:val="20"/>
                <w:color w:val="auto"/>
              </w:rPr>
            </w:pPr>
            <w:r>
              <w:rPr>
                <w:rFonts w:ascii="Arial" w:cs="Arial" w:eastAsia="Arial" w:hAnsi="Arial"/>
                <w:sz w:val="8"/>
                <w:szCs w:val="8"/>
                <w:color w:val="auto"/>
                <w:w w:val="96"/>
              </w:rPr>
              <w:t>23.6600</w:t>
            </w:r>
          </w:p>
        </w:tc>
        <w:tc>
          <w:tcPr>
            <w:tcW w:w="1100" w:type="dxa"/>
            <w:vAlign w:val="bottom"/>
            <w:gridSpan w:val="2"/>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rPr>
              <w:t>01/24/12</w:t>
            </w:r>
          </w:p>
        </w:tc>
        <w:tc>
          <w:tcPr>
            <w:tcW w:w="24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6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780" w:type="dxa"/>
            <w:vAlign w:val="bottom"/>
            <w:shd w:val="clear" w:color="auto" w:fill="CCEEFF"/>
          </w:tcPr>
          <w:p>
            <w:pPr>
              <w:jc w:val="right"/>
              <w:ind w:right="158"/>
              <w:spacing w:after="0" w:line="90" w:lineRule="exact"/>
              <w:rPr>
                <w:sz w:val="20"/>
                <w:szCs w:val="20"/>
                <w:color w:val="auto"/>
              </w:rPr>
            </w:pPr>
            <w:r>
              <w:rPr>
                <w:rFonts w:ascii="Arial" w:cs="Arial" w:eastAsia="Arial" w:hAnsi="Arial"/>
                <w:sz w:val="8"/>
                <w:szCs w:val="8"/>
                <w:color w:val="auto"/>
              </w:rPr>
              <w:t>22,500</w:t>
            </w:r>
            <w:r>
              <w:rPr>
                <w:rFonts w:ascii="Arial" w:cs="Arial" w:eastAsia="Arial" w:hAnsi="Arial"/>
                <w:sz w:val="7"/>
                <w:szCs w:val="7"/>
                <w:color w:val="auto"/>
              </w:rPr>
              <w:t>(1)</w:t>
            </w:r>
          </w:p>
        </w:tc>
        <w:tc>
          <w:tcPr>
            <w:tcW w:w="240" w:type="dxa"/>
            <w:vAlign w:val="bottom"/>
            <w:shd w:val="clear" w:color="auto" w:fill="CCEEFF"/>
          </w:tcPr>
          <w:p>
            <w:pPr>
              <w:spacing w:after="0"/>
              <w:rPr>
                <w:sz w:val="7"/>
                <w:szCs w:val="7"/>
                <w:color w:val="auto"/>
              </w:rPr>
            </w:pPr>
          </w:p>
        </w:tc>
        <w:tc>
          <w:tcPr>
            <w:tcW w:w="1240" w:type="dxa"/>
            <w:vAlign w:val="bottom"/>
            <w:gridSpan w:val="2"/>
            <w:shd w:val="clear" w:color="auto" w:fill="CCEEFF"/>
          </w:tcPr>
          <w:p>
            <w:pPr>
              <w:jc w:val="right"/>
              <w:ind w:right="600"/>
              <w:spacing w:after="0" w:line="90" w:lineRule="exact"/>
              <w:rPr>
                <w:sz w:val="20"/>
                <w:szCs w:val="20"/>
                <w:color w:val="auto"/>
              </w:rPr>
            </w:pPr>
            <w:r>
              <w:rPr>
                <w:rFonts w:ascii="Arial" w:cs="Arial" w:eastAsia="Arial" w:hAnsi="Arial"/>
                <w:sz w:val="8"/>
                <w:szCs w:val="8"/>
                <w:color w:val="auto"/>
              </w:rPr>
              <w:t>—</w:t>
            </w:r>
          </w:p>
        </w:tc>
        <w:tc>
          <w:tcPr>
            <w:tcW w:w="600" w:type="dxa"/>
            <w:vAlign w:val="bottom"/>
            <w:shd w:val="clear" w:color="auto" w:fill="CCEEFF"/>
          </w:tcPr>
          <w:p>
            <w:pPr>
              <w:jc w:val="center"/>
              <w:spacing w:after="0" w:line="90" w:lineRule="exact"/>
              <w:rPr>
                <w:sz w:val="20"/>
                <w:szCs w:val="20"/>
                <w:color w:val="auto"/>
              </w:rPr>
            </w:pPr>
            <w:r>
              <w:rPr>
                <w:rFonts w:ascii="Arial" w:cs="Arial" w:eastAsia="Arial" w:hAnsi="Arial"/>
                <w:sz w:val="8"/>
                <w:szCs w:val="8"/>
                <w:color w:val="auto"/>
                <w:w w:val="96"/>
              </w:rPr>
              <w:t>13.0400</w:t>
            </w:r>
          </w:p>
        </w:tc>
        <w:tc>
          <w:tcPr>
            <w:tcW w:w="1100" w:type="dxa"/>
            <w:vAlign w:val="bottom"/>
            <w:gridSpan w:val="2"/>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rPr>
              <w:t>08/05/12</w:t>
            </w:r>
          </w:p>
        </w:tc>
        <w:tc>
          <w:tcPr>
            <w:tcW w:w="24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6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780" w:type="dxa"/>
            <w:vAlign w:val="bottom"/>
            <w:shd w:val="clear" w:color="auto" w:fill="CCEEFF"/>
          </w:tcPr>
          <w:p>
            <w:pPr>
              <w:jc w:val="right"/>
              <w:ind w:right="158"/>
              <w:spacing w:after="0" w:line="90" w:lineRule="exact"/>
              <w:rPr>
                <w:sz w:val="20"/>
                <w:szCs w:val="20"/>
                <w:color w:val="auto"/>
              </w:rPr>
            </w:pPr>
            <w:r>
              <w:rPr>
                <w:rFonts w:ascii="Arial" w:cs="Arial" w:eastAsia="Arial" w:hAnsi="Arial"/>
                <w:sz w:val="8"/>
                <w:szCs w:val="8"/>
                <w:color w:val="auto"/>
              </w:rPr>
              <w:t>133,125</w:t>
            </w:r>
            <w:r>
              <w:rPr>
                <w:rFonts w:ascii="Arial" w:cs="Arial" w:eastAsia="Arial" w:hAnsi="Arial"/>
                <w:sz w:val="7"/>
                <w:szCs w:val="7"/>
                <w:color w:val="auto"/>
              </w:rPr>
              <w:t>(1)</w:t>
            </w:r>
          </w:p>
        </w:tc>
        <w:tc>
          <w:tcPr>
            <w:tcW w:w="1240" w:type="dxa"/>
            <w:vAlign w:val="bottom"/>
            <w:gridSpan w:val="2"/>
            <w:shd w:val="clear" w:color="auto" w:fill="CCEEFF"/>
          </w:tcPr>
          <w:p>
            <w:pPr>
              <w:jc w:val="right"/>
              <w:ind w:right="158"/>
              <w:spacing w:after="0" w:line="90" w:lineRule="exact"/>
              <w:rPr>
                <w:sz w:val="20"/>
                <w:szCs w:val="20"/>
                <w:color w:val="auto"/>
              </w:rPr>
            </w:pPr>
            <w:r>
              <w:rPr>
                <w:rFonts w:ascii="Arial" w:cs="Arial" w:eastAsia="Arial" w:hAnsi="Arial"/>
                <w:sz w:val="8"/>
                <w:szCs w:val="8"/>
                <w:color w:val="auto"/>
              </w:rPr>
              <w:t>16,875</w:t>
            </w:r>
            <w:r>
              <w:rPr>
                <w:rFonts w:ascii="Arial" w:cs="Arial" w:eastAsia="Arial" w:hAnsi="Arial"/>
                <w:sz w:val="7"/>
                <w:szCs w:val="7"/>
                <w:color w:val="auto"/>
              </w:rPr>
              <w:t>(1)(6)</w:t>
            </w:r>
          </w:p>
        </w:tc>
        <w:tc>
          <w:tcPr>
            <w:tcW w:w="240" w:type="dxa"/>
            <w:vAlign w:val="bottom"/>
            <w:shd w:val="clear" w:color="auto" w:fill="CCEEFF"/>
          </w:tcPr>
          <w:p>
            <w:pPr>
              <w:spacing w:after="0"/>
              <w:rPr>
                <w:sz w:val="7"/>
                <w:szCs w:val="7"/>
                <w:color w:val="auto"/>
              </w:rPr>
            </w:pPr>
          </w:p>
        </w:tc>
        <w:tc>
          <w:tcPr>
            <w:tcW w:w="600" w:type="dxa"/>
            <w:vAlign w:val="bottom"/>
            <w:shd w:val="clear" w:color="auto" w:fill="CCEEFF"/>
          </w:tcPr>
          <w:p>
            <w:pPr>
              <w:jc w:val="center"/>
              <w:spacing w:after="0" w:line="90" w:lineRule="exact"/>
              <w:rPr>
                <w:sz w:val="20"/>
                <w:szCs w:val="20"/>
                <w:color w:val="auto"/>
              </w:rPr>
            </w:pPr>
            <w:r>
              <w:rPr>
                <w:rFonts w:ascii="Arial" w:cs="Arial" w:eastAsia="Arial" w:hAnsi="Arial"/>
                <w:sz w:val="8"/>
                <w:szCs w:val="8"/>
                <w:color w:val="auto"/>
                <w:w w:val="96"/>
              </w:rPr>
              <w:t>15.8933</w:t>
            </w:r>
          </w:p>
        </w:tc>
        <w:tc>
          <w:tcPr>
            <w:tcW w:w="1100" w:type="dxa"/>
            <w:vAlign w:val="bottom"/>
            <w:gridSpan w:val="2"/>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rPr>
              <w:t>10/28/12</w:t>
            </w:r>
          </w:p>
        </w:tc>
        <w:tc>
          <w:tcPr>
            <w:tcW w:w="24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6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780" w:type="dxa"/>
            <w:vAlign w:val="bottom"/>
            <w:shd w:val="clear" w:color="auto" w:fill="CCEEFF"/>
          </w:tcPr>
          <w:p>
            <w:pPr>
              <w:jc w:val="right"/>
              <w:ind w:right="158"/>
              <w:spacing w:after="0" w:line="90" w:lineRule="exact"/>
              <w:rPr>
                <w:sz w:val="20"/>
                <w:szCs w:val="20"/>
                <w:color w:val="auto"/>
              </w:rPr>
            </w:pPr>
            <w:r>
              <w:rPr>
                <w:rFonts w:ascii="Arial" w:cs="Arial" w:eastAsia="Arial" w:hAnsi="Arial"/>
                <w:sz w:val="8"/>
                <w:szCs w:val="8"/>
                <w:color w:val="auto"/>
              </w:rPr>
              <w:t>127,500</w:t>
            </w:r>
            <w:r>
              <w:rPr>
                <w:rFonts w:ascii="Arial" w:cs="Arial" w:eastAsia="Arial" w:hAnsi="Arial"/>
                <w:sz w:val="7"/>
                <w:szCs w:val="7"/>
                <w:color w:val="auto"/>
              </w:rPr>
              <w:t>(2)</w:t>
            </w:r>
          </w:p>
        </w:tc>
        <w:tc>
          <w:tcPr>
            <w:tcW w:w="1240" w:type="dxa"/>
            <w:vAlign w:val="bottom"/>
            <w:gridSpan w:val="2"/>
            <w:shd w:val="clear" w:color="auto" w:fill="CCEEFF"/>
          </w:tcPr>
          <w:p>
            <w:pPr>
              <w:jc w:val="right"/>
              <w:ind w:right="158"/>
              <w:spacing w:after="0" w:line="90" w:lineRule="exact"/>
              <w:rPr>
                <w:sz w:val="20"/>
                <w:szCs w:val="20"/>
                <w:color w:val="auto"/>
              </w:rPr>
            </w:pPr>
            <w:r>
              <w:rPr>
                <w:rFonts w:ascii="Arial" w:cs="Arial" w:eastAsia="Arial" w:hAnsi="Arial"/>
                <w:sz w:val="8"/>
                <w:szCs w:val="8"/>
                <w:color w:val="auto"/>
              </w:rPr>
              <w:t>22,500</w:t>
            </w:r>
            <w:r>
              <w:rPr>
                <w:rFonts w:ascii="Arial" w:cs="Arial" w:eastAsia="Arial" w:hAnsi="Arial"/>
                <w:sz w:val="7"/>
                <w:szCs w:val="7"/>
                <w:color w:val="auto"/>
              </w:rPr>
              <w:t>(2)(6)</w:t>
            </w:r>
          </w:p>
        </w:tc>
        <w:tc>
          <w:tcPr>
            <w:tcW w:w="240" w:type="dxa"/>
            <w:vAlign w:val="bottom"/>
            <w:shd w:val="clear" w:color="auto" w:fill="CCEEFF"/>
          </w:tcPr>
          <w:p>
            <w:pPr>
              <w:spacing w:after="0"/>
              <w:rPr>
                <w:sz w:val="7"/>
                <w:szCs w:val="7"/>
                <w:color w:val="auto"/>
              </w:rPr>
            </w:pPr>
          </w:p>
        </w:tc>
        <w:tc>
          <w:tcPr>
            <w:tcW w:w="600" w:type="dxa"/>
            <w:vAlign w:val="bottom"/>
            <w:shd w:val="clear" w:color="auto" w:fill="CCEEFF"/>
          </w:tcPr>
          <w:p>
            <w:pPr>
              <w:jc w:val="center"/>
              <w:spacing w:after="0" w:line="90" w:lineRule="exact"/>
              <w:rPr>
                <w:sz w:val="20"/>
                <w:szCs w:val="20"/>
                <w:color w:val="auto"/>
              </w:rPr>
            </w:pPr>
            <w:r>
              <w:rPr>
                <w:rFonts w:ascii="Arial" w:cs="Arial" w:eastAsia="Arial" w:hAnsi="Arial"/>
                <w:sz w:val="8"/>
                <w:szCs w:val="8"/>
                <w:color w:val="auto"/>
                <w:w w:val="96"/>
              </w:rPr>
              <w:t>18.0800</w:t>
            </w:r>
          </w:p>
        </w:tc>
        <w:tc>
          <w:tcPr>
            <w:tcW w:w="1100" w:type="dxa"/>
            <w:vAlign w:val="bottom"/>
            <w:gridSpan w:val="2"/>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rPr>
              <w:t>02/26/13</w:t>
            </w:r>
          </w:p>
        </w:tc>
        <w:tc>
          <w:tcPr>
            <w:tcW w:w="24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6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780" w:type="dxa"/>
            <w:vAlign w:val="bottom"/>
            <w:shd w:val="clear" w:color="auto" w:fill="CCEEFF"/>
          </w:tcPr>
          <w:p>
            <w:pPr>
              <w:jc w:val="right"/>
              <w:ind w:right="158"/>
              <w:spacing w:after="0" w:line="90" w:lineRule="exact"/>
              <w:rPr>
                <w:sz w:val="20"/>
                <w:szCs w:val="20"/>
                <w:color w:val="auto"/>
              </w:rPr>
            </w:pPr>
            <w:r>
              <w:rPr>
                <w:rFonts w:ascii="Arial" w:cs="Arial" w:eastAsia="Arial" w:hAnsi="Arial"/>
                <w:sz w:val="8"/>
                <w:szCs w:val="8"/>
                <w:color w:val="auto"/>
              </w:rPr>
              <w:t>112,500</w:t>
            </w:r>
            <w:r>
              <w:rPr>
                <w:rFonts w:ascii="Arial" w:cs="Arial" w:eastAsia="Arial" w:hAnsi="Arial"/>
                <w:sz w:val="7"/>
                <w:szCs w:val="7"/>
                <w:color w:val="auto"/>
              </w:rPr>
              <w:t>(2)</w:t>
            </w:r>
          </w:p>
        </w:tc>
        <w:tc>
          <w:tcPr>
            <w:tcW w:w="1240" w:type="dxa"/>
            <w:vAlign w:val="bottom"/>
            <w:gridSpan w:val="2"/>
            <w:shd w:val="clear" w:color="auto" w:fill="CCEEFF"/>
          </w:tcPr>
          <w:p>
            <w:pPr>
              <w:jc w:val="right"/>
              <w:ind w:right="158"/>
              <w:spacing w:after="0" w:line="90" w:lineRule="exact"/>
              <w:rPr>
                <w:sz w:val="20"/>
                <w:szCs w:val="20"/>
                <w:color w:val="auto"/>
              </w:rPr>
            </w:pPr>
            <w:r>
              <w:rPr>
                <w:rFonts w:ascii="Arial" w:cs="Arial" w:eastAsia="Arial" w:hAnsi="Arial"/>
                <w:sz w:val="8"/>
                <w:szCs w:val="8"/>
                <w:color w:val="auto"/>
              </w:rPr>
              <w:t>37,500</w:t>
            </w:r>
            <w:r>
              <w:rPr>
                <w:rFonts w:ascii="Arial" w:cs="Arial" w:eastAsia="Arial" w:hAnsi="Arial"/>
                <w:sz w:val="7"/>
                <w:szCs w:val="7"/>
                <w:color w:val="auto"/>
              </w:rPr>
              <w:t>(2)(6)</w:t>
            </w:r>
          </w:p>
        </w:tc>
        <w:tc>
          <w:tcPr>
            <w:tcW w:w="240" w:type="dxa"/>
            <w:vAlign w:val="bottom"/>
            <w:shd w:val="clear" w:color="auto" w:fill="CCEEFF"/>
          </w:tcPr>
          <w:p>
            <w:pPr>
              <w:spacing w:after="0"/>
              <w:rPr>
                <w:sz w:val="7"/>
                <w:szCs w:val="7"/>
                <w:color w:val="auto"/>
              </w:rPr>
            </w:pPr>
          </w:p>
        </w:tc>
        <w:tc>
          <w:tcPr>
            <w:tcW w:w="600" w:type="dxa"/>
            <w:vAlign w:val="bottom"/>
            <w:shd w:val="clear" w:color="auto" w:fill="CCEEFF"/>
          </w:tcPr>
          <w:p>
            <w:pPr>
              <w:jc w:val="center"/>
              <w:spacing w:after="0" w:line="90" w:lineRule="exact"/>
              <w:rPr>
                <w:sz w:val="20"/>
                <w:szCs w:val="20"/>
                <w:color w:val="auto"/>
              </w:rPr>
            </w:pPr>
            <w:r>
              <w:rPr>
                <w:rFonts w:ascii="Arial" w:cs="Arial" w:eastAsia="Arial" w:hAnsi="Arial"/>
                <w:sz w:val="8"/>
                <w:szCs w:val="8"/>
                <w:color w:val="auto"/>
                <w:w w:val="96"/>
              </w:rPr>
              <w:t>19.9200</w:t>
            </w:r>
          </w:p>
        </w:tc>
        <w:tc>
          <w:tcPr>
            <w:tcW w:w="1100" w:type="dxa"/>
            <w:vAlign w:val="bottom"/>
            <w:gridSpan w:val="2"/>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rPr>
              <w:t>03/09/14</w:t>
            </w:r>
          </w:p>
        </w:tc>
        <w:tc>
          <w:tcPr>
            <w:tcW w:w="24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6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780" w:type="dxa"/>
            <w:vAlign w:val="bottom"/>
            <w:shd w:val="clear" w:color="auto" w:fill="CCEEFF"/>
          </w:tcPr>
          <w:p>
            <w:pPr>
              <w:jc w:val="right"/>
              <w:ind w:right="158"/>
              <w:spacing w:after="0" w:line="90" w:lineRule="exact"/>
              <w:rPr>
                <w:sz w:val="20"/>
                <w:szCs w:val="20"/>
                <w:color w:val="auto"/>
              </w:rPr>
            </w:pPr>
            <w:r>
              <w:rPr>
                <w:rFonts w:ascii="Arial" w:cs="Arial" w:eastAsia="Arial" w:hAnsi="Arial"/>
                <w:sz w:val="8"/>
                <w:szCs w:val="8"/>
                <w:color w:val="auto"/>
              </w:rPr>
              <w:t>44,100</w:t>
            </w:r>
            <w:r>
              <w:rPr>
                <w:rFonts w:ascii="Arial" w:cs="Arial" w:eastAsia="Arial" w:hAnsi="Arial"/>
                <w:sz w:val="7"/>
                <w:szCs w:val="7"/>
                <w:color w:val="auto"/>
              </w:rPr>
              <w:t>(2)</w:t>
            </w:r>
          </w:p>
        </w:tc>
        <w:tc>
          <w:tcPr>
            <w:tcW w:w="1240" w:type="dxa"/>
            <w:vAlign w:val="bottom"/>
            <w:gridSpan w:val="2"/>
            <w:shd w:val="clear" w:color="auto" w:fill="CCEEFF"/>
          </w:tcPr>
          <w:p>
            <w:pPr>
              <w:jc w:val="right"/>
              <w:ind w:right="158"/>
              <w:spacing w:after="0" w:line="90" w:lineRule="exact"/>
              <w:rPr>
                <w:sz w:val="20"/>
                <w:szCs w:val="20"/>
                <w:color w:val="auto"/>
              </w:rPr>
            </w:pPr>
            <w:r>
              <w:rPr>
                <w:rFonts w:ascii="Arial" w:cs="Arial" w:eastAsia="Arial" w:hAnsi="Arial"/>
                <w:sz w:val="8"/>
                <w:szCs w:val="8"/>
                <w:color w:val="auto"/>
              </w:rPr>
              <w:t>29,400</w:t>
            </w:r>
            <w:r>
              <w:rPr>
                <w:rFonts w:ascii="Arial" w:cs="Arial" w:eastAsia="Arial" w:hAnsi="Arial"/>
                <w:sz w:val="7"/>
                <w:szCs w:val="7"/>
                <w:color w:val="auto"/>
              </w:rPr>
              <w:t>(2)(6)</w:t>
            </w:r>
          </w:p>
        </w:tc>
        <w:tc>
          <w:tcPr>
            <w:tcW w:w="240" w:type="dxa"/>
            <w:vAlign w:val="bottom"/>
            <w:shd w:val="clear" w:color="auto" w:fill="CCEEFF"/>
          </w:tcPr>
          <w:p>
            <w:pPr>
              <w:spacing w:after="0"/>
              <w:rPr>
                <w:sz w:val="7"/>
                <w:szCs w:val="7"/>
                <w:color w:val="auto"/>
              </w:rPr>
            </w:pPr>
          </w:p>
        </w:tc>
        <w:tc>
          <w:tcPr>
            <w:tcW w:w="600" w:type="dxa"/>
            <w:vAlign w:val="bottom"/>
            <w:shd w:val="clear" w:color="auto" w:fill="CCEEFF"/>
          </w:tcPr>
          <w:p>
            <w:pPr>
              <w:jc w:val="center"/>
              <w:spacing w:after="0" w:line="90" w:lineRule="exact"/>
              <w:rPr>
                <w:sz w:val="20"/>
                <w:szCs w:val="20"/>
                <w:color w:val="auto"/>
              </w:rPr>
            </w:pPr>
            <w:r>
              <w:rPr>
                <w:rFonts w:ascii="Arial" w:cs="Arial" w:eastAsia="Arial" w:hAnsi="Arial"/>
                <w:sz w:val="8"/>
                <w:szCs w:val="8"/>
                <w:color w:val="auto"/>
                <w:w w:val="96"/>
              </w:rPr>
              <w:t>22.6600</w:t>
            </w:r>
          </w:p>
        </w:tc>
        <w:tc>
          <w:tcPr>
            <w:tcW w:w="1100" w:type="dxa"/>
            <w:vAlign w:val="bottom"/>
            <w:gridSpan w:val="2"/>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rPr>
              <w:t>03/14/15</w:t>
            </w:r>
          </w:p>
        </w:tc>
        <w:tc>
          <w:tcPr>
            <w:tcW w:w="24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6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780" w:type="dxa"/>
            <w:vAlign w:val="bottom"/>
            <w:shd w:val="clear" w:color="auto" w:fill="CCEEFF"/>
          </w:tcPr>
          <w:p>
            <w:pPr>
              <w:jc w:val="right"/>
              <w:ind w:right="158"/>
              <w:spacing w:after="0" w:line="90" w:lineRule="exact"/>
              <w:rPr>
                <w:sz w:val="20"/>
                <w:szCs w:val="20"/>
                <w:color w:val="auto"/>
              </w:rPr>
            </w:pPr>
            <w:r>
              <w:rPr>
                <w:rFonts w:ascii="Arial" w:cs="Arial" w:eastAsia="Arial" w:hAnsi="Arial"/>
                <w:sz w:val="8"/>
                <w:szCs w:val="8"/>
                <w:color w:val="auto"/>
              </w:rPr>
              <w:t>30,712</w:t>
            </w:r>
            <w:r>
              <w:rPr>
                <w:rFonts w:ascii="Arial" w:cs="Arial" w:eastAsia="Arial" w:hAnsi="Arial"/>
                <w:sz w:val="7"/>
                <w:szCs w:val="7"/>
                <w:color w:val="auto"/>
              </w:rPr>
              <w:t>(2)</w:t>
            </w:r>
          </w:p>
        </w:tc>
        <w:tc>
          <w:tcPr>
            <w:tcW w:w="1240" w:type="dxa"/>
            <w:vAlign w:val="bottom"/>
            <w:gridSpan w:val="2"/>
            <w:shd w:val="clear" w:color="auto" w:fill="CCEEFF"/>
          </w:tcPr>
          <w:p>
            <w:pPr>
              <w:jc w:val="right"/>
              <w:ind w:right="158"/>
              <w:spacing w:after="0" w:line="90" w:lineRule="exact"/>
              <w:rPr>
                <w:sz w:val="20"/>
                <w:szCs w:val="20"/>
                <w:color w:val="auto"/>
              </w:rPr>
            </w:pPr>
            <w:r>
              <w:rPr>
                <w:rFonts w:ascii="Arial" w:cs="Arial" w:eastAsia="Arial" w:hAnsi="Arial"/>
                <w:sz w:val="8"/>
                <w:szCs w:val="8"/>
                <w:color w:val="auto"/>
              </w:rPr>
              <w:t>37,538</w:t>
            </w:r>
            <w:r>
              <w:rPr>
                <w:rFonts w:ascii="Arial" w:cs="Arial" w:eastAsia="Arial" w:hAnsi="Arial"/>
                <w:sz w:val="7"/>
                <w:szCs w:val="7"/>
                <w:color w:val="auto"/>
              </w:rPr>
              <w:t>(2)(6)</w:t>
            </w:r>
          </w:p>
        </w:tc>
        <w:tc>
          <w:tcPr>
            <w:tcW w:w="240" w:type="dxa"/>
            <w:vAlign w:val="bottom"/>
            <w:shd w:val="clear" w:color="auto" w:fill="CCEEFF"/>
          </w:tcPr>
          <w:p>
            <w:pPr>
              <w:spacing w:after="0"/>
              <w:rPr>
                <w:sz w:val="7"/>
                <w:szCs w:val="7"/>
                <w:color w:val="auto"/>
              </w:rPr>
            </w:pPr>
          </w:p>
        </w:tc>
        <w:tc>
          <w:tcPr>
            <w:tcW w:w="600" w:type="dxa"/>
            <w:vAlign w:val="bottom"/>
            <w:shd w:val="clear" w:color="auto" w:fill="CCEEFF"/>
          </w:tcPr>
          <w:p>
            <w:pPr>
              <w:jc w:val="center"/>
              <w:spacing w:after="0" w:line="90" w:lineRule="exact"/>
              <w:rPr>
                <w:sz w:val="20"/>
                <w:szCs w:val="20"/>
                <w:color w:val="auto"/>
              </w:rPr>
            </w:pPr>
            <w:r>
              <w:rPr>
                <w:rFonts w:ascii="Arial" w:cs="Arial" w:eastAsia="Arial" w:hAnsi="Arial"/>
                <w:sz w:val="8"/>
                <w:szCs w:val="8"/>
                <w:color w:val="auto"/>
                <w:w w:val="96"/>
              </w:rPr>
              <w:t>18.5066</w:t>
            </w:r>
          </w:p>
        </w:tc>
        <w:tc>
          <w:tcPr>
            <w:tcW w:w="1100" w:type="dxa"/>
            <w:vAlign w:val="bottom"/>
            <w:gridSpan w:val="2"/>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rPr>
              <w:t>01/20/16</w:t>
            </w:r>
          </w:p>
        </w:tc>
        <w:tc>
          <w:tcPr>
            <w:tcW w:w="24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6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780" w:type="dxa"/>
            <w:vAlign w:val="bottom"/>
            <w:shd w:val="clear" w:color="auto" w:fill="CCEEFF"/>
          </w:tcPr>
          <w:p>
            <w:pPr>
              <w:jc w:val="right"/>
              <w:ind w:right="158"/>
              <w:spacing w:after="0" w:line="90" w:lineRule="exact"/>
              <w:rPr>
                <w:sz w:val="20"/>
                <w:szCs w:val="20"/>
                <w:color w:val="auto"/>
              </w:rPr>
            </w:pPr>
            <w:r>
              <w:rPr>
                <w:rFonts w:ascii="Arial" w:cs="Arial" w:eastAsia="Arial" w:hAnsi="Arial"/>
                <w:sz w:val="8"/>
                <w:szCs w:val="8"/>
                <w:color w:val="auto"/>
              </w:rPr>
              <w:t>41,850</w:t>
            </w:r>
            <w:r>
              <w:rPr>
                <w:rFonts w:ascii="Arial" w:cs="Arial" w:eastAsia="Arial" w:hAnsi="Arial"/>
                <w:sz w:val="7"/>
                <w:szCs w:val="7"/>
                <w:color w:val="auto"/>
              </w:rPr>
              <w:t>(2)</w:t>
            </w:r>
          </w:p>
        </w:tc>
        <w:tc>
          <w:tcPr>
            <w:tcW w:w="1240" w:type="dxa"/>
            <w:vAlign w:val="bottom"/>
            <w:gridSpan w:val="2"/>
            <w:shd w:val="clear" w:color="auto" w:fill="CCEEFF"/>
          </w:tcPr>
          <w:p>
            <w:pPr>
              <w:jc w:val="right"/>
              <w:ind w:right="158"/>
              <w:spacing w:after="0" w:line="90" w:lineRule="exact"/>
              <w:rPr>
                <w:sz w:val="20"/>
                <w:szCs w:val="20"/>
                <w:color w:val="auto"/>
              </w:rPr>
            </w:pPr>
            <w:r>
              <w:rPr>
                <w:rFonts w:ascii="Arial" w:cs="Arial" w:eastAsia="Arial" w:hAnsi="Arial"/>
                <w:sz w:val="8"/>
                <w:szCs w:val="8"/>
                <w:color w:val="auto"/>
              </w:rPr>
              <w:t>51,150</w:t>
            </w:r>
            <w:r>
              <w:rPr>
                <w:rFonts w:ascii="Arial" w:cs="Arial" w:eastAsia="Arial" w:hAnsi="Arial"/>
                <w:sz w:val="7"/>
                <w:szCs w:val="7"/>
                <w:color w:val="auto"/>
              </w:rPr>
              <w:t>(2)(6)</w:t>
            </w:r>
          </w:p>
        </w:tc>
        <w:tc>
          <w:tcPr>
            <w:tcW w:w="240" w:type="dxa"/>
            <w:vAlign w:val="bottom"/>
            <w:shd w:val="clear" w:color="auto" w:fill="CCEEFF"/>
          </w:tcPr>
          <w:p>
            <w:pPr>
              <w:spacing w:after="0"/>
              <w:rPr>
                <w:sz w:val="7"/>
                <w:szCs w:val="7"/>
                <w:color w:val="auto"/>
              </w:rPr>
            </w:pPr>
          </w:p>
        </w:tc>
        <w:tc>
          <w:tcPr>
            <w:tcW w:w="600" w:type="dxa"/>
            <w:vAlign w:val="bottom"/>
            <w:shd w:val="clear" w:color="auto" w:fill="CCEEFF"/>
          </w:tcPr>
          <w:p>
            <w:pPr>
              <w:jc w:val="center"/>
              <w:spacing w:after="0" w:line="90" w:lineRule="exact"/>
              <w:rPr>
                <w:sz w:val="20"/>
                <w:szCs w:val="20"/>
                <w:color w:val="auto"/>
              </w:rPr>
            </w:pPr>
            <w:r>
              <w:rPr>
                <w:rFonts w:ascii="Arial" w:cs="Arial" w:eastAsia="Arial" w:hAnsi="Arial"/>
                <w:sz w:val="8"/>
                <w:szCs w:val="8"/>
                <w:color w:val="auto"/>
                <w:w w:val="96"/>
              </w:rPr>
              <w:t>17.5000</w:t>
            </w:r>
          </w:p>
        </w:tc>
        <w:tc>
          <w:tcPr>
            <w:tcW w:w="1100" w:type="dxa"/>
            <w:vAlign w:val="bottom"/>
            <w:gridSpan w:val="2"/>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rPr>
              <w:t>03/09/16</w:t>
            </w:r>
          </w:p>
        </w:tc>
        <w:tc>
          <w:tcPr>
            <w:tcW w:w="24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6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780" w:type="dxa"/>
            <w:vAlign w:val="bottom"/>
            <w:shd w:val="clear" w:color="auto" w:fill="CCEEFF"/>
          </w:tcPr>
          <w:p>
            <w:pPr>
              <w:jc w:val="right"/>
              <w:ind w:right="158"/>
              <w:spacing w:after="0" w:line="90" w:lineRule="exact"/>
              <w:rPr>
                <w:sz w:val="20"/>
                <w:szCs w:val="20"/>
                <w:color w:val="auto"/>
              </w:rPr>
            </w:pPr>
            <w:r>
              <w:rPr>
                <w:rFonts w:ascii="Arial" w:cs="Arial" w:eastAsia="Arial" w:hAnsi="Arial"/>
                <w:sz w:val="8"/>
                <w:szCs w:val="8"/>
                <w:color w:val="auto"/>
              </w:rPr>
              <w:t>20,220</w:t>
            </w:r>
            <w:r>
              <w:rPr>
                <w:rFonts w:ascii="Arial" w:cs="Arial" w:eastAsia="Arial" w:hAnsi="Arial"/>
                <w:sz w:val="7"/>
                <w:szCs w:val="7"/>
                <w:color w:val="auto"/>
              </w:rPr>
              <w:t>(2)</w:t>
            </w:r>
          </w:p>
        </w:tc>
        <w:tc>
          <w:tcPr>
            <w:tcW w:w="1240" w:type="dxa"/>
            <w:vAlign w:val="bottom"/>
            <w:gridSpan w:val="2"/>
            <w:shd w:val="clear" w:color="auto" w:fill="CCEEFF"/>
          </w:tcPr>
          <w:p>
            <w:pPr>
              <w:jc w:val="right"/>
              <w:ind w:right="158"/>
              <w:spacing w:after="0" w:line="90" w:lineRule="exact"/>
              <w:rPr>
                <w:sz w:val="20"/>
                <w:szCs w:val="20"/>
                <w:color w:val="auto"/>
              </w:rPr>
            </w:pPr>
            <w:r>
              <w:rPr>
                <w:rFonts w:ascii="Arial" w:cs="Arial" w:eastAsia="Arial" w:hAnsi="Arial"/>
                <w:sz w:val="8"/>
                <w:szCs w:val="8"/>
                <w:color w:val="auto"/>
              </w:rPr>
              <w:t>47,180</w:t>
            </w:r>
            <w:r>
              <w:rPr>
                <w:rFonts w:ascii="Arial" w:cs="Arial" w:eastAsia="Arial" w:hAnsi="Arial"/>
                <w:sz w:val="7"/>
                <w:szCs w:val="7"/>
                <w:color w:val="auto"/>
              </w:rPr>
              <w:t>(2)(6)</w:t>
            </w:r>
          </w:p>
        </w:tc>
        <w:tc>
          <w:tcPr>
            <w:tcW w:w="240" w:type="dxa"/>
            <w:vAlign w:val="bottom"/>
            <w:shd w:val="clear" w:color="auto" w:fill="CCEEFF"/>
          </w:tcPr>
          <w:p>
            <w:pPr>
              <w:spacing w:after="0"/>
              <w:rPr>
                <w:sz w:val="7"/>
                <w:szCs w:val="7"/>
                <w:color w:val="auto"/>
              </w:rPr>
            </w:pPr>
          </w:p>
        </w:tc>
        <w:tc>
          <w:tcPr>
            <w:tcW w:w="600" w:type="dxa"/>
            <w:vAlign w:val="bottom"/>
            <w:shd w:val="clear" w:color="auto" w:fill="CCEEFF"/>
          </w:tcPr>
          <w:p>
            <w:pPr>
              <w:jc w:val="center"/>
              <w:spacing w:after="0" w:line="90" w:lineRule="exact"/>
              <w:rPr>
                <w:sz w:val="20"/>
                <w:szCs w:val="20"/>
                <w:color w:val="auto"/>
              </w:rPr>
            </w:pPr>
            <w:r>
              <w:rPr>
                <w:rFonts w:ascii="Arial" w:cs="Arial" w:eastAsia="Arial" w:hAnsi="Arial"/>
                <w:sz w:val="8"/>
                <w:szCs w:val="8"/>
                <w:color w:val="auto"/>
                <w:w w:val="96"/>
              </w:rPr>
              <w:t>25.4400</w:t>
            </w:r>
          </w:p>
        </w:tc>
        <w:tc>
          <w:tcPr>
            <w:tcW w:w="1100" w:type="dxa"/>
            <w:vAlign w:val="bottom"/>
            <w:gridSpan w:val="2"/>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rPr>
              <w:t>03/15/17</w:t>
            </w:r>
          </w:p>
        </w:tc>
        <w:tc>
          <w:tcPr>
            <w:tcW w:w="24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6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780" w:type="dxa"/>
            <w:vAlign w:val="bottom"/>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rPr>
              <w:t>—</w:t>
            </w:r>
          </w:p>
        </w:tc>
        <w:tc>
          <w:tcPr>
            <w:tcW w:w="1240" w:type="dxa"/>
            <w:vAlign w:val="bottom"/>
            <w:gridSpan w:val="2"/>
            <w:shd w:val="clear" w:color="auto" w:fill="CCEEFF"/>
          </w:tcPr>
          <w:p>
            <w:pPr>
              <w:jc w:val="right"/>
              <w:ind w:right="158"/>
              <w:spacing w:after="0" w:line="90" w:lineRule="exact"/>
              <w:rPr>
                <w:sz w:val="20"/>
                <w:szCs w:val="20"/>
                <w:color w:val="auto"/>
              </w:rPr>
            </w:pPr>
            <w:r>
              <w:rPr>
                <w:rFonts w:ascii="Arial" w:cs="Arial" w:eastAsia="Arial" w:hAnsi="Arial"/>
                <w:sz w:val="8"/>
                <w:szCs w:val="8"/>
                <w:color w:val="auto"/>
              </w:rPr>
              <w:t>99,000</w:t>
            </w:r>
            <w:r>
              <w:rPr>
                <w:rFonts w:ascii="Arial" w:cs="Arial" w:eastAsia="Arial" w:hAnsi="Arial"/>
                <w:sz w:val="7"/>
                <w:szCs w:val="7"/>
                <w:color w:val="auto"/>
              </w:rPr>
              <w:t>(2)(6)</w:t>
            </w:r>
          </w:p>
        </w:tc>
        <w:tc>
          <w:tcPr>
            <w:tcW w:w="240" w:type="dxa"/>
            <w:vAlign w:val="bottom"/>
            <w:shd w:val="clear" w:color="auto" w:fill="CCEEFF"/>
          </w:tcPr>
          <w:p>
            <w:pPr>
              <w:spacing w:after="0"/>
              <w:rPr>
                <w:sz w:val="7"/>
                <w:szCs w:val="7"/>
                <w:color w:val="auto"/>
              </w:rPr>
            </w:pPr>
          </w:p>
        </w:tc>
        <w:tc>
          <w:tcPr>
            <w:tcW w:w="600" w:type="dxa"/>
            <w:vAlign w:val="bottom"/>
            <w:shd w:val="clear" w:color="auto" w:fill="CCEEFF"/>
          </w:tcPr>
          <w:p>
            <w:pPr>
              <w:jc w:val="center"/>
              <w:spacing w:after="0" w:line="90" w:lineRule="exact"/>
              <w:rPr>
                <w:sz w:val="20"/>
                <w:szCs w:val="20"/>
                <w:color w:val="auto"/>
              </w:rPr>
            </w:pPr>
            <w:r>
              <w:rPr>
                <w:rFonts w:ascii="Arial" w:cs="Arial" w:eastAsia="Arial" w:hAnsi="Arial"/>
                <w:sz w:val="8"/>
                <w:szCs w:val="8"/>
                <w:color w:val="auto"/>
                <w:w w:val="96"/>
              </w:rPr>
              <w:t>18.9800</w:t>
            </w:r>
          </w:p>
        </w:tc>
        <w:tc>
          <w:tcPr>
            <w:tcW w:w="1100" w:type="dxa"/>
            <w:vAlign w:val="bottom"/>
            <w:gridSpan w:val="2"/>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rPr>
              <w:t>03/27/18</w:t>
            </w:r>
          </w:p>
        </w:tc>
        <w:tc>
          <w:tcPr>
            <w:tcW w:w="24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6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780" w:type="dxa"/>
            <w:vAlign w:val="bottom"/>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rPr>
              <w:t>—</w:t>
            </w:r>
          </w:p>
        </w:tc>
        <w:tc>
          <w:tcPr>
            <w:tcW w:w="1240" w:type="dxa"/>
            <w:vAlign w:val="bottom"/>
            <w:gridSpan w:val="2"/>
            <w:shd w:val="clear" w:color="auto" w:fill="CCEEFF"/>
          </w:tcPr>
          <w:p>
            <w:pPr>
              <w:jc w:val="right"/>
              <w:ind w:right="158"/>
              <w:spacing w:after="0" w:line="90" w:lineRule="exact"/>
              <w:rPr>
                <w:sz w:val="20"/>
                <w:szCs w:val="20"/>
                <w:color w:val="auto"/>
              </w:rPr>
            </w:pPr>
            <w:r>
              <w:rPr>
                <w:rFonts w:ascii="Arial" w:cs="Arial" w:eastAsia="Arial" w:hAnsi="Arial"/>
                <w:sz w:val="8"/>
                <w:szCs w:val="8"/>
                <w:color w:val="auto"/>
              </w:rPr>
              <w:t>141,000</w:t>
            </w:r>
            <w:r>
              <w:rPr>
                <w:rFonts w:ascii="Arial" w:cs="Arial" w:eastAsia="Arial" w:hAnsi="Arial"/>
                <w:sz w:val="7"/>
                <w:szCs w:val="7"/>
                <w:color w:val="auto"/>
              </w:rPr>
              <w:t>(2)(6)</w:t>
            </w:r>
          </w:p>
        </w:tc>
        <w:tc>
          <w:tcPr>
            <w:tcW w:w="240" w:type="dxa"/>
            <w:vAlign w:val="bottom"/>
            <w:shd w:val="clear" w:color="auto" w:fill="CCEEFF"/>
          </w:tcPr>
          <w:p>
            <w:pPr>
              <w:spacing w:after="0"/>
              <w:rPr>
                <w:sz w:val="7"/>
                <w:szCs w:val="7"/>
                <w:color w:val="auto"/>
              </w:rPr>
            </w:pPr>
          </w:p>
        </w:tc>
        <w:tc>
          <w:tcPr>
            <w:tcW w:w="600" w:type="dxa"/>
            <w:vAlign w:val="bottom"/>
            <w:shd w:val="clear" w:color="auto" w:fill="CCEEFF"/>
          </w:tcPr>
          <w:p>
            <w:pPr>
              <w:jc w:val="center"/>
              <w:spacing w:after="0" w:line="90" w:lineRule="exact"/>
              <w:rPr>
                <w:sz w:val="20"/>
                <w:szCs w:val="20"/>
                <w:color w:val="auto"/>
              </w:rPr>
            </w:pPr>
            <w:r>
              <w:rPr>
                <w:rFonts w:ascii="Arial" w:cs="Arial" w:eastAsia="Arial" w:hAnsi="Arial"/>
                <w:sz w:val="8"/>
                <w:szCs w:val="8"/>
                <w:color w:val="auto"/>
                <w:w w:val="96"/>
              </w:rPr>
              <w:t>14.5400</w:t>
            </w:r>
          </w:p>
        </w:tc>
        <w:tc>
          <w:tcPr>
            <w:tcW w:w="1100" w:type="dxa"/>
            <w:vAlign w:val="bottom"/>
            <w:gridSpan w:val="2"/>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rPr>
              <w:t>03/26/19</w:t>
            </w:r>
          </w:p>
        </w:tc>
        <w:tc>
          <w:tcPr>
            <w:tcW w:w="24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6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780" w:type="dxa"/>
            <w:vAlign w:val="bottom"/>
            <w:shd w:val="clear" w:color="auto" w:fill="CCEEFF"/>
          </w:tcPr>
          <w:p>
            <w:pPr>
              <w:jc w:val="right"/>
              <w:ind w:right="238"/>
              <w:spacing w:after="0"/>
              <w:rPr>
                <w:sz w:val="20"/>
                <w:szCs w:val="20"/>
                <w:color w:val="auto"/>
              </w:rPr>
            </w:pPr>
            <w:r>
              <w:rPr>
                <w:rFonts w:ascii="Arial" w:cs="Arial" w:eastAsia="Arial" w:hAnsi="Arial"/>
                <w:sz w:val="8"/>
                <w:szCs w:val="8"/>
                <w:color w:val="auto"/>
              </w:rPr>
              <w:t>—</w:t>
            </w:r>
          </w:p>
        </w:tc>
        <w:tc>
          <w:tcPr>
            <w:tcW w:w="1240" w:type="dxa"/>
            <w:vAlign w:val="bottom"/>
            <w:gridSpan w:val="2"/>
            <w:shd w:val="clear" w:color="auto" w:fill="CCEEFF"/>
          </w:tcPr>
          <w:p>
            <w:pPr>
              <w:jc w:val="right"/>
              <w:ind w:right="158"/>
              <w:spacing w:after="0"/>
              <w:rPr>
                <w:sz w:val="20"/>
                <w:szCs w:val="20"/>
                <w:color w:val="auto"/>
              </w:rPr>
            </w:pPr>
            <w:r>
              <w:rPr>
                <w:rFonts w:ascii="Arial" w:cs="Arial" w:eastAsia="Arial" w:hAnsi="Arial"/>
                <w:sz w:val="8"/>
                <w:szCs w:val="8"/>
                <w:color w:val="auto"/>
              </w:rPr>
              <w:t>130,860</w:t>
            </w:r>
            <w:r>
              <w:rPr>
                <w:rFonts w:ascii="Arial" w:cs="Arial" w:eastAsia="Arial" w:hAnsi="Arial"/>
                <w:sz w:val="7"/>
                <w:szCs w:val="7"/>
                <w:color w:val="auto"/>
              </w:rPr>
              <w:t>(2)(6)</w:t>
            </w:r>
          </w:p>
        </w:tc>
        <w:tc>
          <w:tcPr>
            <w:tcW w:w="240" w:type="dxa"/>
            <w:vAlign w:val="bottom"/>
            <w:shd w:val="clear" w:color="auto" w:fill="CCEEFF"/>
          </w:tcPr>
          <w:p>
            <w:pPr>
              <w:spacing w:after="0"/>
              <w:rPr>
                <w:sz w:val="8"/>
                <w:szCs w:val="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8"/>
                <w:szCs w:val="8"/>
                <w:color w:val="auto"/>
                <w:w w:val="96"/>
              </w:rPr>
              <w:t>17.2400</w:t>
            </w:r>
          </w:p>
        </w:tc>
        <w:tc>
          <w:tcPr>
            <w:tcW w:w="1100" w:type="dxa"/>
            <w:vAlign w:val="bottom"/>
            <w:gridSpan w:val="2"/>
            <w:shd w:val="clear" w:color="auto" w:fill="CCEEFF"/>
          </w:tcPr>
          <w:p>
            <w:pPr>
              <w:jc w:val="right"/>
              <w:ind w:right="238"/>
              <w:spacing w:after="0"/>
              <w:rPr>
                <w:sz w:val="20"/>
                <w:szCs w:val="20"/>
                <w:color w:val="auto"/>
              </w:rPr>
            </w:pPr>
            <w:r>
              <w:rPr>
                <w:rFonts w:ascii="Arial" w:cs="Arial" w:eastAsia="Arial" w:hAnsi="Arial"/>
                <w:sz w:val="8"/>
                <w:szCs w:val="8"/>
                <w:color w:val="auto"/>
              </w:rPr>
              <w:t>12/17/19</w:t>
            </w:r>
          </w:p>
        </w:tc>
        <w:tc>
          <w:tcPr>
            <w:tcW w:w="24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57150</wp:posOffset>
            </wp:positionV>
            <wp:extent cx="823595"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23595" cy="5715"/>
                    </a:xfrm>
                    <a:prstGeom prst="rect">
                      <a:avLst/>
                    </a:prstGeom>
                    <a:noFill/>
                  </pic:spPr>
                </pic:pic>
              </a:graphicData>
            </a:graphic>
          </wp:anchor>
        </w:drawing>
      </w:r>
    </w:p>
    <w:p>
      <w:pPr>
        <w:spacing w:after="0" w:line="115" w:lineRule="exact"/>
        <w:rPr>
          <w:sz w:val="20"/>
          <w:szCs w:val="20"/>
          <w:color w:val="auto"/>
        </w:rPr>
      </w:pPr>
    </w:p>
    <w:p>
      <w:pPr>
        <w:ind w:left="980" w:hanging="232"/>
        <w:spacing w:after="0"/>
        <w:tabs>
          <w:tab w:leader="none" w:pos="980" w:val="left"/>
        </w:tabs>
        <w:numPr>
          <w:ilvl w:val="0"/>
          <w:numId w:val="22"/>
        </w:numPr>
        <w:rPr>
          <w:rFonts w:ascii="Arial" w:cs="Arial" w:eastAsia="Arial" w:hAnsi="Arial"/>
          <w:sz w:val="12"/>
          <w:szCs w:val="12"/>
          <w:color w:val="auto"/>
        </w:rPr>
      </w:pPr>
      <w:r>
        <w:rPr>
          <w:rFonts w:ascii="Arial" w:cs="Arial" w:eastAsia="Arial" w:hAnsi="Arial"/>
          <w:sz w:val="12"/>
          <w:szCs w:val="12"/>
          <w:color w:val="auto"/>
        </w:rPr>
        <w:t>Represents shares of Class A Special common stock.</w:t>
      </w:r>
    </w:p>
    <w:p>
      <w:pPr>
        <w:spacing w:after="0" w:line="42" w:lineRule="exact"/>
        <w:rPr>
          <w:rFonts w:ascii="Arial" w:cs="Arial" w:eastAsia="Arial" w:hAnsi="Arial"/>
          <w:sz w:val="12"/>
          <w:szCs w:val="12"/>
          <w:color w:val="auto"/>
        </w:rPr>
      </w:pPr>
    </w:p>
    <w:p>
      <w:pPr>
        <w:ind w:left="980" w:hanging="232"/>
        <w:spacing w:after="0"/>
        <w:tabs>
          <w:tab w:leader="none" w:pos="980" w:val="left"/>
        </w:tabs>
        <w:numPr>
          <w:ilvl w:val="0"/>
          <w:numId w:val="22"/>
        </w:numPr>
        <w:rPr>
          <w:rFonts w:ascii="Arial" w:cs="Arial" w:eastAsia="Arial" w:hAnsi="Arial"/>
          <w:sz w:val="12"/>
          <w:szCs w:val="12"/>
          <w:color w:val="auto"/>
        </w:rPr>
      </w:pPr>
      <w:r>
        <w:rPr>
          <w:rFonts w:ascii="Arial" w:cs="Arial" w:eastAsia="Arial" w:hAnsi="Arial"/>
          <w:sz w:val="12"/>
          <w:szCs w:val="12"/>
          <w:color w:val="auto"/>
        </w:rPr>
        <w:t>Represents shares of Class A common stock.</w:t>
      </w:r>
    </w:p>
    <w:p>
      <w:pPr>
        <w:spacing w:after="0" w:line="42" w:lineRule="exact"/>
        <w:rPr>
          <w:rFonts w:ascii="Arial" w:cs="Arial" w:eastAsia="Arial" w:hAnsi="Arial"/>
          <w:sz w:val="12"/>
          <w:szCs w:val="12"/>
          <w:color w:val="auto"/>
        </w:rPr>
      </w:pPr>
    </w:p>
    <w:p>
      <w:pPr>
        <w:ind w:left="980" w:hanging="232"/>
        <w:spacing w:after="0"/>
        <w:tabs>
          <w:tab w:leader="none" w:pos="980" w:val="left"/>
        </w:tabs>
        <w:numPr>
          <w:ilvl w:val="0"/>
          <w:numId w:val="22"/>
        </w:numPr>
        <w:rPr>
          <w:rFonts w:ascii="Arial" w:cs="Arial" w:eastAsia="Arial" w:hAnsi="Arial"/>
          <w:sz w:val="12"/>
          <w:szCs w:val="12"/>
          <w:color w:val="auto"/>
        </w:rPr>
      </w:pPr>
      <w:r>
        <w:rPr>
          <w:rFonts w:ascii="Arial" w:cs="Arial" w:eastAsia="Arial" w:hAnsi="Arial"/>
          <w:sz w:val="12"/>
          <w:szCs w:val="12"/>
          <w:color w:val="auto"/>
        </w:rPr>
        <w:t>Represents awards of RSUs with respect to shares of Class A common stock.</w:t>
      </w:r>
    </w:p>
    <w:p>
      <w:pPr>
        <w:spacing w:after="0" w:line="42" w:lineRule="exact"/>
        <w:rPr>
          <w:rFonts w:ascii="Arial" w:cs="Arial" w:eastAsia="Arial" w:hAnsi="Arial"/>
          <w:sz w:val="12"/>
          <w:szCs w:val="12"/>
          <w:color w:val="auto"/>
        </w:rPr>
      </w:pPr>
    </w:p>
    <w:p>
      <w:pPr>
        <w:ind w:left="980" w:right="320" w:hanging="232"/>
        <w:spacing w:after="0" w:line="276" w:lineRule="auto"/>
        <w:tabs>
          <w:tab w:leader="none" w:pos="980" w:val="left"/>
        </w:tabs>
        <w:numPr>
          <w:ilvl w:val="0"/>
          <w:numId w:val="22"/>
        </w:numPr>
        <w:rPr>
          <w:rFonts w:ascii="Arial" w:cs="Arial" w:eastAsia="Arial" w:hAnsi="Arial"/>
          <w:sz w:val="12"/>
          <w:szCs w:val="12"/>
          <w:color w:val="auto"/>
        </w:rPr>
      </w:pPr>
      <w:r>
        <w:rPr>
          <w:rFonts w:ascii="Arial" w:cs="Arial" w:eastAsia="Arial" w:hAnsi="Arial"/>
          <w:sz w:val="12"/>
          <w:szCs w:val="12"/>
          <w:color w:val="auto"/>
        </w:rPr>
        <w:t>Represents awards of performance-based RSUs with respect to shares of Class A common stock. Subject to achieving specified increases in consolidated operating cash flow or free cash flow, the awards vest as indicated in footnote (7) to this table.</w:t>
      </w:r>
    </w:p>
    <w:p>
      <w:pPr>
        <w:spacing w:after="0" w:line="6" w:lineRule="exact"/>
        <w:rPr>
          <w:rFonts w:ascii="Arial" w:cs="Arial" w:eastAsia="Arial" w:hAnsi="Arial"/>
          <w:sz w:val="12"/>
          <w:szCs w:val="12"/>
          <w:color w:val="auto"/>
        </w:rPr>
      </w:pPr>
    </w:p>
    <w:p>
      <w:pPr>
        <w:ind w:left="980" w:hanging="232"/>
        <w:spacing w:after="0"/>
        <w:tabs>
          <w:tab w:leader="none" w:pos="980" w:val="left"/>
        </w:tabs>
        <w:numPr>
          <w:ilvl w:val="0"/>
          <w:numId w:val="22"/>
        </w:numPr>
        <w:rPr>
          <w:rFonts w:ascii="Arial" w:cs="Arial" w:eastAsia="Arial" w:hAnsi="Arial"/>
          <w:sz w:val="12"/>
          <w:szCs w:val="12"/>
          <w:color w:val="auto"/>
        </w:rPr>
      </w:pPr>
      <w:r>
        <w:rPr>
          <w:rFonts w:ascii="Arial" w:cs="Arial" w:eastAsia="Arial" w:hAnsi="Arial"/>
          <w:sz w:val="12"/>
          <w:szCs w:val="12"/>
          <w:color w:val="auto"/>
        </w:rPr>
        <w:t>Mr. Cohen assigned to a grantor trust a portion of this option representing 150,000 shares.</w:t>
      </w:r>
    </w:p>
    <w:p>
      <w:pPr>
        <w:spacing w:after="0" w:line="123"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97790</wp:posOffset>
            </wp:positionV>
            <wp:extent cx="7299325" cy="184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680"/>
          </w:cols>
          <w:pgMar w:left="220" w:top="327" w:right="999" w:bottom="1440" w:gutter="0" w:footer="0" w:header="0"/>
        </w:sectPr>
      </w:pPr>
    </w:p>
    <w:bookmarkStart w:id="50" w:name="page51"/>
    <w:bookmarkEnd w:id="50"/>
    <w:p>
      <w:pPr>
        <w:spacing w:after="0"/>
        <w:rPr>
          <w:rFonts w:ascii="Arial" w:cs="Arial" w:eastAsia="Arial" w:hAnsi="Arial"/>
          <w:sz w:val="12"/>
          <w:szCs w:val="12"/>
          <w:b w:val="1"/>
          <w:bCs w:val="1"/>
          <w:u w:val="single" w:color="auto"/>
          <w:color w:val="0000EE"/>
        </w:rPr>
      </w:pPr>
      <w:hyperlink w:anchor="page4">
        <w:r>
          <w:rPr>
            <w:rFonts w:ascii="Arial" w:cs="Arial" w:eastAsia="Arial" w:hAnsi="Arial"/>
            <w:sz w:val="12"/>
            <w:szCs w:val="12"/>
            <w:b w:val="1"/>
            <w:bCs w:val="1"/>
            <w:u w:val="single" w:color="auto"/>
            <w:color w:val="0000EE"/>
          </w:rPr>
          <w:t>Table of Contents</w:t>
        </w:r>
      </w:hyperlink>
    </w:p>
    <w:p>
      <w:pPr>
        <w:spacing w:after="0" w:line="215" w:lineRule="exact"/>
        <w:rPr>
          <w:sz w:val="20"/>
          <w:szCs w:val="20"/>
          <w:color w:val="auto"/>
        </w:rPr>
      </w:pPr>
    </w:p>
    <w:p>
      <w:pPr>
        <w:ind w:left="740"/>
        <w:spacing w:after="0"/>
        <w:tabs>
          <w:tab w:leader="none" w:pos="960" w:val="left"/>
        </w:tabs>
        <w:rPr>
          <w:sz w:val="20"/>
          <w:szCs w:val="20"/>
          <w:color w:val="auto"/>
        </w:rPr>
      </w:pPr>
      <w:r>
        <w:rPr>
          <w:rFonts w:ascii="Arial" w:cs="Arial" w:eastAsia="Arial" w:hAnsi="Arial"/>
          <w:sz w:val="12"/>
          <w:szCs w:val="12"/>
          <w:color w:val="auto"/>
        </w:rPr>
        <w:t>(6)</w:t>
      </w:r>
      <w:r>
        <w:rPr>
          <w:sz w:val="20"/>
          <w:szCs w:val="20"/>
          <w:color w:val="auto"/>
        </w:rPr>
        <w:tab/>
      </w:r>
      <w:r>
        <w:rPr>
          <w:rFonts w:ascii="Arial" w:cs="Arial" w:eastAsia="Arial" w:hAnsi="Arial"/>
          <w:sz w:val="10"/>
          <w:szCs w:val="10"/>
          <w:color w:val="auto"/>
        </w:rPr>
        <w:t>Vesting dates for each outstanding option award for the named executive officers are as follows:</w:t>
      </w:r>
    </w:p>
    <w:p>
      <w:pPr>
        <w:spacing w:after="0" w:line="94" w:lineRule="exact"/>
        <w:rPr>
          <w:sz w:val="20"/>
          <w:szCs w:val="20"/>
          <w:color w:val="auto"/>
        </w:rPr>
      </w:pPr>
    </w:p>
    <w:tbl>
      <w:tblPr>
        <w:tblLayout w:type="fixed"/>
        <w:tblInd w:w="680" w:type="dxa"/>
        <w:tblCellMar>
          <w:top w:w="0" w:type="dxa"/>
          <w:left w:w="0" w:type="dxa"/>
          <w:bottom w:w="0" w:type="dxa"/>
          <w:right w:w="0" w:type="dxa"/>
        </w:tblCellMar>
      </w:tblPr>
      <w:tr>
        <w:trPr>
          <w:trHeight w:val="101"/>
        </w:trPr>
        <w:tc>
          <w:tcPr>
            <w:tcW w:w="2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Exercise</w:t>
            </w:r>
          </w:p>
        </w:tc>
        <w:tc>
          <w:tcPr>
            <w:tcW w:w="6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240" w:type="dxa"/>
            <w:vAlign w:val="bottom"/>
            <w:tcBorders>
              <w:bottom w:val="single" w:sz="8" w:color="auto"/>
            </w:tcBorders>
            <w:gridSpan w:val="3"/>
          </w:tcPr>
          <w:p>
            <w:pPr>
              <w:ind w:left="260"/>
              <w:spacing w:after="0"/>
              <w:rPr>
                <w:sz w:val="20"/>
                <w:szCs w:val="20"/>
                <w:color w:val="auto"/>
              </w:rPr>
            </w:pPr>
            <w:r>
              <w:rPr>
                <w:rFonts w:ascii="Arial" w:cs="Arial" w:eastAsia="Arial" w:hAnsi="Arial"/>
                <w:sz w:val="8"/>
                <w:szCs w:val="8"/>
                <w:b w:val="1"/>
                <w:bCs w:val="1"/>
                <w:color w:val="auto"/>
              </w:rPr>
              <w:t>Number of Shares Underlying Vesting Awards</w:t>
            </w:r>
          </w:p>
        </w:tc>
        <w:tc>
          <w:tcPr>
            <w:tcW w:w="6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100" w:type="dxa"/>
            <w:vAlign w:val="bottom"/>
            <w:vMerge w:val="restart"/>
          </w:tcPr>
          <w:p>
            <w:pPr>
              <w:ind w:left="940"/>
              <w:spacing w:after="0"/>
              <w:rPr>
                <w:sz w:val="20"/>
                <w:szCs w:val="20"/>
                <w:color w:val="auto"/>
              </w:rPr>
            </w:pPr>
            <w:r>
              <w:rPr>
                <w:rFonts w:ascii="Arial" w:cs="Arial" w:eastAsia="Arial" w:hAnsi="Arial"/>
                <w:sz w:val="8"/>
                <w:szCs w:val="8"/>
                <w:b w:val="1"/>
                <w:bCs w:val="1"/>
                <w:color w:val="auto"/>
              </w:rPr>
              <w:t>Vesting Date</w:t>
            </w:r>
          </w:p>
        </w:tc>
        <w:tc>
          <w:tcPr>
            <w:tcW w:w="10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640" w:type="dxa"/>
            <w:vAlign w:val="bottom"/>
          </w:tcPr>
          <w:p>
            <w:pPr>
              <w:jc w:val="right"/>
              <w:ind w:right="118"/>
              <w:spacing w:after="0" w:line="78" w:lineRule="exact"/>
              <w:rPr>
                <w:sz w:val="20"/>
                <w:szCs w:val="20"/>
                <w:color w:val="auto"/>
              </w:rPr>
            </w:pPr>
            <w:r>
              <w:rPr>
                <w:rFonts w:ascii="Arial" w:cs="Arial" w:eastAsia="Arial" w:hAnsi="Arial"/>
                <w:sz w:val="8"/>
                <w:szCs w:val="8"/>
                <w:b w:val="1"/>
                <w:bCs w:val="1"/>
                <w:color w:val="auto"/>
              </w:rPr>
              <w:t>Brian L.</w:t>
            </w:r>
          </w:p>
        </w:tc>
        <w:tc>
          <w:tcPr>
            <w:tcW w:w="700" w:type="dxa"/>
            <w:vAlign w:val="bottom"/>
          </w:tcPr>
          <w:p>
            <w:pPr>
              <w:spacing w:after="0"/>
              <w:rPr>
                <w:sz w:val="6"/>
                <w:szCs w:val="6"/>
                <w:color w:val="auto"/>
              </w:rPr>
            </w:pPr>
          </w:p>
        </w:tc>
        <w:tc>
          <w:tcPr>
            <w:tcW w:w="840" w:type="dxa"/>
            <w:vAlign w:val="bottom"/>
          </w:tcPr>
          <w:p>
            <w:pPr>
              <w:jc w:val="right"/>
              <w:ind w:right="198"/>
              <w:spacing w:after="0" w:line="78" w:lineRule="exact"/>
              <w:rPr>
                <w:sz w:val="20"/>
                <w:szCs w:val="20"/>
                <w:color w:val="auto"/>
              </w:rPr>
            </w:pPr>
            <w:r>
              <w:rPr>
                <w:rFonts w:ascii="Arial" w:cs="Arial" w:eastAsia="Arial" w:hAnsi="Arial"/>
                <w:sz w:val="8"/>
                <w:szCs w:val="8"/>
                <w:b w:val="1"/>
                <w:bCs w:val="1"/>
                <w:color w:val="auto"/>
              </w:rPr>
              <w:t>Michael J.</w:t>
            </w:r>
          </w:p>
        </w:tc>
        <w:tc>
          <w:tcPr>
            <w:tcW w:w="700" w:type="dxa"/>
            <w:vAlign w:val="bottom"/>
          </w:tcPr>
          <w:p>
            <w:pPr>
              <w:spacing w:after="0"/>
              <w:rPr>
                <w:sz w:val="6"/>
                <w:szCs w:val="6"/>
                <w:color w:val="auto"/>
              </w:rPr>
            </w:pPr>
          </w:p>
        </w:tc>
        <w:tc>
          <w:tcPr>
            <w:tcW w:w="1540" w:type="dxa"/>
            <w:vAlign w:val="bottom"/>
            <w:gridSpan w:val="2"/>
          </w:tcPr>
          <w:p>
            <w:pPr>
              <w:jc w:val="center"/>
              <w:ind w:right="720"/>
              <w:spacing w:after="0" w:line="78" w:lineRule="exact"/>
              <w:rPr>
                <w:sz w:val="20"/>
                <w:szCs w:val="20"/>
                <w:color w:val="auto"/>
              </w:rPr>
            </w:pPr>
            <w:r>
              <w:rPr>
                <w:rFonts w:ascii="Arial" w:cs="Arial" w:eastAsia="Arial" w:hAnsi="Arial"/>
                <w:sz w:val="8"/>
                <w:szCs w:val="8"/>
                <w:b w:val="1"/>
                <w:bCs w:val="1"/>
                <w:color w:val="auto"/>
                <w:w w:val="90"/>
              </w:rPr>
              <w:t>Stephen B.</w:t>
            </w:r>
          </w:p>
        </w:tc>
        <w:tc>
          <w:tcPr>
            <w:tcW w:w="640" w:type="dxa"/>
            <w:vAlign w:val="bottom"/>
          </w:tcPr>
          <w:p>
            <w:pPr>
              <w:jc w:val="right"/>
              <w:ind w:right="118"/>
              <w:spacing w:after="0" w:line="78" w:lineRule="exact"/>
              <w:rPr>
                <w:sz w:val="20"/>
                <w:szCs w:val="20"/>
                <w:color w:val="auto"/>
              </w:rPr>
            </w:pPr>
            <w:r>
              <w:rPr>
                <w:rFonts w:ascii="Arial" w:cs="Arial" w:eastAsia="Arial" w:hAnsi="Arial"/>
                <w:sz w:val="8"/>
                <w:szCs w:val="8"/>
                <w:b w:val="1"/>
                <w:bCs w:val="1"/>
                <w:color w:val="auto"/>
              </w:rPr>
              <w:t>David L.</w:t>
            </w:r>
          </w:p>
        </w:tc>
        <w:tc>
          <w:tcPr>
            <w:tcW w:w="700" w:type="dxa"/>
            <w:vAlign w:val="bottom"/>
          </w:tcPr>
          <w:p>
            <w:pPr>
              <w:spacing w:after="0"/>
              <w:rPr>
                <w:sz w:val="6"/>
                <w:szCs w:val="6"/>
                <w:color w:val="auto"/>
              </w:rPr>
            </w:pPr>
          </w:p>
        </w:tc>
        <w:tc>
          <w:tcPr>
            <w:tcW w:w="800" w:type="dxa"/>
            <w:vAlign w:val="bottom"/>
          </w:tcPr>
          <w:p>
            <w:pPr>
              <w:jc w:val="right"/>
              <w:ind w:right="178"/>
              <w:spacing w:after="0" w:line="78" w:lineRule="exact"/>
              <w:rPr>
                <w:sz w:val="20"/>
                <w:szCs w:val="20"/>
                <w:color w:val="auto"/>
              </w:rPr>
            </w:pPr>
            <w:r>
              <w:rPr>
                <w:rFonts w:ascii="Arial" w:cs="Arial" w:eastAsia="Arial" w:hAnsi="Arial"/>
                <w:sz w:val="8"/>
                <w:szCs w:val="8"/>
                <w:b w:val="1"/>
                <w:bCs w:val="1"/>
                <w:color w:val="auto"/>
              </w:rPr>
              <w:t>Arthur R.</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1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tcPr>
          <w:p>
            <w:pPr>
              <w:ind w:left="60"/>
              <w:spacing w:after="0"/>
              <w:rPr>
                <w:sz w:val="20"/>
                <w:szCs w:val="20"/>
                <w:color w:val="auto"/>
              </w:rPr>
            </w:pPr>
            <w:r>
              <w:rPr>
                <w:rFonts w:ascii="Arial" w:cs="Arial" w:eastAsia="Arial" w:hAnsi="Arial"/>
                <w:sz w:val="8"/>
                <w:szCs w:val="8"/>
                <w:b w:val="1"/>
                <w:bCs w:val="1"/>
                <w:color w:val="auto"/>
              </w:rPr>
              <w:t>Price ($)</w:t>
            </w:r>
          </w:p>
        </w:tc>
        <w:tc>
          <w:tcPr>
            <w:tcW w:w="640" w:type="dxa"/>
            <w:vAlign w:val="bottom"/>
          </w:tcPr>
          <w:p>
            <w:pPr>
              <w:jc w:val="right"/>
              <w:ind w:right="138"/>
              <w:spacing w:after="0"/>
              <w:rPr>
                <w:sz w:val="20"/>
                <w:szCs w:val="20"/>
                <w:color w:val="auto"/>
              </w:rPr>
            </w:pPr>
            <w:r>
              <w:rPr>
                <w:rFonts w:ascii="Arial" w:cs="Arial" w:eastAsia="Arial" w:hAnsi="Arial"/>
                <w:sz w:val="8"/>
                <w:szCs w:val="8"/>
                <w:b w:val="1"/>
                <w:bCs w:val="1"/>
                <w:color w:val="auto"/>
              </w:rPr>
              <w:t>Roberts</w:t>
            </w:r>
          </w:p>
        </w:tc>
        <w:tc>
          <w:tcPr>
            <w:tcW w:w="700" w:type="dxa"/>
            <w:vAlign w:val="bottom"/>
          </w:tcPr>
          <w:p>
            <w:pPr>
              <w:spacing w:after="0"/>
              <w:rPr>
                <w:sz w:val="8"/>
                <w:szCs w:val="8"/>
                <w:color w:val="auto"/>
              </w:rPr>
            </w:pPr>
          </w:p>
        </w:tc>
        <w:tc>
          <w:tcPr>
            <w:tcW w:w="840" w:type="dxa"/>
            <w:vAlign w:val="bottom"/>
          </w:tcPr>
          <w:p>
            <w:pPr>
              <w:jc w:val="right"/>
              <w:ind w:right="198"/>
              <w:spacing w:after="0"/>
              <w:rPr>
                <w:sz w:val="20"/>
                <w:szCs w:val="20"/>
                <w:color w:val="auto"/>
              </w:rPr>
            </w:pPr>
            <w:r>
              <w:rPr>
                <w:rFonts w:ascii="Arial" w:cs="Arial" w:eastAsia="Arial" w:hAnsi="Arial"/>
                <w:sz w:val="8"/>
                <w:szCs w:val="8"/>
                <w:b w:val="1"/>
                <w:bCs w:val="1"/>
                <w:color w:val="auto"/>
              </w:rPr>
              <w:t>Angelakis</w:t>
            </w:r>
          </w:p>
        </w:tc>
        <w:tc>
          <w:tcPr>
            <w:tcW w:w="700" w:type="dxa"/>
            <w:vAlign w:val="bottom"/>
          </w:tcPr>
          <w:p>
            <w:pPr>
              <w:spacing w:after="0"/>
              <w:rPr>
                <w:sz w:val="8"/>
                <w:szCs w:val="8"/>
                <w:color w:val="auto"/>
              </w:rPr>
            </w:pPr>
          </w:p>
        </w:tc>
        <w:tc>
          <w:tcPr>
            <w:tcW w:w="1540" w:type="dxa"/>
            <w:vAlign w:val="bottom"/>
            <w:gridSpan w:val="2"/>
          </w:tcPr>
          <w:p>
            <w:pPr>
              <w:jc w:val="center"/>
              <w:ind w:right="720"/>
              <w:spacing w:after="0"/>
              <w:rPr>
                <w:sz w:val="20"/>
                <w:szCs w:val="20"/>
                <w:color w:val="auto"/>
              </w:rPr>
            </w:pPr>
            <w:r>
              <w:rPr>
                <w:rFonts w:ascii="Arial" w:cs="Arial" w:eastAsia="Arial" w:hAnsi="Arial"/>
                <w:sz w:val="8"/>
                <w:szCs w:val="8"/>
                <w:b w:val="1"/>
                <w:bCs w:val="1"/>
                <w:color w:val="auto"/>
                <w:w w:val="96"/>
              </w:rPr>
              <w:t>Burke</w:t>
            </w:r>
          </w:p>
        </w:tc>
        <w:tc>
          <w:tcPr>
            <w:tcW w:w="640" w:type="dxa"/>
            <w:vAlign w:val="bottom"/>
          </w:tcPr>
          <w:p>
            <w:pPr>
              <w:jc w:val="right"/>
              <w:ind w:right="158"/>
              <w:spacing w:after="0"/>
              <w:rPr>
                <w:sz w:val="20"/>
                <w:szCs w:val="20"/>
                <w:color w:val="auto"/>
              </w:rPr>
            </w:pPr>
            <w:r>
              <w:rPr>
                <w:rFonts w:ascii="Arial" w:cs="Arial" w:eastAsia="Arial" w:hAnsi="Arial"/>
                <w:sz w:val="8"/>
                <w:szCs w:val="8"/>
                <w:b w:val="1"/>
                <w:bCs w:val="1"/>
                <w:color w:val="auto"/>
              </w:rPr>
              <w:t>Cohen</w:t>
            </w:r>
          </w:p>
        </w:tc>
        <w:tc>
          <w:tcPr>
            <w:tcW w:w="700" w:type="dxa"/>
            <w:vAlign w:val="bottom"/>
          </w:tcPr>
          <w:p>
            <w:pPr>
              <w:spacing w:after="0"/>
              <w:rPr>
                <w:sz w:val="8"/>
                <w:szCs w:val="8"/>
                <w:color w:val="auto"/>
              </w:rPr>
            </w:pPr>
          </w:p>
        </w:tc>
        <w:tc>
          <w:tcPr>
            <w:tcW w:w="800" w:type="dxa"/>
            <w:vAlign w:val="bottom"/>
          </w:tcPr>
          <w:p>
            <w:pPr>
              <w:jc w:val="right"/>
              <w:ind w:right="258"/>
              <w:spacing w:after="0"/>
              <w:rPr>
                <w:sz w:val="20"/>
                <w:szCs w:val="20"/>
                <w:color w:val="auto"/>
              </w:rPr>
            </w:pPr>
            <w:r>
              <w:rPr>
                <w:rFonts w:ascii="Arial" w:cs="Arial" w:eastAsia="Arial" w:hAnsi="Arial"/>
                <w:sz w:val="8"/>
                <w:szCs w:val="8"/>
                <w:b w:val="1"/>
                <w:bCs w:val="1"/>
                <w:color w:val="auto"/>
              </w:rPr>
              <w:t>Block</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1"/>
        </w:trPr>
        <w:tc>
          <w:tcPr>
            <w:tcW w:w="20" w:type="dxa"/>
            <w:vAlign w:val="bottom"/>
            <w:vMerge w:val="continue"/>
          </w:tcPr>
          <w:p>
            <w:pPr>
              <w:spacing w:after="0"/>
              <w:rPr>
                <w:sz w:val="7"/>
                <w:szCs w:val="7"/>
                <w:color w:val="auto"/>
              </w:rPr>
            </w:pPr>
          </w:p>
        </w:tc>
        <w:tc>
          <w:tcPr>
            <w:tcW w:w="2100" w:type="dxa"/>
            <w:vAlign w:val="bottom"/>
            <w:shd w:val="clear" w:color="auto" w:fill="CCEEFF"/>
          </w:tcPr>
          <w:p>
            <w:pPr>
              <w:spacing w:after="0" w:line="81" w:lineRule="exact"/>
              <w:rPr>
                <w:sz w:val="20"/>
                <w:szCs w:val="20"/>
                <w:color w:val="auto"/>
              </w:rPr>
            </w:pPr>
            <w:r>
              <w:rPr>
                <w:rFonts w:ascii="Arial" w:cs="Arial" w:eastAsia="Arial" w:hAnsi="Arial"/>
                <w:sz w:val="8"/>
                <w:szCs w:val="8"/>
                <w:b w:val="1"/>
                <w:bCs w:val="1"/>
                <w:color w:val="auto"/>
              </w:rPr>
              <w:t>2010</w:t>
            </w: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10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01/20/2010</w:t>
            </w:r>
          </w:p>
        </w:tc>
        <w:tc>
          <w:tcPr>
            <w:tcW w:w="10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w:t>
            </w:r>
          </w:p>
        </w:tc>
        <w:tc>
          <w:tcPr>
            <w:tcW w:w="540" w:type="dxa"/>
            <w:vAlign w:val="bottom"/>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w w:val="82"/>
              </w:rPr>
              <w:t>18.5066</w:t>
            </w:r>
          </w:p>
        </w:tc>
        <w:tc>
          <w:tcPr>
            <w:tcW w:w="680" w:type="dxa"/>
            <w:vAlign w:val="bottom"/>
            <w:shd w:val="clear" w:color="auto" w:fill="CCEEFF"/>
          </w:tcPr>
          <w:p>
            <w:pPr>
              <w:spacing w:after="0"/>
              <w:rPr>
                <w:sz w:val="7"/>
                <w:szCs w:val="7"/>
                <w:color w:val="auto"/>
              </w:rPr>
            </w:pP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w:t>
            </w:r>
          </w:p>
        </w:tc>
        <w:tc>
          <w:tcPr>
            <w:tcW w:w="700" w:type="dxa"/>
            <w:vAlign w:val="bottom"/>
            <w:shd w:val="clear" w:color="auto" w:fill="CCEEFF"/>
          </w:tcPr>
          <w:p>
            <w:pPr>
              <w:spacing w:after="0"/>
              <w:rPr>
                <w:sz w:val="7"/>
                <w:szCs w:val="7"/>
                <w:color w:val="auto"/>
              </w:rPr>
            </w:pPr>
          </w:p>
        </w:tc>
        <w:tc>
          <w:tcPr>
            <w:tcW w:w="840" w:type="dxa"/>
            <w:vAlign w:val="bottom"/>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rPr>
              <w:t>—</w:t>
            </w:r>
          </w:p>
        </w:tc>
        <w:tc>
          <w:tcPr>
            <w:tcW w:w="700" w:type="dxa"/>
            <w:vAlign w:val="bottom"/>
            <w:shd w:val="clear" w:color="auto" w:fill="CCEEFF"/>
          </w:tcPr>
          <w:p>
            <w:pPr>
              <w:spacing w:after="0"/>
              <w:rPr>
                <w:sz w:val="7"/>
                <w:szCs w:val="7"/>
                <w:color w:val="auto"/>
              </w:rPr>
            </w:pPr>
          </w:p>
        </w:tc>
        <w:tc>
          <w:tcPr>
            <w:tcW w:w="1540" w:type="dxa"/>
            <w:vAlign w:val="bottom"/>
            <w:gridSpan w:val="2"/>
            <w:shd w:val="clear" w:color="auto" w:fill="CCEEFF"/>
          </w:tcPr>
          <w:p>
            <w:pPr>
              <w:jc w:val="right"/>
              <w:ind w:right="980"/>
              <w:spacing w:after="0" w:line="90" w:lineRule="exact"/>
              <w:rPr>
                <w:sz w:val="20"/>
                <w:szCs w:val="20"/>
                <w:color w:val="auto"/>
              </w:rPr>
            </w:pPr>
            <w:r>
              <w:rPr>
                <w:rFonts w:ascii="Arial" w:cs="Arial" w:eastAsia="Arial" w:hAnsi="Arial"/>
                <w:sz w:val="8"/>
                <w:szCs w:val="8"/>
                <w:color w:val="auto"/>
              </w:rPr>
              <w:t>—</w:t>
            </w: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w:t>
            </w:r>
          </w:p>
        </w:tc>
        <w:tc>
          <w:tcPr>
            <w:tcW w:w="1500" w:type="dxa"/>
            <w:vAlign w:val="bottom"/>
            <w:gridSpan w:val="2"/>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rPr>
              <w:t>10,238</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10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02/26/2010</w:t>
            </w: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w w:val="82"/>
              </w:rPr>
              <w:t>18.0800</w:t>
            </w:r>
          </w:p>
        </w:tc>
        <w:tc>
          <w:tcPr>
            <w:tcW w:w="680" w:type="dxa"/>
            <w:vAlign w:val="bottom"/>
            <w:shd w:val="clear" w:color="auto" w:fill="CCEEFF"/>
          </w:tcPr>
          <w:p>
            <w:pPr>
              <w:spacing w:after="0"/>
              <w:rPr>
                <w:sz w:val="7"/>
                <w:szCs w:val="7"/>
                <w:color w:val="auto"/>
              </w:rPr>
            </w:pP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69,375</w:t>
            </w:r>
          </w:p>
        </w:tc>
        <w:tc>
          <w:tcPr>
            <w:tcW w:w="700" w:type="dxa"/>
            <w:vAlign w:val="bottom"/>
            <w:shd w:val="clear" w:color="auto" w:fill="CCEEFF"/>
          </w:tcPr>
          <w:p>
            <w:pPr>
              <w:spacing w:after="0"/>
              <w:rPr>
                <w:sz w:val="7"/>
                <w:szCs w:val="7"/>
                <w:color w:val="auto"/>
              </w:rPr>
            </w:pPr>
          </w:p>
        </w:tc>
        <w:tc>
          <w:tcPr>
            <w:tcW w:w="840" w:type="dxa"/>
            <w:vAlign w:val="bottom"/>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rPr>
              <w:t>—</w:t>
            </w:r>
          </w:p>
        </w:tc>
        <w:tc>
          <w:tcPr>
            <w:tcW w:w="1540" w:type="dxa"/>
            <w:vAlign w:val="bottom"/>
            <w:gridSpan w:val="2"/>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rPr>
              <w:t>35,625</w:t>
            </w:r>
          </w:p>
        </w:tc>
        <w:tc>
          <w:tcPr>
            <w:tcW w:w="700" w:type="dxa"/>
            <w:vAlign w:val="bottom"/>
            <w:shd w:val="clear" w:color="auto" w:fill="CCEEFF"/>
          </w:tcPr>
          <w:p>
            <w:pPr>
              <w:spacing w:after="0"/>
              <w:rPr>
                <w:sz w:val="7"/>
                <w:szCs w:val="7"/>
                <w:color w:val="auto"/>
              </w:rPr>
            </w:pP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28,125</w:t>
            </w:r>
          </w:p>
        </w:tc>
        <w:tc>
          <w:tcPr>
            <w:tcW w:w="1500" w:type="dxa"/>
            <w:vAlign w:val="bottom"/>
            <w:gridSpan w:val="2"/>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rPr>
              <w:t>5,625</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10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03/09/2010</w:t>
            </w: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w w:val="82"/>
              </w:rPr>
              <w:t>19.9200</w:t>
            </w:r>
          </w:p>
        </w:tc>
        <w:tc>
          <w:tcPr>
            <w:tcW w:w="680" w:type="dxa"/>
            <w:vAlign w:val="bottom"/>
            <w:shd w:val="clear" w:color="auto" w:fill="CCEEFF"/>
          </w:tcPr>
          <w:p>
            <w:pPr>
              <w:spacing w:after="0"/>
              <w:rPr>
                <w:sz w:val="7"/>
                <w:szCs w:val="7"/>
                <w:color w:val="auto"/>
              </w:rPr>
            </w:pP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60,000</w:t>
            </w:r>
          </w:p>
        </w:tc>
        <w:tc>
          <w:tcPr>
            <w:tcW w:w="700" w:type="dxa"/>
            <w:vAlign w:val="bottom"/>
            <w:shd w:val="clear" w:color="auto" w:fill="CCEEFF"/>
          </w:tcPr>
          <w:p>
            <w:pPr>
              <w:spacing w:after="0"/>
              <w:rPr>
                <w:sz w:val="7"/>
                <w:szCs w:val="7"/>
                <w:color w:val="auto"/>
              </w:rPr>
            </w:pPr>
          </w:p>
        </w:tc>
        <w:tc>
          <w:tcPr>
            <w:tcW w:w="840" w:type="dxa"/>
            <w:vAlign w:val="bottom"/>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rPr>
              <w:t>—</w:t>
            </w:r>
          </w:p>
        </w:tc>
        <w:tc>
          <w:tcPr>
            <w:tcW w:w="1540" w:type="dxa"/>
            <w:vAlign w:val="bottom"/>
            <w:gridSpan w:val="2"/>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rPr>
              <w:t>30,000</w:t>
            </w:r>
          </w:p>
        </w:tc>
        <w:tc>
          <w:tcPr>
            <w:tcW w:w="700" w:type="dxa"/>
            <w:vAlign w:val="bottom"/>
            <w:shd w:val="clear" w:color="auto" w:fill="CCEEFF"/>
          </w:tcPr>
          <w:p>
            <w:pPr>
              <w:spacing w:after="0"/>
              <w:rPr>
                <w:sz w:val="7"/>
                <w:szCs w:val="7"/>
                <w:color w:val="auto"/>
              </w:rPr>
            </w:pP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28,125</w:t>
            </w:r>
          </w:p>
        </w:tc>
        <w:tc>
          <w:tcPr>
            <w:tcW w:w="1500" w:type="dxa"/>
            <w:vAlign w:val="bottom"/>
            <w:gridSpan w:val="2"/>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rPr>
              <w:t>7,500</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10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03/10/2010</w:t>
            </w: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w w:val="82"/>
              </w:rPr>
              <w:t>17.5000</w:t>
            </w:r>
          </w:p>
        </w:tc>
        <w:tc>
          <w:tcPr>
            <w:tcW w:w="680" w:type="dxa"/>
            <w:vAlign w:val="bottom"/>
            <w:shd w:val="clear" w:color="auto" w:fill="CCEEFF"/>
          </w:tcPr>
          <w:p>
            <w:pPr>
              <w:spacing w:after="0"/>
              <w:rPr>
                <w:sz w:val="7"/>
                <w:szCs w:val="7"/>
                <w:color w:val="auto"/>
              </w:rPr>
            </w:pP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113,400</w:t>
            </w:r>
          </w:p>
        </w:tc>
        <w:tc>
          <w:tcPr>
            <w:tcW w:w="700" w:type="dxa"/>
            <w:vAlign w:val="bottom"/>
            <w:shd w:val="clear" w:color="auto" w:fill="CCEEFF"/>
          </w:tcPr>
          <w:p>
            <w:pPr>
              <w:spacing w:after="0"/>
              <w:rPr>
                <w:sz w:val="7"/>
                <w:szCs w:val="7"/>
                <w:color w:val="auto"/>
              </w:rPr>
            </w:pPr>
          </w:p>
        </w:tc>
        <w:tc>
          <w:tcPr>
            <w:tcW w:w="840" w:type="dxa"/>
            <w:vAlign w:val="bottom"/>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rPr>
              <w:t>—</w:t>
            </w:r>
          </w:p>
        </w:tc>
        <w:tc>
          <w:tcPr>
            <w:tcW w:w="1540" w:type="dxa"/>
            <w:vAlign w:val="bottom"/>
            <w:gridSpan w:val="2"/>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rPr>
              <w:t>90,720</w:t>
            </w:r>
          </w:p>
        </w:tc>
        <w:tc>
          <w:tcPr>
            <w:tcW w:w="700" w:type="dxa"/>
            <w:vAlign w:val="bottom"/>
            <w:shd w:val="clear" w:color="auto" w:fill="CCEEFF"/>
          </w:tcPr>
          <w:p>
            <w:pPr>
              <w:spacing w:after="0"/>
              <w:rPr>
                <w:sz w:val="7"/>
                <w:szCs w:val="7"/>
                <w:color w:val="auto"/>
              </w:rPr>
            </w:pP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52,875</w:t>
            </w:r>
          </w:p>
        </w:tc>
        <w:tc>
          <w:tcPr>
            <w:tcW w:w="1500" w:type="dxa"/>
            <w:vAlign w:val="bottom"/>
            <w:gridSpan w:val="2"/>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rPr>
              <w:t>13,950</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10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03/14/2010</w:t>
            </w: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w w:val="82"/>
              </w:rPr>
              <w:t>22.6600</w:t>
            </w:r>
          </w:p>
        </w:tc>
        <w:tc>
          <w:tcPr>
            <w:tcW w:w="680" w:type="dxa"/>
            <w:vAlign w:val="bottom"/>
            <w:shd w:val="clear" w:color="auto" w:fill="CCEEFF"/>
          </w:tcPr>
          <w:p>
            <w:pPr>
              <w:spacing w:after="0"/>
              <w:rPr>
                <w:sz w:val="7"/>
                <w:szCs w:val="7"/>
                <w:color w:val="auto"/>
              </w:rPr>
            </w:pP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95,625</w:t>
            </w:r>
          </w:p>
        </w:tc>
        <w:tc>
          <w:tcPr>
            <w:tcW w:w="700" w:type="dxa"/>
            <w:vAlign w:val="bottom"/>
            <w:shd w:val="clear" w:color="auto" w:fill="CCEEFF"/>
          </w:tcPr>
          <w:p>
            <w:pPr>
              <w:spacing w:after="0"/>
              <w:rPr>
                <w:sz w:val="7"/>
                <w:szCs w:val="7"/>
                <w:color w:val="auto"/>
              </w:rPr>
            </w:pPr>
          </w:p>
        </w:tc>
        <w:tc>
          <w:tcPr>
            <w:tcW w:w="840" w:type="dxa"/>
            <w:vAlign w:val="bottom"/>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rPr>
              <w:t>—</w:t>
            </w:r>
          </w:p>
        </w:tc>
        <w:tc>
          <w:tcPr>
            <w:tcW w:w="1540" w:type="dxa"/>
            <w:vAlign w:val="bottom"/>
            <w:gridSpan w:val="2"/>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rPr>
              <w:t>52,312</w:t>
            </w:r>
          </w:p>
        </w:tc>
        <w:tc>
          <w:tcPr>
            <w:tcW w:w="700" w:type="dxa"/>
            <w:vAlign w:val="bottom"/>
            <w:shd w:val="clear" w:color="auto" w:fill="CCEEFF"/>
          </w:tcPr>
          <w:p>
            <w:pPr>
              <w:spacing w:after="0"/>
              <w:rPr>
                <w:sz w:val="7"/>
                <w:szCs w:val="7"/>
                <w:color w:val="auto"/>
              </w:rPr>
            </w:pP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45,000</w:t>
            </w:r>
          </w:p>
        </w:tc>
        <w:tc>
          <w:tcPr>
            <w:tcW w:w="1500" w:type="dxa"/>
            <w:vAlign w:val="bottom"/>
            <w:gridSpan w:val="2"/>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rPr>
              <w:t>11,025</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10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03/16/2010</w:t>
            </w: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w w:val="82"/>
              </w:rPr>
              <w:t>25.4400</w:t>
            </w:r>
          </w:p>
        </w:tc>
        <w:tc>
          <w:tcPr>
            <w:tcW w:w="680" w:type="dxa"/>
            <w:vAlign w:val="bottom"/>
            <w:shd w:val="clear" w:color="auto" w:fill="CCEEFF"/>
          </w:tcPr>
          <w:p>
            <w:pPr>
              <w:spacing w:after="0"/>
              <w:rPr>
                <w:sz w:val="7"/>
                <w:szCs w:val="7"/>
                <w:color w:val="auto"/>
              </w:rPr>
            </w:pP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82,200</w:t>
            </w:r>
          </w:p>
        </w:tc>
        <w:tc>
          <w:tcPr>
            <w:tcW w:w="700" w:type="dxa"/>
            <w:vAlign w:val="bottom"/>
            <w:shd w:val="clear" w:color="auto" w:fill="CCEEFF"/>
          </w:tcPr>
          <w:p>
            <w:pPr>
              <w:spacing w:after="0"/>
              <w:rPr>
                <w:sz w:val="7"/>
                <w:szCs w:val="7"/>
                <w:color w:val="auto"/>
              </w:rPr>
            </w:pPr>
          </w:p>
        </w:tc>
        <w:tc>
          <w:tcPr>
            <w:tcW w:w="840" w:type="dxa"/>
            <w:vAlign w:val="bottom"/>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rPr>
              <w:t>—</w:t>
            </w:r>
          </w:p>
        </w:tc>
        <w:tc>
          <w:tcPr>
            <w:tcW w:w="1540" w:type="dxa"/>
            <w:vAlign w:val="bottom"/>
            <w:gridSpan w:val="2"/>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rPr>
              <w:t>65,760</w:t>
            </w:r>
          </w:p>
        </w:tc>
        <w:tc>
          <w:tcPr>
            <w:tcW w:w="700" w:type="dxa"/>
            <w:vAlign w:val="bottom"/>
            <w:shd w:val="clear" w:color="auto" w:fill="CCEEFF"/>
          </w:tcPr>
          <w:p>
            <w:pPr>
              <w:spacing w:after="0"/>
              <w:rPr>
                <w:sz w:val="7"/>
                <w:szCs w:val="7"/>
                <w:color w:val="auto"/>
              </w:rPr>
            </w:pP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38,280</w:t>
            </w:r>
          </w:p>
        </w:tc>
        <w:tc>
          <w:tcPr>
            <w:tcW w:w="1500" w:type="dxa"/>
            <w:vAlign w:val="bottom"/>
            <w:gridSpan w:val="2"/>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rPr>
              <w:t>10,110</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10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03/28/2010</w:t>
            </w: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w w:val="82"/>
              </w:rPr>
              <w:t>18.9800</w:t>
            </w:r>
          </w:p>
        </w:tc>
        <w:tc>
          <w:tcPr>
            <w:tcW w:w="680" w:type="dxa"/>
            <w:vAlign w:val="bottom"/>
            <w:shd w:val="clear" w:color="auto" w:fill="CCEEFF"/>
          </w:tcPr>
          <w:p>
            <w:pPr>
              <w:spacing w:after="0"/>
              <w:rPr>
                <w:sz w:val="7"/>
                <w:szCs w:val="7"/>
                <w:color w:val="auto"/>
              </w:rPr>
            </w:pP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240,900</w:t>
            </w:r>
          </w:p>
        </w:tc>
        <w:tc>
          <w:tcPr>
            <w:tcW w:w="1540" w:type="dxa"/>
            <w:vAlign w:val="bottom"/>
            <w:gridSpan w:val="2"/>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rPr>
              <w:t>144,540</w:t>
            </w:r>
          </w:p>
        </w:tc>
        <w:tc>
          <w:tcPr>
            <w:tcW w:w="1540" w:type="dxa"/>
            <w:vAlign w:val="bottom"/>
            <w:gridSpan w:val="2"/>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rPr>
              <w:t>192,720</w:t>
            </w:r>
          </w:p>
        </w:tc>
        <w:tc>
          <w:tcPr>
            <w:tcW w:w="700" w:type="dxa"/>
            <w:vAlign w:val="bottom"/>
            <w:shd w:val="clear" w:color="auto" w:fill="CCEEFF"/>
          </w:tcPr>
          <w:p>
            <w:pPr>
              <w:spacing w:after="0"/>
              <w:rPr>
                <w:sz w:val="7"/>
                <w:szCs w:val="7"/>
                <w:color w:val="auto"/>
              </w:rPr>
            </w:pP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112,200</w:t>
            </w:r>
          </w:p>
        </w:tc>
        <w:tc>
          <w:tcPr>
            <w:tcW w:w="1500" w:type="dxa"/>
            <w:vAlign w:val="bottom"/>
            <w:gridSpan w:val="2"/>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rPr>
              <w:t>29,700</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10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03/30/2010</w:t>
            </w: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w w:val="82"/>
              </w:rPr>
              <w:t>25.9500</w:t>
            </w:r>
          </w:p>
        </w:tc>
        <w:tc>
          <w:tcPr>
            <w:tcW w:w="680" w:type="dxa"/>
            <w:vAlign w:val="bottom"/>
            <w:shd w:val="clear" w:color="auto" w:fill="CCEEFF"/>
          </w:tcPr>
          <w:p>
            <w:pPr>
              <w:spacing w:after="0"/>
              <w:rPr>
                <w:sz w:val="7"/>
                <w:szCs w:val="7"/>
                <w:color w:val="auto"/>
              </w:rPr>
            </w:pP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w:t>
            </w:r>
          </w:p>
        </w:tc>
        <w:tc>
          <w:tcPr>
            <w:tcW w:w="1540" w:type="dxa"/>
            <w:vAlign w:val="bottom"/>
            <w:gridSpan w:val="2"/>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rPr>
              <w:t>37,160</w:t>
            </w:r>
          </w:p>
        </w:tc>
        <w:tc>
          <w:tcPr>
            <w:tcW w:w="700" w:type="dxa"/>
            <w:vAlign w:val="bottom"/>
            <w:shd w:val="clear" w:color="auto" w:fill="CCEEFF"/>
          </w:tcPr>
          <w:p>
            <w:pPr>
              <w:spacing w:after="0"/>
              <w:rPr>
                <w:sz w:val="7"/>
                <w:szCs w:val="7"/>
                <w:color w:val="auto"/>
              </w:rPr>
            </w:pPr>
          </w:p>
        </w:tc>
        <w:tc>
          <w:tcPr>
            <w:tcW w:w="1540" w:type="dxa"/>
            <w:vAlign w:val="bottom"/>
            <w:gridSpan w:val="2"/>
            <w:shd w:val="clear" w:color="auto" w:fill="CCEEFF"/>
          </w:tcPr>
          <w:p>
            <w:pPr>
              <w:jc w:val="right"/>
              <w:ind w:right="980"/>
              <w:spacing w:after="0" w:line="90" w:lineRule="exact"/>
              <w:rPr>
                <w:sz w:val="20"/>
                <w:szCs w:val="20"/>
                <w:color w:val="auto"/>
              </w:rPr>
            </w:pPr>
            <w:r>
              <w:rPr>
                <w:rFonts w:ascii="Arial" w:cs="Arial" w:eastAsia="Arial" w:hAnsi="Arial"/>
                <w:sz w:val="8"/>
                <w:szCs w:val="8"/>
                <w:color w:val="auto"/>
              </w:rPr>
              <w:t>—</w:t>
            </w: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w:t>
            </w:r>
          </w:p>
        </w:tc>
        <w:tc>
          <w:tcPr>
            <w:tcW w:w="700" w:type="dxa"/>
            <w:vAlign w:val="bottom"/>
            <w:shd w:val="clear" w:color="auto" w:fill="CCEEFF"/>
          </w:tcPr>
          <w:p>
            <w:pPr>
              <w:spacing w:after="0"/>
              <w:rPr>
                <w:sz w:val="7"/>
                <w:szCs w:val="7"/>
                <w:color w:val="auto"/>
              </w:rPr>
            </w:pPr>
          </w:p>
        </w:tc>
        <w:tc>
          <w:tcPr>
            <w:tcW w:w="800" w:type="dxa"/>
            <w:vAlign w:val="bottom"/>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10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07/01/2010</w:t>
            </w: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w w:val="82"/>
              </w:rPr>
              <w:t>15.8933</w:t>
            </w:r>
          </w:p>
        </w:tc>
        <w:tc>
          <w:tcPr>
            <w:tcW w:w="680" w:type="dxa"/>
            <w:vAlign w:val="bottom"/>
            <w:shd w:val="clear" w:color="auto" w:fill="CCEEFF"/>
          </w:tcPr>
          <w:p>
            <w:pPr>
              <w:spacing w:after="0"/>
              <w:rPr>
                <w:sz w:val="7"/>
                <w:szCs w:val="7"/>
                <w:color w:val="auto"/>
              </w:rPr>
            </w:pP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w:t>
            </w:r>
          </w:p>
        </w:tc>
        <w:tc>
          <w:tcPr>
            <w:tcW w:w="700" w:type="dxa"/>
            <w:vAlign w:val="bottom"/>
            <w:shd w:val="clear" w:color="auto" w:fill="CCEEFF"/>
          </w:tcPr>
          <w:p>
            <w:pPr>
              <w:spacing w:after="0"/>
              <w:rPr>
                <w:sz w:val="7"/>
                <w:szCs w:val="7"/>
                <w:color w:val="auto"/>
              </w:rPr>
            </w:pPr>
          </w:p>
        </w:tc>
        <w:tc>
          <w:tcPr>
            <w:tcW w:w="840" w:type="dxa"/>
            <w:vAlign w:val="bottom"/>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rPr>
              <w:t>—</w:t>
            </w:r>
          </w:p>
        </w:tc>
        <w:tc>
          <w:tcPr>
            <w:tcW w:w="700" w:type="dxa"/>
            <w:vAlign w:val="bottom"/>
            <w:shd w:val="clear" w:color="auto" w:fill="CCEEFF"/>
          </w:tcPr>
          <w:p>
            <w:pPr>
              <w:spacing w:after="0"/>
              <w:rPr>
                <w:sz w:val="7"/>
                <w:szCs w:val="7"/>
                <w:color w:val="auto"/>
              </w:rPr>
            </w:pPr>
          </w:p>
        </w:tc>
        <w:tc>
          <w:tcPr>
            <w:tcW w:w="1540" w:type="dxa"/>
            <w:vAlign w:val="bottom"/>
            <w:gridSpan w:val="2"/>
            <w:shd w:val="clear" w:color="auto" w:fill="CCEEFF"/>
          </w:tcPr>
          <w:p>
            <w:pPr>
              <w:jc w:val="right"/>
              <w:ind w:right="980"/>
              <w:spacing w:after="0" w:line="90" w:lineRule="exact"/>
              <w:rPr>
                <w:sz w:val="20"/>
                <w:szCs w:val="20"/>
                <w:color w:val="auto"/>
              </w:rPr>
            </w:pPr>
            <w:r>
              <w:rPr>
                <w:rFonts w:ascii="Arial" w:cs="Arial" w:eastAsia="Arial" w:hAnsi="Arial"/>
                <w:sz w:val="8"/>
                <w:szCs w:val="8"/>
                <w:color w:val="auto"/>
              </w:rPr>
              <w:t>—</w:t>
            </w: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37,500</w:t>
            </w:r>
          </w:p>
        </w:tc>
        <w:tc>
          <w:tcPr>
            <w:tcW w:w="700" w:type="dxa"/>
            <w:vAlign w:val="bottom"/>
            <w:shd w:val="clear" w:color="auto" w:fill="CCEEFF"/>
          </w:tcPr>
          <w:p>
            <w:pPr>
              <w:spacing w:after="0"/>
              <w:rPr>
                <w:sz w:val="7"/>
                <w:szCs w:val="7"/>
                <w:color w:val="auto"/>
              </w:rPr>
            </w:pPr>
          </w:p>
        </w:tc>
        <w:tc>
          <w:tcPr>
            <w:tcW w:w="800" w:type="dxa"/>
            <w:vAlign w:val="bottom"/>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10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07/30/2010</w:t>
            </w: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w w:val="82"/>
              </w:rPr>
              <w:t>24.6466</w:t>
            </w:r>
          </w:p>
        </w:tc>
        <w:tc>
          <w:tcPr>
            <w:tcW w:w="680" w:type="dxa"/>
            <w:vAlign w:val="bottom"/>
            <w:shd w:val="clear" w:color="auto" w:fill="CCEEFF"/>
          </w:tcPr>
          <w:p>
            <w:pPr>
              <w:spacing w:after="0"/>
              <w:rPr>
                <w:sz w:val="7"/>
                <w:szCs w:val="7"/>
                <w:color w:val="auto"/>
              </w:rPr>
            </w:pP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w:t>
            </w:r>
          </w:p>
        </w:tc>
        <w:tc>
          <w:tcPr>
            <w:tcW w:w="700" w:type="dxa"/>
            <w:vAlign w:val="bottom"/>
            <w:shd w:val="clear" w:color="auto" w:fill="CCEEFF"/>
          </w:tcPr>
          <w:p>
            <w:pPr>
              <w:spacing w:after="0"/>
              <w:rPr>
                <w:sz w:val="7"/>
                <w:szCs w:val="7"/>
                <w:color w:val="auto"/>
              </w:rPr>
            </w:pPr>
          </w:p>
        </w:tc>
        <w:tc>
          <w:tcPr>
            <w:tcW w:w="840" w:type="dxa"/>
            <w:vAlign w:val="bottom"/>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rPr>
              <w:t>—</w:t>
            </w:r>
          </w:p>
        </w:tc>
        <w:tc>
          <w:tcPr>
            <w:tcW w:w="700" w:type="dxa"/>
            <w:vAlign w:val="bottom"/>
            <w:shd w:val="clear" w:color="auto" w:fill="CCEEFF"/>
          </w:tcPr>
          <w:p>
            <w:pPr>
              <w:spacing w:after="0"/>
              <w:rPr>
                <w:sz w:val="7"/>
                <w:szCs w:val="7"/>
                <w:color w:val="auto"/>
              </w:rPr>
            </w:pPr>
          </w:p>
        </w:tc>
        <w:tc>
          <w:tcPr>
            <w:tcW w:w="1540" w:type="dxa"/>
            <w:vAlign w:val="bottom"/>
            <w:gridSpan w:val="2"/>
            <w:shd w:val="clear" w:color="auto" w:fill="CCEEFF"/>
          </w:tcPr>
          <w:p>
            <w:pPr>
              <w:jc w:val="right"/>
              <w:ind w:right="980"/>
              <w:spacing w:after="0" w:line="90" w:lineRule="exact"/>
              <w:rPr>
                <w:sz w:val="20"/>
                <w:szCs w:val="20"/>
                <w:color w:val="auto"/>
              </w:rPr>
            </w:pPr>
            <w:r>
              <w:rPr>
                <w:rFonts w:ascii="Arial" w:cs="Arial" w:eastAsia="Arial" w:hAnsi="Arial"/>
                <w:sz w:val="8"/>
                <w:szCs w:val="8"/>
                <w:color w:val="auto"/>
              </w:rPr>
              <w:t>—</w:t>
            </w: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w:t>
            </w:r>
          </w:p>
        </w:tc>
        <w:tc>
          <w:tcPr>
            <w:tcW w:w="1500" w:type="dxa"/>
            <w:vAlign w:val="bottom"/>
            <w:gridSpan w:val="2"/>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rPr>
              <w:t>4,056</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10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10/28/2010</w:t>
            </w: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w w:val="82"/>
              </w:rPr>
              <w:t>15.8933</w:t>
            </w:r>
          </w:p>
        </w:tc>
        <w:tc>
          <w:tcPr>
            <w:tcW w:w="680" w:type="dxa"/>
            <w:vAlign w:val="bottom"/>
            <w:shd w:val="clear" w:color="auto" w:fill="CCEEFF"/>
          </w:tcPr>
          <w:p>
            <w:pPr>
              <w:spacing w:after="0"/>
              <w:rPr>
                <w:sz w:val="7"/>
                <w:szCs w:val="7"/>
                <w:color w:val="auto"/>
              </w:rPr>
            </w:pP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w:t>
            </w:r>
          </w:p>
        </w:tc>
        <w:tc>
          <w:tcPr>
            <w:tcW w:w="700" w:type="dxa"/>
            <w:vAlign w:val="bottom"/>
            <w:shd w:val="clear" w:color="auto" w:fill="CCEEFF"/>
          </w:tcPr>
          <w:p>
            <w:pPr>
              <w:spacing w:after="0"/>
              <w:rPr>
                <w:sz w:val="7"/>
                <w:szCs w:val="7"/>
                <w:color w:val="auto"/>
              </w:rPr>
            </w:pPr>
          </w:p>
        </w:tc>
        <w:tc>
          <w:tcPr>
            <w:tcW w:w="840" w:type="dxa"/>
            <w:vAlign w:val="bottom"/>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rPr>
              <w:t>—</w:t>
            </w:r>
          </w:p>
        </w:tc>
        <w:tc>
          <w:tcPr>
            <w:tcW w:w="1540" w:type="dxa"/>
            <w:vAlign w:val="bottom"/>
            <w:gridSpan w:val="2"/>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rPr>
              <w:t>28,125</w:t>
            </w:r>
          </w:p>
        </w:tc>
        <w:tc>
          <w:tcPr>
            <w:tcW w:w="700" w:type="dxa"/>
            <w:vAlign w:val="bottom"/>
            <w:shd w:val="clear" w:color="auto" w:fill="CCEEFF"/>
          </w:tcPr>
          <w:p>
            <w:pPr>
              <w:spacing w:after="0"/>
              <w:rPr>
                <w:sz w:val="7"/>
                <w:szCs w:val="7"/>
                <w:color w:val="auto"/>
              </w:rPr>
            </w:pP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6,375</w:t>
            </w:r>
          </w:p>
        </w:tc>
        <w:tc>
          <w:tcPr>
            <w:tcW w:w="1500" w:type="dxa"/>
            <w:vAlign w:val="bottom"/>
            <w:gridSpan w:val="2"/>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rPr>
              <w:t>5,625</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8"/>
                <w:szCs w:val="8"/>
                <w:color w:val="auto"/>
              </w:rPr>
              <w:t>11/11/2010</w:t>
            </w: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jc w:val="right"/>
              <w:ind w:right="238"/>
              <w:spacing w:after="0"/>
              <w:rPr>
                <w:sz w:val="20"/>
                <w:szCs w:val="20"/>
                <w:color w:val="auto"/>
              </w:rPr>
            </w:pPr>
            <w:r>
              <w:rPr>
                <w:rFonts w:ascii="Arial" w:cs="Arial" w:eastAsia="Arial" w:hAnsi="Arial"/>
                <w:sz w:val="8"/>
                <w:szCs w:val="8"/>
                <w:color w:val="auto"/>
                <w:w w:val="82"/>
              </w:rPr>
              <w:t>17.9533</w:t>
            </w:r>
          </w:p>
        </w:tc>
        <w:tc>
          <w:tcPr>
            <w:tcW w:w="680" w:type="dxa"/>
            <w:vAlign w:val="bottom"/>
            <w:shd w:val="clear" w:color="auto" w:fill="CCEEFF"/>
          </w:tcPr>
          <w:p>
            <w:pPr>
              <w:spacing w:after="0"/>
              <w:rPr>
                <w:sz w:val="8"/>
                <w:szCs w:val="8"/>
                <w:color w:val="auto"/>
              </w:rPr>
            </w:pPr>
          </w:p>
        </w:tc>
        <w:tc>
          <w:tcPr>
            <w:tcW w:w="640" w:type="dxa"/>
            <w:vAlign w:val="bottom"/>
            <w:shd w:val="clear" w:color="auto" w:fill="CCEEFF"/>
          </w:tcPr>
          <w:p>
            <w:pPr>
              <w:jc w:val="right"/>
              <w:ind w:right="138"/>
              <w:spacing w:after="0"/>
              <w:rPr>
                <w:sz w:val="20"/>
                <w:szCs w:val="20"/>
                <w:color w:val="auto"/>
              </w:rPr>
            </w:pPr>
            <w:r>
              <w:rPr>
                <w:rFonts w:ascii="Arial" w:cs="Arial" w:eastAsia="Arial" w:hAnsi="Arial"/>
                <w:sz w:val="8"/>
                <w:szCs w:val="8"/>
                <w:color w:val="auto"/>
              </w:rPr>
              <w:t>—</w:t>
            </w:r>
          </w:p>
        </w:tc>
        <w:tc>
          <w:tcPr>
            <w:tcW w:w="700" w:type="dxa"/>
            <w:vAlign w:val="bottom"/>
            <w:shd w:val="clear" w:color="auto" w:fill="CCEEFF"/>
          </w:tcPr>
          <w:p>
            <w:pPr>
              <w:spacing w:after="0"/>
              <w:rPr>
                <w:sz w:val="8"/>
                <w:szCs w:val="8"/>
                <w:color w:val="auto"/>
              </w:rPr>
            </w:pPr>
          </w:p>
        </w:tc>
        <w:tc>
          <w:tcPr>
            <w:tcW w:w="840" w:type="dxa"/>
            <w:vAlign w:val="bottom"/>
            <w:shd w:val="clear" w:color="auto" w:fill="CCEEFF"/>
          </w:tcPr>
          <w:p>
            <w:pPr>
              <w:jc w:val="right"/>
              <w:ind w:right="238"/>
              <w:spacing w:after="0"/>
              <w:rPr>
                <w:sz w:val="20"/>
                <w:szCs w:val="20"/>
                <w:color w:val="auto"/>
              </w:rPr>
            </w:pPr>
            <w:r>
              <w:rPr>
                <w:rFonts w:ascii="Arial" w:cs="Arial" w:eastAsia="Arial" w:hAnsi="Arial"/>
                <w:sz w:val="8"/>
                <w:szCs w:val="8"/>
                <w:color w:val="auto"/>
              </w:rPr>
              <w:t>—</w:t>
            </w:r>
          </w:p>
        </w:tc>
        <w:tc>
          <w:tcPr>
            <w:tcW w:w="700" w:type="dxa"/>
            <w:vAlign w:val="bottom"/>
            <w:shd w:val="clear" w:color="auto" w:fill="CCEEFF"/>
          </w:tcPr>
          <w:p>
            <w:pPr>
              <w:spacing w:after="0"/>
              <w:rPr>
                <w:sz w:val="8"/>
                <w:szCs w:val="8"/>
                <w:color w:val="auto"/>
              </w:rPr>
            </w:pPr>
          </w:p>
        </w:tc>
        <w:tc>
          <w:tcPr>
            <w:tcW w:w="1540" w:type="dxa"/>
            <w:vAlign w:val="bottom"/>
            <w:gridSpan w:val="2"/>
            <w:shd w:val="clear" w:color="auto" w:fill="CCEEFF"/>
          </w:tcPr>
          <w:p>
            <w:pPr>
              <w:jc w:val="right"/>
              <w:ind w:right="980"/>
              <w:spacing w:after="0"/>
              <w:rPr>
                <w:sz w:val="20"/>
                <w:szCs w:val="20"/>
                <w:color w:val="auto"/>
              </w:rPr>
            </w:pPr>
            <w:r>
              <w:rPr>
                <w:rFonts w:ascii="Arial" w:cs="Arial" w:eastAsia="Arial" w:hAnsi="Arial"/>
                <w:sz w:val="8"/>
                <w:szCs w:val="8"/>
                <w:color w:val="auto"/>
              </w:rPr>
              <w:t>—</w:t>
            </w:r>
          </w:p>
        </w:tc>
        <w:tc>
          <w:tcPr>
            <w:tcW w:w="640" w:type="dxa"/>
            <w:vAlign w:val="bottom"/>
            <w:shd w:val="clear" w:color="auto" w:fill="CCEEFF"/>
          </w:tcPr>
          <w:p>
            <w:pPr>
              <w:jc w:val="right"/>
              <w:ind w:right="138"/>
              <w:spacing w:after="0"/>
              <w:rPr>
                <w:sz w:val="20"/>
                <w:szCs w:val="20"/>
                <w:color w:val="auto"/>
              </w:rPr>
            </w:pPr>
            <w:r>
              <w:rPr>
                <w:rFonts w:ascii="Arial" w:cs="Arial" w:eastAsia="Arial" w:hAnsi="Arial"/>
                <w:sz w:val="8"/>
                <w:szCs w:val="8"/>
                <w:color w:val="auto"/>
              </w:rPr>
              <w:t>50,625</w:t>
            </w:r>
          </w:p>
        </w:tc>
        <w:tc>
          <w:tcPr>
            <w:tcW w:w="700" w:type="dxa"/>
            <w:vAlign w:val="bottom"/>
            <w:shd w:val="clear" w:color="auto" w:fill="CCEEFF"/>
          </w:tcPr>
          <w:p>
            <w:pPr>
              <w:spacing w:after="0"/>
              <w:rPr>
                <w:sz w:val="8"/>
                <w:szCs w:val="8"/>
                <w:color w:val="auto"/>
              </w:rPr>
            </w:pPr>
          </w:p>
        </w:tc>
        <w:tc>
          <w:tcPr>
            <w:tcW w:w="800" w:type="dxa"/>
            <w:vAlign w:val="bottom"/>
            <w:shd w:val="clear" w:color="auto" w:fill="CCEEFF"/>
          </w:tcPr>
          <w:p>
            <w:pPr>
              <w:jc w:val="right"/>
              <w:ind w:right="238"/>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100" w:type="dxa"/>
            <w:vAlign w:val="bottom"/>
          </w:tcPr>
          <w:p>
            <w:pPr>
              <w:spacing w:after="0" w:line="81" w:lineRule="exact"/>
              <w:rPr>
                <w:sz w:val="20"/>
                <w:szCs w:val="20"/>
                <w:color w:val="auto"/>
              </w:rPr>
            </w:pPr>
            <w:r>
              <w:rPr>
                <w:rFonts w:ascii="Arial" w:cs="Arial" w:eastAsia="Arial" w:hAnsi="Arial"/>
                <w:sz w:val="8"/>
                <w:szCs w:val="8"/>
                <w:b w:val="1"/>
                <w:bCs w:val="1"/>
                <w:color w:val="auto"/>
              </w:rPr>
              <w:t>2011</w:t>
            </w: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120" w:type="dxa"/>
            <w:vAlign w:val="bottom"/>
            <w:gridSpan w:val="2"/>
          </w:tcPr>
          <w:p>
            <w:pPr>
              <w:spacing w:after="0" w:line="90" w:lineRule="exact"/>
              <w:rPr>
                <w:sz w:val="20"/>
                <w:szCs w:val="20"/>
                <w:color w:val="auto"/>
              </w:rPr>
            </w:pPr>
            <w:r>
              <w:rPr>
                <w:rFonts w:ascii="Arial" w:cs="Arial" w:eastAsia="Arial" w:hAnsi="Arial"/>
                <w:sz w:val="8"/>
                <w:szCs w:val="8"/>
                <w:color w:val="auto"/>
              </w:rPr>
              <w:t>01/20/2011</w:t>
            </w:r>
          </w:p>
        </w:tc>
        <w:tc>
          <w:tcPr>
            <w:tcW w:w="640" w:type="dxa"/>
            <w:vAlign w:val="bottom"/>
            <w:gridSpan w:val="2"/>
          </w:tcPr>
          <w:p>
            <w:pPr>
              <w:jc w:val="right"/>
              <w:ind w:right="238"/>
              <w:spacing w:after="0" w:line="90" w:lineRule="exact"/>
              <w:rPr>
                <w:sz w:val="20"/>
                <w:szCs w:val="20"/>
                <w:color w:val="auto"/>
              </w:rPr>
            </w:pPr>
            <w:r>
              <w:rPr>
                <w:rFonts w:ascii="Arial" w:cs="Arial" w:eastAsia="Arial" w:hAnsi="Arial"/>
                <w:sz w:val="8"/>
                <w:szCs w:val="8"/>
                <w:color w:val="auto"/>
              </w:rPr>
              <w:t>18.5066</w:t>
            </w:r>
          </w:p>
        </w:tc>
        <w:tc>
          <w:tcPr>
            <w:tcW w:w="680" w:type="dxa"/>
            <w:vAlign w:val="bottom"/>
          </w:tcPr>
          <w:p>
            <w:pPr>
              <w:spacing w:after="0"/>
              <w:rPr>
                <w:sz w:val="7"/>
                <w:szCs w:val="7"/>
                <w:color w:val="auto"/>
              </w:rPr>
            </w:pPr>
          </w:p>
        </w:tc>
        <w:tc>
          <w:tcPr>
            <w:tcW w:w="640" w:type="dxa"/>
            <w:vAlign w:val="bottom"/>
          </w:tcPr>
          <w:p>
            <w:pPr>
              <w:jc w:val="right"/>
              <w:ind w:right="138"/>
              <w:spacing w:after="0" w:line="90" w:lineRule="exact"/>
              <w:rPr>
                <w:sz w:val="20"/>
                <w:szCs w:val="20"/>
                <w:color w:val="auto"/>
              </w:rPr>
            </w:pPr>
            <w:r>
              <w:rPr>
                <w:rFonts w:ascii="Arial" w:cs="Arial" w:eastAsia="Arial" w:hAnsi="Arial"/>
                <w:sz w:val="8"/>
                <w:szCs w:val="8"/>
                <w:color w:val="auto"/>
              </w:rPr>
              <w:t>—</w:t>
            </w:r>
          </w:p>
        </w:tc>
        <w:tc>
          <w:tcPr>
            <w:tcW w:w="700" w:type="dxa"/>
            <w:vAlign w:val="bottom"/>
          </w:tcPr>
          <w:p>
            <w:pPr>
              <w:spacing w:after="0"/>
              <w:rPr>
                <w:sz w:val="7"/>
                <w:szCs w:val="7"/>
                <w:color w:val="auto"/>
              </w:rPr>
            </w:pPr>
          </w:p>
        </w:tc>
        <w:tc>
          <w:tcPr>
            <w:tcW w:w="840" w:type="dxa"/>
            <w:vAlign w:val="bottom"/>
          </w:tcPr>
          <w:p>
            <w:pPr>
              <w:jc w:val="right"/>
              <w:ind w:right="238"/>
              <w:spacing w:after="0" w:line="90" w:lineRule="exact"/>
              <w:rPr>
                <w:sz w:val="20"/>
                <w:szCs w:val="20"/>
                <w:color w:val="auto"/>
              </w:rPr>
            </w:pPr>
            <w:r>
              <w:rPr>
                <w:rFonts w:ascii="Arial" w:cs="Arial" w:eastAsia="Arial" w:hAnsi="Arial"/>
                <w:sz w:val="8"/>
                <w:szCs w:val="8"/>
                <w:color w:val="auto"/>
              </w:rPr>
              <w:t>—</w:t>
            </w:r>
          </w:p>
        </w:tc>
        <w:tc>
          <w:tcPr>
            <w:tcW w:w="700" w:type="dxa"/>
            <w:vAlign w:val="bottom"/>
          </w:tcPr>
          <w:p>
            <w:pPr>
              <w:spacing w:after="0"/>
              <w:rPr>
                <w:sz w:val="7"/>
                <w:szCs w:val="7"/>
                <w:color w:val="auto"/>
              </w:rPr>
            </w:pPr>
          </w:p>
        </w:tc>
        <w:tc>
          <w:tcPr>
            <w:tcW w:w="1540" w:type="dxa"/>
            <w:vAlign w:val="bottom"/>
            <w:gridSpan w:val="2"/>
          </w:tcPr>
          <w:p>
            <w:pPr>
              <w:jc w:val="right"/>
              <w:ind w:right="980"/>
              <w:spacing w:after="0" w:line="90" w:lineRule="exact"/>
              <w:rPr>
                <w:sz w:val="20"/>
                <w:szCs w:val="20"/>
                <w:color w:val="auto"/>
              </w:rPr>
            </w:pPr>
            <w:r>
              <w:rPr>
                <w:rFonts w:ascii="Arial" w:cs="Arial" w:eastAsia="Arial" w:hAnsi="Arial"/>
                <w:sz w:val="8"/>
                <w:szCs w:val="8"/>
                <w:color w:val="auto"/>
              </w:rPr>
              <w:t>—</w:t>
            </w:r>
          </w:p>
        </w:tc>
        <w:tc>
          <w:tcPr>
            <w:tcW w:w="640" w:type="dxa"/>
            <w:vAlign w:val="bottom"/>
          </w:tcPr>
          <w:p>
            <w:pPr>
              <w:jc w:val="right"/>
              <w:ind w:right="138"/>
              <w:spacing w:after="0" w:line="90" w:lineRule="exact"/>
              <w:rPr>
                <w:sz w:val="20"/>
                <w:szCs w:val="20"/>
                <w:color w:val="auto"/>
              </w:rPr>
            </w:pPr>
            <w:r>
              <w:rPr>
                <w:rFonts w:ascii="Arial" w:cs="Arial" w:eastAsia="Arial" w:hAnsi="Arial"/>
                <w:sz w:val="8"/>
                <w:szCs w:val="8"/>
                <w:color w:val="auto"/>
              </w:rPr>
              <w:t>—</w:t>
            </w:r>
          </w:p>
        </w:tc>
        <w:tc>
          <w:tcPr>
            <w:tcW w:w="1500" w:type="dxa"/>
            <w:vAlign w:val="bottom"/>
            <w:gridSpan w:val="2"/>
          </w:tcPr>
          <w:p>
            <w:pPr>
              <w:jc w:val="right"/>
              <w:ind w:right="238"/>
              <w:spacing w:after="0" w:line="90" w:lineRule="exact"/>
              <w:rPr>
                <w:sz w:val="20"/>
                <w:szCs w:val="20"/>
                <w:color w:val="auto"/>
              </w:rPr>
            </w:pPr>
            <w:r>
              <w:rPr>
                <w:rFonts w:ascii="Arial" w:cs="Arial" w:eastAsia="Arial" w:hAnsi="Arial"/>
                <w:sz w:val="8"/>
                <w:szCs w:val="8"/>
                <w:color w:val="auto"/>
              </w:rPr>
              <w:t>10,237</w:t>
            </w:r>
          </w:p>
        </w:tc>
        <w:tc>
          <w:tcPr>
            <w:tcW w:w="0" w:type="dxa"/>
            <w:vAlign w:val="bottom"/>
          </w:tcPr>
          <w:p>
            <w:pPr>
              <w:spacing w:after="0"/>
              <w:rPr>
                <w:sz w:val="1"/>
                <w:szCs w:val="1"/>
                <w:color w:val="auto"/>
              </w:rPr>
            </w:pPr>
          </w:p>
        </w:tc>
      </w:tr>
      <w:tr>
        <w:trPr>
          <w:trHeight w:val="90"/>
        </w:trPr>
        <w:tc>
          <w:tcPr>
            <w:tcW w:w="2120" w:type="dxa"/>
            <w:vAlign w:val="bottom"/>
            <w:gridSpan w:val="2"/>
          </w:tcPr>
          <w:p>
            <w:pPr>
              <w:spacing w:after="0" w:line="90" w:lineRule="exact"/>
              <w:rPr>
                <w:sz w:val="20"/>
                <w:szCs w:val="20"/>
                <w:color w:val="auto"/>
              </w:rPr>
            </w:pPr>
            <w:r>
              <w:rPr>
                <w:rFonts w:ascii="Arial" w:cs="Arial" w:eastAsia="Arial" w:hAnsi="Arial"/>
                <w:sz w:val="8"/>
                <w:szCs w:val="8"/>
                <w:color w:val="auto"/>
              </w:rPr>
              <w:t>01/30/2011</w:t>
            </w:r>
          </w:p>
        </w:tc>
        <w:tc>
          <w:tcPr>
            <w:tcW w:w="640" w:type="dxa"/>
            <w:vAlign w:val="bottom"/>
            <w:gridSpan w:val="2"/>
          </w:tcPr>
          <w:p>
            <w:pPr>
              <w:jc w:val="right"/>
              <w:ind w:right="238"/>
              <w:spacing w:after="0" w:line="90" w:lineRule="exact"/>
              <w:rPr>
                <w:sz w:val="20"/>
                <w:szCs w:val="20"/>
                <w:color w:val="auto"/>
              </w:rPr>
            </w:pPr>
            <w:r>
              <w:rPr>
                <w:rFonts w:ascii="Arial" w:cs="Arial" w:eastAsia="Arial" w:hAnsi="Arial"/>
                <w:sz w:val="8"/>
                <w:szCs w:val="8"/>
                <w:color w:val="auto"/>
              </w:rPr>
              <w:t>24.6466</w:t>
            </w:r>
          </w:p>
        </w:tc>
        <w:tc>
          <w:tcPr>
            <w:tcW w:w="680" w:type="dxa"/>
            <w:vAlign w:val="bottom"/>
          </w:tcPr>
          <w:p>
            <w:pPr>
              <w:spacing w:after="0"/>
              <w:rPr>
                <w:sz w:val="7"/>
                <w:szCs w:val="7"/>
                <w:color w:val="auto"/>
              </w:rPr>
            </w:pPr>
          </w:p>
        </w:tc>
        <w:tc>
          <w:tcPr>
            <w:tcW w:w="640" w:type="dxa"/>
            <w:vAlign w:val="bottom"/>
          </w:tcPr>
          <w:p>
            <w:pPr>
              <w:jc w:val="right"/>
              <w:ind w:right="138"/>
              <w:spacing w:after="0" w:line="90" w:lineRule="exact"/>
              <w:rPr>
                <w:sz w:val="20"/>
                <w:szCs w:val="20"/>
                <w:color w:val="auto"/>
              </w:rPr>
            </w:pPr>
            <w:r>
              <w:rPr>
                <w:rFonts w:ascii="Arial" w:cs="Arial" w:eastAsia="Arial" w:hAnsi="Arial"/>
                <w:sz w:val="8"/>
                <w:szCs w:val="8"/>
                <w:color w:val="auto"/>
              </w:rPr>
              <w:t>—</w:t>
            </w:r>
          </w:p>
        </w:tc>
        <w:tc>
          <w:tcPr>
            <w:tcW w:w="700" w:type="dxa"/>
            <w:vAlign w:val="bottom"/>
          </w:tcPr>
          <w:p>
            <w:pPr>
              <w:spacing w:after="0"/>
              <w:rPr>
                <w:sz w:val="7"/>
                <w:szCs w:val="7"/>
                <w:color w:val="auto"/>
              </w:rPr>
            </w:pPr>
          </w:p>
        </w:tc>
        <w:tc>
          <w:tcPr>
            <w:tcW w:w="840" w:type="dxa"/>
            <w:vAlign w:val="bottom"/>
          </w:tcPr>
          <w:p>
            <w:pPr>
              <w:jc w:val="right"/>
              <w:ind w:right="238"/>
              <w:spacing w:after="0" w:line="90" w:lineRule="exact"/>
              <w:rPr>
                <w:sz w:val="20"/>
                <w:szCs w:val="20"/>
                <w:color w:val="auto"/>
              </w:rPr>
            </w:pPr>
            <w:r>
              <w:rPr>
                <w:rFonts w:ascii="Arial" w:cs="Arial" w:eastAsia="Arial" w:hAnsi="Arial"/>
                <w:sz w:val="8"/>
                <w:szCs w:val="8"/>
                <w:color w:val="auto"/>
              </w:rPr>
              <w:t>—</w:t>
            </w:r>
          </w:p>
        </w:tc>
        <w:tc>
          <w:tcPr>
            <w:tcW w:w="700" w:type="dxa"/>
            <w:vAlign w:val="bottom"/>
          </w:tcPr>
          <w:p>
            <w:pPr>
              <w:spacing w:after="0"/>
              <w:rPr>
                <w:sz w:val="7"/>
                <w:szCs w:val="7"/>
                <w:color w:val="auto"/>
              </w:rPr>
            </w:pPr>
          </w:p>
        </w:tc>
        <w:tc>
          <w:tcPr>
            <w:tcW w:w="1540" w:type="dxa"/>
            <w:vAlign w:val="bottom"/>
            <w:gridSpan w:val="2"/>
          </w:tcPr>
          <w:p>
            <w:pPr>
              <w:jc w:val="right"/>
              <w:ind w:right="980"/>
              <w:spacing w:after="0" w:line="90" w:lineRule="exact"/>
              <w:rPr>
                <w:sz w:val="20"/>
                <w:szCs w:val="20"/>
                <w:color w:val="auto"/>
              </w:rPr>
            </w:pPr>
            <w:r>
              <w:rPr>
                <w:rFonts w:ascii="Arial" w:cs="Arial" w:eastAsia="Arial" w:hAnsi="Arial"/>
                <w:sz w:val="8"/>
                <w:szCs w:val="8"/>
                <w:color w:val="auto"/>
              </w:rPr>
              <w:t>—</w:t>
            </w:r>
          </w:p>
        </w:tc>
        <w:tc>
          <w:tcPr>
            <w:tcW w:w="640" w:type="dxa"/>
            <w:vAlign w:val="bottom"/>
          </w:tcPr>
          <w:p>
            <w:pPr>
              <w:jc w:val="right"/>
              <w:ind w:right="138"/>
              <w:spacing w:after="0" w:line="90" w:lineRule="exact"/>
              <w:rPr>
                <w:sz w:val="20"/>
                <w:szCs w:val="20"/>
                <w:color w:val="auto"/>
              </w:rPr>
            </w:pPr>
            <w:r>
              <w:rPr>
                <w:rFonts w:ascii="Arial" w:cs="Arial" w:eastAsia="Arial" w:hAnsi="Arial"/>
                <w:sz w:val="8"/>
                <w:szCs w:val="8"/>
                <w:color w:val="auto"/>
              </w:rPr>
              <w:t>—</w:t>
            </w:r>
          </w:p>
        </w:tc>
        <w:tc>
          <w:tcPr>
            <w:tcW w:w="1500" w:type="dxa"/>
            <w:vAlign w:val="bottom"/>
            <w:gridSpan w:val="2"/>
          </w:tcPr>
          <w:p>
            <w:pPr>
              <w:jc w:val="right"/>
              <w:ind w:right="238"/>
              <w:spacing w:after="0" w:line="90" w:lineRule="exact"/>
              <w:rPr>
                <w:sz w:val="20"/>
                <w:szCs w:val="20"/>
                <w:color w:val="auto"/>
              </w:rPr>
            </w:pPr>
            <w:r>
              <w:rPr>
                <w:rFonts w:ascii="Arial" w:cs="Arial" w:eastAsia="Arial" w:hAnsi="Arial"/>
                <w:sz w:val="8"/>
                <w:szCs w:val="8"/>
                <w:color w:val="auto"/>
              </w:rPr>
              <w:t>4,056</w:t>
            </w:r>
          </w:p>
        </w:tc>
        <w:tc>
          <w:tcPr>
            <w:tcW w:w="0" w:type="dxa"/>
            <w:vAlign w:val="bottom"/>
          </w:tcPr>
          <w:p>
            <w:pPr>
              <w:spacing w:after="0"/>
              <w:rPr>
                <w:sz w:val="1"/>
                <w:szCs w:val="1"/>
                <w:color w:val="auto"/>
              </w:rPr>
            </w:pPr>
          </w:p>
        </w:tc>
      </w:tr>
      <w:tr>
        <w:trPr>
          <w:trHeight w:val="90"/>
        </w:trPr>
        <w:tc>
          <w:tcPr>
            <w:tcW w:w="2120" w:type="dxa"/>
            <w:vAlign w:val="bottom"/>
            <w:gridSpan w:val="2"/>
          </w:tcPr>
          <w:p>
            <w:pPr>
              <w:spacing w:after="0" w:line="90" w:lineRule="exact"/>
              <w:rPr>
                <w:sz w:val="20"/>
                <w:szCs w:val="20"/>
                <w:color w:val="auto"/>
              </w:rPr>
            </w:pPr>
            <w:r>
              <w:rPr>
                <w:rFonts w:ascii="Arial" w:cs="Arial" w:eastAsia="Arial" w:hAnsi="Arial"/>
                <w:sz w:val="8"/>
                <w:szCs w:val="8"/>
                <w:color w:val="auto"/>
              </w:rPr>
              <w:t>02/26/2011</w:t>
            </w:r>
          </w:p>
        </w:tc>
        <w:tc>
          <w:tcPr>
            <w:tcW w:w="640" w:type="dxa"/>
            <w:vAlign w:val="bottom"/>
            <w:gridSpan w:val="2"/>
          </w:tcPr>
          <w:p>
            <w:pPr>
              <w:jc w:val="right"/>
              <w:ind w:right="238"/>
              <w:spacing w:after="0" w:line="90" w:lineRule="exact"/>
              <w:rPr>
                <w:sz w:val="20"/>
                <w:szCs w:val="20"/>
                <w:color w:val="auto"/>
              </w:rPr>
            </w:pPr>
            <w:r>
              <w:rPr>
                <w:rFonts w:ascii="Arial" w:cs="Arial" w:eastAsia="Arial" w:hAnsi="Arial"/>
                <w:sz w:val="8"/>
                <w:szCs w:val="8"/>
                <w:color w:val="auto"/>
              </w:rPr>
              <w:t>18.0800</w:t>
            </w:r>
          </w:p>
        </w:tc>
        <w:tc>
          <w:tcPr>
            <w:tcW w:w="680" w:type="dxa"/>
            <w:vAlign w:val="bottom"/>
          </w:tcPr>
          <w:p>
            <w:pPr>
              <w:spacing w:after="0"/>
              <w:rPr>
                <w:sz w:val="7"/>
                <w:szCs w:val="7"/>
                <w:color w:val="auto"/>
              </w:rPr>
            </w:pPr>
          </w:p>
        </w:tc>
        <w:tc>
          <w:tcPr>
            <w:tcW w:w="640" w:type="dxa"/>
            <w:vAlign w:val="bottom"/>
          </w:tcPr>
          <w:p>
            <w:pPr>
              <w:jc w:val="right"/>
              <w:ind w:right="138"/>
              <w:spacing w:after="0" w:line="90" w:lineRule="exact"/>
              <w:rPr>
                <w:sz w:val="20"/>
                <w:szCs w:val="20"/>
                <w:color w:val="auto"/>
              </w:rPr>
            </w:pPr>
            <w:r>
              <w:rPr>
                <w:rFonts w:ascii="Arial" w:cs="Arial" w:eastAsia="Arial" w:hAnsi="Arial"/>
                <w:sz w:val="8"/>
                <w:szCs w:val="8"/>
                <w:color w:val="auto"/>
              </w:rPr>
              <w:t>69,375</w:t>
            </w:r>
          </w:p>
        </w:tc>
        <w:tc>
          <w:tcPr>
            <w:tcW w:w="700" w:type="dxa"/>
            <w:vAlign w:val="bottom"/>
          </w:tcPr>
          <w:p>
            <w:pPr>
              <w:spacing w:after="0"/>
              <w:rPr>
                <w:sz w:val="7"/>
                <w:szCs w:val="7"/>
                <w:color w:val="auto"/>
              </w:rPr>
            </w:pPr>
          </w:p>
        </w:tc>
        <w:tc>
          <w:tcPr>
            <w:tcW w:w="840" w:type="dxa"/>
            <w:vAlign w:val="bottom"/>
          </w:tcPr>
          <w:p>
            <w:pPr>
              <w:jc w:val="right"/>
              <w:ind w:right="238"/>
              <w:spacing w:after="0" w:line="90" w:lineRule="exact"/>
              <w:rPr>
                <w:sz w:val="20"/>
                <w:szCs w:val="20"/>
                <w:color w:val="auto"/>
              </w:rPr>
            </w:pPr>
            <w:r>
              <w:rPr>
                <w:rFonts w:ascii="Arial" w:cs="Arial" w:eastAsia="Arial" w:hAnsi="Arial"/>
                <w:sz w:val="8"/>
                <w:szCs w:val="8"/>
                <w:color w:val="auto"/>
              </w:rPr>
              <w:t>—</w:t>
            </w:r>
          </w:p>
        </w:tc>
        <w:tc>
          <w:tcPr>
            <w:tcW w:w="1540" w:type="dxa"/>
            <w:vAlign w:val="bottom"/>
            <w:gridSpan w:val="2"/>
          </w:tcPr>
          <w:p>
            <w:pPr>
              <w:jc w:val="right"/>
              <w:ind w:right="238"/>
              <w:spacing w:after="0" w:line="90" w:lineRule="exact"/>
              <w:rPr>
                <w:sz w:val="20"/>
                <w:szCs w:val="20"/>
                <w:color w:val="auto"/>
              </w:rPr>
            </w:pPr>
            <w:r>
              <w:rPr>
                <w:rFonts w:ascii="Arial" w:cs="Arial" w:eastAsia="Arial" w:hAnsi="Arial"/>
                <w:sz w:val="8"/>
                <w:szCs w:val="8"/>
                <w:color w:val="auto"/>
              </w:rPr>
              <w:t>35,625</w:t>
            </w:r>
          </w:p>
        </w:tc>
        <w:tc>
          <w:tcPr>
            <w:tcW w:w="700" w:type="dxa"/>
            <w:vAlign w:val="bottom"/>
          </w:tcPr>
          <w:p>
            <w:pPr>
              <w:spacing w:after="0"/>
              <w:rPr>
                <w:sz w:val="7"/>
                <w:szCs w:val="7"/>
                <w:color w:val="auto"/>
              </w:rPr>
            </w:pPr>
          </w:p>
        </w:tc>
        <w:tc>
          <w:tcPr>
            <w:tcW w:w="640" w:type="dxa"/>
            <w:vAlign w:val="bottom"/>
          </w:tcPr>
          <w:p>
            <w:pPr>
              <w:jc w:val="right"/>
              <w:ind w:right="138"/>
              <w:spacing w:after="0" w:line="90" w:lineRule="exact"/>
              <w:rPr>
                <w:sz w:val="20"/>
                <w:szCs w:val="20"/>
                <w:color w:val="auto"/>
              </w:rPr>
            </w:pPr>
            <w:r>
              <w:rPr>
                <w:rFonts w:ascii="Arial" w:cs="Arial" w:eastAsia="Arial" w:hAnsi="Arial"/>
                <w:sz w:val="8"/>
                <w:szCs w:val="8"/>
                <w:color w:val="auto"/>
              </w:rPr>
              <w:t>28,125</w:t>
            </w:r>
          </w:p>
        </w:tc>
        <w:tc>
          <w:tcPr>
            <w:tcW w:w="1500" w:type="dxa"/>
            <w:vAlign w:val="bottom"/>
            <w:gridSpan w:val="2"/>
          </w:tcPr>
          <w:p>
            <w:pPr>
              <w:jc w:val="right"/>
              <w:ind w:right="238"/>
              <w:spacing w:after="0" w:line="90" w:lineRule="exact"/>
              <w:rPr>
                <w:sz w:val="20"/>
                <w:szCs w:val="20"/>
                <w:color w:val="auto"/>
              </w:rPr>
            </w:pPr>
            <w:r>
              <w:rPr>
                <w:rFonts w:ascii="Arial" w:cs="Arial" w:eastAsia="Arial" w:hAnsi="Arial"/>
                <w:sz w:val="8"/>
                <w:szCs w:val="8"/>
                <w:color w:val="auto"/>
              </w:rPr>
              <w:t>5,625</w:t>
            </w:r>
          </w:p>
        </w:tc>
        <w:tc>
          <w:tcPr>
            <w:tcW w:w="0" w:type="dxa"/>
            <w:vAlign w:val="bottom"/>
          </w:tcPr>
          <w:p>
            <w:pPr>
              <w:spacing w:after="0"/>
              <w:rPr>
                <w:sz w:val="1"/>
                <w:szCs w:val="1"/>
                <w:color w:val="auto"/>
              </w:rPr>
            </w:pPr>
          </w:p>
        </w:tc>
      </w:tr>
      <w:tr>
        <w:trPr>
          <w:trHeight w:val="90"/>
        </w:trPr>
        <w:tc>
          <w:tcPr>
            <w:tcW w:w="2120" w:type="dxa"/>
            <w:vAlign w:val="bottom"/>
            <w:gridSpan w:val="2"/>
          </w:tcPr>
          <w:p>
            <w:pPr>
              <w:spacing w:after="0" w:line="90" w:lineRule="exact"/>
              <w:rPr>
                <w:sz w:val="20"/>
                <w:szCs w:val="20"/>
                <w:color w:val="auto"/>
              </w:rPr>
            </w:pPr>
            <w:r>
              <w:rPr>
                <w:rFonts w:ascii="Arial" w:cs="Arial" w:eastAsia="Arial" w:hAnsi="Arial"/>
                <w:sz w:val="8"/>
                <w:szCs w:val="8"/>
                <w:color w:val="auto"/>
              </w:rPr>
              <w:t>03/09/2011</w:t>
            </w:r>
          </w:p>
        </w:tc>
        <w:tc>
          <w:tcPr>
            <w:tcW w:w="640" w:type="dxa"/>
            <w:vAlign w:val="bottom"/>
            <w:gridSpan w:val="2"/>
          </w:tcPr>
          <w:p>
            <w:pPr>
              <w:jc w:val="right"/>
              <w:ind w:right="238"/>
              <w:spacing w:after="0" w:line="90" w:lineRule="exact"/>
              <w:rPr>
                <w:sz w:val="20"/>
                <w:szCs w:val="20"/>
                <w:color w:val="auto"/>
              </w:rPr>
            </w:pPr>
            <w:r>
              <w:rPr>
                <w:rFonts w:ascii="Arial" w:cs="Arial" w:eastAsia="Arial" w:hAnsi="Arial"/>
                <w:sz w:val="8"/>
                <w:szCs w:val="8"/>
                <w:color w:val="auto"/>
              </w:rPr>
              <w:t>19.9200</w:t>
            </w:r>
          </w:p>
        </w:tc>
        <w:tc>
          <w:tcPr>
            <w:tcW w:w="680" w:type="dxa"/>
            <w:vAlign w:val="bottom"/>
          </w:tcPr>
          <w:p>
            <w:pPr>
              <w:spacing w:after="0"/>
              <w:rPr>
                <w:sz w:val="7"/>
                <w:szCs w:val="7"/>
                <w:color w:val="auto"/>
              </w:rPr>
            </w:pPr>
          </w:p>
        </w:tc>
        <w:tc>
          <w:tcPr>
            <w:tcW w:w="640" w:type="dxa"/>
            <w:vAlign w:val="bottom"/>
          </w:tcPr>
          <w:p>
            <w:pPr>
              <w:jc w:val="right"/>
              <w:ind w:right="138"/>
              <w:spacing w:after="0" w:line="90" w:lineRule="exact"/>
              <w:rPr>
                <w:sz w:val="20"/>
                <w:szCs w:val="20"/>
                <w:color w:val="auto"/>
              </w:rPr>
            </w:pPr>
            <w:r>
              <w:rPr>
                <w:rFonts w:ascii="Arial" w:cs="Arial" w:eastAsia="Arial" w:hAnsi="Arial"/>
                <w:sz w:val="8"/>
                <w:szCs w:val="8"/>
                <w:color w:val="auto"/>
              </w:rPr>
              <w:t>60,000</w:t>
            </w:r>
          </w:p>
        </w:tc>
        <w:tc>
          <w:tcPr>
            <w:tcW w:w="700" w:type="dxa"/>
            <w:vAlign w:val="bottom"/>
          </w:tcPr>
          <w:p>
            <w:pPr>
              <w:spacing w:after="0"/>
              <w:rPr>
                <w:sz w:val="7"/>
                <w:szCs w:val="7"/>
                <w:color w:val="auto"/>
              </w:rPr>
            </w:pPr>
          </w:p>
        </w:tc>
        <w:tc>
          <w:tcPr>
            <w:tcW w:w="840" w:type="dxa"/>
            <w:vAlign w:val="bottom"/>
          </w:tcPr>
          <w:p>
            <w:pPr>
              <w:jc w:val="right"/>
              <w:ind w:right="238"/>
              <w:spacing w:after="0" w:line="90" w:lineRule="exact"/>
              <w:rPr>
                <w:sz w:val="20"/>
                <w:szCs w:val="20"/>
                <w:color w:val="auto"/>
              </w:rPr>
            </w:pPr>
            <w:r>
              <w:rPr>
                <w:rFonts w:ascii="Arial" w:cs="Arial" w:eastAsia="Arial" w:hAnsi="Arial"/>
                <w:sz w:val="8"/>
                <w:szCs w:val="8"/>
                <w:color w:val="auto"/>
              </w:rPr>
              <w:t>—</w:t>
            </w:r>
          </w:p>
        </w:tc>
        <w:tc>
          <w:tcPr>
            <w:tcW w:w="1540" w:type="dxa"/>
            <w:vAlign w:val="bottom"/>
            <w:gridSpan w:val="2"/>
          </w:tcPr>
          <w:p>
            <w:pPr>
              <w:jc w:val="right"/>
              <w:ind w:right="238"/>
              <w:spacing w:after="0" w:line="90" w:lineRule="exact"/>
              <w:rPr>
                <w:sz w:val="20"/>
                <w:szCs w:val="20"/>
                <w:color w:val="auto"/>
              </w:rPr>
            </w:pPr>
            <w:r>
              <w:rPr>
                <w:rFonts w:ascii="Arial" w:cs="Arial" w:eastAsia="Arial" w:hAnsi="Arial"/>
                <w:sz w:val="8"/>
                <w:szCs w:val="8"/>
                <w:color w:val="auto"/>
              </w:rPr>
              <w:t>30,000</w:t>
            </w:r>
          </w:p>
        </w:tc>
        <w:tc>
          <w:tcPr>
            <w:tcW w:w="700" w:type="dxa"/>
            <w:vAlign w:val="bottom"/>
          </w:tcPr>
          <w:p>
            <w:pPr>
              <w:spacing w:after="0"/>
              <w:rPr>
                <w:sz w:val="7"/>
                <w:szCs w:val="7"/>
                <w:color w:val="auto"/>
              </w:rPr>
            </w:pPr>
          </w:p>
        </w:tc>
        <w:tc>
          <w:tcPr>
            <w:tcW w:w="640" w:type="dxa"/>
            <w:vAlign w:val="bottom"/>
          </w:tcPr>
          <w:p>
            <w:pPr>
              <w:jc w:val="right"/>
              <w:ind w:right="138"/>
              <w:spacing w:after="0" w:line="90" w:lineRule="exact"/>
              <w:rPr>
                <w:sz w:val="20"/>
                <w:szCs w:val="20"/>
                <w:color w:val="auto"/>
              </w:rPr>
            </w:pPr>
            <w:r>
              <w:rPr>
                <w:rFonts w:ascii="Arial" w:cs="Arial" w:eastAsia="Arial" w:hAnsi="Arial"/>
                <w:sz w:val="8"/>
                <w:szCs w:val="8"/>
                <w:color w:val="auto"/>
              </w:rPr>
              <w:t>28,125</w:t>
            </w:r>
          </w:p>
        </w:tc>
        <w:tc>
          <w:tcPr>
            <w:tcW w:w="1500" w:type="dxa"/>
            <w:vAlign w:val="bottom"/>
            <w:gridSpan w:val="2"/>
          </w:tcPr>
          <w:p>
            <w:pPr>
              <w:jc w:val="right"/>
              <w:ind w:right="238"/>
              <w:spacing w:after="0" w:line="90" w:lineRule="exact"/>
              <w:rPr>
                <w:sz w:val="20"/>
                <w:szCs w:val="20"/>
                <w:color w:val="auto"/>
              </w:rPr>
            </w:pPr>
            <w:r>
              <w:rPr>
                <w:rFonts w:ascii="Arial" w:cs="Arial" w:eastAsia="Arial" w:hAnsi="Arial"/>
                <w:sz w:val="8"/>
                <w:szCs w:val="8"/>
                <w:color w:val="auto"/>
              </w:rPr>
              <w:t>7,500</w:t>
            </w:r>
          </w:p>
        </w:tc>
        <w:tc>
          <w:tcPr>
            <w:tcW w:w="0" w:type="dxa"/>
            <w:vAlign w:val="bottom"/>
          </w:tcPr>
          <w:p>
            <w:pPr>
              <w:spacing w:after="0"/>
              <w:rPr>
                <w:sz w:val="1"/>
                <w:szCs w:val="1"/>
                <w:color w:val="auto"/>
              </w:rPr>
            </w:pPr>
          </w:p>
        </w:tc>
      </w:tr>
      <w:tr>
        <w:trPr>
          <w:trHeight w:val="90"/>
        </w:trPr>
        <w:tc>
          <w:tcPr>
            <w:tcW w:w="2120" w:type="dxa"/>
            <w:vAlign w:val="bottom"/>
            <w:gridSpan w:val="2"/>
          </w:tcPr>
          <w:p>
            <w:pPr>
              <w:spacing w:after="0" w:line="90" w:lineRule="exact"/>
              <w:rPr>
                <w:sz w:val="20"/>
                <w:szCs w:val="20"/>
                <w:color w:val="auto"/>
              </w:rPr>
            </w:pPr>
            <w:r>
              <w:rPr>
                <w:rFonts w:ascii="Arial" w:cs="Arial" w:eastAsia="Arial" w:hAnsi="Arial"/>
                <w:sz w:val="8"/>
                <w:szCs w:val="8"/>
                <w:color w:val="auto"/>
              </w:rPr>
              <w:t>03/10/2011</w:t>
            </w:r>
          </w:p>
        </w:tc>
        <w:tc>
          <w:tcPr>
            <w:tcW w:w="640" w:type="dxa"/>
            <w:vAlign w:val="bottom"/>
            <w:gridSpan w:val="2"/>
          </w:tcPr>
          <w:p>
            <w:pPr>
              <w:jc w:val="right"/>
              <w:ind w:right="238"/>
              <w:spacing w:after="0" w:line="90" w:lineRule="exact"/>
              <w:rPr>
                <w:sz w:val="20"/>
                <w:szCs w:val="20"/>
                <w:color w:val="auto"/>
              </w:rPr>
            </w:pPr>
            <w:r>
              <w:rPr>
                <w:rFonts w:ascii="Arial" w:cs="Arial" w:eastAsia="Arial" w:hAnsi="Arial"/>
                <w:sz w:val="8"/>
                <w:szCs w:val="8"/>
                <w:color w:val="auto"/>
              </w:rPr>
              <w:t>17.5000</w:t>
            </w:r>
          </w:p>
        </w:tc>
        <w:tc>
          <w:tcPr>
            <w:tcW w:w="680" w:type="dxa"/>
            <w:vAlign w:val="bottom"/>
          </w:tcPr>
          <w:p>
            <w:pPr>
              <w:spacing w:after="0"/>
              <w:rPr>
                <w:sz w:val="7"/>
                <w:szCs w:val="7"/>
                <w:color w:val="auto"/>
              </w:rPr>
            </w:pPr>
          </w:p>
        </w:tc>
        <w:tc>
          <w:tcPr>
            <w:tcW w:w="640" w:type="dxa"/>
            <w:vAlign w:val="bottom"/>
          </w:tcPr>
          <w:p>
            <w:pPr>
              <w:jc w:val="right"/>
              <w:ind w:right="138"/>
              <w:spacing w:after="0" w:line="90" w:lineRule="exact"/>
              <w:rPr>
                <w:sz w:val="20"/>
                <w:szCs w:val="20"/>
                <w:color w:val="auto"/>
              </w:rPr>
            </w:pPr>
            <w:r>
              <w:rPr>
                <w:rFonts w:ascii="Arial" w:cs="Arial" w:eastAsia="Arial" w:hAnsi="Arial"/>
                <w:sz w:val="8"/>
                <w:szCs w:val="8"/>
                <w:color w:val="auto"/>
              </w:rPr>
              <w:t>113,400</w:t>
            </w:r>
          </w:p>
        </w:tc>
        <w:tc>
          <w:tcPr>
            <w:tcW w:w="700" w:type="dxa"/>
            <w:vAlign w:val="bottom"/>
          </w:tcPr>
          <w:p>
            <w:pPr>
              <w:spacing w:after="0"/>
              <w:rPr>
                <w:sz w:val="7"/>
                <w:szCs w:val="7"/>
                <w:color w:val="auto"/>
              </w:rPr>
            </w:pPr>
          </w:p>
        </w:tc>
        <w:tc>
          <w:tcPr>
            <w:tcW w:w="840" w:type="dxa"/>
            <w:vAlign w:val="bottom"/>
          </w:tcPr>
          <w:p>
            <w:pPr>
              <w:jc w:val="right"/>
              <w:ind w:right="238"/>
              <w:spacing w:after="0" w:line="90" w:lineRule="exact"/>
              <w:rPr>
                <w:sz w:val="20"/>
                <w:szCs w:val="20"/>
                <w:color w:val="auto"/>
              </w:rPr>
            </w:pPr>
            <w:r>
              <w:rPr>
                <w:rFonts w:ascii="Arial" w:cs="Arial" w:eastAsia="Arial" w:hAnsi="Arial"/>
                <w:sz w:val="8"/>
                <w:szCs w:val="8"/>
                <w:color w:val="auto"/>
              </w:rPr>
              <w:t>—</w:t>
            </w:r>
          </w:p>
        </w:tc>
        <w:tc>
          <w:tcPr>
            <w:tcW w:w="1540" w:type="dxa"/>
            <w:vAlign w:val="bottom"/>
            <w:gridSpan w:val="2"/>
          </w:tcPr>
          <w:p>
            <w:pPr>
              <w:jc w:val="right"/>
              <w:ind w:right="238"/>
              <w:spacing w:after="0" w:line="90" w:lineRule="exact"/>
              <w:rPr>
                <w:sz w:val="20"/>
                <w:szCs w:val="20"/>
                <w:color w:val="auto"/>
              </w:rPr>
            </w:pPr>
            <w:r>
              <w:rPr>
                <w:rFonts w:ascii="Arial" w:cs="Arial" w:eastAsia="Arial" w:hAnsi="Arial"/>
                <w:sz w:val="8"/>
                <w:szCs w:val="8"/>
                <w:color w:val="auto"/>
              </w:rPr>
              <w:t>90,720</w:t>
            </w:r>
          </w:p>
        </w:tc>
        <w:tc>
          <w:tcPr>
            <w:tcW w:w="700" w:type="dxa"/>
            <w:vAlign w:val="bottom"/>
          </w:tcPr>
          <w:p>
            <w:pPr>
              <w:spacing w:after="0"/>
              <w:rPr>
                <w:sz w:val="7"/>
                <w:szCs w:val="7"/>
                <w:color w:val="auto"/>
              </w:rPr>
            </w:pPr>
          </w:p>
        </w:tc>
        <w:tc>
          <w:tcPr>
            <w:tcW w:w="640" w:type="dxa"/>
            <w:vAlign w:val="bottom"/>
          </w:tcPr>
          <w:p>
            <w:pPr>
              <w:jc w:val="right"/>
              <w:ind w:right="138"/>
              <w:spacing w:after="0" w:line="90" w:lineRule="exact"/>
              <w:rPr>
                <w:sz w:val="20"/>
                <w:szCs w:val="20"/>
                <w:color w:val="auto"/>
              </w:rPr>
            </w:pPr>
            <w:r>
              <w:rPr>
                <w:rFonts w:ascii="Arial" w:cs="Arial" w:eastAsia="Arial" w:hAnsi="Arial"/>
                <w:sz w:val="8"/>
                <w:szCs w:val="8"/>
                <w:color w:val="auto"/>
              </w:rPr>
              <w:t>52,875</w:t>
            </w:r>
          </w:p>
        </w:tc>
        <w:tc>
          <w:tcPr>
            <w:tcW w:w="1500" w:type="dxa"/>
            <w:vAlign w:val="bottom"/>
            <w:gridSpan w:val="2"/>
          </w:tcPr>
          <w:p>
            <w:pPr>
              <w:jc w:val="right"/>
              <w:ind w:right="238"/>
              <w:spacing w:after="0" w:line="90" w:lineRule="exact"/>
              <w:rPr>
                <w:sz w:val="20"/>
                <w:szCs w:val="20"/>
                <w:color w:val="auto"/>
              </w:rPr>
            </w:pPr>
            <w:r>
              <w:rPr>
                <w:rFonts w:ascii="Arial" w:cs="Arial" w:eastAsia="Arial" w:hAnsi="Arial"/>
                <w:sz w:val="8"/>
                <w:szCs w:val="8"/>
                <w:color w:val="auto"/>
              </w:rPr>
              <w:t>13,950</w:t>
            </w:r>
          </w:p>
        </w:tc>
        <w:tc>
          <w:tcPr>
            <w:tcW w:w="0" w:type="dxa"/>
            <w:vAlign w:val="bottom"/>
          </w:tcPr>
          <w:p>
            <w:pPr>
              <w:spacing w:after="0"/>
              <w:rPr>
                <w:sz w:val="1"/>
                <w:szCs w:val="1"/>
                <w:color w:val="auto"/>
              </w:rPr>
            </w:pPr>
          </w:p>
        </w:tc>
      </w:tr>
      <w:tr>
        <w:trPr>
          <w:trHeight w:val="90"/>
        </w:trPr>
        <w:tc>
          <w:tcPr>
            <w:tcW w:w="2120" w:type="dxa"/>
            <w:vAlign w:val="bottom"/>
            <w:gridSpan w:val="2"/>
          </w:tcPr>
          <w:p>
            <w:pPr>
              <w:spacing w:after="0" w:line="90" w:lineRule="exact"/>
              <w:rPr>
                <w:sz w:val="20"/>
                <w:szCs w:val="20"/>
                <w:color w:val="auto"/>
              </w:rPr>
            </w:pPr>
            <w:r>
              <w:rPr>
                <w:rFonts w:ascii="Arial" w:cs="Arial" w:eastAsia="Arial" w:hAnsi="Arial"/>
                <w:sz w:val="8"/>
                <w:szCs w:val="8"/>
                <w:color w:val="auto"/>
              </w:rPr>
              <w:t>03/14/2011</w:t>
            </w:r>
          </w:p>
        </w:tc>
        <w:tc>
          <w:tcPr>
            <w:tcW w:w="640" w:type="dxa"/>
            <w:vAlign w:val="bottom"/>
            <w:gridSpan w:val="2"/>
          </w:tcPr>
          <w:p>
            <w:pPr>
              <w:jc w:val="right"/>
              <w:ind w:right="238"/>
              <w:spacing w:after="0" w:line="90" w:lineRule="exact"/>
              <w:rPr>
                <w:sz w:val="20"/>
                <w:szCs w:val="20"/>
                <w:color w:val="auto"/>
              </w:rPr>
            </w:pPr>
            <w:r>
              <w:rPr>
                <w:rFonts w:ascii="Arial" w:cs="Arial" w:eastAsia="Arial" w:hAnsi="Arial"/>
                <w:sz w:val="8"/>
                <w:szCs w:val="8"/>
                <w:color w:val="auto"/>
              </w:rPr>
              <w:t>22.6600</w:t>
            </w:r>
          </w:p>
        </w:tc>
        <w:tc>
          <w:tcPr>
            <w:tcW w:w="680" w:type="dxa"/>
            <w:vAlign w:val="bottom"/>
          </w:tcPr>
          <w:p>
            <w:pPr>
              <w:spacing w:after="0"/>
              <w:rPr>
                <w:sz w:val="7"/>
                <w:szCs w:val="7"/>
                <w:color w:val="auto"/>
              </w:rPr>
            </w:pPr>
          </w:p>
        </w:tc>
        <w:tc>
          <w:tcPr>
            <w:tcW w:w="640" w:type="dxa"/>
            <w:vAlign w:val="bottom"/>
          </w:tcPr>
          <w:p>
            <w:pPr>
              <w:jc w:val="right"/>
              <w:ind w:right="138"/>
              <w:spacing w:after="0" w:line="90" w:lineRule="exact"/>
              <w:rPr>
                <w:sz w:val="20"/>
                <w:szCs w:val="20"/>
                <w:color w:val="auto"/>
              </w:rPr>
            </w:pPr>
            <w:r>
              <w:rPr>
                <w:rFonts w:ascii="Arial" w:cs="Arial" w:eastAsia="Arial" w:hAnsi="Arial"/>
                <w:sz w:val="8"/>
                <w:szCs w:val="8"/>
                <w:color w:val="auto"/>
              </w:rPr>
              <w:t>31,875</w:t>
            </w:r>
          </w:p>
        </w:tc>
        <w:tc>
          <w:tcPr>
            <w:tcW w:w="700" w:type="dxa"/>
            <w:vAlign w:val="bottom"/>
          </w:tcPr>
          <w:p>
            <w:pPr>
              <w:spacing w:after="0"/>
              <w:rPr>
                <w:sz w:val="7"/>
                <w:szCs w:val="7"/>
                <w:color w:val="auto"/>
              </w:rPr>
            </w:pPr>
          </w:p>
        </w:tc>
        <w:tc>
          <w:tcPr>
            <w:tcW w:w="840" w:type="dxa"/>
            <w:vAlign w:val="bottom"/>
          </w:tcPr>
          <w:p>
            <w:pPr>
              <w:jc w:val="right"/>
              <w:ind w:right="238"/>
              <w:spacing w:after="0" w:line="90" w:lineRule="exact"/>
              <w:rPr>
                <w:sz w:val="20"/>
                <w:szCs w:val="20"/>
                <w:color w:val="auto"/>
              </w:rPr>
            </w:pPr>
            <w:r>
              <w:rPr>
                <w:rFonts w:ascii="Arial" w:cs="Arial" w:eastAsia="Arial" w:hAnsi="Arial"/>
                <w:sz w:val="8"/>
                <w:szCs w:val="8"/>
                <w:color w:val="auto"/>
              </w:rPr>
              <w:t>—</w:t>
            </w:r>
          </w:p>
        </w:tc>
        <w:tc>
          <w:tcPr>
            <w:tcW w:w="1540" w:type="dxa"/>
            <w:vAlign w:val="bottom"/>
            <w:gridSpan w:val="2"/>
          </w:tcPr>
          <w:p>
            <w:pPr>
              <w:jc w:val="right"/>
              <w:ind w:right="238"/>
              <w:spacing w:after="0" w:line="90" w:lineRule="exact"/>
              <w:rPr>
                <w:sz w:val="20"/>
                <w:szCs w:val="20"/>
                <w:color w:val="auto"/>
              </w:rPr>
            </w:pPr>
            <w:r>
              <w:rPr>
                <w:rFonts w:ascii="Arial" w:cs="Arial" w:eastAsia="Arial" w:hAnsi="Arial"/>
                <w:sz w:val="8"/>
                <w:szCs w:val="8"/>
                <w:color w:val="auto"/>
              </w:rPr>
              <w:t>17,438</w:t>
            </w:r>
          </w:p>
        </w:tc>
        <w:tc>
          <w:tcPr>
            <w:tcW w:w="700" w:type="dxa"/>
            <w:vAlign w:val="bottom"/>
          </w:tcPr>
          <w:p>
            <w:pPr>
              <w:spacing w:after="0"/>
              <w:rPr>
                <w:sz w:val="7"/>
                <w:szCs w:val="7"/>
                <w:color w:val="auto"/>
              </w:rPr>
            </w:pPr>
          </w:p>
        </w:tc>
        <w:tc>
          <w:tcPr>
            <w:tcW w:w="640" w:type="dxa"/>
            <w:vAlign w:val="bottom"/>
          </w:tcPr>
          <w:p>
            <w:pPr>
              <w:jc w:val="right"/>
              <w:ind w:right="138"/>
              <w:spacing w:after="0" w:line="90" w:lineRule="exact"/>
              <w:rPr>
                <w:sz w:val="20"/>
                <w:szCs w:val="20"/>
                <w:color w:val="auto"/>
              </w:rPr>
            </w:pPr>
            <w:r>
              <w:rPr>
                <w:rFonts w:ascii="Arial" w:cs="Arial" w:eastAsia="Arial" w:hAnsi="Arial"/>
                <w:sz w:val="8"/>
                <w:szCs w:val="8"/>
                <w:color w:val="auto"/>
              </w:rPr>
              <w:t>15,000</w:t>
            </w:r>
          </w:p>
        </w:tc>
        <w:tc>
          <w:tcPr>
            <w:tcW w:w="1500" w:type="dxa"/>
            <w:vAlign w:val="bottom"/>
            <w:gridSpan w:val="2"/>
          </w:tcPr>
          <w:p>
            <w:pPr>
              <w:jc w:val="right"/>
              <w:ind w:right="238"/>
              <w:spacing w:after="0" w:line="90" w:lineRule="exact"/>
              <w:rPr>
                <w:sz w:val="20"/>
                <w:szCs w:val="20"/>
                <w:color w:val="auto"/>
              </w:rPr>
            </w:pPr>
            <w:r>
              <w:rPr>
                <w:rFonts w:ascii="Arial" w:cs="Arial" w:eastAsia="Arial" w:hAnsi="Arial"/>
                <w:sz w:val="8"/>
                <w:szCs w:val="8"/>
                <w:color w:val="auto"/>
              </w:rPr>
              <w:t>3,675</w:t>
            </w:r>
          </w:p>
        </w:tc>
        <w:tc>
          <w:tcPr>
            <w:tcW w:w="0" w:type="dxa"/>
            <w:vAlign w:val="bottom"/>
          </w:tcPr>
          <w:p>
            <w:pPr>
              <w:spacing w:after="0"/>
              <w:rPr>
                <w:sz w:val="1"/>
                <w:szCs w:val="1"/>
                <w:color w:val="auto"/>
              </w:rPr>
            </w:pPr>
          </w:p>
        </w:tc>
      </w:tr>
      <w:tr>
        <w:trPr>
          <w:trHeight w:val="90"/>
        </w:trPr>
        <w:tc>
          <w:tcPr>
            <w:tcW w:w="2120" w:type="dxa"/>
            <w:vAlign w:val="bottom"/>
            <w:gridSpan w:val="2"/>
          </w:tcPr>
          <w:p>
            <w:pPr>
              <w:spacing w:after="0" w:line="90" w:lineRule="exact"/>
              <w:rPr>
                <w:sz w:val="20"/>
                <w:szCs w:val="20"/>
                <w:color w:val="auto"/>
              </w:rPr>
            </w:pPr>
            <w:r>
              <w:rPr>
                <w:rFonts w:ascii="Arial" w:cs="Arial" w:eastAsia="Arial" w:hAnsi="Arial"/>
                <w:sz w:val="8"/>
                <w:szCs w:val="8"/>
                <w:color w:val="auto"/>
              </w:rPr>
              <w:t>03/16/2011</w:t>
            </w:r>
          </w:p>
        </w:tc>
        <w:tc>
          <w:tcPr>
            <w:tcW w:w="640" w:type="dxa"/>
            <w:vAlign w:val="bottom"/>
            <w:gridSpan w:val="2"/>
          </w:tcPr>
          <w:p>
            <w:pPr>
              <w:jc w:val="right"/>
              <w:ind w:right="238"/>
              <w:spacing w:after="0" w:line="90" w:lineRule="exact"/>
              <w:rPr>
                <w:sz w:val="20"/>
                <w:szCs w:val="20"/>
                <w:color w:val="auto"/>
              </w:rPr>
            </w:pPr>
            <w:r>
              <w:rPr>
                <w:rFonts w:ascii="Arial" w:cs="Arial" w:eastAsia="Arial" w:hAnsi="Arial"/>
                <w:sz w:val="8"/>
                <w:szCs w:val="8"/>
                <w:color w:val="auto"/>
              </w:rPr>
              <w:t>25.4400</w:t>
            </w:r>
          </w:p>
        </w:tc>
        <w:tc>
          <w:tcPr>
            <w:tcW w:w="680" w:type="dxa"/>
            <w:vAlign w:val="bottom"/>
          </w:tcPr>
          <w:p>
            <w:pPr>
              <w:spacing w:after="0"/>
              <w:rPr>
                <w:sz w:val="7"/>
                <w:szCs w:val="7"/>
                <w:color w:val="auto"/>
              </w:rPr>
            </w:pPr>
          </w:p>
        </w:tc>
        <w:tc>
          <w:tcPr>
            <w:tcW w:w="640" w:type="dxa"/>
            <w:vAlign w:val="bottom"/>
          </w:tcPr>
          <w:p>
            <w:pPr>
              <w:jc w:val="right"/>
              <w:ind w:right="138"/>
              <w:spacing w:after="0" w:line="90" w:lineRule="exact"/>
              <w:rPr>
                <w:sz w:val="20"/>
                <w:szCs w:val="20"/>
                <w:color w:val="auto"/>
              </w:rPr>
            </w:pPr>
            <w:r>
              <w:rPr>
                <w:rFonts w:ascii="Arial" w:cs="Arial" w:eastAsia="Arial" w:hAnsi="Arial"/>
                <w:sz w:val="8"/>
                <w:szCs w:val="8"/>
                <w:color w:val="auto"/>
              </w:rPr>
              <w:t>82,200</w:t>
            </w:r>
          </w:p>
        </w:tc>
        <w:tc>
          <w:tcPr>
            <w:tcW w:w="700" w:type="dxa"/>
            <w:vAlign w:val="bottom"/>
          </w:tcPr>
          <w:p>
            <w:pPr>
              <w:spacing w:after="0"/>
              <w:rPr>
                <w:sz w:val="7"/>
                <w:szCs w:val="7"/>
                <w:color w:val="auto"/>
              </w:rPr>
            </w:pPr>
          </w:p>
        </w:tc>
        <w:tc>
          <w:tcPr>
            <w:tcW w:w="840" w:type="dxa"/>
            <w:vAlign w:val="bottom"/>
          </w:tcPr>
          <w:p>
            <w:pPr>
              <w:jc w:val="right"/>
              <w:ind w:right="238"/>
              <w:spacing w:after="0" w:line="90" w:lineRule="exact"/>
              <w:rPr>
                <w:sz w:val="20"/>
                <w:szCs w:val="20"/>
                <w:color w:val="auto"/>
              </w:rPr>
            </w:pPr>
            <w:r>
              <w:rPr>
                <w:rFonts w:ascii="Arial" w:cs="Arial" w:eastAsia="Arial" w:hAnsi="Arial"/>
                <w:sz w:val="8"/>
                <w:szCs w:val="8"/>
                <w:color w:val="auto"/>
              </w:rPr>
              <w:t>—</w:t>
            </w:r>
          </w:p>
        </w:tc>
        <w:tc>
          <w:tcPr>
            <w:tcW w:w="1540" w:type="dxa"/>
            <w:vAlign w:val="bottom"/>
            <w:gridSpan w:val="2"/>
          </w:tcPr>
          <w:p>
            <w:pPr>
              <w:jc w:val="right"/>
              <w:ind w:right="238"/>
              <w:spacing w:after="0" w:line="90" w:lineRule="exact"/>
              <w:rPr>
                <w:sz w:val="20"/>
                <w:szCs w:val="20"/>
                <w:color w:val="auto"/>
              </w:rPr>
            </w:pPr>
            <w:r>
              <w:rPr>
                <w:rFonts w:ascii="Arial" w:cs="Arial" w:eastAsia="Arial" w:hAnsi="Arial"/>
                <w:sz w:val="8"/>
                <w:szCs w:val="8"/>
                <w:color w:val="auto"/>
              </w:rPr>
              <w:t>65,760</w:t>
            </w:r>
          </w:p>
        </w:tc>
        <w:tc>
          <w:tcPr>
            <w:tcW w:w="700" w:type="dxa"/>
            <w:vAlign w:val="bottom"/>
          </w:tcPr>
          <w:p>
            <w:pPr>
              <w:spacing w:after="0"/>
              <w:rPr>
                <w:sz w:val="7"/>
                <w:szCs w:val="7"/>
                <w:color w:val="auto"/>
              </w:rPr>
            </w:pPr>
          </w:p>
        </w:tc>
        <w:tc>
          <w:tcPr>
            <w:tcW w:w="640" w:type="dxa"/>
            <w:vAlign w:val="bottom"/>
          </w:tcPr>
          <w:p>
            <w:pPr>
              <w:jc w:val="right"/>
              <w:ind w:right="138"/>
              <w:spacing w:after="0" w:line="90" w:lineRule="exact"/>
              <w:rPr>
                <w:sz w:val="20"/>
                <w:szCs w:val="20"/>
                <w:color w:val="auto"/>
              </w:rPr>
            </w:pPr>
            <w:r>
              <w:rPr>
                <w:rFonts w:ascii="Arial" w:cs="Arial" w:eastAsia="Arial" w:hAnsi="Arial"/>
                <w:sz w:val="8"/>
                <w:szCs w:val="8"/>
                <w:color w:val="auto"/>
              </w:rPr>
              <w:t>38,280</w:t>
            </w:r>
          </w:p>
        </w:tc>
        <w:tc>
          <w:tcPr>
            <w:tcW w:w="1500" w:type="dxa"/>
            <w:vAlign w:val="bottom"/>
            <w:gridSpan w:val="2"/>
          </w:tcPr>
          <w:p>
            <w:pPr>
              <w:jc w:val="right"/>
              <w:ind w:right="238"/>
              <w:spacing w:after="0" w:line="90" w:lineRule="exact"/>
              <w:rPr>
                <w:sz w:val="20"/>
                <w:szCs w:val="20"/>
                <w:color w:val="auto"/>
              </w:rPr>
            </w:pPr>
            <w:r>
              <w:rPr>
                <w:rFonts w:ascii="Arial" w:cs="Arial" w:eastAsia="Arial" w:hAnsi="Arial"/>
                <w:sz w:val="8"/>
                <w:szCs w:val="8"/>
                <w:color w:val="auto"/>
              </w:rPr>
              <w:t>10,110</w:t>
            </w:r>
          </w:p>
        </w:tc>
        <w:tc>
          <w:tcPr>
            <w:tcW w:w="0" w:type="dxa"/>
            <w:vAlign w:val="bottom"/>
          </w:tcPr>
          <w:p>
            <w:pPr>
              <w:spacing w:after="0"/>
              <w:rPr>
                <w:sz w:val="1"/>
                <w:szCs w:val="1"/>
                <w:color w:val="auto"/>
              </w:rPr>
            </w:pPr>
          </w:p>
        </w:tc>
      </w:tr>
      <w:tr>
        <w:trPr>
          <w:trHeight w:val="90"/>
        </w:trPr>
        <w:tc>
          <w:tcPr>
            <w:tcW w:w="2120" w:type="dxa"/>
            <w:vAlign w:val="bottom"/>
            <w:gridSpan w:val="2"/>
          </w:tcPr>
          <w:p>
            <w:pPr>
              <w:spacing w:after="0" w:line="90" w:lineRule="exact"/>
              <w:rPr>
                <w:sz w:val="20"/>
                <w:szCs w:val="20"/>
                <w:color w:val="auto"/>
              </w:rPr>
            </w:pPr>
            <w:r>
              <w:rPr>
                <w:rFonts w:ascii="Arial" w:cs="Arial" w:eastAsia="Arial" w:hAnsi="Arial"/>
                <w:sz w:val="8"/>
                <w:szCs w:val="8"/>
                <w:color w:val="auto"/>
              </w:rPr>
              <w:t>03/27/2011</w:t>
            </w:r>
          </w:p>
        </w:tc>
        <w:tc>
          <w:tcPr>
            <w:tcW w:w="640" w:type="dxa"/>
            <w:vAlign w:val="bottom"/>
            <w:gridSpan w:val="2"/>
          </w:tcPr>
          <w:p>
            <w:pPr>
              <w:jc w:val="right"/>
              <w:ind w:right="238"/>
              <w:spacing w:after="0" w:line="90" w:lineRule="exact"/>
              <w:rPr>
                <w:sz w:val="20"/>
                <w:szCs w:val="20"/>
                <w:color w:val="auto"/>
              </w:rPr>
            </w:pPr>
            <w:r>
              <w:rPr>
                <w:rFonts w:ascii="Arial" w:cs="Arial" w:eastAsia="Arial" w:hAnsi="Arial"/>
                <w:sz w:val="8"/>
                <w:szCs w:val="8"/>
                <w:color w:val="auto"/>
              </w:rPr>
              <w:t>14.5400</w:t>
            </w:r>
          </w:p>
        </w:tc>
        <w:tc>
          <w:tcPr>
            <w:tcW w:w="680" w:type="dxa"/>
            <w:vAlign w:val="bottom"/>
          </w:tcPr>
          <w:p>
            <w:pPr>
              <w:spacing w:after="0"/>
              <w:rPr>
                <w:sz w:val="7"/>
                <w:szCs w:val="7"/>
                <w:color w:val="auto"/>
              </w:rPr>
            </w:pPr>
          </w:p>
        </w:tc>
        <w:tc>
          <w:tcPr>
            <w:tcW w:w="640" w:type="dxa"/>
            <w:vAlign w:val="bottom"/>
          </w:tcPr>
          <w:p>
            <w:pPr>
              <w:jc w:val="right"/>
              <w:ind w:right="138"/>
              <w:spacing w:after="0" w:line="90" w:lineRule="exact"/>
              <w:rPr>
                <w:sz w:val="20"/>
                <w:szCs w:val="20"/>
                <w:color w:val="auto"/>
              </w:rPr>
            </w:pPr>
            <w:r>
              <w:rPr>
                <w:rFonts w:ascii="Arial" w:cs="Arial" w:eastAsia="Arial" w:hAnsi="Arial"/>
                <w:sz w:val="8"/>
                <w:szCs w:val="8"/>
                <w:color w:val="auto"/>
              </w:rPr>
              <w:t>343,500</w:t>
            </w:r>
          </w:p>
        </w:tc>
        <w:tc>
          <w:tcPr>
            <w:tcW w:w="1540" w:type="dxa"/>
            <w:vAlign w:val="bottom"/>
            <w:gridSpan w:val="2"/>
          </w:tcPr>
          <w:p>
            <w:pPr>
              <w:jc w:val="right"/>
              <w:ind w:right="238"/>
              <w:spacing w:after="0" w:line="90" w:lineRule="exact"/>
              <w:rPr>
                <w:sz w:val="20"/>
                <w:szCs w:val="20"/>
                <w:color w:val="auto"/>
              </w:rPr>
            </w:pPr>
            <w:r>
              <w:rPr>
                <w:rFonts w:ascii="Arial" w:cs="Arial" w:eastAsia="Arial" w:hAnsi="Arial"/>
                <w:sz w:val="8"/>
                <w:szCs w:val="8"/>
                <w:color w:val="auto"/>
              </w:rPr>
              <w:t>207,000</w:t>
            </w:r>
          </w:p>
        </w:tc>
        <w:tc>
          <w:tcPr>
            <w:tcW w:w="1540" w:type="dxa"/>
            <w:vAlign w:val="bottom"/>
            <w:gridSpan w:val="2"/>
          </w:tcPr>
          <w:p>
            <w:pPr>
              <w:jc w:val="right"/>
              <w:ind w:right="238"/>
              <w:spacing w:after="0" w:line="90" w:lineRule="exact"/>
              <w:rPr>
                <w:sz w:val="20"/>
                <w:szCs w:val="20"/>
                <w:color w:val="auto"/>
              </w:rPr>
            </w:pPr>
            <w:r>
              <w:rPr>
                <w:rFonts w:ascii="Arial" w:cs="Arial" w:eastAsia="Arial" w:hAnsi="Arial"/>
                <w:sz w:val="8"/>
                <w:szCs w:val="8"/>
                <w:color w:val="auto"/>
              </w:rPr>
              <w:t>276,000</w:t>
            </w:r>
          </w:p>
        </w:tc>
        <w:tc>
          <w:tcPr>
            <w:tcW w:w="700" w:type="dxa"/>
            <w:vAlign w:val="bottom"/>
          </w:tcPr>
          <w:p>
            <w:pPr>
              <w:spacing w:after="0"/>
              <w:rPr>
                <w:sz w:val="7"/>
                <w:szCs w:val="7"/>
                <w:color w:val="auto"/>
              </w:rPr>
            </w:pPr>
          </w:p>
        </w:tc>
        <w:tc>
          <w:tcPr>
            <w:tcW w:w="640" w:type="dxa"/>
            <w:vAlign w:val="bottom"/>
          </w:tcPr>
          <w:p>
            <w:pPr>
              <w:jc w:val="right"/>
              <w:ind w:right="138"/>
              <w:spacing w:after="0" w:line="90" w:lineRule="exact"/>
              <w:rPr>
                <w:sz w:val="20"/>
                <w:szCs w:val="20"/>
                <w:color w:val="auto"/>
              </w:rPr>
            </w:pPr>
            <w:r>
              <w:rPr>
                <w:rFonts w:ascii="Arial" w:cs="Arial" w:eastAsia="Arial" w:hAnsi="Arial"/>
                <w:sz w:val="8"/>
                <w:szCs w:val="8"/>
                <w:color w:val="auto"/>
              </w:rPr>
              <w:t>162,000</w:t>
            </w:r>
          </w:p>
        </w:tc>
        <w:tc>
          <w:tcPr>
            <w:tcW w:w="1500" w:type="dxa"/>
            <w:vAlign w:val="bottom"/>
            <w:gridSpan w:val="2"/>
          </w:tcPr>
          <w:p>
            <w:pPr>
              <w:jc w:val="right"/>
              <w:ind w:right="238"/>
              <w:spacing w:after="0" w:line="90" w:lineRule="exact"/>
              <w:rPr>
                <w:sz w:val="20"/>
                <w:szCs w:val="20"/>
                <w:color w:val="auto"/>
              </w:rPr>
            </w:pPr>
            <w:r>
              <w:rPr>
                <w:rFonts w:ascii="Arial" w:cs="Arial" w:eastAsia="Arial" w:hAnsi="Arial"/>
                <w:sz w:val="8"/>
                <w:szCs w:val="8"/>
                <w:color w:val="auto"/>
              </w:rPr>
              <w:t>42,300</w:t>
            </w:r>
          </w:p>
        </w:tc>
        <w:tc>
          <w:tcPr>
            <w:tcW w:w="0" w:type="dxa"/>
            <w:vAlign w:val="bottom"/>
          </w:tcPr>
          <w:p>
            <w:pPr>
              <w:spacing w:after="0"/>
              <w:rPr>
                <w:sz w:val="1"/>
                <w:szCs w:val="1"/>
                <w:color w:val="auto"/>
              </w:rPr>
            </w:pPr>
          </w:p>
        </w:tc>
      </w:tr>
      <w:tr>
        <w:trPr>
          <w:trHeight w:val="90"/>
        </w:trPr>
        <w:tc>
          <w:tcPr>
            <w:tcW w:w="2120" w:type="dxa"/>
            <w:vAlign w:val="bottom"/>
            <w:gridSpan w:val="2"/>
          </w:tcPr>
          <w:p>
            <w:pPr>
              <w:spacing w:after="0" w:line="90" w:lineRule="exact"/>
              <w:rPr>
                <w:sz w:val="20"/>
                <w:szCs w:val="20"/>
                <w:color w:val="auto"/>
              </w:rPr>
            </w:pPr>
            <w:r>
              <w:rPr>
                <w:rFonts w:ascii="Arial" w:cs="Arial" w:eastAsia="Arial" w:hAnsi="Arial"/>
                <w:sz w:val="8"/>
                <w:szCs w:val="8"/>
                <w:color w:val="auto"/>
              </w:rPr>
              <w:t>03/28/2011</w:t>
            </w:r>
          </w:p>
        </w:tc>
        <w:tc>
          <w:tcPr>
            <w:tcW w:w="640" w:type="dxa"/>
            <w:vAlign w:val="bottom"/>
            <w:gridSpan w:val="2"/>
          </w:tcPr>
          <w:p>
            <w:pPr>
              <w:jc w:val="right"/>
              <w:ind w:right="238"/>
              <w:spacing w:after="0" w:line="90" w:lineRule="exact"/>
              <w:rPr>
                <w:sz w:val="20"/>
                <w:szCs w:val="20"/>
                <w:color w:val="auto"/>
              </w:rPr>
            </w:pPr>
            <w:r>
              <w:rPr>
                <w:rFonts w:ascii="Arial" w:cs="Arial" w:eastAsia="Arial" w:hAnsi="Arial"/>
                <w:sz w:val="8"/>
                <w:szCs w:val="8"/>
                <w:color w:val="auto"/>
              </w:rPr>
              <w:t>18.9800</w:t>
            </w:r>
          </w:p>
        </w:tc>
        <w:tc>
          <w:tcPr>
            <w:tcW w:w="680" w:type="dxa"/>
            <w:vAlign w:val="bottom"/>
          </w:tcPr>
          <w:p>
            <w:pPr>
              <w:spacing w:after="0"/>
              <w:rPr>
                <w:sz w:val="7"/>
                <w:szCs w:val="7"/>
                <w:color w:val="auto"/>
              </w:rPr>
            </w:pPr>
          </w:p>
        </w:tc>
        <w:tc>
          <w:tcPr>
            <w:tcW w:w="640" w:type="dxa"/>
            <w:vAlign w:val="bottom"/>
          </w:tcPr>
          <w:p>
            <w:pPr>
              <w:jc w:val="right"/>
              <w:ind w:right="138"/>
              <w:spacing w:after="0" w:line="90" w:lineRule="exact"/>
              <w:rPr>
                <w:sz w:val="20"/>
                <w:szCs w:val="20"/>
                <w:color w:val="auto"/>
              </w:rPr>
            </w:pPr>
            <w:r>
              <w:rPr>
                <w:rFonts w:ascii="Arial" w:cs="Arial" w:eastAsia="Arial" w:hAnsi="Arial"/>
                <w:sz w:val="8"/>
                <w:szCs w:val="8"/>
                <w:color w:val="auto"/>
              </w:rPr>
              <w:t>120,450</w:t>
            </w:r>
          </w:p>
        </w:tc>
        <w:tc>
          <w:tcPr>
            <w:tcW w:w="1540" w:type="dxa"/>
            <w:vAlign w:val="bottom"/>
            <w:gridSpan w:val="2"/>
          </w:tcPr>
          <w:p>
            <w:pPr>
              <w:jc w:val="right"/>
              <w:ind w:right="238"/>
              <w:spacing w:after="0" w:line="90" w:lineRule="exact"/>
              <w:rPr>
                <w:sz w:val="20"/>
                <w:szCs w:val="20"/>
                <w:color w:val="auto"/>
              </w:rPr>
            </w:pPr>
            <w:r>
              <w:rPr>
                <w:rFonts w:ascii="Arial" w:cs="Arial" w:eastAsia="Arial" w:hAnsi="Arial"/>
                <w:sz w:val="8"/>
                <w:szCs w:val="8"/>
                <w:color w:val="auto"/>
              </w:rPr>
              <w:t>72,270</w:t>
            </w:r>
          </w:p>
        </w:tc>
        <w:tc>
          <w:tcPr>
            <w:tcW w:w="1540" w:type="dxa"/>
            <w:vAlign w:val="bottom"/>
            <w:gridSpan w:val="2"/>
          </w:tcPr>
          <w:p>
            <w:pPr>
              <w:jc w:val="right"/>
              <w:ind w:right="238"/>
              <w:spacing w:after="0" w:line="90" w:lineRule="exact"/>
              <w:rPr>
                <w:sz w:val="20"/>
                <w:szCs w:val="20"/>
                <w:color w:val="auto"/>
              </w:rPr>
            </w:pPr>
            <w:r>
              <w:rPr>
                <w:rFonts w:ascii="Arial" w:cs="Arial" w:eastAsia="Arial" w:hAnsi="Arial"/>
                <w:sz w:val="8"/>
                <w:szCs w:val="8"/>
                <w:color w:val="auto"/>
              </w:rPr>
              <w:t>96,360</w:t>
            </w:r>
          </w:p>
        </w:tc>
        <w:tc>
          <w:tcPr>
            <w:tcW w:w="700" w:type="dxa"/>
            <w:vAlign w:val="bottom"/>
          </w:tcPr>
          <w:p>
            <w:pPr>
              <w:spacing w:after="0"/>
              <w:rPr>
                <w:sz w:val="7"/>
                <w:szCs w:val="7"/>
                <w:color w:val="auto"/>
              </w:rPr>
            </w:pPr>
          </w:p>
        </w:tc>
        <w:tc>
          <w:tcPr>
            <w:tcW w:w="640" w:type="dxa"/>
            <w:vAlign w:val="bottom"/>
          </w:tcPr>
          <w:p>
            <w:pPr>
              <w:jc w:val="right"/>
              <w:ind w:right="138"/>
              <w:spacing w:after="0" w:line="90" w:lineRule="exact"/>
              <w:rPr>
                <w:sz w:val="20"/>
                <w:szCs w:val="20"/>
                <w:color w:val="auto"/>
              </w:rPr>
            </w:pPr>
            <w:r>
              <w:rPr>
                <w:rFonts w:ascii="Arial" w:cs="Arial" w:eastAsia="Arial" w:hAnsi="Arial"/>
                <w:sz w:val="8"/>
                <w:szCs w:val="8"/>
                <w:color w:val="auto"/>
              </w:rPr>
              <w:t>56,100</w:t>
            </w:r>
          </w:p>
        </w:tc>
        <w:tc>
          <w:tcPr>
            <w:tcW w:w="1500" w:type="dxa"/>
            <w:vAlign w:val="bottom"/>
            <w:gridSpan w:val="2"/>
          </w:tcPr>
          <w:p>
            <w:pPr>
              <w:jc w:val="right"/>
              <w:ind w:right="238"/>
              <w:spacing w:after="0" w:line="90" w:lineRule="exact"/>
              <w:rPr>
                <w:sz w:val="20"/>
                <w:szCs w:val="20"/>
                <w:color w:val="auto"/>
              </w:rPr>
            </w:pPr>
            <w:r>
              <w:rPr>
                <w:rFonts w:ascii="Arial" w:cs="Arial" w:eastAsia="Arial" w:hAnsi="Arial"/>
                <w:sz w:val="8"/>
                <w:szCs w:val="8"/>
                <w:color w:val="auto"/>
              </w:rPr>
              <w:t>14,850</w:t>
            </w:r>
          </w:p>
        </w:tc>
        <w:tc>
          <w:tcPr>
            <w:tcW w:w="0" w:type="dxa"/>
            <w:vAlign w:val="bottom"/>
          </w:tcPr>
          <w:p>
            <w:pPr>
              <w:spacing w:after="0"/>
              <w:rPr>
                <w:sz w:val="1"/>
                <w:szCs w:val="1"/>
                <w:color w:val="auto"/>
              </w:rPr>
            </w:pPr>
          </w:p>
        </w:tc>
      </w:tr>
      <w:tr>
        <w:trPr>
          <w:trHeight w:val="90"/>
        </w:trPr>
        <w:tc>
          <w:tcPr>
            <w:tcW w:w="2120" w:type="dxa"/>
            <w:vAlign w:val="bottom"/>
            <w:gridSpan w:val="2"/>
          </w:tcPr>
          <w:p>
            <w:pPr>
              <w:spacing w:after="0" w:line="90" w:lineRule="exact"/>
              <w:rPr>
                <w:sz w:val="20"/>
                <w:szCs w:val="20"/>
                <w:color w:val="auto"/>
              </w:rPr>
            </w:pPr>
            <w:r>
              <w:rPr>
                <w:rFonts w:ascii="Arial" w:cs="Arial" w:eastAsia="Arial" w:hAnsi="Arial"/>
                <w:sz w:val="8"/>
                <w:szCs w:val="8"/>
                <w:color w:val="auto"/>
              </w:rPr>
              <w:t>03/30/2011</w:t>
            </w:r>
          </w:p>
        </w:tc>
        <w:tc>
          <w:tcPr>
            <w:tcW w:w="640" w:type="dxa"/>
            <w:vAlign w:val="bottom"/>
            <w:gridSpan w:val="2"/>
          </w:tcPr>
          <w:p>
            <w:pPr>
              <w:jc w:val="right"/>
              <w:ind w:right="238"/>
              <w:spacing w:after="0" w:line="90" w:lineRule="exact"/>
              <w:rPr>
                <w:sz w:val="20"/>
                <w:szCs w:val="20"/>
                <w:color w:val="auto"/>
              </w:rPr>
            </w:pPr>
            <w:r>
              <w:rPr>
                <w:rFonts w:ascii="Arial" w:cs="Arial" w:eastAsia="Arial" w:hAnsi="Arial"/>
                <w:sz w:val="8"/>
                <w:szCs w:val="8"/>
                <w:color w:val="auto"/>
              </w:rPr>
              <w:t>25.9500</w:t>
            </w:r>
          </w:p>
        </w:tc>
        <w:tc>
          <w:tcPr>
            <w:tcW w:w="680" w:type="dxa"/>
            <w:vAlign w:val="bottom"/>
          </w:tcPr>
          <w:p>
            <w:pPr>
              <w:spacing w:after="0"/>
              <w:rPr>
                <w:sz w:val="7"/>
                <w:szCs w:val="7"/>
                <w:color w:val="auto"/>
              </w:rPr>
            </w:pPr>
          </w:p>
        </w:tc>
        <w:tc>
          <w:tcPr>
            <w:tcW w:w="640" w:type="dxa"/>
            <w:vAlign w:val="bottom"/>
          </w:tcPr>
          <w:p>
            <w:pPr>
              <w:jc w:val="right"/>
              <w:ind w:right="138"/>
              <w:spacing w:after="0" w:line="90" w:lineRule="exact"/>
              <w:rPr>
                <w:sz w:val="20"/>
                <w:szCs w:val="20"/>
                <w:color w:val="auto"/>
              </w:rPr>
            </w:pPr>
            <w:r>
              <w:rPr>
                <w:rFonts w:ascii="Arial" w:cs="Arial" w:eastAsia="Arial" w:hAnsi="Arial"/>
                <w:sz w:val="8"/>
                <w:szCs w:val="8"/>
                <w:color w:val="auto"/>
              </w:rPr>
              <w:t>—</w:t>
            </w:r>
          </w:p>
        </w:tc>
        <w:tc>
          <w:tcPr>
            <w:tcW w:w="1540" w:type="dxa"/>
            <w:vAlign w:val="bottom"/>
            <w:gridSpan w:val="2"/>
          </w:tcPr>
          <w:p>
            <w:pPr>
              <w:jc w:val="right"/>
              <w:ind w:right="238"/>
              <w:spacing w:after="0" w:line="90" w:lineRule="exact"/>
              <w:rPr>
                <w:sz w:val="20"/>
                <w:szCs w:val="20"/>
                <w:color w:val="auto"/>
              </w:rPr>
            </w:pPr>
            <w:r>
              <w:rPr>
                <w:rFonts w:ascii="Arial" w:cs="Arial" w:eastAsia="Arial" w:hAnsi="Arial"/>
                <w:sz w:val="8"/>
                <w:szCs w:val="8"/>
                <w:color w:val="auto"/>
              </w:rPr>
              <w:t>37,161</w:t>
            </w:r>
          </w:p>
        </w:tc>
        <w:tc>
          <w:tcPr>
            <w:tcW w:w="700" w:type="dxa"/>
            <w:vAlign w:val="bottom"/>
          </w:tcPr>
          <w:p>
            <w:pPr>
              <w:spacing w:after="0"/>
              <w:rPr>
                <w:sz w:val="7"/>
                <w:szCs w:val="7"/>
                <w:color w:val="auto"/>
              </w:rPr>
            </w:pPr>
          </w:p>
        </w:tc>
        <w:tc>
          <w:tcPr>
            <w:tcW w:w="1540" w:type="dxa"/>
            <w:vAlign w:val="bottom"/>
            <w:gridSpan w:val="2"/>
          </w:tcPr>
          <w:p>
            <w:pPr>
              <w:jc w:val="right"/>
              <w:ind w:right="980"/>
              <w:spacing w:after="0" w:line="90" w:lineRule="exact"/>
              <w:rPr>
                <w:sz w:val="20"/>
                <w:szCs w:val="20"/>
                <w:color w:val="auto"/>
              </w:rPr>
            </w:pPr>
            <w:r>
              <w:rPr>
                <w:rFonts w:ascii="Arial" w:cs="Arial" w:eastAsia="Arial" w:hAnsi="Arial"/>
                <w:sz w:val="8"/>
                <w:szCs w:val="8"/>
                <w:color w:val="auto"/>
              </w:rPr>
              <w:t>—</w:t>
            </w:r>
          </w:p>
        </w:tc>
        <w:tc>
          <w:tcPr>
            <w:tcW w:w="640" w:type="dxa"/>
            <w:vAlign w:val="bottom"/>
          </w:tcPr>
          <w:p>
            <w:pPr>
              <w:jc w:val="right"/>
              <w:ind w:right="138"/>
              <w:spacing w:after="0" w:line="90" w:lineRule="exact"/>
              <w:rPr>
                <w:sz w:val="20"/>
                <w:szCs w:val="20"/>
                <w:color w:val="auto"/>
              </w:rPr>
            </w:pPr>
            <w:r>
              <w:rPr>
                <w:rFonts w:ascii="Arial" w:cs="Arial" w:eastAsia="Arial" w:hAnsi="Arial"/>
                <w:sz w:val="8"/>
                <w:szCs w:val="8"/>
                <w:color w:val="auto"/>
              </w:rPr>
              <w:t>—</w:t>
            </w:r>
          </w:p>
        </w:tc>
        <w:tc>
          <w:tcPr>
            <w:tcW w:w="700" w:type="dxa"/>
            <w:vAlign w:val="bottom"/>
          </w:tcPr>
          <w:p>
            <w:pPr>
              <w:spacing w:after="0"/>
              <w:rPr>
                <w:sz w:val="7"/>
                <w:szCs w:val="7"/>
                <w:color w:val="auto"/>
              </w:rPr>
            </w:pPr>
          </w:p>
        </w:tc>
        <w:tc>
          <w:tcPr>
            <w:tcW w:w="800" w:type="dxa"/>
            <w:vAlign w:val="bottom"/>
          </w:tcPr>
          <w:p>
            <w:pPr>
              <w:jc w:val="right"/>
              <w:ind w:right="238"/>
              <w:spacing w:after="0" w:line="90"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90"/>
        </w:trPr>
        <w:tc>
          <w:tcPr>
            <w:tcW w:w="2120" w:type="dxa"/>
            <w:vAlign w:val="bottom"/>
            <w:gridSpan w:val="2"/>
          </w:tcPr>
          <w:p>
            <w:pPr>
              <w:spacing w:after="0" w:line="90" w:lineRule="exact"/>
              <w:rPr>
                <w:sz w:val="20"/>
                <w:szCs w:val="20"/>
                <w:color w:val="auto"/>
              </w:rPr>
            </w:pPr>
            <w:r>
              <w:rPr>
                <w:rFonts w:ascii="Arial" w:cs="Arial" w:eastAsia="Arial" w:hAnsi="Arial"/>
                <w:sz w:val="8"/>
                <w:szCs w:val="8"/>
                <w:color w:val="auto"/>
              </w:rPr>
              <w:t>07/01/2011</w:t>
            </w:r>
          </w:p>
        </w:tc>
        <w:tc>
          <w:tcPr>
            <w:tcW w:w="640" w:type="dxa"/>
            <w:vAlign w:val="bottom"/>
            <w:gridSpan w:val="2"/>
          </w:tcPr>
          <w:p>
            <w:pPr>
              <w:jc w:val="right"/>
              <w:ind w:right="238"/>
              <w:spacing w:after="0" w:line="90" w:lineRule="exact"/>
              <w:rPr>
                <w:sz w:val="20"/>
                <w:szCs w:val="20"/>
                <w:color w:val="auto"/>
              </w:rPr>
            </w:pPr>
            <w:r>
              <w:rPr>
                <w:rFonts w:ascii="Arial" w:cs="Arial" w:eastAsia="Arial" w:hAnsi="Arial"/>
                <w:sz w:val="8"/>
                <w:szCs w:val="8"/>
                <w:color w:val="auto"/>
              </w:rPr>
              <w:t>15.8933</w:t>
            </w:r>
          </w:p>
        </w:tc>
        <w:tc>
          <w:tcPr>
            <w:tcW w:w="680" w:type="dxa"/>
            <w:vAlign w:val="bottom"/>
          </w:tcPr>
          <w:p>
            <w:pPr>
              <w:spacing w:after="0"/>
              <w:rPr>
                <w:sz w:val="7"/>
                <w:szCs w:val="7"/>
                <w:color w:val="auto"/>
              </w:rPr>
            </w:pPr>
          </w:p>
        </w:tc>
        <w:tc>
          <w:tcPr>
            <w:tcW w:w="640" w:type="dxa"/>
            <w:vAlign w:val="bottom"/>
          </w:tcPr>
          <w:p>
            <w:pPr>
              <w:jc w:val="right"/>
              <w:ind w:right="138"/>
              <w:spacing w:after="0" w:line="90" w:lineRule="exact"/>
              <w:rPr>
                <w:sz w:val="20"/>
                <w:szCs w:val="20"/>
                <w:color w:val="auto"/>
              </w:rPr>
            </w:pPr>
            <w:r>
              <w:rPr>
                <w:rFonts w:ascii="Arial" w:cs="Arial" w:eastAsia="Arial" w:hAnsi="Arial"/>
                <w:sz w:val="8"/>
                <w:szCs w:val="8"/>
                <w:color w:val="auto"/>
              </w:rPr>
              <w:t>—</w:t>
            </w:r>
          </w:p>
        </w:tc>
        <w:tc>
          <w:tcPr>
            <w:tcW w:w="700" w:type="dxa"/>
            <w:vAlign w:val="bottom"/>
          </w:tcPr>
          <w:p>
            <w:pPr>
              <w:spacing w:after="0"/>
              <w:rPr>
                <w:sz w:val="7"/>
                <w:szCs w:val="7"/>
                <w:color w:val="auto"/>
              </w:rPr>
            </w:pPr>
          </w:p>
        </w:tc>
        <w:tc>
          <w:tcPr>
            <w:tcW w:w="840" w:type="dxa"/>
            <w:vAlign w:val="bottom"/>
          </w:tcPr>
          <w:p>
            <w:pPr>
              <w:jc w:val="right"/>
              <w:ind w:right="238"/>
              <w:spacing w:after="0" w:line="90" w:lineRule="exact"/>
              <w:rPr>
                <w:sz w:val="20"/>
                <w:szCs w:val="20"/>
                <w:color w:val="auto"/>
              </w:rPr>
            </w:pPr>
            <w:r>
              <w:rPr>
                <w:rFonts w:ascii="Arial" w:cs="Arial" w:eastAsia="Arial" w:hAnsi="Arial"/>
                <w:sz w:val="8"/>
                <w:szCs w:val="8"/>
                <w:color w:val="auto"/>
              </w:rPr>
              <w:t>—</w:t>
            </w:r>
          </w:p>
        </w:tc>
        <w:tc>
          <w:tcPr>
            <w:tcW w:w="700" w:type="dxa"/>
            <w:vAlign w:val="bottom"/>
          </w:tcPr>
          <w:p>
            <w:pPr>
              <w:spacing w:after="0"/>
              <w:rPr>
                <w:sz w:val="7"/>
                <w:szCs w:val="7"/>
                <w:color w:val="auto"/>
              </w:rPr>
            </w:pPr>
          </w:p>
        </w:tc>
        <w:tc>
          <w:tcPr>
            <w:tcW w:w="1540" w:type="dxa"/>
            <w:vAlign w:val="bottom"/>
            <w:gridSpan w:val="2"/>
          </w:tcPr>
          <w:p>
            <w:pPr>
              <w:jc w:val="right"/>
              <w:ind w:right="980"/>
              <w:spacing w:after="0" w:line="90" w:lineRule="exact"/>
              <w:rPr>
                <w:sz w:val="20"/>
                <w:szCs w:val="20"/>
                <w:color w:val="auto"/>
              </w:rPr>
            </w:pPr>
            <w:r>
              <w:rPr>
                <w:rFonts w:ascii="Arial" w:cs="Arial" w:eastAsia="Arial" w:hAnsi="Arial"/>
                <w:sz w:val="8"/>
                <w:szCs w:val="8"/>
                <w:color w:val="auto"/>
              </w:rPr>
              <w:t>—</w:t>
            </w:r>
          </w:p>
        </w:tc>
        <w:tc>
          <w:tcPr>
            <w:tcW w:w="640" w:type="dxa"/>
            <w:vAlign w:val="bottom"/>
          </w:tcPr>
          <w:p>
            <w:pPr>
              <w:jc w:val="right"/>
              <w:ind w:right="138"/>
              <w:spacing w:after="0" w:line="90" w:lineRule="exact"/>
              <w:rPr>
                <w:sz w:val="20"/>
                <w:szCs w:val="20"/>
                <w:color w:val="auto"/>
              </w:rPr>
            </w:pPr>
            <w:r>
              <w:rPr>
                <w:rFonts w:ascii="Arial" w:cs="Arial" w:eastAsia="Arial" w:hAnsi="Arial"/>
                <w:sz w:val="8"/>
                <w:szCs w:val="8"/>
                <w:color w:val="auto"/>
              </w:rPr>
              <w:t>37,500</w:t>
            </w:r>
          </w:p>
        </w:tc>
        <w:tc>
          <w:tcPr>
            <w:tcW w:w="700" w:type="dxa"/>
            <w:vAlign w:val="bottom"/>
          </w:tcPr>
          <w:p>
            <w:pPr>
              <w:spacing w:after="0"/>
              <w:rPr>
                <w:sz w:val="7"/>
                <w:szCs w:val="7"/>
                <w:color w:val="auto"/>
              </w:rPr>
            </w:pPr>
          </w:p>
        </w:tc>
        <w:tc>
          <w:tcPr>
            <w:tcW w:w="800" w:type="dxa"/>
            <w:vAlign w:val="bottom"/>
          </w:tcPr>
          <w:p>
            <w:pPr>
              <w:jc w:val="right"/>
              <w:ind w:right="238"/>
              <w:spacing w:after="0" w:line="90"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90"/>
        </w:trPr>
        <w:tc>
          <w:tcPr>
            <w:tcW w:w="2120" w:type="dxa"/>
            <w:vAlign w:val="bottom"/>
            <w:gridSpan w:val="2"/>
          </w:tcPr>
          <w:p>
            <w:pPr>
              <w:spacing w:after="0" w:line="90" w:lineRule="exact"/>
              <w:rPr>
                <w:sz w:val="20"/>
                <w:szCs w:val="20"/>
                <w:color w:val="auto"/>
              </w:rPr>
            </w:pPr>
            <w:r>
              <w:rPr>
                <w:rFonts w:ascii="Arial" w:cs="Arial" w:eastAsia="Arial" w:hAnsi="Arial"/>
                <w:sz w:val="8"/>
                <w:szCs w:val="8"/>
                <w:color w:val="auto"/>
              </w:rPr>
              <w:t>10/28/2011</w:t>
            </w:r>
          </w:p>
        </w:tc>
        <w:tc>
          <w:tcPr>
            <w:tcW w:w="640" w:type="dxa"/>
            <w:vAlign w:val="bottom"/>
            <w:gridSpan w:val="2"/>
          </w:tcPr>
          <w:p>
            <w:pPr>
              <w:jc w:val="right"/>
              <w:ind w:right="238"/>
              <w:spacing w:after="0" w:line="90" w:lineRule="exact"/>
              <w:rPr>
                <w:sz w:val="20"/>
                <w:szCs w:val="20"/>
                <w:color w:val="auto"/>
              </w:rPr>
            </w:pPr>
            <w:r>
              <w:rPr>
                <w:rFonts w:ascii="Arial" w:cs="Arial" w:eastAsia="Arial" w:hAnsi="Arial"/>
                <w:sz w:val="8"/>
                <w:szCs w:val="8"/>
                <w:color w:val="auto"/>
              </w:rPr>
              <w:t>15.8933</w:t>
            </w:r>
          </w:p>
        </w:tc>
        <w:tc>
          <w:tcPr>
            <w:tcW w:w="680" w:type="dxa"/>
            <w:vAlign w:val="bottom"/>
          </w:tcPr>
          <w:p>
            <w:pPr>
              <w:spacing w:after="0"/>
              <w:rPr>
                <w:sz w:val="7"/>
                <w:szCs w:val="7"/>
                <w:color w:val="auto"/>
              </w:rPr>
            </w:pPr>
          </w:p>
        </w:tc>
        <w:tc>
          <w:tcPr>
            <w:tcW w:w="640" w:type="dxa"/>
            <w:vAlign w:val="bottom"/>
          </w:tcPr>
          <w:p>
            <w:pPr>
              <w:jc w:val="right"/>
              <w:ind w:right="138"/>
              <w:spacing w:after="0" w:line="90" w:lineRule="exact"/>
              <w:rPr>
                <w:sz w:val="20"/>
                <w:szCs w:val="20"/>
                <w:color w:val="auto"/>
              </w:rPr>
            </w:pPr>
            <w:r>
              <w:rPr>
                <w:rFonts w:ascii="Arial" w:cs="Arial" w:eastAsia="Arial" w:hAnsi="Arial"/>
                <w:sz w:val="8"/>
                <w:szCs w:val="8"/>
                <w:color w:val="auto"/>
              </w:rPr>
              <w:t>—</w:t>
            </w:r>
          </w:p>
        </w:tc>
        <w:tc>
          <w:tcPr>
            <w:tcW w:w="700" w:type="dxa"/>
            <w:vAlign w:val="bottom"/>
          </w:tcPr>
          <w:p>
            <w:pPr>
              <w:spacing w:after="0"/>
              <w:rPr>
                <w:sz w:val="7"/>
                <w:szCs w:val="7"/>
                <w:color w:val="auto"/>
              </w:rPr>
            </w:pPr>
          </w:p>
        </w:tc>
        <w:tc>
          <w:tcPr>
            <w:tcW w:w="840" w:type="dxa"/>
            <w:vAlign w:val="bottom"/>
          </w:tcPr>
          <w:p>
            <w:pPr>
              <w:jc w:val="right"/>
              <w:ind w:right="238"/>
              <w:spacing w:after="0" w:line="90" w:lineRule="exact"/>
              <w:rPr>
                <w:sz w:val="20"/>
                <w:szCs w:val="20"/>
                <w:color w:val="auto"/>
              </w:rPr>
            </w:pPr>
            <w:r>
              <w:rPr>
                <w:rFonts w:ascii="Arial" w:cs="Arial" w:eastAsia="Arial" w:hAnsi="Arial"/>
                <w:sz w:val="8"/>
                <w:szCs w:val="8"/>
                <w:color w:val="auto"/>
              </w:rPr>
              <w:t>—</w:t>
            </w:r>
          </w:p>
        </w:tc>
        <w:tc>
          <w:tcPr>
            <w:tcW w:w="1540" w:type="dxa"/>
            <w:vAlign w:val="bottom"/>
            <w:gridSpan w:val="2"/>
          </w:tcPr>
          <w:p>
            <w:pPr>
              <w:jc w:val="right"/>
              <w:ind w:right="238"/>
              <w:spacing w:after="0" w:line="90" w:lineRule="exact"/>
              <w:rPr>
                <w:sz w:val="20"/>
                <w:szCs w:val="20"/>
                <w:color w:val="auto"/>
              </w:rPr>
            </w:pPr>
            <w:r>
              <w:rPr>
                <w:rFonts w:ascii="Arial" w:cs="Arial" w:eastAsia="Arial" w:hAnsi="Arial"/>
                <w:sz w:val="8"/>
                <w:szCs w:val="8"/>
                <w:color w:val="auto"/>
              </w:rPr>
              <w:t>28,125</w:t>
            </w:r>
          </w:p>
        </w:tc>
        <w:tc>
          <w:tcPr>
            <w:tcW w:w="700" w:type="dxa"/>
            <w:vAlign w:val="bottom"/>
          </w:tcPr>
          <w:p>
            <w:pPr>
              <w:spacing w:after="0"/>
              <w:rPr>
                <w:sz w:val="7"/>
                <w:szCs w:val="7"/>
                <w:color w:val="auto"/>
              </w:rPr>
            </w:pPr>
          </w:p>
        </w:tc>
        <w:tc>
          <w:tcPr>
            <w:tcW w:w="640" w:type="dxa"/>
            <w:vAlign w:val="bottom"/>
          </w:tcPr>
          <w:p>
            <w:pPr>
              <w:jc w:val="right"/>
              <w:ind w:right="138"/>
              <w:spacing w:after="0" w:line="90" w:lineRule="exact"/>
              <w:rPr>
                <w:sz w:val="20"/>
                <w:szCs w:val="20"/>
                <w:color w:val="auto"/>
              </w:rPr>
            </w:pPr>
            <w:r>
              <w:rPr>
                <w:rFonts w:ascii="Arial" w:cs="Arial" w:eastAsia="Arial" w:hAnsi="Arial"/>
                <w:sz w:val="8"/>
                <w:szCs w:val="8"/>
                <w:color w:val="auto"/>
              </w:rPr>
              <w:t>6,375</w:t>
            </w:r>
          </w:p>
        </w:tc>
        <w:tc>
          <w:tcPr>
            <w:tcW w:w="1500" w:type="dxa"/>
            <w:vAlign w:val="bottom"/>
            <w:gridSpan w:val="2"/>
          </w:tcPr>
          <w:p>
            <w:pPr>
              <w:jc w:val="right"/>
              <w:ind w:right="238"/>
              <w:spacing w:after="0" w:line="90" w:lineRule="exact"/>
              <w:rPr>
                <w:sz w:val="20"/>
                <w:szCs w:val="20"/>
                <w:color w:val="auto"/>
              </w:rPr>
            </w:pPr>
            <w:r>
              <w:rPr>
                <w:rFonts w:ascii="Arial" w:cs="Arial" w:eastAsia="Arial" w:hAnsi="Arial"/>
                <w:sz w:val="8"/>
                <w:szCs w:val="8"/>
                <w:color w:val="auto"/>
              </w:rPr>
              <w:t>5,625</w:t>
            </w:r>
          </w:p>
        </w:tc>
        <w:tc>
          <w:tcPr>
            <w:tcW w:w="0" w:type="dxa"/>
            <w:vAlign w:val="bottom"/>
          </w:tcPr>
          <w:p>
            <w:pPr>
              <w:spacing w:after="0"/>
              <w:rPr>
                <w:sz w:val="1"/>
                <w:szCs w:val="1"/>
                <w:color w:val="auto"/>
              </w:rPr>
            </w:pPr>
          </w:p>
        </w:tc>
      </w:tr>
      <w:tr>
        <w:trPr>
          <w:trHeight w:val="90"/>
        </w:trPr>
        <w:tc>
          <w:tcPr>
            <w:tcW w:w="2120" w:type="dxa"/>
            <w:vAlign w:val="bottom"/>
            <w:gridSpan w:val="2"/>
          </w:tcPr>
          <w:p>
            <w:pPr>
              <w:spacing w:after="0" w:line="90" w:lineRule="exact"/>
              <w:rPr>
                <w:sz w:val="20"/>
                <w:szCs w:val="20"/>
                <w:color w:val="auto"/>
              </w:rPr>
            </w:pPr>
            <w:r>
              <w:rPr>
                <w:rFonts w:ascii="Arial" w:cs="Arial" w:eastAsia="Arial" w:hAnsi="Arial"/>
                <w:sz w:val="8"/>
                <w:szCs w:val="8"/>
                <w:color w:val="auto"/>
              </w:rPr>
              <w:t>11/11/2011</w:t>
            </w:r>
          </w:p>
        </w:tc>
        <w:tc>
          <w:tcPr>
            <w:tcW w:w="640" w:type="dxa"/>
            <w:vAlign w:val="bottom"/>
            <w:gridSpan w:val="2"/>
          </w:tcPr>
          <w:p>
            <w:pPr>
              <w:jc w:val="right"/>
              <w:ind w:right="238"/>
              <w:spacing w:after="0" w:line="90" w:lineRule="exact"/>
              <w:rPr>
                <w:sz w:val="20"/>
                <w:szCs w:val="20"/>
                <w:color w:val="auto"/>
              </w:rPr>
            </w:pPr>
            <w:r>
              <w:rPr>
                <w:rFonts w:ascii="Arial" w:cs="Arial" w:eastAsia="Arial" w:hAnsi="Arial"/>
                <w:sz w:val="8"/>
                <w:szCs w:val="8"/>
                <w:color w:val="auto"/>
              </w:rPr>
              <w:t>17.9533</w:t>
            </w:r>
          </w:p>
        </w:tc>
        <w:tc>
          <w:tcPr>
            <w:tcW w:w="680" w:type="dxa"/>
            <w:vAlign w:val="bottom"/>
          </w:tcPr>
          <w:p>
            <w:pPr>
              <w:spacing w:after="0"/>
              <w:rPr>
                <w:sz w:val="7"/>
                <w:szCs w:val="7"/>
                <w:color w:val="auto"/>
              </w:rPr>
            </w:pPr>
          </w:p>
        </w:tc>
        <w:tc>
          <w:tcPr>
            <w:tcW w:w="640" w:type="dxa"/>
            <w:vAlign w:val="bottom"/>
          </w:tcPr>
          <w:p>
            <w:pPr>
              <w:jc w:val="right"/>
              <w:ind w:right="138"/>
              <w:spacing w:after="0" w:line="90" w:lineRule="exact"/>
              <w:rPr>
                <w:sz w:val="20"/>
                <w:szCs w:val="20"/>
                <w:color w:val="auto"/>
              </w:rPr>
            </w:pPr>
            <w:r>
              <w:rPr>
                <w:rFonts w:ascii="Arial" w:cs="Arial" w:eastAsia="Arial" w:hAnsi="Arial"/>
                <w:sz w:val="8"/>
                <w:szCs w:val="8"/>
                <w:color w:val="auto"/>
              </w:rPr>
              <w:t>—</w:t>
            </w:r>
          </w:p>
        </w:tc>
        <w:tc>
          <w:tcPr>
            <w:tcW w:w="700" w:type="dxa"/>
            <w:vAlign w:val="bottom"/>
          </w:tcPr>
          <w:p>
            <w:pPr>
              <w:spacing w:after="0"/>
              <w:rPr>
                <w:sz w:val="7"/>
                <w:szCs w:val="7"/>
                <w:color w:val="auto"/>
              </w:rPr>
            </w:pPr>
          </w:p>
        </w:tc>
        <w:tc>
          <w:tcPr>
            <w:tcW w:w="840" w:type="dxa"/>
            <w:vAlign w:val="bottom"/>
          </w:tcPr>
          <w:p>
            <w:pPr>
              <w:jc w:val="right"/>
              <w:ind w:right="238"/>
              <w:spacing w:after="0" w:line="90" w:lineRule="exact"/>
              <w:rPr>
                <w:sz w:val="20"/>
                <w:szCs w:val="20"/>
                <w:color w:val="auto"/>
              </w:rPr>
            </w:pPr>
            <w:r>
              <w:rPr>
                <w:rFonts w:ascii="Arial" w:cs="Arial" w:eastAsia="Arial" w:hAnsi="Arial"/>
                <w:sz w:val="8"/>
                <w:szCs w:val="8"/>
                <w:color w:val="auto"/>
              </w:rPr>
              <w:t>—</w:t>
            </w:r>
          </w:p>
        </w:tc>
        <w:tc>
          <w:tcPr>
            <w:tcW w:w="700" w:type="dxa"/>
            <w:vAlign w:val="bottom"/>
          </w:tcPr>
          <w:p>
            <w:pPr>
              <w:spacing w:after="0"/>
              <w:rPr>
                <w:sz w:val="7"/>
                <w:szCs w:val="7"/>
                <w:color w:val="auto"/>
              </w:rPr>
            </w:pPr>
          </w:p>
        </w:tc>
        <w:tc>
          <w:tcPr>
            <w:tcW w:w="1540" w:type="dxa"/>
            <w:vAlign w:val="bottom"/>
            <w:gridSpan w:val="2"/>
          </w:tcPr>
          <w:p>
            <w:pPr>
              <w:jc w:val="right"/>
              <w:ind w:right="980"/>
              <w:spacing w:after="0" w:line="90" w:lineRule="exact"/>
              <w:rPr>
                <w:sz w:val="20"/>
                <w:szCs w:val="20"/>
                <w:color w:val="auto"/>
              </w:rPr>
            </w:pPr>
            <w:r>
              <w:rPr>
                <w:rFonts w:ascii="Arial" w:cs="Arial" w:eastAsia="Arial" w:hAnsi="Arial"/>
                <w:sz w:val="8"/>
                <w:szCs w:val="8"/>
                <w:color w:val="auto"/>
              </w:rPr>
              <w:t>—</w:t>
            </w:r>
          </w:p>
        </w:tc>
        <w:tc>
          <w:tcPr>
            <w:tcW w:w="640" w:type="dxa"/>
            <w:vAlign w:val="bottom"/>
          </w:tcPr>
          <w:p>
            <w:pPr>
              <w:jc w:val="right"/>
              <w:ind w:right="138"/>
              <w:spacing w:after="0" w:line="90" w:lineRule="exact"/>
              <w:rPr>
                <w:sz w:val="20"/>
                <w:szCs w:val="20"/>
                <w:color w:val="auto"/>
              </w:rPr>
            </w:pPr>
            <w:r>
              <w:rPr>
                <w:rFonts w:ascii="Arial" w:cs="Arial" w:eastAsia="Arial" w:hAnsi="Arial"/>
                <w:sz w:val="8"/>
                <w:szCs w:val="8"/>
                <w:color w:val="auto"/>
              </w:rPr>
              <w:t>16,875</w:t>
            </w:r>
          </w:p>
        </w:tc>
        <w:tc>
          <w:tcPr>
            <w:tcW w:w="700" w:type="dxa"/>
            <w:vAlign w:val="bottom"/>
          </w:tcPr>
          <w:p>
            <w:pPr>
              <w:spacing w:after="0"/>
              <w:rPr>
                <w:sz w:val="7"/>
                <w:szCs w:val="7"/>
                <w:color w:val="auto"/>
              </w:rPr>
            </w:pPr>
          </w:p>
        </w:tc>
        <w:tc>
          <w:tcPr>
            <w:tcW w:w="800" w:type="dxa"/>
            <w:vAlign w:val="bottom"/>
          </w:tcPr>
          <w:p>
            <w:pPr>
              <w:jc w:val="right"/>
              <w:ind w:right="238"/>
              <w:spacing w:after="0" w:line="90"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99"/>
        </w:trPr>
        <w:tc>
          <w:tcPr>
            <w:tcW w:w="2120" w:type="dxa"/>
            <w:vAlign w:val="bottom"/>
            <w:gridSpan w:val="2"/>
          </w:tcPr>
          <w:p>
            <w:pPr>
              <w:spacing w:after="0"/>
              <w:rPr>
                <w:sz w:val="20"/>
                <w:szCs w:val="20"/>
                <w:color w:val="auto"/>
              </w:rPr>
            </w:pPr>
            <w:r>
              <w:rPr>
                <w:rFonts w:ascii="Arial" w:cs="Arial" w:eastAsia="Arial" w:hAnsi="Arial"/>
                <w:sz w:val="8"/>
                <w:szCs w:val="8"/>
                <w:color w:val="auto"/>
              </w:rPr>
              <w:t>12/18/2011</w:t>
            </w:r>
          </w:p>
        </w:tc>
        <w:tc>
          <w:tcPr>
            <w:tcW w:w="640" w:type="dxa"/>
            <w:vAlign w:val="bottom"/>
            <w:gridSpan w:val="2"/>
          </w:tcPr>
          <w:p>
            <w:pPr>
              <w:jc w:val="right"/>
              <w:ind w:right="238"/>
              <w:spacing w:after="0"/>
              <w:rPr>
                <w:sz w:val="20"/>
                <w:szCs w:val="20"/>
                <w:color w:val="auto"/>
              </w:rPr>
            </w:pPr>
            <w:r>
              <w:rPr>
                <w:rFonts w:ascii="Arial" w:cs="Arial" w:eastAsia="Arial" w:hAnsi="Arial"/>
                <w:sz w:val="8"/>
                <w:szCs w:val="8"/>
                <w:color w:val="auto"/>
              </w:rPr>
              <w:t>17.2400</w:t>
            </w:r>
          </w:p>
        </w:tc>
        <w:tc>
          <w:tcPr>
            <w:tcW w:w="680" w:type="dxa"/>
            <w:vAlign w:val="bottom"/>
          </w:tcPr>
          <w:p>
            <w:pPr>
              <w:spacing w:after="0"/>
              <w:rPr>
                <w:sz w:val="8"/>
                <w:szCs w:val="8"/>
                <w:color w:val="auto"/>
              </w:rPr>
            </w:pPr>
          </w:p>
        </w:tc>
        <w:tc>
          <w:tcPr>
            <w:tcW w:w="640" w:type="dxa"/>
            <w:vAlign w:val="bottom"/>
          </w:tcPr>
          <w:p>
            <w:pPr>
              <w:jc w:val="right"/>
              <w:ind w:right="138"/>
              <w:spacing w:after="0"/>
              <w:rPr>
                <w:sz w:val="20"/>
                <w:szCs w:val="20"/>
                <w:color w:val="auto"/>
              </w:rPr>
            </w:pPr>
            <w:r>
              <w:rPr>
                <w:rFonts w:ascii="Arial" w:cs="Arial" w:eastAsia="Arial" w:hAnsi="Arial"/>
                <w:sz w:val="8"/>
                <w:szCs w:val="8"/>
                <w:color w:val="auto"/>
              </w:rPr>
              <w:t>—</w:t>
            </w:r>
          </w:p>
        </w:tc>
        <w:tc>
          <w:tcPr>
            <w:tcW w:w="700" w:type="dxa"/>
            <w:vAlign w:val="bottom"/>
          </w:tcPr>
          <w:p>
            <w:pPr>
              <w:spacing w:after="0"/>
              <w:rPr>
                <w:sz w:val="8"/>
                <w:szCs w:val="8"/>
                <w:color w:val="auto"/>
              </w:rPr>
            </w:pPr>
          </w:p>
        </w:tc>
        <w:tc>
          <w:tcPr>
            <w:tcW w:w="840" w:type="dxa"/>
            <w:vAlign w:val="bottom"/>
          </w:tcPr>
          <w:p>
            <w:pPr>
              <w:jc w:val="right"/>
              <w:ind w:right="238"/>
              <w:spacing w:after="0"/>
              <w:rPr>
                <w:sz w:val="20"/>
                <w:szCs w:val="20"/>
                <w:color w:val="auto"/>
              </w:rPr>
            </w:pPr>
            <w:r>
              <w:rPr>
                <w:rFonts w:ascii="Arial" w:cs="Arial" w:eastAsia="Arial" w:hAnsi="Arial"/>
                <w:sz w:val="8"/>
                <w:szCs w:val="8"/>
                <w:color w:val="auto"/>
              </w:rPr>
              <w:t>—</w:t>
            </w:r>
          </w:p>
        </w:tc>
        <w:tc>
          <w:tcPr>
            <w:tcW w:w="700" w:type="dxa"/>
            <w:vAlign w:val="bottom"/>
          </w:tcPr>
          <w:p>
            <w:pPr>
              <w:spacing w:after="0"/>
              <w:rPr>
                <w:sz w:val="8"/>
                <w:szCs w:val="8"/>
                <w:color w:val="auto"/>
              </w:rPr>
            </w:pPr>
          </w:p>
        </w:tc>
        <w:tc>
          <w:tcPr>
            <w:tcW w:w="1540" w:type="dxa"/>
            <w:vAlign w:val="bottom"/>
            <w:gridSpan w:val="2"/>
          </w:tcPr>
          <w:p>
            <w:pPr>
              <w:jc w:val="right"/>
              <w:ind w:right="980"/>
              <w:spacing w:after="0"/>
              <w:rPr>
                <w:sz w:val="20"/>
                <w:szCs w:val="20"/>
                <w:color w:val="auto"/>
              </w:rPr>
            </w:pPr>
            <w:r>
              <w:rPr>
                <w:rFonts w:ascii="Arial" w:cs="Arial" w:eastAsia="Arial" w:hAnsi="Arial"/>
                <w:sz w:val="8"/>
                <w:szCs w:val="8"/>
                <w:color w:val="auto"/>
              </w:rPr>
              <w:t>—</w:t>
            </w:r>
          </w:p>
        </w:tc>
        <w:tc>
          <w:tcPr>
            <w:tcW w:w="640" w:type="dxa"/>
            <w:vAlign w:val="bottom"/>
          </w:tcPr>
          <w:p>
            <w:pPr>
              <w:jc w:val="right"/>
              <w:ind w:right="138"/>
              <w:spacing w:after="0"/>
              <w:rPr>
                <w:sz w:val="20"/>
                <w:szCs w:val="20"/>
                <w:color w:val="auto"/>
              </w:rPr>
            </w:pPr>
            <w:r>
              <w:rPr>
                <w:rFonts w:ascii="Arial" w:cs="Arial" w:eastAsia="Arial" w:hAnsi="Arial"/>
                <w:sz w:val="8"/>
                <w:szCs w:val="8"/>
                <w:color w:val="auto"/>
              </w:rPr>
              <w:t>—</w:t>
            </w:r>
          </w:p>
        </w:tc>
        <w:tc>
          <w:tcPr>
            <w:tcW w:w="1500" w:type="dxa"/>
            <w:vAlign w:val="bottom"/>
            <w:gridSpan w:val="2"/>
          </w:tcPr>
          <w:p>
            <w:pPr>
              <w:jc w:val="right"/>
              <w:ind w:right="238"/>
              <w:spacing w:after="0"/>
              <w:rPr>
                <w:sz w:val="20"/>
                <w:szCs w:val="20"/>
                <w:color w:val="auto"/>
              </w:rPr>
            </w:pPr>
            <w:r>
              <w:rPr>
                <w:rFonts w:ascii="Arial" w:cs="Arial" w:eastAsia="Arial" w:hAnsi="Arial"/>
                <w:sz w:val="8"/>
                <w:szCs w:val="8"/>
                <w:color w:val="auto"/>
              </w:rPr>
              <w:t>39,258</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100" w:type="dxa"/>
            <w:vAlign w:val="bottom"/>
            <w:shd w:val="clear" w:color="auto" w:fill="CCEEFF"/>
          </w:tcPr>
          <w:p>
            <w:pPr>
              <w:spacing w:after="0" w:line="81" w:lineRule="exact"/>
              <w:rPr>
                <w:sz w:val="20"/>
                <w:szCs w:val="20"/>
                <w:color w:val="auto"/>
              </w:rPr>
            </w:pPr>
            <w:r>
              <w:rPr>
                <w:rFonts w:ascii="Arial" w:cs="Arial" w:eastAsia="Arial" w:hAnsi="Arial"/>
                <w:sz w:val="8"/>
                <w:szCs w:val="8"/>
                <w:b w:val="1"/>
                <w:bCs w:val="1"/>
                <w:color w:val="auto"/>
              </w:rPr>
              <w:t>2012</w:t>
            </w: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10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01/01/2012</w:t>
            </w: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w w:val="82"/>
              </w:rPr>
              <w:t>15.8933</w:t>
            </w:r>
          </w:p>
        </w:tc>
        <w:tc>
          <w:tcPr>
            <w:tcW w:w="680" w:type="dxa"/>
            <w:vAlign w:val="bottom"/>
            <w:shd w:val="clear" w:color="auto" w:fill="CCEEFF"/>
          </w:tcPr>
          <w:p>
            <w:pPr>
              <w:spacing w:after="0"/>
              <w:rPr>
                <w:sz w:val="7"/>
                <w:szCs w:val="7"/>
                <w:color w:val="auto"/>
              </w:rPr>
            </w:pP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w:t>
            </w:r>
          </w:p>
        </w:tc>
        <w:tc>
          <w:tcPr>
            <w:tcW w:w="700" w:type="dxa"/>
            <w:vAlign w:val="bottom"/>
            <w:shd w:val="clear" w:color="auto" w:fill="CCEEFF"/>
          </w:tcPr>
          <w:p>
            <w:pPr>
              <w:spacing w:after="0"/>
              <w:rPr>
                <w:sz w:val="7"/>
                <w:szCs w:val="7"/>
                <w:color w:val="auto"/>
              </w:rPr>
            </w:pPr>
          </w:p>
        </w:tc>
        <w:tc>
          <w:tcPr>
            <w:tcW w:w="840" w:type="dxa"/>
            <w:vAlign w:val="bottom"/>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rPr>
              <w:t>—</w:t>
            </w:r>
          </w:p>
        </w:tc>
        <w:tc>
          <w:tcPr>
            <w:tcW w:w="700" w:type="dxa"/>
            <w:vAlign w:val="bottom"/>
            <w:shd w:val="clear" w:color="auto" w:fill="CCEEFF"/>
          </w:tcPr>
          <w:p>
            <w:pPr>
              <w:spacing w:after="0"/>
              <w:rPr>
                <w:sz w:val="7"/>
                <w:szCs w:val="7"/>
                <w:color w:val="auto"/>
              </w:rPr>
            </w:pPr>
          </w:p>
        </w:tc>
        <w:tc>
          <w:tcPr>
            <w:tcW w:w="1540" w:type="dxa"/>
            <w:vAlign w:val="bottom"/>
            <w:gridSpan w:val="2"/>
            <w:shd w:val="clear" w:color="auto" w:fill="CCEEFF"/>
          </w:tcPr>
          <w:p>
            <w:pPr>
              <w:jc w:val="right"/>
              <w:ind w:right="980"/>
              <w:spacing w:after="0" w:line="90" w:lineRule="exact"/>
              <w:rPr>
                <w:sz w:val="20"/>
                <w:szCs w:val="20"/>
                <w:color w:val="auto"/>
              </w:rPr>
            </w:pPr>
            <w:r>
              <w:rPr>
                <w:rFonts w:ascii="Arial" w:cs="Arial" w:eastAsia="Arial" w:hAnsi="Arial"/>
                <w:sz w:val="8"/>
                <w:szCs w:val="8"/>
                <w:color w:val="auto"/>
              </w:rPr>
              <w:t>—</w:t>
            </w: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37,500</w:t>
            </w:r>
          </w:p>
        </w:tc>
        <w:tc>
          <w:tcPr>
            <w:tcW w:w="700" w:type="dxa"/>
            <w:vAlign w:val="bottom"/>
            <w:shd w:val="clear" w:color="auto" w:fill="CCEEFF"/>
          </w:tcPr>
          <w:p>
            <w:pPr>
              <w:spacing w:after="0"/>
              <w:rPr>
                <w:sz w:val="7"/>
                <w:szCs w:val="7"/>
                <w:color w:val="auto"/>
              </w:rPr>
            </w:pPr>
          </w:p>
        </w:tc>
        <w:tc>
          <w:tcPr>
            <w:tcW w:w="800" w:type="dxa"/>
            <w:vAlign w:val="bottom"/>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10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01/20/2012</w:t>
            </w: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w w:val="82"/>
              </w:rPr>
              <w:t>18.5066</w:t>
            </w:r>
          </w:p>
        </w:tc>
        <w:tc>
          <w:tcPr>
            <w:tcW w:w="680" w:type="dxa"/>
            <w:vAlign w:val="bottom"/>
            <w:shd w:val="clear" w:color="auto" w:fill="CCEEFF"/>
          </w:tcPr>
          <w:p>
            <w:pPr>
              <w:spacing w:after="0"/>
              <w:rPr>
                <w:sz w:val="7"/>
                <w:szCs w:val="7"/>
                <w:color w:val="auto"/>
              </w:rPr>
            </w:pP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w:t>
            </w:r>
          </w:p>
        </w:tc>
        <w:tc>
          <w:tcPr>
            <w:tcW w:w="700" w:type="dxa"/>
            <w:vAlign w:val="bottom"/>
            <w:shd w:val="clear" w:color="auto" w:fill="CCEEFF"/>
          </w:tcPr>
          <w:p>
            <w:pPr>
              <w:spacing w:after="0"/>
              <w:rPr>
                <w:sz w:val="7"/>
                <w:szCs w:val="7"/>
                <w:color w:val="auto"/>
              </w:rPr>
            </w:pPr>
          </w:p>
        </w:tc>
        <w:tc>
          <w:tcPr>
            <w:tcW w:w="840" w:type="dxa"/>
            <w:vAlign w:val="bottom"/>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rPr>
              <w:t>—</w:t>
            </w:r>
          </w:p>
        </w:tc>
        <w:tc>
          <w:tcPr>
            <w:tcW w:w="700" w:type="dxa"/>
            <w:vAlign w:val="bottom"/>
            <w:shd w:val="clear" w:color="auto" w:fill="CCEEFF"/>
          </w:tcPr>
          <w:p>
            <w:pPr>
              <w:spacing w:after="0"/>
              <w:rPr>
                <w:sz w:val="7"/>
                <w:szCs w:val="7"/>
                <w:color w:val="auto"/>
              </w:rPr>
            </w:pPr>
          </w:p>
        </w:tc>
        <w:tc>
          <w:tcPr>
            <w:tcW w:w="1540" w:type="dxa"/>
            <w:vAlign w:val="bottom"/>
            <w:gridSpan w:val="2"/>
            <w:shd w:val="clear" w:color="auto" w:fill="CCEEFF"/>
          </w:tcPr>
          <w:p>
            <w:pPr>
              <w:jc w:val="right"/>
              <w:ind w:right="980"/>
              <w:spacing w:after="0" w:line="90" w:lineRule="exact"/>
              <w:rPr>
                <w:sz w:val="20"/>
                <w:szCs w:val="20"/>
                <w:color w:val="auto"/>
              </w:rPr>
            </w:pPr>
            <w:r>
              <w:rPr>
                <w:rFonts w:ascii="Arial" w:cs="Arial" w:eastAsia="Arial" w:hAnsi="Arial"/>
                <w:sz w:val="8"/>
                <w:szCs w:val="8"/>
                <w:color w:val="auto"/>
              </w:rPr>
              <w:t>—</w:t>
            </w: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w:t>
            </w:r>
          </w:p>
        </w:tc>
        <w:tc>
          <w:tcPr>
            <w:tcW w:w="1500" w:type="dxa"/>
            <w:vAlign w:val="bottom"/>
            <w:gridSpan w:val="2"/>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rPr>
              <w:t>3,413</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10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02/26/2012</w:t>
            </w: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w w:val="82"/>
              </w:rPr>
              <w:t>18.0800</w:t>
            </w:r>
          </w:p>
        </w:tc>
        <w:tc>
          <w:tcPr>
            <w:tcW w:w="680" w:type="dxa"/>
            <w:vAlign w:val="bottom"/>
            <w:shd w:val="clear" w:color="auto" w:fill="CCEEFF"/>
          </w:tcPr>
          <w:p>
            <w:pPr>
              <w:spacing w:after="0"/>
              <w:rPr>
                <w:sz w:val="7"/>
                <w:szCs w:val="7"/>
                <w:color w:val="auto"/>
              </w:rPr>
            </w:pP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69,375</w:t>
            </w:r>
          </w:p>
        </w:tc>
        <w:tc>
          <w:tcPr>
            <w:tcW w:w="700" w:type="dxa"/>
            <w:vAlign w:val="bottom"/>
            <w:shd w:val="clear" w:color="auto" w:fill="CCEEFF"/>
          </w:tcPr>
          <w:p>
            <w:pPr>
              <w:spacing w:after="0"/>
              <w:rPr>
                <w:sz w:val="7"/>
                <w:szCs w:val="7"/>
                <w:color w:val="auto"/>
              </w:rPr>
            </w:pPr>
          </w:p>
        </w:tc>
        <w:tc>
          <w:tcPr>
            <w:tcW w:w="840" w:type="dxa"/>
            <w:vAlign w:val="bottom"/>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rPr>
              <w:t>—</w:t>
            </w:r>
          </w:p>
        </w:tc>
        <w:tc>
          <w:tcPr>
            <w:tcW w:w="1540" w:type="dxa"/>
            <w:vAlign w:val="bottom"/>
            <w:gridSpan w:val="2"/>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rPr>
              <w:t>35,625</w:t>
            </w:r>
          </w:p>
        </w:tc>
        <w:tc>
          <w:tcPr>
            <w:tcW w:w="700" w:type="dxa"/>
            <w:vAlign w:val="bottom"/>
            <w:shd w:val="clear" w:color="auto" w:fill="CCEEFF"/>
          </w:tcPr>
          <w:p>
            <w:pPr>
              <w:spacing w:after="0"/>
              <w:rPr>
                <w:sz w:val="7"/>
                <w:szCs w:val="7"/>
                <w:color w:val="auto"/>
              </w:rPr>
            </w:pP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28,125</w:t>
            </w:r>
          </w:p>
        </w:tc>
        <w:tc>
          <w:tcPr>
            <w:tcW w:w="1500" w:type="dxa"/>
            <w:vAlign w:val="bottom"/>
            <w:gridSpan w:val="2"/>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rPr>
              <w:t>5,625</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10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03/09/2012</w:t>
            </w: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w w:val="82"/>
              </w:rPr>
              <w:t>19.9200</w:t>
            </w:r>
          </w:p>
        </w:tc>
        <w:tc>
          <w:tcPr>
            <w:tcW w:w="680" w:type="dxa"/>
            <w:vAlign w:val="bottom"/>
            <w:shd w:val="clear" w:color="auto" w:fill="CCEEFF"/>
          </w:tcPr>
          <w:p>
            <w:pPr>
              <w:spacing w:after="0"/>
              <w:rPr>
                <w:sz w:val="7"/>
                <w:szCs w:val="7"/>
                <w:color w:val="auto"/>
              </w:rPr>
            </w:pP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60,000</w:t>
            </w:r>
          </w:p>
        </w:tc>
        <w:tc>
          <w:tcPr>
            <w:tcW w:w="700" w:type="dxa"/>
            <w:vAlign w:val="bottom"/>
            <w:shd w:val="clear" w:color="auto" w:fill="CCEEFF"/>
          </w:tcPr>
          <w:p>
            <w:pPr>
              <w:spacing w:after="0"/>
              <w:rPr>
                <w:sz w:val="7"/>
                <w:szCs w:val="7"/>
                <w:color w:val="auto"/>
              </w:rPr>
            </w:pPr>
          </w:p>
        </w:tc>
        <w:tc>
          <w:tcPr>
            <w:tcW w:w="840" w:type="dxa"/>
            <w:vAlign w:val="bottom"/>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rPr>
              <w:t>—</w:t>
            </w:r>
          </w:p>
        </w:tc>
        <w:tc>
          <w:tcPr>
            <w:tcW w:w="1540" w:type="dxa"/>
            <w:vAlign w:val="bottom"/>
            <w:gridSpan w:val="2"/>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rPr>
              <w:t>30,000</w:t>
            </w:r>
          </w:p>
        </w:tc>
        <w:tc>
          <w:tcPr>
            <w:tcW w:w="700" w:type="dxa"/>
            <w:vAlign w:val="bottom"/>
            <w:shd w:val="clear" w:color="auto" w:fill="CCEEFF"/>
          </w:tcPr>
          <w:p>
            <w:pPr>
              <w:spacing w:after="0"/>
              <w:rPr>
                <w:sz w:val="7"/>
                <w:szCs w:val="7"/>
                <w:color w:val="auto"/>
              </w:rPr>
            </w:pP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28,125</w:t>
            </w:r>
          </w:p>
        </w:tc>
        <w:tc>
          <w:tcPr>
            <w:tcW w:w="1500" w:type="dxa"/>
            <w:vAlign w:val="bottom"/>
            <w:gridSpan w:val="2"/>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rPr>
              <w:t>7,500</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10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03/10/2012</w:t>
            </w: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w w:val="82"/>
              </w:rPr>
              <w:t>17.5000</w:t>
            </w:r>
          </w:p>
        </w:tc>
        <w:tc>
          <w:tcPr>
            <w:tcW w:w="680" w:type="dxa"/>
            <w:vAlign w:val="bottom"/>
            <w:shd w:val="clear" w:color="auto" w:fill="CCEEFF"/>
          </w:tcPr>
          <w:p>
            <w:pPr>
              <w:spacing w:after="0"/>
              <w:rPr>
                <w:sz w:val="7"/>
                <w:szCs w:val="7"/>
                <w:color w:val="auto"/>
              </w:rPr>
            </w:pP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37,800</w:t>
            </w:r>
          </w:p>
        </w:tc>
        <w:tc>
          <w:tcPr>
            <w:tcW w:w="700" w:type="dxa"/>
            <w:vAlign w:val="bottom"/>
            <w:shd w:val="clear" w:color="auto" w:fill="CCEEFF"/>
          </w:tcPr>
          <w:p>
            <w:pPr>
              <w:spacing w:after="0"/>
              <w:rPr>
                <w:sz w:val="7"/>
                <w:szCs w:val="7"/>
                <w:color w:val="auto"/>
              </w:rPr>
            </w:pPr>
          </w:p>
        </w:tc>
        <w:tc>
          <w:tcPr>
            <w:tcW w:w="840" w:type="dxa"/>
            <w:vAlign w:val="bottom"/>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rPr>
              <w:t>—</w:t>
            </w:r>
          </w:p>
        </w:tc>
        <w:tc>
          <w:tcPr>
            <w:tcW w:w="1540" w:type="dxa"/>
            <w:vAlign w:val="bottom"/>
            <w:gridSpan w:val="2"/>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rPr>
              <w:t>30,240</w:t>
            </w:r>
          </w:p>
        </w:tc>
        <w:tc>
          <w:tcPr>
            <w:tcW w:w="700" w:type="dxa"/>
            <w:vAlign w:val="bottom"/>
            <w:shd w:val="clear" w:color="auto" w:fill="CCEEFF"/>
          </w:tcPr>
          <w:p>
            <w:pPr>
              <w:spacing w:after="0"/>
              <w:rPr>
                <w:sz w:val="7"/>
                <w:szCs w:val="7"/>
                <w:color w:val="auto"/>
              </w:rPr>
            </w:pP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17,625</w:t>
            </w:r>
          </w:p>
        </w:tc>
        <w:tc>
          <w:tcPr>
            <w:tcW w:w="1500" w:type="dxa"/>
            <w:vAlign w:val="bottom"/>
            <w:gridSpan w:val="2"/>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rPr>
              <w:t>4,650</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10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03/14/2012</w:t>
            </w: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w w:val="82"/>
              </w:rPr>
              <w:t>22.6600</w:t>
            </w:r>
          </w:p>
        </w:tc>
        <w:tc>
          <w:tcPr>
            <w:tcW w:w="680" w:type="dxa"/>
            <w:vAlign w:val="bottom"/>
            <w:shd w:val="clear" w:color="auto" w:fill="CCEEFF"/>
          </w:tcPr>
          <w:p>
            <w:pPr>
              <w:spacing w:after="0"/>
              <w:rPr>
                <w:sz w:val="7"/>
                <w:szCs w:val="7"/>
                <w:color w:val="auto"/>
              </w:rPr>
            </w:pP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31,875</w:t>
            </w:r>
          </w:p>
        </w:tc>
        <w:tc>
          <w:tcPr>
            <w:tcW w:w="700" w:type="dxa"/>
            <w:vAlign w:val="bottom"/>
            <w:shd w:val="clear" w:color="auto" w:fill="CCEEFF"/>
          </w:tcPr>
          <w:p>
            <w:pPr>
              <w:spacing w:after="0"/>
              <w:rPr>
                <w:sz w:val="7"/>
                <w:szCs w:val="7"/>
                <w:color w:val="auto"/>
              </w:rPr>
            </w:pPr>
          </w:p>
        </w:tc>
        <w:tc>
          <w:tcPr>
            <w:tcW w:w="840" w:type="dxa"/>
            <w:vAlign w:val="bottom"/>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rPr>
              <w:t>—</w:t>
            </w:r>
          </w:p>
        </w:tc>
        <w:tc>
          <w:tcPr>
            <w:tcW w:w="1540" w:type="dxa"/>
            <w:vAlign w:val="bottom"/>
            <w:gridSpan w:val="2"/>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rPr>
              <w:t>17,437</w:t>
            </w:r>
          </w:p>
        </w:tc>
        <w:tc>
          <w:tcPr>
            <w:tcW w:w="700" w:type="dxa"/>
            <w:vAlign w:val="bottom"/>
            <w:shd w:val="clear" w:color="auto" w:fill="CCEEFF"/>
          </w:tcPr>
          <w:p>
            <w:pPr>
              <w:spacing w:after="0"/>
              <w:rPr>
                <w:sz w:val="7"/>
                <w:szCs w:val="7"/>
                <w:color w:val="auto"/>
              </w:rPr>
            </w:pP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15,000</w:t>
            </w:r>
          </w:p>
        </w:tc>
        <w:tc>
          <w:tcPr>
            <w:tcW w:w="1500" w:type="dxa"/>
            <w:vAlign w:val="bottom"/>
            <w:gridSpan w:val="2"/>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rPr>
              <w:t>3,675</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10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03/16/2012</w:t>
            </w: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w w:val="82"/>
              </w:rPr>
              <w:t>25.4400</w:t>
            </w:r>
          </w:p>
        </w:tc>
        <w:tc>
          <w:tcPr>
            <w:tcW w:w="680" w:type="dxa"/>
            <w:vAlign w:val="bottom"/>
            <w:shd w:val="clear" w:color="auto" w:fill="CCEEFF"/>
          </w:tcPr>
          <w:p>
            <w:pPr>
              <w:spacing w:after="0"/>
              <w:rPr>
                <w:sz w:val="7"/>
                <w:szCs w:val="7"/>
                <w:color w:val="auto"/>
              </w:rPr>
            </w:pP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82,200</w:t>
            </w:r>
          </w:p>
        </w:tc>
        <w:tc>
          <w:tcPr>
            <w:tcW w:w="700" w:type="dxa"/>
            <w:vAlign w:val="bottom"/>
            <w:shd w:val="clear" w:color="auto" w:fill="CCEEFF"/>
          </w:tcPr>
          <w:p>
            <w:pPr>
              <w:spacing w:after="0"/>
              <w:rPr>
                <w:sz w:val="7"/>
                <w:szCs w:val="7"/>
                <w:color w:val="auto"/>
              </w:rPr>
            </w:pPr>
          </w:p>
        </w:tc>
        <w:tc>
          <w:tcPr>
            <w:tcW w:w="840" w:type="dxa"/>
            <w:vAlign w:val="bottom"/>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rPr>
              <w:t>—</w:t>
            </w:r>
          </w:p>
        </w:tc>
        <w:tc>
          <w:tcPr>
            <w:tcW w:w="1540" w:type="dxa"/>
            <w:vAlign w:val="bottom"/>
            <w:gridSpan w:val="2"/>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rPr>
              <w:t>65,760</w:t>
            </w:r>
          </w:p>
        </w:tc>
        <w:tc>
          <w:tcPr>
            <w:tcW w:w="700" w:type="dxa"/>
            <w:vAlign w:val="bottom"/>
            <w:shd w:val="clear" w:color="auto" w:fill="CCEEFF"/>
          </w:tcPr>
          <w:p>
            <w:pPr>
              <w:spacing w:after="0"/>
              <w:rPr>
                <w:sz w:val="7"/>
                <w:szCs w:val="7"/>
                <w:color w:val="auto"/>
              </w:rPr>
            </w:pP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38,280</w:t>
            </w:r>
          </w:p>
        </w:tc>
        <w:tc>
          <w:tcPr>
            <w:tcW w:w="1500" w:type="dxa"/>
            <w:vAlign w:val="bottom"/>
            <w:gridSpan w:val="2"/>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rPr>
              <w:t>10,110</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10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03/27/2012</w:t>
            </w: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w w:val="82"/>
              </w:rPr>
              <w:t>14.5400</w:t>
            </w:r>
          </w:p>
        </w:tc>
        <w:tc>
          <w:tcPr>
            <w:tcW w:w="680" w:type="dxa"/>
            <w:vAlign w:val="bottom"/>
            <w:shd w:val="clear" w:color="auto" w:fill="CCEEFF"/>
          </w:tcPr>
          <w:p>
            <w:pPr>
              <w:spacing w:after="0"/>
              <w:rPr>
                <w:sz w:val="7"/>
                <w:szCs w:val="7"/>
                <w:color w:val="auto"/>
              </w:rPr>
            </w:pP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171,750</w:t>
            </w:r>
          </w:p>
        </w:tc>
        <w:tc>
          <w:tcPr>
            <w:tcW w:w="1540" w:type="dxa"/>
            <w:vAlign w:val="bottom"/>
            <w:gridSpan w:val="2"/>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rPr>
              <w:t>103,500</w:t>
            </w:r>
          </w:p>
        </w:tc>
        <w:tc>
          <w:tcPr>
            <w:tcW w:w="1540" w:type="dxa"/>
            <w:vAlign w:val="bottom"/>
            <w:gridSpan w:val="2"/>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rPr>
              <w:t>138,000</w:t>
            </w:r>
          </w:p>
        </w:tc>
        <w:tc>
          <w:tcPr>
            <w:tcW w:w="700" w:type="dxa"/>
            <w:vAlign w:val="bottom"/>
            <w:shd w:val="clear" w:color="auto" w:fill="CCEEFF"/>
          </w:tcPr>
          <w:p>
            <w:pPr>
              <w:spacing w:after="0"/>
              <w:rPr>
                <w:sz w:val="7"/>
                <w:szCs w:val="7"/>
                <w:color w:val="auto"/>
              </w:rPr>
            </w:pP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81,000</w:t>
            </w:r>
          </w:p>
        </w:tc>
        <w:tc>
          <w:tcPr>
            <w:tcW w:w="1500" w:type="dxa"/>
            <w:vAlign w:val="bottom"/>
            <w:gridSpan w:val="2"/>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rPr>
              <w:t>21,150</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10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03/28/2012</w:t>
            </w: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w w:val="82"/>
              </w:rPr>
              <w:t>18.9800</w:t>
            </w:r>
          </w:p>
        </w:tc>
        <w:tc>
          <w:tcPr>
            <w:tcW w:w="680" w:type="dxa"/>
            <w:vAlign w:val="bottom"/>
            <w:shd w:val="clear" w:color="auto" w:fill="CCEEFF"/>
          </w:tcPr>
          <w:p>
            <w:pPr>
              <w:spacing w:after="0"/>
              <w:rPr>
                <w:sz w:val="7"/>
                <w:szCs w:val="7"/>
                <w:color w:val="auto"/>
              </w:rPr>
            </w:pP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120,450</w:t>
            </w:r>
          </w:p>
        </w:tc>
        <w:tc>
          <w:tcPr>
            <w:tcW w:w="1540" w:type="dxa"/>
            <w:vAlign w:val="bottom"/>
            <w:gridSpan w:val="2"/>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rPr>
              <w:t>72,270</w:t>
            </w:r>
          </w:p>
        </w:tc>
        <w:tc>
          <w:tcPr>
            <w:tcW w:w="1540" w:type="dxa"/>
            <w:vAlign w:val="bottom"/>
            <w:gridSpan w:val="2"/>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rPr>
              <w:t>96,360</w:t>
            </w:r>
          </w:p>
        </w:tc>
        <w:tc>
          <w:tcPr>
            <w:tcW w:w="700" w:type="dxa"/>
            <w:vAlign w:val="bottom"/>
            <w:shd w:val="clear" w:color="auto" w:fill="CCEEFF"/>
          </w:tcPr>
          <w:p>
            <w:pPr>
              <w:spacing w:after="0"/>
              <w:rPr>
                <w:sz w:val="7"/>
                <w:szCs w:val="7"/>
                <w:color w:val="auto"/>
              </w:rPr>
            </w:pP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56,100</w:t>
            </w:r>
          </w:p>
        </w:tc>
        <w:tc>
          <w:tcPr>
            <w:tcW w:w="1500" w:type="dxa"/>
            <w:vAlign w:val="bottom"/>
            <w:gridSpan w:val="2"/>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rPr>
              <w:t>14,850</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10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03/30/2012</w:t>
            </w: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w w:val="82"/>
              </w:rPr>
              <w:t>25.9500</w:t>
            </w:r>
          </w:p>
        </w:tc>
        <w:tc>
          <w:tcPr>
            <w:tcW w:w="680" w:type="dxa"/>
            <w:vAlign w:val="bottom"/>
            <w:shd w:val="clear" w:color="auto" w:fill="CCEEFF"/>
          </w:tcPr>
          <w:p>
            <w:pPr>
              <w:spacing w:after="0"/>
              <w:rPr>
                <w:sz w:val="7"/>
                <w:szCs w:val="7"/>
                <w:color w:val="auto"/>
              </w:rPr>
            </w:pP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w:t>
            </w:r>
          </w:p>
        </w:tc>
        <w:tc>
          <w:tcPr>
            <w:tcW w:w="1540" w:type="dxa"/>
            <w:vAlign w:val="bottom"/>
            <w:gridSpan w:val="2"/>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rPr>
              <w:t>37,160</w:t>
            </w:r>
          </w:p>
        </w:tc>
        <w:tc>
          <w:tcPr>
            <w:tcW w:w="700" w:type="dxa"/>
            <w:vAlign w:val="bottom"/>
            <w:shd w:val="clear" w:color="auto" w:fill="CCEEFF"/>
          </w:tcPr>
          <w:p>
            <w:pPr>
              <w:spacing w:after="0"/>
              <w:rPr>
                <w:sz w:val="7"/>
                <w:szCs w:val="7"/>
                <w:color w:val="auto"/>
              </w:rPr>
            </w:pPr>
          </w:p>
        </w:tc>
        <w:tc>
          <w:tcPr>
            <w:tcW w:w="1540" w:type="dxa"/>
            <w:vAlign w:val="bottom"/>
            <w:gridSpan w:val="2"/>
            <w:shd w:val="clear" w:color="auto" w:fill="CCEEFF"/>
          </w:tcPr>
          <w:p>
            <w:pPr>
              <w:jc w:val="right"/>
              <w:ind w:right="980"/>
              <w:spacing w:after="0" w:line="90" w:lineRule="exact"/>
              <w:rPr>
                <w:sz w:val="20"/>
                <w:szCs w:val="20"/>
                <w:color w:val="auto"/>
              </w:rPr>
            </w:pPr>
            <w:r>
              <w:rPr>
                <w:rFonts w:ascii="Arial" w:cs="Arial" w:eastAsia="Arial" w:hAnsi="Arial"/>
                <w:sz w:val="8"/>
                <w:szCs w:val="8"/>
                <w:color w:val="auto"/>
              </w:rPr>
              <w:t>—</w:t>
            </w: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w:t>
            </w:r>
          </w:p>
        </w:tc>
        <w:tc>
          <w:tcPr>
            <w:tcW w:w="700" w:type="dxa"/>
            <w:vAlign w:val="bottom"/>
            <w:shd w:val="clear" w:color="auto" w:fill="CCEEFF"/>
          </w:tcPr>
          <w:p>
            <w:pPr>
              <w:spacing w:after="0"/>
              <w:rPr>
                <w:sz w:val="7"/>
                <w:szCs w:val="7"/>
                <w:color w:val="auto"/>
              </w:rPr>
            </w:pPr>
          </w:p>
        </w:tc>
        <w:tc>
          <w:tcPr>
            <w:tcW w:w="800" w:type="dxa"/>
            <w:vAlign w:val="bottom"/>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10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04/28/2012</w:t>
            </w: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w w:val="82"/>
              </w:rPr>
              <w:t>15.8933</w:t>
            </w:r>
          </w:p>
        </w:tc>
        <w:tc>
          <w:tcPr>
            <w:tcW w:w="680" w:type="dxa"/>
            <w:vAlign w:val="bottom"/>
            <w:shd w:val="clear" w:color="auto" w:fill="CCEEFF"/>
          </w:tcPr>
          <w:p>
            <w:pPr>
              <w:spacing w:after="0"/>
              <w:rPr>
                <w:sz w:val="7"/>
                <w:szCs w:val="7"/>
                <w:color w:val="auto"/>
              </w:rPr>
            </w:pP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w:t>
            </w:r>
          </w:p>
        </w:tc>
        <w:tc>
          <w:tcPr>
            <w:tcW w:w="700" w:type="dxa"/>
            <w:vAlign w:val="bottom"/>
            <w:shd w:val="clear" w:color="auto" w:fill="CCEEFF"/>
          </w:tcPr>
          <w:p>
            <w:pPr>
              <w:spacing w:after="0"/>
              <w:rPr>
                <w:sz w:val="7"/>
                <w:szCs w:val="7"/>
                <w:color w:val="auto"/>
              </w:rPr>
            </w:pPr>
          </w:p>
        </w:tc>
        <w:tc>
          <w:tcPr>
            <w:tcW w:w="840" w:type="dxa"/>
            <w:vAlign w:val="bottom"/>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rPr>
              <w:t>—</w:t>
            </w:r>
          </w:p>
        </w:tc>
        <w:tc>
          <w:tcPr>
            <w:tcW w:w="1540" w:type="dxa"/>
            <w:vAlign w:val="bottom"/>
            <w:gridSpan w:val="2"/>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rPr>
              <w:t>28,125</w:t>
            </w:r>
          </w:p>
        </w:tc>
        <w:tc>
          <w:tcPr>
            <w:tcW w:w="700" w:type="dxa"/>
            <w:vAlign w:val="bottom"/>
            <w:shd w:val="clear" w:color="auto" w:fill="CCEEFF"/>
          </w:tcPr>
          <w:p>
            <w:pPr>
              <w:spacing w:after="0"/>
              <w:rPr>
                <w:sz w:val="7"/>
                <w:szCs w:val="7"/>
                <w:color w:val="auto"/>
              </w:rPr>
            </w:pP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6,375</w:t>
            </w:r>
          </w:p>
        </w:tc>
        <w:tc>
          <w:tcPr>
            <w:tcW w:w="1500" w:type="dxa"/>
            <w:vAlign w:val="bottom"/>
            <w:gridSpan w:val="2"/>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rPr>
              <w:t>5,625</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10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08/26/2012</w:t>
            </w: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w w:val="82"/>
              </w:rPr>
              <w:t>18.0800</w:t>
            </w:r>
          </w:p>
        </w:tc>
        <w:tc>
          <w:tcPr>
            <w:tcW w:w="680" w:type="dxa"/>
            <w:vAlign w:val="bottom"/>
            <w:shd w:val="clear" w:color="auto" w:fill="CCEEFF"/>
          </w:tcPr>
          <w:p>
            <w:pPr>
              <w:spacing w:after="0"/>
              <w:rPr>
                <w:sz w:val="7"/>
                <w:szCs w:val="7"/>
                <w:color w:val="auto"/>
              </w:rPr>
            </w:pP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69,375</w:t>
            </w:r>
          </w:p>
        </w:tc>
        <w:tc>
          <w:tcPr>
            <w:tcW w:w="700" w:type="dxa"/>
            <w:vAlign w:val="bottom"/>
            <w:shd w:val="clear" w:color="auto" w:fill="CCEEFF"/>
          </w:tcPr>
          <w:p>
            <w:pPr>
              <w:spacing w:after="0"/>
              <w:rPr>
                <w:sz w:val="7"/>
                <w:szCs w:val="7"/>
                <w:color w:val="auto"/>
              </w:rPr>
            </w:pPr>
          </w:p>
        </w:tc>
        <w:tc>
          <w:tcPr>
            <w:tcW w:w="840" w:type="dxa"/>
            <w:vAlign w:val="bottom"/>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rPr>
              <w:t>—</w:t>
            </w:r>
          </w:p>
        </w:tc>
        <w:tc>
          <w:tcPr>
            <w:tcW w:w="1540" w:type="dxa"/>
            <w:vAlign w:val="bottom"/>
            <w:gridSpan w:val="2"/>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rPr>
              <w:t>35,625</w:t>
            </w:r>
          </w:p>
        </w:tc>
        <w:tc>
          <w:tcPr>
            <w:tcW w:w="700" w:type="dxa"/>
            <w:vAlign w:val="bottom"/>
            <w:shd w:val="clear" w:color="auto" w:fill="CCEEFF"/>
          </w:tcPr>
          <w:p>
            <w:pPr>
              <w:spacing w:after="0"/>
              <w:rPr>
                <w:sz w:val="7"/>
                <w:szCs w:val="7"/>
                <w:color w:val="auto"/>
              </w:rPr>
            </w:pP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28,125</w:t>
            </w:r>
          </w:p>
        </w:tc>
        <w:tc>
          <w:tcPr>
            <w:tcW w:w="1500" w:type="dxa"/>
            <w:vAlign w:val="bottom"/>
            <w:gridSpan w:val="2"/>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rPr>
              <w:t>5,625</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10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11/11/2012</w:t>
            </w: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w w:val="82"/>
              </w:rPr>
              <w:t>17.9533</w:t>
            </w:r>
          </w:p>
        </w:tc>
        <w:tc>
          <w:tcPr>
            <w:tcW w:w="680" w:type="dxa"/>
            <w:vAlign w:val="bottom"/>
            <w:shd w:val="clear" w:color="auto" w:fill="CCEEFF"/>
          </w:tcPr>
          <w:p>
            <w:pPr>
              <w:spacing w:after="0"/>
              <w:rPr>
                <w:sz w:val="7"/>
                <w:szCs w:val="7"/>
                <w:color w:val="auto"/>
              </w:rPr>
            </w:pP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w:t>
            </w:r>
          </w:p>
        </w:tc>
        <w:tc>
          <w:tcPr>
            <w:tcW w:w="700" w:type="dxa"/>
            <w:vAlign w:val="bottom"/>
            <w:shd w:val="clear" w:color="auto" w:fill="CCEEFF"/>
          </w:tcPr>
          <w:p>
            <w:pPr>
              <w:spacing w:after="0"/>
              <w:rPr>
                <w:sz w:val="7"/>
                <w:szCs w:val="7"/>
                <w:color w:val="auto"/>
              </w:rPr>
            </w:pPr>
          </w:p>
        </w:tc>
        <w:tc>
          <w:tcPr>
            <w:tcW w:w="840" w:type="dxa"/>
            <w:vAlign w:val="bottom"/>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rPr>
              <w:t>—</w:t>
            </w:r>
          </w:p>
        </w:tc>
        <w:tc>
          <w:tcPr>
            <w:tcW w:w="700" w:type="dxa"/>
            <w:vAlign w:val="bottom"/>
            <w:shd w:val="clear" w:color="auto" w:fill="CCEEFF"/>
          </w:tcPr>
          <w:p>
            <w:pPr>
              <w:spacing w:after="0"/>
              <w:rPr>
                <w:sz w:val="7"/>
                <w:szCs w:val="7"/>
                <w:color w:val="auto"/>
              </w:rPr>
            </w:pPr>
          </w:p>
        </w:tc>
        <w:tc>
          <w:tcPr>
            <w:tcW w:w="1540" w:type="dxa"/>
            <w:vAlign w:val="bottom"/>
            <w:gridSpan w:val="2"/>
            <w:shd w:val="clear" w:color="auto" w:fill="CCEEFF"/>
          </w:tcPr>
          <w:p>
            <w:pPr>
              <w:jc w:val="right"/>
              <w:ind w:right="980"/>
              <w:spacing w:after="0" w:line="90" w:lineRule="exact"/>
              <w:rPr>
                <w:sz w:val="20"/>
                <w:szCs w:val="20"/>
                <w:color w:val="auto"/>
              </w:rPr>
            </w:pPr>
            <w:r>
              <w:rPr>
                <w:rFonts w:ascii="Arial" w:cs="Arial" w:eastAsia="Arial" w:hAnsi="Arial"/>
                <w:sz w:val="8"/>
                <w:szCs w:val="8"/>
                <w:color w:val="auto"/>
              </w:rPr>
              <w:t>—</w:t>
            </w: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16,875</w:t>
            </w:r>
          </w:p>
        </w:tc>
        <w:tc>
          <w:tcPr>
            <w:tcW w:w="700" w:type="dxa"/>
            <w:vAlign w:val="bottom"/>
            <w:shd w:val="clear" w:color="auto" w:fill="CCEEFF"/>
          </w:tcPr>
          <w:p>
            <w:pPr>
              <w:spacing w:after="0"/>
              <w:rPr>
                <w:sz w:val="7"/>
                <w:szCs w:val="7"/>
                <w:color w:val="auto"/>
              </w:rPr>
            </w:pPr>
          </w:p>
        </w:tc>
        <w:tc>
          <w:tcPr>
            <w:tcW w:w="800" w:type="dxa"/>
            <w:vAlign w:val="bottom"/>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8"/>
                <w:szCs w:val="8"/>
                <w:color w:val="auto"/>
              </w:rPr>
              <w:t>12/18/2012</w:t>
            </w: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jc w:val="right"/>
              <w:ind w:right="238"/>
              <w:spacing w:after="0"/>
              <w:rPr>
                <w:sz w:val="20"/>
                <w:szCs w:val="20"/>
                <w:color w:val="auto"/>
              </w:rPr>
            </w:pPr>
            <w:r>
              <w:rPr>
                <w:rFonts w:ascii="Arial" w:cs="Arial" w:eastAsia="Arial" w:hAnsi="Arial"/>
                <w:sz w:val="8"/>
                <w:szCs w:val="8"/>
                <w:color w:val="auto"/>
                <w:w w:val="82"/>
              </w:rPr>
              <w:t>17.2400</w:t>
            </w:r>
          </w:p>
        </w:tc>
        <w:tc>
          <w:tcPr>
            <w:tcW w:w="680" w:type="dxa"/>
            <w:vAlign w:val="bottom"/>
            <w:shd w:val="clear" w:color="auto" w:fill="CCEEFF"/>
          </w:tcPr>
          <w:p>
            <w:pPr>
              <w:spacing w:after="0"/>
              <w:rPr>
                <w:sz w:val="8"/>
                <w:szCs w:val="8"/>
                <w:color w:val="auto"/>
              </w:rPr>
            </w:pPr>
          </w:p>
        </w:tc>
        <w:tc>
          <w:tcPr>
            <w:tcW w:w="640" w:type="dxa"/>
            <w:vAlign w:val="bottom"/>
            <w:shd w:val="clear" w:color="auto" w:fill="CCEEFF"/>
          </w:tcPr>
          <w:p>
            <w:pPr>
              <w:jc w:val="right"/>
              <w:ind w:right="138"/>
              <w:spacing w:after="0"/>
              <w:rPr>
                <w:sz w:val="20"/>
                <w:szCs w:val="20"/>
                <w:color w:val="auto"/>
              </w:rPr>
            </w:pPr>
            <w:r>
              <w:rPr>
                <w:rFonts w:ascii="Arial" w:cs="Arial" w:eastAsia="Arial" w:hAnsi="Arial"/>
                <w:sz w:val="8"/>
                <w:szCs w:val="8"/>
                <w:color w:val="auto"/>
              </w:rPr>
              <w:t>—</w:t>
            </w:r>
          </w:p>
        </w:tc>
        <w:tc>
          <w:tcPr>
            <w:tcW w:w="700" w:type="dxa"/>
            <w:vAlign w:val="bottom"/>
            <w:shd w:val="clear" w:color="auto" w:fill="CCEEFF"/>
          </w:tcPr>
          <w:p>
            <w:pPr>
              <w:spacing w:after="0"/>
              <w:rPr>
                <w:sz w:val="8"/>
                <w:szCs w:val="8"/>
                <w:color w:val="auto"/>
              </w:rPr>
            </w:pPr>
          </w:p>
        </w:tc>
        <w:tc>
          <w:tcPr>
            <w:tcW w:w="840" w:type="dxa"/>
            <w:vAlign w:val="bottom"/>
            <w:shd w:val="clear" w:color="auto" w:fill="CCEEFF"/>
          </w:tcPr>
          <w:p>
            <w:pPr>
              <w:jc w:val="right"/>
              <w:ind w:right="238"/>
              <w:spacing w:after="0"/>
              <w:rPr>
                <w:sz w:val="20"/>
                <w:szCs w:val="20"/>
                <w:color w:val="auto"/>
              </w:rPr>
            </w:pPr>
            <w:r>
              <w:rPr>
                <w:rFonts w:ascii="Arial" w:cs="Arial" w:eastAsia="Arial" w:hAnsi="Arial"/>
                <w:sz w:val="8"/>
                <w:szCs w:val="8"/>
                <w:color w:val="auto"/>
              </w:rPr>
              <w:t>—</w:t>
            </w:r>
          </w:p>
        </w:tc>
        <w:tc>
          <w:tcPr>
            <w:tcW w:w="700" w:type="dxa"/>
            <w:vAlign w:val="bottom"/>
            <w:shd w:val="clear" w:color="auto" w:fill="CCEEFF"/>
          </w:tcPr>
          <w:p>
            <w:pPr>
              <w:spacing w:after="0"/>
              <w:rPr>
                <w:sz w:val="8"/>
                <w:szCs w:val="8"/>
                <w:color w:val="auto"/>
              </w:rPr>
            </w:pPr>
          </w:p>
        </w:tc>
        <w:tc>
          <w:tcPr>
            <w:tcW w:w="1540" w:type="dxa"/>
            <w:vAlign w:val="bottom"/>
            <w:gridSpan w:val="2"/>
            <w:shd w:val="clear" w:color="auto" w:fill="CCEEFF"/>
          </w:tcPr>
          <w:p>
            <w:pPr>
              <w:jc w:val="right"/>
              <w:ind w:right="980"/>
              <w:spacing w:after="0"/>
              <w:rPr>
                <w:sz w:val="20"/>
                <w:szCs w:val="20"/>
                <w:color w:val="auto"/>
              </w:rPr>
            </w:pPr>
            <w:r>
              <w:rPr>
                <w:rFonts w:ascii="Arial" w:cs="Arial" w:eastAsia="Arial" w:hAnsi="Arial"/>
                <w:sz w:val="8"/>
                <w:szCs w:val="8"/>
                <w:color w:val="auto"/>
              </w:rPr>
              <w:t>—</w:t>
            </w:r>
          </w:p>
        </w:tc>
        <w:tc>
          <w:tcPr>
            <w:tcW w:w="640" w:type="dxa"/>
            <w:vAlign w:val="bottom"/>
            <w:shd w:val="clear" w:color="auto" w:fill="CCEEFF"/>
          </w:tcPr>
          <w:p>
            <w:pPr>
              <w:jc w:val="right"/>
              <w:ind w:right="138"/>
              <w:spacing w:after="0"/>
              <w:rPr>
                <w:sz w:val="20"/>
                <w:szCs w:val="20"/>
                <w:color w:val="auto"/>
              </w:rPr>
            </w:pPr>
            <w:r>
              <w:rPr>
                <w:rFonts w:ascii="Arial" w:cs="Arial" w:eastAsia="Arial" w:hAnsi="Arial"/>
                <w:sz w:val="8"/>
                <w:szCs w:val="8"/>
                <w:color w:val="auto"/>
              </w:rPr>
              <w:t>—</w:t>
            </w:r>
          </w:p>
        </w:tc>
        <w:tc>
          <w:tcPr>
            <w:tcW w:w="1500" w:type="dxa"/>
            <w:vAlign w:val="bottom"/>
            <w:gridSpan w:val="2"/>
            <w:shd w:val="clear" w:color="auto" w:fill="CCEEFF"/>
          </w:tcPr>
          <w:p>
            <w:pPr>
              <w:jc w:val="right"/>
              <w:ind w:right="238"/>
              <w:spacing w:after="0"/>
              <w:rPr>
                <w:sz w:val="20"/>
                <w:szCs w:val="20"/>
                <w:color w:val="auto"/>
              </w:rPr>
            </w:pPr>
            <w:r>
              <w:rPr>
                <w:rFonts w:ascii="Arial" w:cs="Arial" w:eastAsia="Arial" w:hAnsi="Arial"/>
                <w:sz w:val="8"/>
                <w:szCs w:val="8"/>
                <w:color w:val="auto"/>
              </w:rPr>
              <w:t>19,629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1041400</wp:posOffset>
            </wp:positionH>
            <wp:positionV relativeFrom="paragraph">
              <wp:posOffset>-2487295</wp:posOffset>
            </wp:positionV>
            <wp:extent cx="11430"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1430" cy="5715"/>
                    </a:xfrm>
                    <a:prstGeom prst="rect">
                      <a:avLst/>
                    </a:prstGeom>
                    <a:noFill/>
                  </pic:spPr>
                </pic:pic>
              </a:graphicData>
            </a:graphic>
          </wp:anchor>
        </w:drawing>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97790</wp:posOffset>
            </wp:positionV>
            <wp:extent cx="7299325" cy="184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680"/>
          </w:cols>
          <w:pgMar w:left="220" w:top="327" w:right="999" w:bottom="1440" w:gutter="0" w:footer="0" w:header="0"/>
        </w:sectPr>
      </w:pPr>
    </w:p>
    <w:bookmarkStart w:id="51" w:name="page52"/>
    <w:bookmarkEnd w:id="51"/>
    <w:p>
      <w:pPr>
        <w:spacing w:after="0"/>
        <w:rPr>
          <w:rFonts w:ascii="Arial" w:cs="Arial" w:eastAsia="Arial" w:hAnsi="Arial"/>
          <w:sz w:val="12"/>
          <w:szCs w:val="12"/>
          <w:b w:val="1"/>
          <w:bCs w:val="1"/>
          <w:u w:val="single" w:color="auto"/>
          <w:color w:val="0000EE"/>
        </w:rPr>
      </w:pPr>
      <w:hyperlink w:anchor="page4">
        <w:r>
          <w:rPr>
            <w:rFonts w:ascii="Arial" w:cs="Arial" w:eastAsia="Arial" w:hAnsi="Arial"/>
            <w:sz w:val="12"/>
            <w:szCs w:val="12"/>
            <w:b w:val="1"/>
            <w:bCs w:val="1"/>
            <w:u w:val="single" w:color="auto"/>
            <w:color w:val="0000EE"/>
          </w:rPr>
          <w:t>Table of Contents</w:t>
        </w:r>
      </w:hyperlink>
    </w:p>
    <w:p>
      <w:pPr>
        <w:spacing w:after="0" w:line="213" w:lineRule="exact"/>
        <w:rPr>
          <w:sz w:val="20"/>
          <w:szCs w:val="20"/>
          <w:color w:val="auto"/>
        </w:rPr>
      </w:pPr>
    </w:p>
    <w:tbl>
      <w:tblPr>
        <w:tblLayout w:type="fixed"/>
        <w:tblInd w:w="680" w:type="dxa"/>
        <w:tblCellMar>
          <w:top w:w="0" w:type="dxa"/>
          <w:left w:w="0" w:type="dxa"/>
          <w:bottom w:w="0" w:type="dxa"/>
          <w:right w:w="0" w:type="dxa"/>
        </w:tblCellMar>
      </w:tblPr>
      <w:tr>
        <w:trPr>
          <w:trHeight w:val="101"/>
        </w:trPr>
        <w:tc>
          <w:tcPr>
            <w:tcW w:w="2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8"/>
                <w:szCs w:val="8"/>
                <w:b w:val="1"/>
                <w:bCs w:val="1"/>
                <w:color w:val="auto"/>
              </w:rPr>
              <w:t>Exercise</w:t>
            </w:r>
          </w:p>
        </w:tc>
        <w:tc>
          <w:tcPr>
            <w:tcW w:w="6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260" w:type="dxa"/>
            <w:vAlign w:val="bottom"/>
            <w:tcBorders>
              <w:bottom w:val="single" w:sz="8" w:color="auto"/>
            </w:tcBorders>
            <w:gridSpan w:val="3"/>
          </w:tcPr>
          <w:p>
            <w:pPr>
              <w:ind w:left="280"/>
              <w:spacing w:after="0"/>
              <w:rPr>
                <w:sz w:val="20"/>
                <w:szCs w:val="20"/>
                <w:color w:val="auto"/>
              </w:rPr>
            </w:pPr>
            <w:r>
              <w:rPr>
                <w:rFonts w:ascii="Arial" w:cs="Arial" w:eastAsia="Arial" w:hAnsi="Arial"/>
                <w:sz w:val="8"/>
                <w:szCs w:val="8"/>
                <w:b w:val="1"/>
                <w:bCs w:val="1"/>
                <w:color w:val="auto"/>
              </w:rPr>
              <w:t>Number of Shares Underlying Vesting Awards</w:t>
            </w:r>
          </w:p>
        </w:tc>
        <w:tc>
          <w:tcPr>
            <w:tcW w:w="6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140" w:type="dxa"/>
            <w:vAlign w:val="bottom"/>
            <w:vMerge w:val="restart"/>
          </w:tcPr>
          <w:p>
            <w:pPr>
              <w:ind w:left="960"/>
              <w:spacing w:after="0"/>
              <w:rPr>
                <w:sz w:val="20"/>
                <w:szCs w:val="20"/>
                <w:color w:val="auto"/>
              </w:rPr>
            </w:pPr>
            <w:r>
              <w:rPr>
                <w:rFonts w:ascii="Arial" w:cs="Arial" w:eastAsia="Arial" w:hAnsi="Arial"/>
                <w:sz w:val="8"/>
                <w:szCs w:val="8"/>
                <w:b w:val="1"/>
                <w:bCs w:val="1"/>
                <w:color w:val="auto"/>
              </w:rPr>
              <w:t>Vesting Date</w:t>
            </w:r>
          </w:p>
        </w:tc>
        <w:tc>
          <w:tcPr>
            <w:tcW w:w="8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640" w:type="dxa"/>
            <w:vAlign w:val="bottom"/>
          </w:tcPr>
          <w:p>
            <w:pPr>
              <w:jc w:val="right"/>
              <w:ind w:right="138"/>
              <w:spacing w:after="0" w:line="78" w:lineRule="exact"/>
              <w:rPr>
                <w:sz w:val="20"/>
                <w:szCs w:val="20"/>
                <w:color w:val="auto"/>
              </w:rPr>
            </w:pPr>
            <w:r>
              <w:rPr>
                <w:rFonts w:ascii="Arial" w:cs="Arial" w:eastAsia="Arial" w:hAnsi="Arial"/>
                <w:sz w:val="8"/>
                <w:szCs w:val="8"/>
                <w:b w:val="1"/>
                <w:bCs w:val="1"/>
                <w:color w:val="auto"/>
              </w:rPr>
              <w:t>Brian L.</w:t>
            </w:r>
          </w:p>
        </w:tc>
        <w:tc>
          <w:tcPr>
            <w:tcW w:w="680" w:type="dxa"/>
            <w:vAlign w:val="bottom"/>
          </w:tcPr>
          <w:p>
            <w:pPr>
              <w:spacing w:after="0"/>
              <w:rPr>
                <w:sz w:val="6"/>
                <w:szCs w:val="6"/>
                <w:color w:val="auto"/>
              </w:rPr>
            </w:pPr>
          </w:p>
        </w:tc>
        <w:tc>
          <w:tcPr>
            <w:tcW w:w="840" w:type="dxa"/>
            <w:vAlign w:val="bottom"/>
          </w:tcPr>
          <w:p>
            <w:pPr>
              <w:jc w:val="right"/>
              <w:ind w:right="178"/>
              <w:spacing w:after="0" w:line="78" w:lineRule="exact"/>
              <w:rPr>
                <w:sz w:val="20"/>
                <w:szCs w:val="20"/>
                <w:color w:val="auto"/>
              </w:rPr>
            </w:pPr>
            <w:r>
              <w:rPr>
                <w:rFonts w:ascii="Arial" w:cs="Arial" w:eastAsia="Arial" w:hAnsi="Arial"/>
                <w:sz w:val="8"/>
                <w:szCs w:val="8"/>
                <w:b w:val="1"/>
                <w:bCs w:val="1"/>
                <w:color w:val="auto"/>
              </w:rPr>
              <w:t>Michael J.</w:t>
            </w:r>
          </w:p>
        </w:tc>
        <w:tc>
          <w:tcPr>
            <w:tcW w:w="700" w:type="dxa"/>
            <w:vAlign w:val="bottom"/>
          </w:tcPr>
          <w:p>
            <w:pPr>
              <w:spacing w:after="0"/>
              <w:rPr>
                <w:sz w:val="6"/>
                <w:szCs w:val="6"/>
                <w:color w:val="auto"/>
              </w:rPr>
            </w:pPr>
          </w:p>
        </w:tc>
        <w:tc>
          <w:tcPr>
            <w:tcW w:w="1560" w:type="dxa"/>
            <w:vAlign w:val="bottom"/>
            <w:gridSpan w:val="2"/>
          </w:tcPr>
          <w:p>
            <w:pPr>
              <w:jc w:val="center"/>
              <w:ind w:right="700"/>
              <w:spacing w:after="0" w:line="78" w:lineRule="exact"/>
              <w:rPr>
                <w:sz w:val="20"/>
                <w:szCs w:val="20"/>
                <w:color w:val="auto"/>
              </w:rPr>
            </w:pPr>
            <w:r>
              <w:rPr>
                <w:rFonts w:ascii="Arial" w:cs="Arial" w:eastAsia="Arial" w:hAnsi="Arial"/>
                <w:sz w:val="8"/>
                <w:szCs w:val="8"/>
                <w:b w:val="1"/>
                <w:bCs w:val="1"/>
                <w:color w:val="auto"/>
                <w:w w:val="90"/>
              </w:rPr>
              <w:t>Stephen B.</w:t>
            </w:r>
          </w:p>
        </w:tc>
        <w:tc>
          <w:tcPr>
            <w:tcW w:w="620" w:type="dxa"/>
            <w:vAlign w:val="bottom"/>
          </w:tcPr>
          <w:p>
            <w:pPr>
              <w:jc w:val="right"/>
              <w:ind w:right="118"/>
              <w:spacing w:after="0" w:line="78" w:lineRule="exact"/>
              <w:rPr>
                <w:sz w:val="20"/>
                <w:szCs w:val="20"/>
                <w:color w:val="auto"/>
              </w:rPr>
            </w:pPr>
            <w:r>
              <w:rPr>
                <w:rFonts w:ascii="Arial" w:cs="Arial" w:eastAsia="Arial" w:hAnsi="Arial"/>
                <w:sz w:val="8"/>
                <w:szCs w:val="8"/>
                <w:b w:val="1"/>
                <w:bCs w:val="1"/>
                <w:color w:val="auto"/>
              </w:rPr>
              <w:t>David L.</w:t>
            </w:r>
          </w:p>
        </w:tc>
        <w:tc>
          <w:tcPr>
            <w:tcW w:w="700" w:type="dxa"/>
            <w:vAlign w:val="bottom"/>
          </w:tcPr>
          <w:p>
            <w:pPr>
              <w:spacing w:after="0"/>
              <w:rPr>
                <w:sz w:val="6"/>
                <w:szCs w:val="6"/>
                <w:color w:val="auto"/>
              </w:rPr>
            </w:pPr>
          </w:p>
        </w:tc>
        <w:tc>
          <w:tcPr>
            <w:tcW w:w="800" w:type="dxa"/>
            <w:vAlign w:val="bottom"/>
          </w:tcPr>
          <w:p>
            <w:pPr>
              <w:jc w:val="right"/>
              <w:ind w:right="198"/>
              <w:spacing w:after="0" w:line="78" w:lineRule="exact"/>
              <w:rPr>
                <w:sz w:val="20"/>
                <w:szCs w:val="20"/>
                <w:color w:val="auto"/>
              </w:rPr>
            </w:pPr>
            <w:r>
              <w:rPr>
                <w:rFonts w:ascii="Arial" w:cs="Arial" w:eastAsia="Arial" w:hAnsi="Arial"/>
                <w:sz w:val="8"/>
                <w:szCs w:val="8"/>
                <w:b w:val="1"/>
                <w:bCs w:val="1"/>
                <w:color w:val="auto"/>
              </w:rPr>
              <w:t>Arthur R.</w:t>
            </w:r>
          </w:p>
        </w:tc>
        <w:tc>
          <w:tcPr>
            <w:tcW w:w="0" w:type="dxa"/>
            <w:vAlign w:val="bottom"/>
          </w:tcPr>
          <w:p>
            <w:pPr>
              <w:spacing w:after="0"/>
              <w:rPr>
                <w:sz w:val="1"/>
                <w:szCs w:val="1"/>
                <w:color w:val="auto"/>
              </w:rPr>
            </w:pPr>
          </w:p>
        </w:tc>
      </w:tr>
      <w:tr>
        <w:trPr>
          <w:trHeight w:val="101"/>
        </w:trPr>
        <w:tc>
          <w:tcPr>
            <w:tcW w:w="21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tcPr>
          <w:p>
            <w:pPr>
              <w:ind w:left="80"/>
              <w:spacing w:after="0"/>
              <w:rPr>
                <w:sz w:val="20"/>
                <w:szCs w:val="20"/>
                <w:color w:val="auto"/>
              </w:rPr>
            </w:pPr>
            <w:r>
              <w:rPr>
                <w:rFonts w:ascii="Arial" w:cs="Arial" w:eastAsia="Arial" w:hAnsi="Arial"/>
                <w:sz w:val="8"/>
                <w:szCs w:val="8"/>
                <w:b w:val="1"/>
                <w:bCs w:val="1"/>
                <w:color w:val="auto"/>
              </w:rPr>
              <w:t>Price ($)</w:t>
            </w:r>
          </w:p>
        </w:tc>
        <w:tc>
          <w:tcPr>
            <w:tcW w:w="640" w:type="dxa"/>
            <w:vAlign w:val="bottom"/>
          </w:tcPr>
          <w:p>
            <w:pPr>
              <w:jc w:val="right"/>
              <w:ind w:right="138"/>
              <w:spacing w:after="0"/>
              <w:rPr>
                <w:sz w:val="20"/>
                <w:szCs w:val="20"/>
                <w:color w:val="auto"/>
              </w:rPr>
            </w:pPr>
            <w:r>
              <w:rPr>
                <w:rFonts w:ascii="Arial" w:cs="Arial" w:eastAsia="Arial" w:hAnsi="Arial"/>
                <w:sz w:val="8"/>
                <w:szCs w:val="8"/>
                <w:b w:val="1"/>
                <w:bCs w:val="1"/>
                <w:color w:val="auto"/>
              </w:rPr>
              <w:t>Roberts</w:t>
            </w:r>
          </w:p>
        </w:tc>
        <w:tc>
          <w:tcPr>
            <w:tcW w:w="680" w:type="dxa"/>
            <w:vAlign w:val="bottom"/>
          </w:tcPr>
          <w:p>
            <w:pPr>
              <w:spacing w:after="0"/>
              <w:rPr>
                <w:sz w:val="8"/>
                <w:szCs w:val="8"/>
                <w:color w:val="auto"/>
              </w:rPr>
            </w:pPr>
          </w:p>
        </w:tc>
        <w:tc>
          <w:tcPr>
            <w:tcW w:w="840" w:type="dxa"/>
            <w:vAlign w:val="bottom"/>
          </w:tcPr>
          <w:p>
            <w:pPr>
              <w:jc w:val="right"/>
              <w:ind w:right="198"/>
              <w:spacing w:after="0"/>
              <w:rPr>
                <w:sz w:val="20"/>
                <w:szCs w:val="20"/>
                <w:color w:val="auto"/>
              </w:rPr>
            </w:pPr>
            <w:r>
              <w:rPr>
                <w:rFonts w:ascii="Arial" w:cs="Arial" w:eastAsia="Arial" w:hAnsi="Arial"/>
                <w:sz w:val="8"/>
                <w:szCs w:val="8"/>
                <w:b w:val="1"/>
                <w:bCs w:val="1"/>
                <w:color w:val="auto"/>
              </w:rPr>
              <w:t>Angelakis</w:t>
            </w:r>
          </w:p>
        </w:tc>
        <w:tc>
          <w:tcPr>
            <w:tcW w:w="700" w:type="dxa"/>
            <w:vAlign w:val="bottom"/>
          </w:tcPr>
          <w:p>
            <w:pPr>
              <w:spacing w:after="0"/>
              <w:rPr>
                <w:sz w:val="8"/>
                <w:szCs w:val="8"/>
                <w:color w:val="auto"/>
              </w:rPr>
            </w:pPr>
          </w:p>
        </w:tc>
        <w:tc>
          <w:tcPr>
            <w:tcW w:w="1560" w:type="dxa"/>
            <w:vAlign w:val="bottom"/>
            <w:gridSpan w:val="2"/>
          </w:tcPr>
          <w:p>
            <w:pPr>
              <w:jc w:val="center"/>
              <w:ind w:right="700"/>
              <w:spacing w:after="0"/>
              <w:rPr>
                <w:sz w:val="20"/>
                <w:szCs w:val="20"/>
                <w:color w:val="auto"/>
              </w:rPr>
            </w:pPr>
            <w:r>
              <w:rPr>
                <w:rFonts w:ascii="Arial" w:cs="Arial" w:eastAsia="Arial" w:hAnsi="Arial"/>
                <w:sz w:val="8"/>
                <w:szCs w:val="8"/>
                <w:b w:val="1"/>
                <w:bCs w:val="1"/>
                <w:color w:val="auto"/>
                <w:w w:val="96"/>
              </w:rPr>
              <w:t>Burke</w:t>
            </w:r>
          </w:p>
        </w:tc>
        <w:tc>
          <w:tcPr>
            <w:tcW w:w="620" w:type="dxa"/>
            <w:vAlign w:val="bottom"/>
          </w:tcPr>
          <w:p>
            <w:pPr>
              <w:jc w:val="right"/>
              <w:ind w:right="158"/>
              <w:spacing w:after="0"/>
              <w:rPr>
                <w:sz w:val="20"/>
                <w:szCs w:val="20"/>
                <w:color w:val="auto"/>
              </w:rPr>
            </w:pPr>
            <w:r>
              <w:rPr>
                <w:rFonts w:ascii="Arial" w:cs="Arial" w:eastAsia="Arial" w:hAnsi="Arial"/>
                <w:sz w:val="8"/>
                <w:szCs w:val="8"/>
                <w:b w:val="1"/>
                <w:bCs w:val="1"/>
                <w:color w:val="auto"/>
              </w:rPr>
              <w:t>Cohen</w:t>
            </w:r>
          </w:p>
        </w:tc>
        <w:tc>
          <w:tcPr>
            <w:tcW w:w="700" w:type="dxa"/>
            <w:vAlign w:val="bottom"/>
          </w:tcPr>
          <w:p>
            <w:pPr>
              <w:spacing w:after="0"/>
              <w:rPr>
                <w:sz w:val="8"/>
                <w:szCs w:val="8"/>
                <w:color w:val="auto"/>
              </w:rPr>
            </w:pPr>
          </w:p>
        </w:tc>
        <w:tc>
          <w:tcPr>
            <w:tcW w:w="800" w:type="dxa"/>
            <w:vAlign w:val="bottom"/>
          </w:tcPr>
          <w:p>
            <w:pPr>
              <w:jc w:val="right"/>
              <w:ind w:right="258"/>
              <w:spacing w:after="0"/>
              <w:rPr>
                <w:sz w:val="20"/>
                <w:szCs w:val="20"/>
                <w:color w:val="auto"/>
              </w:rPr>
            </w:pPr>
            <w:r>
              <w:rPr>
                <w:rFonts w:ascii="Arial" w:cs="Arial" w:eastAsia="Arial" w:hAnsi="Arial"/>
                <w:sz w:val="8"/>
                <w:szCs w:val="8"/>
                <w:b w:val="1"/>
                <w:bCs w:val="1"/>
                <w:color w:val="auto"/>
              </w:rPr>
              <w:t>Block</w:t>
            </w:r>
          </w:p>
        </w:tc>
        <w:tc>
          <w:tcPr>
            <w:tcW w:w="0" w:type="dxa"/>
            <w:vAlign w:val="bottom"/>
          </w:tcPr>
          <w:p>
            <w:pPr>
              <w:spacing w:after="0"/>
              <w:rPr>
                <w:sz w:val="1"/>
                <w:szCs w:val="1"/>
                <w:color w:val="auto"/>
              </w:rPr>
            </w:pPr>
          </w:p>
        </w:tc>
      </w:tr>
      <w:tr>
        <w:trPr>
          <w:trHeight w:val="106"/>
        </w:trPr>
        <w:tc>
          <w:tcPr>
            <w:tcW w:w="2140" w:type="dxa"/>
            <w:vAlign w:val="bottom"/>
          </w:tcPr>
          <w:p>
            <w:pPr>
              <w:spacing w:after="0"/>
              <w:rPr>
                <w:sz w:val="20"/>
                <w:szCs w:val="20"/>
                <w:color w:val="auto"/>
              </w:rPr>
            </w:pPr>
            <w:r>
              <w:rPr>
                <w:rFonts w:ascii="Arial" w:cs="Arial" w:eastAsia="Arial" w:hAnsi="Arial"/>
                <w:sz w:val="8"/>
                <w:szCs w:val="8"/>
                <w:b w:val="1"/>
                <w:bCs w:val="1"/>
                <w:color w:val="auto"/>
              </w:rPr>
              <w:t>2013</w:t>
            </w:r>
          </w:p>
        </w:tc>
        <w:tc>
          <w:tcPr>
            <w:tcW w:w="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2140" w:type="dxa"/>
            <w:vAlign w:val="bottom"/>
          </w:tcPr>
          <w:p>
            <w:pPr>
              <w:spacing w:after="0" w:line="90" w:lineRule="exact"/>
              <w:rPr>
                <w:sz w:val="20"/>
                <w:szCs w:val="20"/>
                <w:color w:val="auto"/>
              </w:rPr>
            </w:pPr>
            <w:r>
              <w:rPr>
                <w:rFonts w:ascii="Arial" w:cs="Arial" w:eastAsia="Arial" w:hAnsi="Arial"/>
                <w:sz w:val="8"/>
                <w:szCs w:val="8"/>
                <w:color w:val="auto"/>
              </w:rPr>
              <w:t>01/20/2013</w:t>
            </w:r>
          </w:p>
        </w:tc>
        <w:tc>
          <w:tcPr>
            <w:tcW w:w="620" w:type="dxa"/>
            <w:vAlign w:val="bottom"/>
            <w:gridSpan w:val="2"/>
          </w:tcPr>
          <w:p>
            <w:pPr>
              <w:jc w:val="right"/>
              <w:ind w:right="218"/>
              <w:spacing w:after="0" w:line="90" w:lineRule="exact"/>
              <w:rPr>
                <w:sz w:val="20"/>
                <w:szCs w:val="20"/>
                <w:color w:val="auto"/>
              </w:rPr>
            </w:pPr>
            <w:r>
              <w:rPr>
                <w:rFonts w:ascii="Arial" w:cs="Arial" w:eastAsia="Arial" w:hAnsi="Arial"/>
                <w:sz w:val="8"/>
                <w:szCs w:val="8"/>
                <w:color w:val="auto"/>
              </w:rPr>
              <w:t>18.5066</w:t>
            </w:r>
          </w:p>
        </w:tc>
        <w:tc>
          <w:tcPr>
            <w:tcW w:w="700" w:type="dxa"/>
            <w:vAlign w:val="bottom"/>
          </w:tcPr>
          <w:p>
            <w:pPr>
              <w:spacing w:after="0"/>
              <w:rPr>
                <w:sz w:val="7"/>
                <w:szCs w:val="7"/>
                <w:color w:val="auto"/>
              </w:rPr>
            </w:pPr>
          </w:p>
        </w:tc>
        <w:tc>
          <w:tcPr>
            <w:tcW w:w="640" w:type="dxa"/>
            <w:vAlign w:val="bottom"/>
          </w:tcPr>
          <w:p>
            <w:pPr>
              <w:jc w:val="right"/>
              <w:ind w:right="138"/>
              <w:spacing w:after="0" w:line="90" w:lineRule="exact"/>
              <w:rPr>
                <w:sz w:val="20"/>
                <w:szCs w:val="20"/>
                <w:color w:val="auto"/>
              </w:rPr>
            </w:pPr>
            <w:r>
              <w:rPr>
                <w:rFonts w:ascii="Arial" w:cs="Arial" w:eastAsia="Arial" w:hAnsi="Arial"/>
                <w:sz w:val="8"/>
                <w:szCs w:val="8"/>
                <w:color w:val="auto"/>
              </w:rPr>
              <w:t>—</w:t>
            </w:r>
          </w:p>
        </w:tc>
        <w:tc>
          <w:tcPr>
            <w:tcW w:w="680" w:type="dxa"/>
            <w:vAlign w:val="bottom"/>
          </w:tcPr>
          <w:p>
            <w:pPr>
              <w:spacing w:after="0"/>
              <w:rPr>
                <w:sz w:val="7"/>
                <w:szCs w:val="7"/>
                <w:color w:val="auto"/>
              </w:rPr>
            </w:pPr>
          </w:p>
        </w:tc>
        <w:tc>
          <w:tcPr>
            <w:tcW w:w="840" w:type="dxa"/>
            <w:vAlign w:val="bottom"/>
          </w:tcPr>
          <w:p>
            <w:pPr>
              <w:jc w:val="right"/>
              <w:ind w:right="238"/>
              <w:spacing w:after="0" w:line="90" w:lineRule="exact"/>
              <w:rPr>
                <w:sz w:val="20"/>
                <w:szCs w:val="20"/>
                <w:color w:val="auto"/>
              </w:rPr>
            </w:pPr>
            <w:r>
              <w:rPr>
                <w:rFonts w:ascii="Arial" w:cs="Arial" w:eastAsia="Arial" w:hAnsi="Arial"/>
                <w:sz w:val="8"/>
                <w:szCs w:val="8"/>
                <w:color w:val="auto"/>
              </w:rPr>
              <w:t>—</w:t>
            </w:r>
          </w:p>
        </w:tc>
        <w:tc>
          <w:tcPr>
            <w:tcW w:w="700" w:type="dxa"/>
            <w:vAlign w:val="bottom"/>
          </w:tcPr>
          <w:p>
            <w:pPr>
              <w:spacing w:after="0"/>
              <w:rPr>
                <w:sz w:val="7"/>
                <w:szCs w:val="7"/>
                <w:color w:val="auto"/>
              </w:rPr>
            </w:pPr>
          </w:p>
        </w:tc>
        <w:tc>
          <w:tcPr>
            <w:tcW w:w="1560" w:type="dxa"/>
            <w:vAlign w:val="bottom"/>
            <w:gridSpan w:val="2"/>
          </w:tcPr>
          <w:p>
            <w:pPr>
              <w:jc w:val="right"/>
              <w:ind w:right="1000"/>
              <w:spacing w:after="0" w:line="90" w:lineRule="exact"/>
              <w:rPr>
                <w:sz w:val="20"/>
                <w:szCs w:val="20"/>
                <w:color w:val="auto"/>
              </w:rPr>
            </w:pPr>
            <w:r>
              <w:rPr>
                <w:rFonts w:ascii="Arial" w:cs="Arial" w:eastAsia="Arial" w:hAnsi="Arial"/>
                <w:sz w:val="8"/>
                <w:szCs w:val="8"/>
                <w:color w:val="auto"/>
              </w:rPr>
              <w:t>—</w:t>
            </w:r>
          </w:p>
        </w:tc>
        <w:tc>
          <w:tcPr>
            <w:tcW w:w="620" w:type="dxa"/>
            <w:vAlign w:val="bottom"/>
          </w:tcPr>
          <w:p>
            <w:pPr>
              <w:jc w:val="right"/>
              <w:ind w:right="158"/>
              <w:spacing w:after="0" w:line="90" w:lineRule="exact"/>
              <w:rPr>
                <w:sz w:val="20"/>
                <w:szCs w:val="20"/>
                <w:color w:val="auto"/>
              </w:rPr>
            </w:pPr>
            <w:r>
              <w:rPr>
                <w:rFonts w:ascii="Arial" w:cs="Arial" w:eastAsia="Arial" w:hAnsi="Arial"/>
                <w:sz w:val="8"/>
                <w:szCs w:val="8"/>
                <w:color w:val="auto"/>
              </w:rPr>
              <w:t>—</w:t>
            </w:r>
          </w:p>
        </w:tc>
        <w:tc>
          <w:tcPr>
            <w:tcW w:w="1500" w:type="dxa"/>
            <w:vAlign w:val="bottom"/>
            <w:gridSpan w:val="2"/>
          </w:tcPr>
          <w:p>
            <w:pPr>
              <w:jc w:val="right"/>
              <w:ind w:right="258"/>
              <w:spacing w:after="0" w:line="90" w:lineRule="exact"/>
              <w:rPr>
                <w:sz w:val="20"/>
                <w:szCs w:val="20"/>
                <w:color w:val="auto"/>
              </w:rPr>
            </w:pPr>
            <w:r>
              <w:rPr>
                <w:rFonts w:ascii="Arial" w:cs="Arial" w:eastAsia="Arial" w:hAnsi="Arial"/>
                <w:sz w:val="8"/>
                <w:szCs w:val="8"/>
                <w:color w:val="auto"/>
              </w:rPr>
              <w:t>3,412</w:t>
            </w:r>
          </w:p>
        </w:tc>
        <w:tc>
          <w:tcPr>
            <w:tcW w:w="0" w:type="dxa"/>
            <w:vAlign w:val="bottom"/>
          </w:tcPr>
          <w:p>
            <w:pPr>
              <w:spacing w:after="0"/>
              <w:rPr>
                <w:sz w:val="1"/>
                <w:szCs w:val="1"/>
                <w:color w:val="auto"/>
              </w:rPr>
            </w:pPr>
          </w:p>
        </w:tc>
      </w:tr>
      <w:tr>
        <w:trPr>
          <w:trHeight w:val="90"/>
        </w:trPr>
        <w:tc>
          <w:tcPr>
            <w:tcW w:w="2140" w:type="dxa"/>
            <w:vAlign w:val="bottom"/>
          </w:tcPr>
          <w:p>
            <w:pPr>
              <w:spacing w:after="0" w:line="90" w:lineRule="exact"/>
              <w:rPr>
                <w:sz w:val="20"/>
                <w:szCs w:val="20"/>
                <w:color w:val="auto"/>
              </w:rPr>
            </w:pPr>
            <w:r>
              <w:rPr>
                <w:rFonts w:ascii="Arial" w:cs="Arial" w:eastAsia="Arial" w:hAnsi="Arial"/>
                <w:sz w:val="8"/>
                <w:szCs w:val="8"/>
                <w:color w:val="auto"/>
              </w:rPr>
              <w:t>03/09/2013</w:t>
            </w:r>
          </w:p>
        </w:tc>
        <w:tc>
          <w:tcPr>
            <w:tcW w:w="620" w:type="dxa"/>
            <w:vAlign w:val="bottom"/>
            <w:gridSpan w:val="2"/>
          </w:tcPr>
          <w:p>
            <w:pPr>
              <w:jc w:val="right"/>
              <w:ind w:right="218"/>
              <w:spacing w:after="0" w:line="90" w:lineRule="exact"/>
              <w:rPr>
                <w:sz w:val="20"/>
                <w:szCs w:val="20"/>
                <w:color w:val="auto"/>
              </w:rPr>
            </w:pPr>
            <w:r>
              <w:rPr>
                <w:rFonts w:ascii="Arial" w:cs="Arial" w:eastAsia="Arial" w:hAnsi="Arial"/>
                <w:sz w:val="8"/>
                <w:szCs w:val="8"/>
                <w:color w:val="auto"/>
              </w:rPr>
              <w:t>19.9200</w:t>
            </w:r>
          </w:p>
        </w:tc>
        <w:tc>
          <w:tcPr>
            <w:tcW w:w="700" w:type="dxa"/>
            <w:vAlign w:val="bottom"/>
          </w:tcPr>
          <w:p>
            <w:pPr>
              <w:spacing w:after="0"/>
              <w:rPr>
                <w:sz w:val="7"/>
                <w:szCs w:val="7"/>
                <w:color w:val="auto"/>
              </w:rPr>
            </w:pPr>
          </w:p>
        </w:tc>
        <w:tc>
          <w:tcPr>
            <w:tcW w:w="640" w:type="dxa"/>
            <w:vAlign w:val="bottom"/>
          </w:tcPr>
          <w:p>
            <w:pPr>
              <w:jc w:val="right"/>
              <w:ind w:right="138"/>
              <w:spacing w:after="0" w:line="90" w:lineRule="exact"/>
              <w:rPr>
                <w:sz w:val="20"/>
                <w:szCs w:val="20"/>
                <w:color w:val="auto"/>
              </w:rPr>
            </w:pPr>
            <w:r>
              <w:rPr>
                <w:rFonts w:ascii="Arial" w:cs="Arial" w:eastAsia="Arial" w:hAnsi="Arial"/>
                <w:sz w:val="8"/>
                <w:szCs w:val="8"/>
                <w:color w:val="auto"/>
              </w:rPr>
              <w:t>60,000</w:t>
            </w:r>
          </w:p>
        </w:tc>
        <w:tc>
          <w:tcPr>
            <w:tcW w:w="680" w:type="dxa"/>
            <w:vAlign w:val="bottom"/>
          </w:tcPr>
          <w:p>
            <w:pPr>
              <w:spacing w:after="0"/>
              <w:rPr>
                <w:sz w:val="7"/>
                <w:szCs w:val="7"/>
                <w:color w:val="auto"/>
              </w:rPr>
            </w:pPr>
          </w:p>
        </w:tc>
        <w:tc>
          <w:tcPr>
            <w:tcW w:w="840" w:type="dxa"/>
            <w:vAlign w:val="bottom"/>
          </w:tcPr>
          <w:p>
            <w:pPr>
              <w:jc w:val="right"/>
              <w:ind w:right="238"/>
              <w:spacing w:after="0" w:line="90" w:lineRule="exact"/>
              <w:rPr>
                <w:sz w:val="20"/>
                <w:szCs w:val="20"/>
                <w:color w:val="auto"/>
              </w:rPr>
            </w:pPr>
            <w:r>
              <w:rPr>
                <w:rFonts w:ascii="Arial" w:cs="Arial" w:eastAsia="Arial" w:hAnsi="Arial"/>
                <w:sz w:val="8"/>
                <w:szCs w:val="8"/>
                <w:color w:val="auto"/>
              </w:rPr>
              <w:t>—</w:t>
            </w:r>
          </w:p>
        </w:tc>
        <w:tc>
          <w:tcPr>
            <w:tcW w:w="1560" w:type="dxa"/>
            <w:vAlign w:val="bottom"/>
            <w:gridSpan w:val="2"/>
          </w:tcPr>
          <w:p>
            <w:pPr>
              <w:jc w:val="right"/>
              <w:ind w:right="258"/>
              <w:spacing w:after="0" w:line="90" w:lineRule="exact"/>
              <w:rPr>
                <w:sz w:val="20"/>
                <w:szCs w:val="20"/>
                <w:color w:val="auto"/>
              </w:rPr>
            </w:pPr>
            <w:r>
              <w:rPr>
                <w:rFonts w:ascii="Arial" w:cs="Arial" w:eastAsia="Arial" w:hAnsi="Arial"/>
                <w:sz w:val="8"/>
                <w:szCs w:val="8"/>
                <w:color w:val="auto"/>
              </w:rPr>
              <w:t>30,000</w:t>
            </w:r>
          </w:p>
        </w:tc>
        <w:tc>
          <w:tcPr>
            <w:tcW w:w="700" w:type="dxa"/>
            <w:vAlign w:val="bottom"/>
          </w:tcPr>
          <w:p>
            <w:pPr>
              <w:spacing w:after="0"/>
              <w:rPr>
                <w:sz w:val="7"/>
                <w:szCs w:val="7"/>
                <w:color w:val="auto"/>
              </w:rPr>
            </w:pPr>
          </w:p>
        </w:tc>
        <w:tc>
          <w:tcPr>
            <w:tcW w:w="620" w:type="dxa"/>
            <w:vAlign w:val="bottom"/>
          </w:tcPr>
          <w:p>
            <w:pPr>
              <w:jc w:val="right"/>
              <w:ind w:right="158"/>
              <w:spacing w:after="0" w:line="90" w:lineRule="exact"/>
              <w:rPr>
                <w:sz w:val="20"/>
                <w:szCs w:val="20"/>
                <w:color w:val="auto"/>
              </w:rPr>
            </w:pPr>
            <w:r>
              <w:rPr>
                <w:rFonts w:ascii="Arial" w:cs="Arial" w:eastAsia="Arial" w:hAnsi="Arial"/>
                <w:sz w:val="8"/>
                <w:szCs w:val="8"/>
                <w:color w:val="auto"/>
              </w:rPr>
              <w:t>28,125</w:t>
            </w:r>
          </w:p>
        </w:tc>
        <w:tc>
          <w:tcPr>
            <w:tcW w:w="1500" w:type="dxa"/>
            <w:vAlign w:val="bottom"/>
            <w:gridSpan w:val="2"/>
          </w:tcPr>
          <w:p>
            <w:pPr>
              <w:jc w:val="right"/>
              <w:ind w:right="258"/>
              <w:spacing w:after="0" w:line="90" w:lineRule="exact"/>
              <w:rPr>
                <w:sz w:val="20"/>
                <w:szCs w:val="20"/>
                <w:color w:val="auto"/>
              </w:rPr>
            </w:pPr>
            <w:r>
              <w:rPr>
                <w:rFonts w:ascii="Arial" w:cs="Arial" w:eastAsia="Arial" w:hAnsi="Arial"/>
                <w:sz w:val="8"/>
                <w:szCs w:val="8"/>
                <w:color w:val="auto"/>
              </w:rPr>
              <w:t>7,500</w:t>
            </w:r>
          </w:p>
        </w:tc>
        <w:tc>
          <w:tcPr>
            <w:tcW w:w="0" w:type="dxa"/>
            <w:vAlign w:val="bottom"/>
          </w:tcPr>
          <w:p>
            <w:pPr>
              <w:spacing w:after="0"/>
              <w:rPr>
                <w:sz w:val="1"/>
                <w:szCs w:val="1"/>
                <w:color w:val="auto"/>
              </w:rPr>
            </w:pPr>
          </w:p>
        </w:tc>
      </w:tr>
      <w:tr>
        <w:trPr>
          <w:trHeight w:val="90"/>
        </w:trPr>
        <w:tc>
          <w:tcPr>
            <w:tcW w:w="2140" w:type="dxa"/>
            <w:vAlign w:val="bottom"/>
          </w:tcPr>
          <w:p>
            <w:pPr>
              <w:spacing w:after="0" w:line="90" w:lineRule="exact"/>
              <w:rPr>
                <w:sz w:val="20"/>
                <w:szCs w:val="20"/>
                <w:color w:val="auto"/>
              </w:rPr>
            </w:pPr>
            <w:r>
              <w:rPr>
                <w:rFonts w:ascii="Arial" w:cs="Arial" w:eastAsia="Arial" w:hAnsi="Arial"/>
                <w:sz w:val="8"/>
                <w:szCs w:val="8"/>
                <w:color w:val="auto"/>
              </w:rPr>
              <w:t>03/10/2013</w:t>
            </w:r>
          </w:p>
        </w:tc>
        <w:tc>
          <w:tcPr>
            <w:tcW w:w="620" w:type="dxa"/>
            <w:vAlign w:val="bottom"/>
            <w:gridSpan w:val="2"/>
          </w:tcPr>
          <w:p>
            <w:pPr>
              <w:jc w:val="right"/>
              <w:ind w:right="218"/>
              <w:spacing w:after="0" w:line="90" w:lineRule="exact"/>
              <w:rPr>
                <w:sz w:val="20"/>
                <w:szCs w:val="20"/>
                <w:color w:val="auto"/>
              </w:rPr>
            </w:pPr>
            <w:r>
              <w:rPr>
                <w:rFonts w:ascii="Arial" w:cs="Arial" w:eastAsia="Arial" w:hAnsi="Arial"/>
                <w:sz w:val="8"/>
                <w:szCs w:val="8"/>
                <w:color w:val="auto"/>
              </w:rPr>
              <w:t>17.5000</w:t>
            </w:r>
          </w:p>
        </w:tc>
        <w:tc>
          <w:tcPr>
            <w:tcW w:w="700" w:type="dxa"/>
            <w:vAlign w:val="bottom"/>
          </w:tcPr>
          <w:p>
            <w:pPr>
              <w:spacing w:after="0"/>
              <w:rPr>
                <w:sz w:val="7"/>
                <w:szCs w:val="7"/>
                <w:color w:val="auto"/>
              </w:rPr>
            </w:pPr>
          </w:p>
        </w:tc>
        <w:tc>
          <w:tcPr>
            <w:tcW w:w="640" w:type="dxa"/>
            <w:vAlign w:val="bottom"/>
          </w:tcPr>
          <w:p>
            <w:pPr>
              <w:jc w:val="right"/>
              <w:ind w:right="138"/>
              <w:spacing w:after="0" w:line="90" w:lineRule="exact"/>
              <w:rPr>
                <w:sz w:val="20"/>
                <w:szCs w:val="20"/>
                <w:color w:val="auto"/>
              </w:rPr>
            </w:pPr>
            <w:r>
              <w:rPr>
                <w:rFonts w:ascii="Arial" w:cs="Arial" w:eastAsia="Arial" w:hAnsi="Arial"/>
                <w:sz w:val="8"/>
                <w:szCs w:val="8"/>
                <w:color w:val="auto"/>
              </w:rPr>
              <w:t>37,800</w:t>
            </w:r>
          </w:p>
        </w:tc>
        <w:tc>
          <w:tcPr>
            <w:tcW w:w="680" w:type="dxa"/>
            <w:vAlign w:val="bottom"/>
          </w:tcPr>
          <w:p>
            <w:pPr>
              <w:spacing w:after="0"/>
              <w:rPr>
                <w:sz w:val="7"/>
                <w:szCs w:val="7"/>
                <w:color w:val="auto"/>
              </w:rPr>
            </w:pPr>
          </w:p>
        </w:tc>
        <w:tc>
          <w:tcPr>
            <w:tcW w:w="840" w:type="dxa"/>
            <w:vAlign w:val="bottom"/>
          </w:tcPr>
          <w:p>
            <w:pPr>
              <w:jc w:val="right"/>
              <w:ind w:right="238"/>
              <w:spacing w:after="0" w:line="90" w:lineRule="exact"/>
              <w:rPr>
                <w:sz w:val="20"/>
                <w:szCs w:val="20"/>
                <w:color w:val="auto"/>
              </w:rPr>
            </w:pPr>
            <w:r>
              <w:rPr>
                <w:rFonts w:ascii="Arial" w:cs="Arial" w:eastAsia="Arial" w:hAnsi="Arial"/>
                <w:sz w:val="8"/>
                <w:szCs w:val="8"/>
                <w:color w:val="auto"/>
              </w:rPr>
              <w:t>—</w:t>
            </w:r>
          </w:p>
        </w:tc>
        <w:tc>
          <w:tcPr>
            <w:tcW w:w="1560" w:type="dxa"/>
            <w:vAlign w:val="bottom"/>
            <w:gridSpan w:val="2"/>
          </w:tcPr>
          <w:p>
            <w:pPr>
              <w:jc w:val="right"/>
              <w:ind w:right="258"/>
              <w:spacing w:after="0" w:line="90" w:lineRule="exact"/>
              <w:rPr>
                <w:sz w:val="20"/>
                <w:szCs w:val="20"/>
                <w:color w:val="auto"/>
              </w:rPr>
            </w:pPr>
            <w:r>
              <w:rPr>
                <w:rFonts w:ascii="Arial" w:cs="Arial" w:eastAsia="Arial" w:hAnsi="Arial"/>
                <w:sz w:val="8"/>
                <w:szCs w:val="8"/>
                <w:color w:val="auto"/>
              </w:rPr>
              <w:t>30,240</w:t>
            </w:r>
          </w:p>
        </w:tc>
        <w:tc>
          <w:tcPr>
            <w:tcW w:w="700" w:type="dxa"/>
            <w:vAlign w:val="bottom"/>
          </w:tcPr>
          <w:p>
            <w:pPr>
              <w:spacing w:after="0"/>
              <w:rPr>
                <w:sz w:val="7"/>
                <w:szCs w:val="7"/>
                <w:color w:val="auto"/>
              </w:rPr>
            </w:pPr>
          </w:p>
        </w:tc>
        <w:tc>
          <w:tcPr>
            <w:tcW w:w="620" w:type="dxa"/>
            <w:vAlign w:val="bottom"/>
          </w:tcPr>
          <w:p>
            <w:pPr>
              <w:jc w:val="right"/>
              <w:ind w:right="158"/>
              <w:spacing w:after="0" w:line="90" w:lineRule="exact"/>
              <w:rPr>
                <w:sz w:val="20"/>
                <w:szCs w:val="20"/>
                <w:color w:val="auto"/>
              </w:rPr>
            </w:pPr>
            <w:r>
              <w:rPr>
                <w:rFonts w:ascii="Arial" w:cs="Arial" w:eastAsia="Arial" w:hAnsi="Arial"/>
                <w:sz w:val="8"/>
                <w:szCs w:val="8"/>
                <w:color w:val="auto"/>
              </w:rPr>
              <w:t>17,625</w:t>
            </w:r>
          </w:p>
        </w:tc>
        <w:tc>
          <w:tcPr>
            <w:tcW w:w="1500" w:type="dxa"/>
            <w:vAlign w:val="bottom"/>
            <w:gridSpan w:val="2"/>
          </w:tcPr>
          <w:p>
            <w:pPr>
              <w:jc w:val="right"/>
              <w:ind w:right="258"/>
              <w:spacing w:after="0" w:line="90" w:lineRule="exact"/>
              <w:rPr>
                <w:sz w:val="20"/>
                <w:szCs w:val="20"/>
                <w:color w:val="auto"/>
              </w:rPr>
            </w:pPr>
            <w:r>
              <w:rPr>
                <w:rFonts w:ascii="Arial" w:cs="Arial" w:eastAsia="Arial" w:hAnsi="Arial"/>
                <w:sz w:val="8"/>
                <w:szCs w:val="8"/>
                <w:color w:val="auto"/>
              </w:rPr>
              <w:t>4,650</w:t>
            </w:r>
          </w:p>
        </w:tc>
        <w:tc>
          <w:tcPr>
            <w:tcW w:w="0" w:type="dxa"/>
            <w:vAlign w:val="bottom"/>
          </w:tcPr>
          <w:p>
            <w:pPr>
              <w:spacing w:after="0"/>
              <w:rPr>
                <w:sz w:val="1"/>
                <w:szCs w:val="1"/>
                <w:color w:val="auto"/>
              </w:rPr>
            </w:pPr>
          </w:p>
        </w:tc>
      </w:tr>
      <w:tr>
        <w:trPr>
          <w:trHeight w:val="90"/>
        </w:trPr>
        <w:tc>
          <w:tcPr>
            <w:tcW w:w="2140" w:type="dxa"/>
            <w:vAlign w:val="bottom"/>
          </w:tcPr>
          <w:p>
            <w:pPr>
              <w:spacing w:after="0" w:line="90" w:lineRule="exact"/>
              <w:rPr>
                <w:sz w:val="20"/>
                <w:szCs w:val="20"/>
                <w:color w:val="auto"/>
              </w:rPr>
            </w:pPr>
            <w:r>
              <w:rPr>
                <w:rFonts w:ascii="Arial" w:cs="Arial" w:eastAsia="Arial" w:hAnsi="Arial"/>
                <w:sz w:val="8"/>
                <w:szCs w:val="8"/>
                <w:color w:val="auto"/>
              </w:rPr>
              <w:t>03/14/2013</w:t>
            </w:r>
          </w:p>
        </w:tc>
        <w:tc>
          <w:tcPr>
            <w:tcW w:w="620" w:type="dxa"/>
            <w:vAlign w:val="bottom"/>
            <w:gridSpan w:val="2"/>
          </w:tcPr>
          <w:p>
            <w:pPr>
              <w:jc w:val="right"/>
              <w:ind w:right="218"/>
              <w:spacing w:after="0" w:line="90" w:lineRule="exact"/>
              <w:rPr>
                <w:sz w:val="20"/>
                <w:szCs w:val="20"/>
                <w:color w:val="auto"/>
              </w:rPr>
            </w:pPr>
            <w:r>
              <w:rPr>
                <w:rFonts w:ascii="Arial" w:cs="Arial" w:eastAsia="Arial" w:hAnsi="Arial"/>
                <w:sz w:val="8"/>
                <w:szCs w:val="8"/>
                <w:color w:val="auto"/>
              </w:rPr>
              <w:t>22.6600</w:t>
            </w:r>
          </w:p>
        </w:tc>
        <w:tc>
          <w:tcPr>
            <w:tcW w:w="700" w:type="dxa"/>
            <w:vAlign w:val="bottom"/>
          </w:tcPr>
          <w:p>
            <w:pPr>
              <w:spacing w:after="0"/>
              <w:rPr>
                <w:sz w:val="7"/>
                <w:szCs w:val="7"/>
                <w:color w:val="auto"/>
              </w:rPr>
            </w:pPr>
          </w:p>
        </w:tc>
        <w:tc>
          <w:tcPr>
            <w:tcW w:w="640" w:type="dxa"/>
            <w:vAlign w:val="bottom"/>
          </w:tcPr>
          <w:p>
            <w:pPr>
              <w:jc w:val="right"/>
              <w:ind w:right="138"/>
              <w:spacing w:after="0" w:line="90" w:lineRule="exact"/>
              <w:rPr>
                <w:sz w:val="20"/>
                <w:szCs w:val="20"/>
                <w:color w:val="auto"/>
              </w:rPr>
            </w:pPr>
            <w:r>
              <w:rPr>
                <w:rFonts w:ascii="Arial" w:cs="Arial" w:eastAsia="Arial" w:hAnsi="Arial"/>
                <w:sz w:val="8"/>
                <w:szCs w:val="8"/>
                <w:color w:val="auto"/>
              </w:rPr>
              <w:t>31,875</w:t>
            </w:r>
          </w:p>
        </w:tc>
        <w:tc>
          <w:tcPr>
            <w:tcW w:w="680" w:type="dxa"/>
            <w:vAlign w:val="bottom"/>
          </w:tcPr>
          <w:p>
            <w:pPr>
              <w:spacing w:after="0"/>
              <w:rPr>
                <w:sz w:val="7"/>
                <w:szCs w:val="7"/>
                <w:color w:val="auto"/>
              </w:rPr>
            </w:pPr>
          </w:p>
        </w:tc>
        <w:tc>
          <w:tcPr>
            <w:tcW w:w="840" w:type="dxa"/>
            <w:vAlign w:val="bottom"/>
          </w:tcPr>
          <w:p>
            <w:pPr>
              <w:jc w:val="right"/>
              <w:ind w:right="238"/>
              <w:spacing w:after="0" w:line="90" w:lineRule="exact"/>
              <w:rPr>
                <w:sz w:val="20"/>
                <w:szCs w:val="20"/>
                <w:color w:val="auto"/>
              </w:rPr>
            </w:pPr>
            <w:r>
              <w:rPr>
                <w:rFonts w:ascii="Arial" w:cs="Arial" w:eastAsia="Arial" w:hAnsi="Arial"/>
                <w:sz w:val="8"/>
                <w:szCs w:val="8"/>
                <w:color w:val="auto"/>
              </w:rPr>
              <w:t>—</w:t>
            </w:r>
          </w:p>
        </w:tc>
        <w:tc>
          <w:tcPr>
            <w:tcW w:w="1560" w:type="dxa"/>
            <w:vAlign w:val="bottom"/>
            <w:gridSpan w:val="2"/>
          </w:tcPr>
          <w:p>
            <w:pPr>
              <w:jc w:val="right"/>
              <w:ind w:right="258"/>
              <w:spacing w:after="0" w:line="90" w:lineRule="exact"/>
              <w:rPr>
                <w:sz w:val="20"/>
                <w:szCs w:val="20"/>
                <w:color w:val="auto"/>
              </w:rPr>
            </w:pPr>
            <w:r>
              <w:rPr>
                <w:rFonts w:ascii="Arial" w:cs="Arial" w:eastAsia="Arial" w:hAnsi="Arial"/>
                <w:sz w:val="8"/>
                <w:szCs w:val="8"/>
                <w:color w:val="auto"/>
              </w:rPr>
              <w:t>17,438</w:t>
            </w:r>
          </w:p>
        </w:tc>
        <w:tc>
          <w:tcPr>
            <w:tcW w:w="700" w:type="dxa"/>
            <w:vAlign w:val="bottom"/>
          </w:tcPr>
          <w:p>
            <w:pPr>
              <w:spacing w:after="0"/>
              <w:rPr>
                <w:sz w:val="7"/>
                <w:szCs w:val="7"/>
                <w:color w:val="auto"/>
              </w:rPr>
            </w:pPr>
          </w:p>
        </w:tc>
        <w:tc>
          <w:tcPr>
            <w:tcW w:w="620" w:type="dxa"/>
            <w:vAlign w:val="bottom"/>
          </w:tcPr>
          <w:p>
            <w:pPr>
              <w:jc w:val="right"/>
              <w:ind w:right="158"/>
              <w:spacing w:after="0" w:line="90" w:lineRule="exact"/>
              <w:rPr>
                <w:sz w:val="20"/>
                <w:szCs w:val="20"/>
                <w:color w:val="auto"/>
              </w:rPr>
            </w:pPr>
            <w:r>
              <w:rPr>
                <w:rFonts w:ascii="Arial" w:cs="Arial" w:eastAsia="Arial" w:hAnsi="Arial"/>
                <w:sz w:val="8"/>
                <w:szCs w:val="8"/>
                <w:color w:val="auto"/>
              </w:rPr>
              <w:t>15,000</w:t>
            </w:r>
          </w:p>
        </w:tc>
        <w:tc>
          <w:tcPr>
            <w:tcW w:w="1500" w:type="dxa"/>
            <w:vAlign w:val="bottom"/>
            <w:gridSpan w:val="2"/>
          </w:tcPr>
          <w:p>
            <w:pPr>
              <w:jc w:val="right"/>
              <w:ind w:right="258"/>
              <w:spacing w:after="0" w:line="90" w:lineRule="exact"/>
              <w:rPr>
                <w:sz w:val="20"/>
                <w:szCs w:val="20"/>
                <w:color w:val="auto"/>
              </w:rPr>
            </w:pPr>
            <w:r>
              <w:rPr>
                <w:rFonts w:ascii="Arial" w:cs="Arial" w:eastAsia="Arial" w:hAnsi="Arial"/>
                <w:sz w:val="8"/>
                <w:szCs w:val="8"/>
                <w:color w:val="auto"/>
              </w:rPr>
              <w:t>3,675</w:t>
            </w:r>
          </w:p>
        </w:tc>
        <w:tc>
          <w:tcPr>
            <w:tcW w:w="0" w:type="dxa"/>
            <w:vAlign w:val="bottom"/>
          </w:tcPr>
          <w:p>
            <w:pPr>
              <w:spacing w:after="0"/>
              <w:rPr>
                <w:sz w:val="1"/>
                <w:szCs w:val="1"/>
                <w:color w:val="auto"/>
              </w:rPr>
            </w:pPr>
          </w:p>
        </w:tc>
      </w:tr>
      <w:tr>
        <w:trPr>
          <w:trHeight w:val="90"/>
        </w:trPr>
        <w:tc>
          <w:tcPr>
            <w:tcW w:w="2140" w:type="dxa"/>
            <w:vAlign w:val="bottom"/>
          </w:tcPr>
          <w:p>
            <w:pPr>
              <w:spacing w:after="0" w:line="90" w:lineRule="exact"/>
              <w:rPr>
                <w:sz w:val="20"/>
                <w:szCs w:val="20"/>
                <w:color w:val="auto"/>
              </w:rPr>
            </w:pPr>
            <w:r>
              <w:rPr>
                <w:rFonts w:ascii="Arial" w:cs="Arial" w:eastAsia="Arial" w:hAnsi="Arial"/>
                <w:sz w:val="8"/>
                <w:szCs w:val="8"/>
                <w:color w:val="auto"/>
              </w:rPr>
              <w:t>03/16/2013</w:t>
            </w:r>
          </w:p>
        </w:tc>
        <w:tc>
          <w:tcPr>
            <w:tcW w:w="620" w:type="dxa"/>
            <w:vAlign w:val="bottom"/>
            <w:gridSpan w:val="2"/>
          </w:tcPr>
          <w:p>
            <w:pPr>
              <w:jc w:val="right"/>
              <w:ind w:right="218"/>
              <w:spacing w:after="0" w:line="90" w:lineRule="exact"/>
              <w:rPr>
                <w:sz w:val="20"/>
                <w:szCs w:val="20"/>
                <w:color w:val="auto"/>
              </w:rPr>
            </w:pPr>
            <w:r>
              <w:rPr>
                <w:rFonts w:ascii="Arial" w:cs="Arial" w:eastAsia="Arial" w:hAnsi="Arial"/>
                <w:sz w:val="8"/>
                <w:szCs w:val="8"/>
                <w:color w:val="auto"/>
              </w:rPr>
              <w:t>25.4400</w:t>
            </w:r>
          </w:p>
        </w:tc>
        <w:tc>
          <w:tcPr>
            <w:tcW w:w="700" w:type="dxa"/>
            <w:vAlign w:val="bottom"/>
          </w:tcPr>
          <w:p>
            <w:pPr>
              <w:spacing w:after="0"/>
              <w:rPr>
                <w:sz w:val="7"/>
                <w:szCs w:val="7"/>
                <w:color w:val="auto"/>
              </w:rPr>
            </w:pPr>
          </w:p>
        </w:tc>
        <w:tc>
          <w:tcPr>
            <w:tcW w:w="640" w:type="dxa"/>
            <w:vAlign w:val="bottom"/>
          </w:tcPr>
          <w:p>
            <w:pPr>
              <w:jc w:val="right"/>
              <w:ind w:right="138"/>
              <w:spacing w:after="0" w:line="90" w:lineRule="exact"/>
              <w:rPr>
                <w:sz w:val="20"/>
                <w:szCs w:val="20"/>
                <w:color w:val="auto"/>
              </w:rPr>
            </w:pPr>
            <w:r>
              <w:rPr>
                <w:rFonts w:ascii="Arial" w:cs="Arial" w:eastAsia="Arial" w:hAnsi="Arial"/>
                <w:sz w:val="8"/>
                <w:szCs w:val="8"/>
                <w:color w:val="auto"/>
              </w:rPr>
              <w:t>27,400</w:t>
            </w:r>
          </w:p>
        </w:tc>
        <w:tc>
          <w:tcPr>
            <w:tcW w:w="680" w:type="dxa"/>
            <w:vAlign w:val="bottom"/>
          </w:tcPr>
          <w:p>
            <w:pPr>
              <w:spacing w:after="0"/>
              <w:rPr>
                <w:sz w:val="7"/>
                <w:szCs w:val="7"/>
                <w:color w:val="auto"/>
              </w:rPr>
            </w:pPr>
          </w:p>
        </w:tc>
        <w:tc>
          <w:tcPr>
            <w:tcW w:w="840" w:type="dxa"/>
            <w:vAlign w:val="bottom"/>
          </w:tcPr>
          <w:p>
            <w:pPr>
              <w:jc w:val="right"/>
              <w:ind w:right="238"/>
              <w:spacing w:after="0" w:line="90" w:lineRule="exact"/>
              <w:rPr>
                <w:sz w:val="20"/>
                <w:szCs w:val="20"/>
                <w:color w:val="auto"/>
              </w:rPr>
            </w:pPr>
            <w:r>
              <w:rPr>
                <w:rFonts w:ascii="Arial" w:cs="Arial" w:eastAsia="Arial" w:hAnsi="Arial"/>
                <w:sz w:val="8"/>
                <w:szCs w:val="8"/>
                <w:color w:val="auto"/>
              </w:rPr>
              <w:t>—</w:t>
            </w:r>
          </w:p>
        </w:tc>
        <w:tc>
          <w:tcPr>
            <w:tcW w:w="1560" w:type="dxa"/>
            <w:vAlign w:val="bottom"/>
            <w:gridSpan w:val="2"/>
          </w:tcPr>
          <w:p>
            <w:pPr>
              <w:jc w:val="right"/>
              <w:ind w:right="258"/>
              <w:spacing w:after="0" w:line="90" w:lineRule="exact"/>
              <w:rPr>
                <w:sz w:val="20"/>
                <w:szCs w:val="20"/>
                <w:color w:val="auto"/>
              </w:rPr>
            </w:pPr>
            <w:r>
              <w:rPr>
                <w:rFonts w:ascii="Arial" w:cs="Arial" w:eastAsia="Arial" w:hAnsi="Arial"/>
                <w:sz w:val="8"/>
                <w:szCs w:val="8"/>
                <w:color w:val="auto"/>
              </w:rPr>
              <w:t>21,920</w:t>
            </w:r>
          </w:p>
        </w:tc>
        <w:tc>
          <w:tcPr>
            <w:tcW w:w="700" w:type="dxa"/>
            <w:vAlign w:val="bottom"/>
          </w:tcPr>
          <w:p>
            <w:pPr>
              <w:spacing w:after="0"/>
              <w:rPr>
                <w:sz w:val="7"/>
                <w:szCs w:val="7"/>
                <w:color w:val="auto"/>
              </w:rPr>
            </w:pPr>
          </w:p>
        </w:tc>
        <w:tc>
          <w:tcPr>
            <w:tcW w:w="620" w:type="dxa"/>
            <w:vAlign w:val="bottom"/>
          </w:tcPr>
          <w:p>
            <w:pPr>
              <w:jc w:val="right"/>
              <w:ind w:right="158"/>
              <w:spacing w:after="0" w:line="90" w:lineRule="exact"/>
              <w:rPr>
                <w:sz w:val="20"/>
                <w:szCs w:val="20"/>
                <w:color w:val="auto"/>
              </w:rPr>
            </w:pPr>
            <w:r>
              <w:rPr>
                <w:rFonts w:ascii="Arial" w:cs="Arial" w:eastAsia="Arial" w:hAnsi="Arial"/>
                <w:sz w:val="8"/>
                <w:szCs w:val="8"/>
                <w:color w:val="auto"/>
              </w:rPr>
              <w:t>12,760</w:t>
            </w:r>
          </w:p>
        </w:tc>
        <w:tc>
          <w:tcPr>
            <w:tcW w:w="1500" w:type="dxa"/>
            <w:vAlign w:val="bottom"/>
            <w:gridSpan w:val="2"/>
          </w:tcPr>
          <w:p>
            <w:pPr>
              <w:jc w:val="right"/>
              <w:ind w:right="258"/>
              <w:spacing w:after="0" w:line="90" w:lineRule="exact"/>
              <w:rPr>
                <w:sz w:val="20"/>
                <w:szCs w:val="20"/>
                <w:color w:val="auto"/>
              </w:rPr>
            </w:pPr>
            <w:r>
              <w:rPr>
                <w:rFonts w:ascii="Arial" w:cs="Arial" w:eastAsia="Arial" w:hAnsi="Arial"/>
                <w:sz w:val="8"/>
                <w:szCs w:val="8"/>
                <w:color w:val="auto"/>
              </w:rPr>
              <w:t>3,370</w:t>
            </w:r>
          </w:p>
        </w:tc>
        <w:tc>
          <w:tcPr>
            <w:tcW w:w="0" w:type="dxa"/>
            <w:vAlign w:val="bottom"/>
          </w:tcPr>
          <w:p>
            <w:pPr>
              <w:spacing w:after="0"/>
              <w:rPr>
                <w:sz w:val="1"/>
                <w:szCs w:val="1"/>
                <w:color w:val="auto"/>
              </w:rPr>
            </w:pPr>
          </w:p>
        </w:tc>
      </w:tr>
      <w:tr>
        <w:trPr>
          <w:trHeight w:val="90"/>
        </w:trPr>
        <w:tc>
          <w:tcPr>
            <w:tcW w:w="2140" w:type="dxa"/>
            <w:vAlign w:val="bottom"/>
          </w:tcPr>
          <w:p>
            <w:pPr>
              <w:spacing w:after="0" w:line="90" w:lineRule="exact"/>
              <w:rPr>
                <w:sz w:val="20"/>
                <w:szCs w:val="20"/>
                <w:color w:val="auto"/>
              </w:rPr>
            </w:pPr>
            <w:r>
              <w:rPr>
                <w:rFonts w:ascii="Arial" w:cs="Arial" w:eastAsia="Arial" w:hAnsi="Arial"/>
                <w:sz w:val="8"/>
                <w:szCs w:val="8"/>
                <w:color w:val="auto"/>
              </w:rPr>
              <w:t>03/27/2013</w:t>
            </w:r>
          </w:p>
        </w:tc>
        <w:tc>
          <w:tcPr>
            <w:tcW w:w="620" w:type="dxa"/>
            <w:vAlign w:val="bottom"/>
            <w:gridSpan w:val="2"/>
          </w:tcPr>
          <w:p>
            <w:pPr>
              <w:jc w:val="right"/>
              <w:ind w:right="218"/>
              <w:spacing w:after="0" w:line="90" w:lineRule="exact"/>
              <w:rPr>
                <w:sz w:val="20"/>
                <w:szCs w:val="20"/>
                <w:color w:val="auto"/>
              </w:rPr>
            </w:pPr>
            <w:r>
              <w:rPr>
                <w:rFonts w:ascii="Arial" w:cs="Arial" w:eastAsia="Arial" w:hAnsi="Arial"/>
                <w:sz w:val="8"/>
                <w:szCs w:val="8"/>
                <w:color w:val="auto"/>
              </w:rPr>
              <w:t>14.5400</w:t>
            </w:r>
          </w:p>
        </w:tc>
        <w:tc>
          <w:tcPr>
            <w:tcW w:w="700" w:type="dxa"/>
            <w:vAlign w:val="bottom"/>
          </w:tcPr>
          <w:p>
            <w:pPr>
              <w:spacing w:after="0"/>
              <w:rPr>
                <w:sz w:val="7"/>
                <w:szCs w:val="7"/>
                <w:color w:val="auto"/>
              </w:rPr>
            </w:pPr>
          </w:p>
        </w:tc>
        <w:tc>
          <w:tcPr>
            <w:tcW w:w="640" w:type="dxa"/>
            <w:vAlign w:val="bottom"/>
          </w:tcPr>
          <w:p>
            <w:pPr>
              <w:jc w:val="right"/>
              <w:ind w:right="138"/>
              <w:spacing w:after="0" w:line="90" w:lineRule="exact"/>
              <w:rPr>
                <w:sz w:val="20"/>
                <w:szCs w:val="20"/>
                <w:color w:val="auto"/>
              </w:rPr>
            </w:pPr>
            <w:r>
              <w:rPr>
                <w:rFonts w:ascii="Arial" w:cs="Arial" w:eastAsia="Arial" w:hAnsi="Arial"/>
                <w:sz w:val="8"/>
                <w:szCs w:val="8"/>
                <w:color w:val="auto"/>
              </w:rPr>
              <w:t>171,750</w:t>
            </w:r>
          </w:p>
        </w:tc>
        <w:tc>
          <w:tcPr>
            <w:tcW w:w="1520" w:type="dxa"/>
            <w:vAlign w:val="bottom"/>
            <w:gridSpan w:val="2"/>
          </w:tcPr>
          <w:p>
            <w:pPr>
              <w:jc w:val="right"/>
              <w:ind w:right="238"/>
              <w:spacing w:after="0" w:line="90" w:lineRule="exact"/>
              <w:rPr>
                <w:sz w:val="20"/>
                <w:szCs w:val="20"/>
                <w:color w:val="auto"/>
              </w:rPr>
            </w:pPr>
            <w:r>
              <w:rPr>
                <w:rFonts w:ascii="Arial" w:cs="Arial" w:eastAsia="Arial" w:hAnsi="Arial"/>
                <w:sz w:val="8"/>
                <w:szCs w:val="8"/>
                <w:color w:val="auto"/>
              </w:rPr>
              <w:t>103,500</w:t>
            </w:r>
          </w:p>
        </w:tc>
        <w:tc>
          <w:tcPr>
            <w:tcW w:w="1560" w:type="dxa"/>
            <w:vAlign w:val="bottom"/>
            <w:gridSpan w:val="2"/>
          </w:tcPr>
          <w:p>
            <w:pPr>
              <w:jc w:val="right"/>
              <w:ind w:right="258"/>
              <w:spacing w:after="0" w:line="90" w:lineRule="exact"/>
              <w:rPr>
                <w:sz w:val="20"/>
                <w:szCs w:val="20"/>
                <w:color w:val="auto"/>
              </w:rPr>
            </w:pPr>
            <w:r>
              <w:rPr>
                <w:rFonts w:ascii="Arial" w:cs="Arial" w:eastAsia="Arial" w:hAnsi="Arial"/>
                <w:sz w:val="8"/>
                <w:szCs w:val="8"/>
                <w:color w:val="auto"/>
              </w:rPr>
              <w:t>138,000</w:t>
            </w:r>
          </w:p>
        </w:tc>
        <w:tc>
          <w:tcPr>
            <w:tcW w:w="700" w:type="dxa"/>
            <w:vAlign w:val="bottom"/>
          </w:tcPr>
          <w:p>
            <w:pPr>
              <w:spacing w:after="0"/>
              <w:rPr>
                <w:sz w:val="7"/>
                <w:szCs w:val="7"/>
                <w:color w:val="auto"/>
              </w:rPr>
            </w:pPr>
          </w:p>
        </w:tc>
        <w:tc>
          <w:tcPr>
            <w:tcW w:w="620" w:type="dxa"/>
            <w:vAlign w:val="bottom"/>
          </w:tcPr>
          <w:p>
            <w:pPr>
              <w:jc w:val="right"/>
              <w:ind w:right="158"/>
              <w:spacing w:after="0" w:line="90" w:lineRule="exact"/>
              <w:rPr>
                <w:sz w:val="20"/>
                <w:szCs w:val="20"/>
                <w:color w:val="auto"/>
              </w:rPr>
            </w:pPr>
            <w:r>
              <w:rPr>
                <w:rFonts w:ascii="Arial" w:cs="Arial" w:eastAsia="Arial" w:hAnsi="Arial"/>
                <w:sz w:val="8"/>
                <w:szCs w:val="8"/>
                <w:color w:val="auto"/>
              </w:rPr>
              <w:t>81,000</w:t>
            </w:r>
          </w:p>
        </w:tc>
        <w:tc>
          <w:tcPr>
            <w:tcW w:w="1500" w:type="dxa"/>
            <w:vAlign w:val="bottom"/>
            <w:gridSpan w:val="2"/>
          </w:tcPr>
          <w:p>
            <w:pPr>
              <w:jc w:val="right"/>
              <w:ind w:right="258"/>
              <w:spacing w:after="0" w:line="90" w:lineRule="exact"/>
              <w:rPr>
                <w:sz w:val="20"/>
                <w:szCs w:val="20"/>
                <w:color w:val="auto"/>
              </w:rPr>
            </w:pPr>
            <w:r>
              <w:rPr>
                <w:rFonts w:ascii="Arial" w:cs="Arial" w:eastAsia="Arial" w:hAnsi="Arial"/>
                <w:sz w:val="8"/>
                <w:szCs w:val="8"/>
                <w:color w:val="auto"/>
              </w:rPr>
              <w:t>21,150</w:t>
            </w:r>
          </w:p>
        </w:tc>
        <w:tc>
          <w:tcPr>
            <w:tcW w:w="0" w:type="dxa"/>
            <w:vAlign w:val="bottom"/>
          </w:tcPr>
          <w:p>
            <w:pPr>
              <w:spacing w:after="0"/>
              <w:rPr>
                <w:sz w:val="1"/>
                <w:szCs w:val="1"/>
                <w:color w:val="auto"/>
              </w:rPr>
            </w:pPr>
          </w:p>
        </w:tc>
      </w:tr>
      <w:tr>
        <w:trPr>
          <w:trHeight w:val="90"/>
        </w:trPr>
        <w:tc>
          <w:tcPr>
            <w:tcW w:w="2140" w:type="dxa"/>
            <w:vAlign w:val="bottom"/>
          </w:tcPr>
          <w:p>
            <w:pPr>
              <w:spacing w:after="0" w:line="90" w:lineRule="exact"/>
              <w:rPr>
                <w:sz w:val="20"/>
                <w:szCs w:val="20"/>
                <w:color w:val="auto"/>
              </w:rPr>
            </w:pPr>
            <w:r>
              <w:rPr>
                <w:rFonts w:ascii="Arial" w:cs="Arial" w:eastAsia="Arial" w:hAnsi="Arial"/>
                <w:sz w:val="8"/>
                <w:szCs w:val="8"/>
                <w:color w:val="auto"/>
              </w:rPr>
              <w:t>03/28/2013</w:t>
            </w:r>
          </w:p>
        </w:tc>
        <w:tc>
          <w:tcPr>
            <w:tcW w:w="620" w:type="dxa"/>
            <w:vAlign w:val="bottom"/>
            <w:gridSpan w:val="2"/>
          </w:tcPr>
          <w:p>
            <w:pPr>
              <w:jc w:val="right"/>
              <w:ind w:right="218"/>
              <w:spacing w:after="0" w:line="90" w:lineRule="exact"/>
              <w:rPr>
                <w:sz w:val="20"/>
                <w:szCs w:val="20"/>
                <w:color w:val="auto"/>
              </w:rPr>
            </w:pPr>
            <w:r>
              <w:rPr>
                <w:rFonts w:ascii="Arial" w:cs="Arial" w:eastAsia="Arial" w:hAnsi="Arial"/>
                <w:sz w:val="8"/>
                <w:szCs w:val="8"/>
                <w:color w:val="auto"/>
              </w:rPr>
              <w:t>18.9800</w:t>
            </w:r>
          </w:p>
        </w:tc>
        <w:tc>
          <w:tcPr>
            <w:tcW w:w="700" w:type="dxa"/>
            <w:vAlign w:val="bottom"/>
          </w:tcPr>
          <w:p>
            <w:pPr>
              <w:spacing w:after="0"/>
              <w:rPr>
                <w:sz w:val="7"/>
                <w:szCs w:val="7"/>
                <w:color w:val="auto"/>
              </w:rPr>
            </w:pPr>
          </w:p>
        </w:tc>
        <w:tc>
          <w:tcPr>
            <w:tcW w:w="640" w:type="dxa"/>
            <w:vAlign w:val="bottom"/>
          </w:tcPr>
          <w:p>
            <w:pPr>
              <w:jc w:val="right"/>
              <w:ind w:right="138"/>
              <w:spacing w:after="0" w:line="90" w:lineRule="exact"/>
              <w:rPr>
                <w:sz w:val="20"/>
                <w:szCs w:val="20"/>
                <w:color w:val="auto"/>
              </w:rPr>
            </w:pPr>
            <w:r>
              <w:rPr>
                <w:rFonts w:ascii="Arial" w:cs="Arial" w:eastAsia="Arial" w:hAnsi="Arial"/>
                <w:sz w:val="8"/>
                <w:szCs w:val="8"/>
                <w:color w:val="auto"/>
              </w:rPr>
              <w:t>120,450</w:t>
            </w:r>
          </w:p>
        </w:tc>
        <w:tc>
          <w:tcPr>
            <w:tcW w:w="1520" w:type="dxa"/>
            <w:vAlign w:val="bottom"/>
            <w:gridSpan w:val="2"/>
          </w:tcPr>
          <w:p>
            <w:pPr>
              <w:jc w:val="right"/>
              <w:ind w:right="238"/>
              <w:spacing w:after="0" w:line="90" w:lineRule="exact"/>
              <w:rPr>
                <w:sz w:val="20"/>
                <w:szCs w:val="20"/>
                <w:color w:val="auto"/>
              </w:rPr>
            </w:pPr>
            <w:r>
              <w:rPr>
                <w:rFonts w:ascii="Arial" w:cs="Arial" w:eastAsia="Arial" w:hAnsi="Arial"/>
                <w:sz w:val="8"/>
                <w:szCs w:val="8"/>
                <w:color w:val="auto"/>
              </w:rPr>
              <w:t>72,270</w:t>
            </w:r>
          </w:p>
        </w:tc>
        <w:tc>
          <w:tcPr>
            <w:tcW w:w="1560" w:type="dxa"/>
            <w:vAlign w:val="bottom"/>
            <w:gridSpan w:val="2"/>
          </w:tcPr>
          <w:p>
            <w:pPr>
              <w:jc w:val="right"/>
              <w:ind w:right="258"/>
              <w:spacing w:after="0" w:line="90" w:lineRule="exact"/>
              <w:rPr>
                <w:sz w:val="20"/>
                <w:szCs w:val="20"/>
                <w:color w:val="auto"/>
              </w:rPr>
            </w:pPr>
            <w:r>
              <w:rPr>
                <w:rFonts w:ascii="Arial" w:cs="Arial" w:eastAsia="Arial" w:hAnsi="Arial"/>
                <w:sz w:val="8"/>
                <w:szCs w:val="8"/>
                <w:color w:val="auto"/>
              </w:rPr>
              <w:t>96,360</w:t>
            </w:r>
          </w:p>
        </w:tc>
        <w:tc>
          <w:tcPr>
            <w:tcW w:w="700" w:type="dxa"/>
            <w:vAlign w:val="bottom"/>
          </w:tcPr>
          <w:p>
            <w:pPr>
              <w:spacing w:after="0"/>
              <w:rPr>
                <w:sz w:val="7"/>
                <w:szCs w:val="7"/>
                <w:color w:val="auto"/>
              </w:rPr>
            </w:pPr>
          </w:p>
        </w:tc>
        <w:tc>
          <w:tcPr>
            <w:tcW w:w="620" w:type="dxa"/>
            <w:vAlign w:val="bottom"/>
          </w:tcPr>
          <w:p>
            <w:pPr>
              <w:jc w:val="right"/>
              <w:ind w:right="158"/>
              <w:spacing w:after="0" w:line="90" w:lineRule="exact"/>
              <w:rPr>
                <w:sz w:val="20"/>
                <w:szCs w:val="20"/>
                <w:color w:val="auto"/>
              </w:rPr>
            </w:pPr>
            <w:r>
              <w:rPr>
                <w:rFonts w:ascii="Arial" w:cs="Arial" w:eastAsia="Arial" w:hAnsi="Arial"/>
                <w:sz w:val="8"/>
                <w:szCs w:val="8"/>
                <w:color w:val="auto"/>
              </w:rPr>
              <w:t>56,100</w:t>
            </w:r>
          </w:p>
        </w:tc>
        <w:tc>
          <w:tcPr>
            <w:tcW w:w="1500" w:type="dxa"/>
            <w:vAlign w:val="bottom"/>
            <w:gridSpan w:val="2"/>
          </w:tcPr>
          <w:p>
            <w:pPr>
              <w:jc w:val="right"/>
              <w:ind w:right="258"/>
              <w:spacing w:after="0" w:line="90" w:lineRule="exact"/>
              <w:rPr>
                <w:sz w:val="20"/>
                <w:szCs w:val="20"/>
                <w:color w:val="auto"/>
              </w:rPr>
            </w:pPr>
            <w:r>
              <w:rPr>
                <w:rFonts w:ascii="Arial" w:cs="Arial" w:eastAsia="Arial" w:hAnsi="Arial"/>
                <w:sz w:val="8"/>
                <w:szCs w:val="8"/>
                <w:color w:val="auto"/>
              </w:rPr>
              <w:t>14,850</w:t>
            </w:r>
          </w:p>
        </w:tc>
        <w:tc>
          <w:tcPr>
            <w:tcW w:w="0" w:type="dxa"/>
            <w:vAlign w:val="bottom"/>
          </w:tcPr>
          <w:p>
            <w:pPr>
              <w:spacing w:after="0"/>
              <w:rPr>
                <w:sz w:val="1"/>
                <w:szCs w:val="1"/>
                <w:color w:val="auto"/>
              </w:rPr>
            </w:pPr>
          </w:p>
        </w:tc>
      </w:tr>
      <w:tr>
        <w:trPr>
          <w:trHeight w:val="90"/>
        </w:trPr>
        <w:tc>
          <w:tcPr>
            <w:tcW w:w="2140" w:type="dxa"/>
            <w:vAlign w:val="bottom"/>
          </w:tcPr>
          <w:p>
            <w:pPr>
              <w:spacing w:after="0" w:line="90" w:lineRule="exact"/>
              <w:rPr>
                <w:sz w:val="20"/>
                <w:szCs w:val="20"/>
                <w:color w:val="auto"/>
              </w:rPr>
            </w:pPr>
            <w:r>
              <w:rPr>
                <w:rFonts w:ascii="Arial" w:cs="Arial" w:eastAsia="Arial" w:hAnsi="Arial"/>
                <w:sz w:val="8"/>
                <w:szCs w:val="8"/>
                <w:color w:val="auto"/>
              </w:rPr>
              <w:t>03/30/2013</w:t>
            </w:r>
          </w:p>
        </w:tc>
        <w:tc>
          <w:tcPr>
            <w:tcW w:w="620" w:type="dxa"/>
            <w:vAlign w:val="bottom"/>
            <w:gridSpan w:val="2"/>
          </w:tcPr>
          <w:p>
            <w:pPr>
              <w:jc w:val="right"/>
              <w:ind w:right="218"/>
              <w:spacing w:after="0" w:line="90" w:lineRule="exact"/>
              <w:rPr>
                <w:sz w:val="20"/>
                <w:szCs w:val="20"/>
                <w:color w:val="auto"/>
              </w:rPr>
            </w:pPr>
            <w:r>
              <w:rPr>
                <w:rFonts w:ascii="Arial" w:cs="Arial" w:eastAsia="Arial" w:hAnsi="Arial"/>
                <w:sz w:val="8"/>
                <w:szCs w:val="8"/>
                <w:color w:val="auto"/>
              </w:rPr>
              <w:t>25.9500</w:t>
            </w:r>
          </w:p>
        </w:tc>
        <w:tc>
          <w:tcPr>
            <w:tcW w:w="700" w:type="dxa"/>
            <w:vAlign w:val="bottom"/>
          </w:tcPr>
          <w:p>
            <w:pPr>
              <w:spacing w:after="0"/>
              <w:rPr>
                <w:sz w:val="7"/>
                <w:szCs w:val="7"/>
                <w:color w:val="auto"/>
              </w:rPr>
            </w:pPr>
          </w:p>
        </w:tc>
        <w:tc>
          <w:tcPr>
            <w:tcW w:w="640" w:type="dxa"/>
            <w:vAlign w:val="bottom"/>
          </w:tcPr>
          <w:p>
            <w:pPr>
              <w:jc w:val="right"/>
              <w:ind w:right="138"/>
              <w:spacing w:after="0" w:line="90" w:lineRule="exact"/>
              <w:rPr>
                <w:sz w:val="20"/>
                <w:szCs w:val="20"/>
                <w:color w:val="auto"/>
              </w:rPr>
            </w:pPr>
            <w:r>
              <w:rPr>
                <w:rFonts w:ascii="Arial" w:cs="Arial" w:eastAsia="Arial" w:hAnsi="Arial"/>
                <w:sz w:val="8"/>
                <w:szCs w:val="8"/>
                <w:color w:val="auto"/>
              </w:rPr>
              <w:t>—</w:t>
            </w:r>
          </w:p>
        </w:tc>
        <w:tc>
          <w:tcPr>
            <w:tcW w:w="1520" w:type="dxa"/>
            <w:vAlign w:val="bottom"/>
            <w:gridSpan w:val="2"/>
          </w:tcPr>
          <w:p>
            <w:pPr>
              <w:jc w:val="right"/>
              <w:ind w:right="238"/>
              <w:spacing w:after="0" w:line="90" w:lineRule="exact"/>
              <w:rPr>
                <w:sz w:val="20"/>
                <w:szCs w:val="20"/>
                <w:color w:val="auto"/>
              </w:rPr>
            </w:pPr>
            <w:r>
              <w:rPr>
                <w:rFonts w:ascii="Arial" w:cs="Arial" w:eastAsia="Arial" w:hAnsi="Arial"/>
                <w:sz w:val="8"/>
                <w:szCs w:val="8"/>
                <w:color w:val="auto"/>
              </w:rPr>
              <w:t>12,387</w:t>
            </w:r>
          </w:p>
        </w:tc>
        <w:tc>
          <w:tcPr>
            <w:tcW w:w="700" w:type="dxa"/>
            <w:vAlign w:val="bottom"/>
          </w:tcPr>
          <w:p>
            <w:pPr>
              <w:spacing w:after="0"/>
              <w:rPr>
                <w:sz w:val="7"/>
                <w:szCs w:val="7"/>
                <w:color w:val="auto"/>
              </w:rPr>
            </w:pPr>
          </w:p>
        </w:tc>
        <w:tc>
          <w:tcPr>
            <w:tcW w:w="1560" w:type="dxa"/>
            <w:vAlign w:val="bottom"/>
            <w:gridSpan w:val="2"/>
          </w:tcPr>
          <w:p>
            <w:pPr>
              <w:jc w:val="right"/>
              <w:ind w:right="1000"/>
              <w:spacing w:after="0" w:line="90" w:lineRule="exact"/>
              <w:rPr>
                <w:sz w:val="20"/>
                <w:szCs w:val="20"/>
                <w:color w:val="auto"/>
              </w:rPr>
            </w:pPr>
            <w:r>
              <w:rPr>
                <w:rFonts w:ascii="Arial" w:cs="Arial" w:eastAsia="Arial" w:hAnsi="Arial"/>
                <w:sz w:val="8"/>
                <w:szCs w:val="8"/>
                <w:color w:val="auto"/>
              </w:rPr>
              <w:t>—</w:t>
            </w:r>
          </w:p>
        </w:tc>
        <w:tc>
          <w:tcPr>
            <w:tcW w:w="620" w:type="dxa"/>
            <w:vAlign w:val="bottom"/>
          </w:tcPr>
          <w:p>
            <w:pPr>
              <w:jc w:val="right"/>
              <w:ind w:right="158"/>
              <w:spacing w:after="0" w:line="90" w:lineRule="exact"/>
              <w:rPr>
                <w:sz w:val="20"/>
                <w:szCs w:val="20"/>
                <w:color w:val="auto"/>
              </w:rPr>
            </w:pPr>
            <w:r>
              <w:rPr>
                <w:rFonts w:ascii="Arial" w:cs="Arial" w:eastAsia="Arial" w:hAnsi="Arial"/>
                <w:sz w:val="8"/>
                <w:szCs w:val="8"/>
                <w:color w:val="auto"/>
              </w:rPr>
              <w:t>—</w:t>
            </w:r>
          </w:p>
        </w:tc>
        <w:tc>
          <w:tcPr>
            <w:tcW w:w="700" w:type="dxa"/>
            <w:vAlign w:val="bottom"/>
          </w:tcPr>
          <w:p>
            <w:pPr>
              <w:spacing w:after="0"/>
              <w:rPr>
                <w:sz w:val="7"/>
                <w:szCs w:val="7"/>
                <w:color w:val="auto"/>
              </w:rPr>
            </w:pPr>
          </w:p>
        </w:tc>
        <w:tc>
          <w:tcPr>
            <w:tcW w:w="800" w:type="dxa"/>
            <w:vAlign w:val="bottom"/>
          </w:tcPr>
          <w:p>
            <w:pPr>
              <w:jc w:val="right"/>
              <w:ind w:right="258"/>
              <w:spacing w:after="0" w:line="90"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90"/>
        </w:trPr>
        <w:tc>
          <w:tcPr>
            <w:tcW w:w="2140" w:type="dxa"/>
            <w:vAlign w:val="bottom"/>
          </w:tcPr>
          <w:p>
            <w:pPr>
              <w:spacing w:after="0" w:line="90" w:lineRule="exact"/>
              <w:rPr>
                <w:sz w:val="20"/>
                <w:szCs w:val="20"/>
                <w:color w:val="auto"/>
              </w:rPr>
            </w:pPr>
            <w:r>
              <w:rPr>
                <w:rFonts w:ascii="Arial" w:cs="Arial" w:eastAsia="Arial" w:hAnsi="Arial"/>
                <w:sz w:val="8"/>
                <w:szCs w:val="8"/>
                <w:color w:val="auto"/>
              </w:rPr>
              <w:t>09/09/2013</w:t>
            </w:r>
          </w:p>
        </w:tc>
        <w:tc>
          <w:tcPr>
            <w:tcW w:w="620" w:type="dxa"/>
            <w:vAlign w:val="bottom"/>
            <w:gridSpan w:val="2"/>
          </w:tcPr>
          <w:p>
            <w:pPr>
              <w:jc w:val="right"/>
              <w:ind w:right="218"/>
              <w:spacing w:after="0" w:line="90" w:lineRule="exact"/>
              <w:rPr>
                <w:sz w:val="20"/>
                <w:szCs w:val="20"/>
                <w:color w:val="auto"/>
              </w:rPr>
            </w:pPr>
            <w:r>
              <w:rPr>
                <w:rFonts w:ascii="Arial" w:cs="Arial" w:eastAsia="Arial" w:hAnsi="Arial"/>
                <w:sz w:val="8"/>
                <w:szCs w:val="8"/>
                <w:color w:val="auto"/>
              </w:rPr>
              <w:t>19.9200</w:t>
            </w:r>
          </w:p>
        </w:tc>
        <w:tc>
          <w:tcPr>
            <w:tcW w:w="700" w:type="dxa"/>
            <w:vAlign w:val="bottom"/>
          </w:tcPr>
          <w:p>
            <w:pPr>
              <w:spacing w:after="0"/>
              <w:rPr>
                <w:sz w:val="7"/>
                <w:szCs w:val="7"/>
                <w:color w:val="auto"/>
              </w:rPr>
            </w:pPr>
          </w:p>
        </w:tc>
        <w:tc>
          <w:tcPr>
            <w:tcW w:w="640" w:type="dxa"/>
            <w:vAlign w:val="bottom"/>
          </w:tcPr>
          <w:p>
            <w:pPr>
              <w:jc w:val="right"/>
              <w:ind w:right="138"/>
              <w:spacing w:after="0" w:line="90" w:lineRule="exact"/>
              <w:rPr>
                <w:sz w:val="20"/>
                <w:szCs w:val="20"/>
                <w:color w:val="auto"/>
              </w:rPr>
            </w:pPr>
            <w:r>
              <w:rPr>
                <w:rFonts w:ascii="Arial" w:cs="Arial" w:eastAsia="Arial" w:hAnsi="Arial"/>
                <w:sz w:val="8"/>
                <w:szCs w:val="8"/>
                <w:color w:val="auto"/>
              </w:rPr>
              <w:t>60,000</w:t>
            </w:r>
          </w:p>
        </w:tc>
        <w:tc>
          <w:tcPr>
            <w:tcW w:w="680" w:type="dxa"/>
            <w:vAlign w:val="bottom"/>
          </w:tcPr>
          <w:p>
            <w:pPr>
              <w:spacing w:after="0"/>
              <w:rPr>
                <w:sz w:val="7"/>
                <w:szCs w:val="7"/>
                <w:color w:val="auto"/>
              </w:rPr>
            </w:pPr>
          </w:p>
        </w:tc>
        <w:tc>
          <w:tcPr>
            <w:tcW w:w="840" w:type="dxa"/>
            <w:vAlign w:val="bottom"/>
          </w:tcPr>
          <w:p>
            <w:pPr>
              <w:jc w:val="right"/>
              <w:ind w:right="238"/>
              <w:spacing w:after="0" w:line="90" w:lineRule="exact"/>
              <w:rPr>
                <w:sz w:val="20"/>
                <w:szCs w:val="20"/>
                <w:color w:val="auto"/>
              </w:rPr>
            </w:pPr>
            <w:r>
              <w:rPr>
                <w:rFonts w:ascii="Arial" w:cs="Arial" w:eastAsia="Arial" w:hAnsi="Arial"/>
                <w:sz w:val="8"/>
                <w:szCs w:val="8"/>
                <w:color w:val="auto"/>
              </w:rPr>
              <w:t>—</w:t>
            </w:r>
          </w:p>
        </w:tc>
        <w:tc>
          <w:tcPr>
            <w:tcW w:w="1560" w:type="dxa"/>
            <w:vAlign w:val="bottom"/>
            <w:gridSpan w:val="2"/>
          </w:tcPr>
          <w:p>
            <w:pPr>
              <w:jc w:val="right"/>
              <w:ind w:right="258"/>
              <w:spacing w:after="0" w:line="90" w:lineRule="exact"/>
              <w:rPr>
                <w:sz w:val="20"/>
                <w:szCs w:val="20"/>
                <w:color w:val="auto"/>
              </w:rPr>
            </w:pPr>
            <w:r>
              <w:rPr>
                <w:rFonts w:ascii="Arial" w:cs="Arial" w:eastAsia="Arial" w:hAnsi="Arial"/>
                <w:sz w:val="8"/>
                <w:szCs w:val="8"/>
                <w:color w:val="auto"/>
              </w:rPr>
              <w:t>30,000</w:t>
            </w:r>
          </w:p>
        </w:tc>
        <w:tc>
          <w:tcPr>
            <w:tcW w:w="700" w:type="dxa"/>
            <w:vAlign w:val="bottom"/>
          </w:tcPr>
          <w:p>
            <w:pPr>
              <w:spacing w:after="0"/>
              <w:rPr>
                <w:sz w:val="7"/>
                <w:szCs w:val="7"/>
                <w:color w:val="auto"/>
              </w:rPr>
            </w:pPr>
          </w:p>
        </w:tc>
        <w:tc>
          <w:tcPr>
            <w:tcW w:w="620" w:type="dxa"/>
            <w:vAlign w:val="bottom"/>
          </w:tcPr>
          <w:p>
            <w:pPr>
              <w:jc w:val="right"/>
              <w:ind w:right="158"/>
              <w:spacing w:after="0" w:line="90" w:lineRule="exact"/>
              <w:rPr>
                <w:sz w:val="20"/>
                <w:szCs w:val="20"/>
                <w:color w:val="auto"/>
              </w:rPr>
            </w:pPr>
            <w:r>
              <w:rPr>
                <w:rFonts w:ascii="Arial" w:cs="Arial" w:eastAsia="Arial" w:hAnsi="Arial"/>
                <w:sz w:val="8"/>
                <w:szCs w:val="8"/>
                <w:color w:val="auto"/>
              </w:rPr>
              <w:t>28,125</w:t>
            </w:r>
          </w:p>
        </w:tc>
        <w:tc>
          <w:tcPr>
            <w:tcW w:w="1500" w:type="dxa"/>
            <w:vAlign w:val="bottom"/>
            <w:gridSpan w:val="2"/>
          </w:tcPr>
          <w:p>
            <w:pPr>
              <w:jc w:val="right"/>
              <w:ind w:right="258"/>
              <w:spacing w:after="0" w:line="90" w:lineRule="exact"/>
              <w:rPr>
                <w:sz w:val="20"/>
                <w:szCs w:val="20"/>
                <w:color w:val="auto"/>
              </w:rPr>
            </w:pPr>
            <w:r>
              <w:rPr>
                <w:rFonts w:ascii="Arial" w:cs="Arial" w:eastAsia="Arial" w:hAnsi="Arial"/>
                <w:sz w:val="8"/>
                <w:szCs w:val="8"/>
                <w:color w:val="auto"/>
              </w:rPr>
              <w:t>7,500</w:t>
            </w:r>
          </w:p>
        </w:tc>
        <w:tc>
          <w:tcPr>
            <w:tcW w:w="0" w:type="dxa"/>
            <w:vAlign w:val="bottom"/>
          </w:tcPr>
          <w:p>
            <w:pPr>
              <w:spacing w:after="0"/>
              <w:rPr>
                <w:sz w:val="1"/>
                <w:szCs w:val="1"/>
                <w:color w:val="auto"/>
              </w:rPr>
            </w:pPr>
          </w:p>
        </w:tc>
      </w:tr>
      <w:tr>
        <w:trPr>
          <w:trHeight w:val="90"/>
        </w:trPr>
        <w:tc>
          <w:tcPr>
            <w:tcW w:w="2140" w:type="dxa"/>
            <w:vAlign w:val="bottom"/>
          </w:tcPr>
          <w:p>
            <w:pPr>
              <w:spacing w:after="0" w:line="90" w:lineRule="exact"/>
              <w:rPr>
                <w:sz w:val="20"/>
                <w:szCs w:val="20"/>
                <w:color w:val="auto"/>
              </w:rPr>
            </w:pPr>
            <w:r>
              <w:rPr>
                <w:rFonts w:ascii="Arial" w:cs="Arial" w:eastAsia="Arial" w:hAnsi="Arial"/>
                <w:sz w:val="8"/>
                <w:szCs w:val="8"/>
                <w:color w:val="auto"/>
              </w:rPr>
              <w:t>11/11/2013</w:t>
            </w:r>
          </w:p>
        </w:tc>
        <w:tc>
          <w:tcPr>
            <w:tcW w:w="620" w:type="dxa"/>
            <w:vAlign w:val="bottom"/>
            <w:gridSpan w:val="2"/>
          </w:tcPr>
          <w:p>
            <w:pPr>
              <w:jc w:val="right"/>
              <w:ind w:right="218"/>
              <w:spacing w:after="0" w:line="90" w:lineRule="exact"/>
              <w:rPr>
                <w:sz w:val="20"/>
                <w:szCs w:val="20"/>
                <w:color w:val="auto"/>
              </w:rPr>
            </w:pPr>
            <w:r>
              <w:rPr>
                <w:rFonts w:ascii="Arial" w:cs="Arial" w:eastAsia="Arial" w:hAnsi="Arial"/>
                <w:sz w:val="8"/>
                <w:szCs w:val="8"/>
                <w:color w:val="auto"/>
              </w:rPr>
              <w:t>17.9533</w:t>
            </w:r>
          </w:p>
        </w:tc>
        <w:tc>
          <w:tcPr>
            <w:tcW w:w="700" w:type="dxa"/>
            <w:vAlign w:val="bottom"/>
          </w:tcPr>
          <w:p>
            <w:pPr>
              <w:spacing w:after="0"/>
              <w:rPr>
                <w:sz w:val="7"/>
                <w:szCs w:val="7"/>
                <w:color w:val="auto"/>
              </w:rPr>
            </w:pPr>
          </w:p>
        </w:tc>
        <w:tc>
          <w:tcPr>
            <w:tcW w:w="640" w:type="dxa"/>
            <w:vAlign w:val="bottom"/>
          </w:tcPr>
          <w:p>
            <w:pPr>
              <w:jc w:val="right"/>
              <w:ind w:right="138"/>
              <w:spacing w:after="0" w:line="90" w:lineRule="exact"/>
              <w:rPr>
                <w:sz w:val="20"/>
                <w:szCs w:val="20"/>
                <w:color w:val="auto"/>
              </w:rPr>
            </w:pPr>
            <w:r>
              <w:rPr>
                <w:rFonts w:ascii="Arial" w:cs="Arial" w:eastAsia="Arial" w:hAnsi="Arial"/>
                <w:sz w:val="8"/>
                <w:szCs w:val="8"/>
                <w:color w:val="auto"/>
              </w:rPr>
              <w:t>—</w:t>
            </w:r>
          </w:p>
        </w:tc>
        <w:tc>
          <w:tcPr>
            <w:tcW w:w="680" w:type="dxa"/>
            <w:vAlign w:val="bottom"/>
          </w:tcPr>
          <w:p>
            <w:pPr>
              <w:spacing w:after="0"/>
              <w:rPr>
                <w:sz w:val="7"/>
                <w:szCs w:val="7"/>
                <w:color w:val="auto"/>
              </w:rPr>
            </w:pPr>
          </w:p>
        </w:tc>
        <w:tc>
          <w:tcPr>
            <w:tcW w:w="840" w:type="dxa"/>
            <w:vAlign w:val="bottom"/>
          </w:tcPr>
          <w:p>
            <w:pPr>
              <w:jc w:val="right"/>
              <w:ind w:right="238"/>
              <w:spacing w:after="0" w:line="90" w:lineRule="exact"/>
              <w:rPr>
                <w:sz w:val="20"/>
                <w:szCs w:val="20"/>
                <w:color w:val="auto"/>
              </w:rPr>
            </w:pPr>
            <w:r>
              <w:rPr>
                <w:rFonts w:ascii="Arial" w:cs="Arial" w:eastAsia="Arial" w:hAnsi="Arial"/>
                <w:sz w:val="8"/>
                <w:szCs w:val="8"/>
                <w:color w:val="auto"/>
              </w:rPr>
              <w:t>—</w:t>
            </w:r>
          </w:p>
        </w:tc>
        <w:tc>
          <w:tcPr>
            <w:tcW w:w="700" w:type="dxa"/>
            <w:vAlign w:val="bottom"/>
          </w:tcPr>
          <w:p>
            <w:pPr>
              <w:spacing w:after="0"/>
              <w:rPr>
                <w:sz w:val="7"/>
                <w:szCs w:val="7"/>
                <w:color w:val="auto"/>
              </w:rPr>
            </w:pPr>
          </w:p>
        </w:tc>
        <w:tc>
          <w:tcPr>
            <w:tcW w:w="1560" w:type="dxa"/>
            <w:vAlign w:val="bottom"/>
            <w:gridSpan w:val="2"/>
          </w:tcPr>
          <w:p>
            <w:pPr>
              <w:jc w:val="right"/>
              <w:ind w:right="1000"/>
              <w:spacing w:after="0" w:line="90" w:lineRule="exact"/>
              <w:rPr>
                <w:sz w:val="20"/>
                <w:szCs w:val="20"/>
                <w:color w:val="auto"/>
              </w:rPr>
            </w:pPr>
            <w:r>
              <w:rPr>
                <w:rFonts w:ascii="Arial" w:cs="Arial" w:eastAsia="Arial" w:hAnsi="Arial"/>
                <w:sz w:val="8"/>
                <w:szCs w:val="8"/>
                <w:color w:val="auto"/>
              </w:rPr>
              <w:t>—</w:t>
            </w:r>
          </w:p>
        </w:tc>
        <w:tc>
          <w:tcPr>
            <w:tcW w:w="620" w:type="dxa"/>
            <w:vAlign w:val="bottom"/>
          </w:tcPr>
          <w:p>
            <w:pPr>
              <w:jc w:val="right"/>
              <w:ind w:right="158"/>
              <w:spacing w:after="0" w:line="90" w:lineRule="exact"/>
              <w:rPr>
                <w:sz w:val="20"/>
                <w:szCs w:val="20"/>
                <w:color w:val="auto"/>
              </w:rPr>
            </w:pPr>
            <w:r>
              <w:rPr>
                <w:rFonts w:ascii="Arial" w:cs="Arial" w:eastAsia="Arial" w:hAnsi="Arial"/>
                <w:sz w:val="8"/>
                <w:szCs w:val="8"/>
                <w:color w:val="auto"/>
              </w:rPr>
              <w:t>16,875</w:t>
            </w:r>
          </w:p>
        </w:tc>
        <w:tc>
          <w:tcPr>
            <w:tcW w:w="700" w:type="dxa"/>
            <w:vAlign w:val="bottom"/>
          </w:tcPr>
          <w:p>
            <w:pPr>
              <w:spacing w:after="0"/>
              <w:rPr>
                <w:sz w:val="7"/>
                <w:szCs w:val="7"/>
                <w:color w:val="auto"/>
              </w:rPr>
            </w:pPr>
          </w:p>
        </w:tc>
        <w:tc>
          <w:tcPr>
            <w:tcW w:w="800" w:type="dxa"/>
            <w:vAlign w:val="bottom"/>
          </w:tcPr>
          <w:p>
            <w:pPr>
              <w:jc w:val="right"/>
              <w:ind w:right="258"/>
              <w:spacing w:after="0" w:line="90"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99"/>
        </w:trPr>
        <w:tc>
          <w:tcPr>
            <w:tcW w:w="2140" w:type="dxa"/>
            <w:vAlign w:val="bottom"/>
          </w:tcPr>
          <w:p>
            <w:pPr>
              <w:spacing w:after="0"/>
              <w:rPr>
                <w:sz w:val="20"/>
                <w:szCs w:val="20"/>
                <w:color w:val="auto"/>
              </w:rPr>
            </w:pPr>
            <w:r>
              <w:rPr>
                <w:rFonts w:ascii="Arial" w:cs="Arial" w:eastAsia="Arial" w:hAnsi="Arial"/>
                <w:sz w:val="8"/>
                <w:szCs w:val="8"/>
                <w:color w:val="auto"/>
              </w:rPr>
              <w:t>12/18/2013</w:t>
            </w:r>
          </w:p>
        </w:tc>
        <w:tc>
          <w:tcPr>
            <w:tcW w:w="620" w:type="dxa"/>
            <w:vAlign w:val="bottom"/>
            <w:gridSpan w:val="2"/>
          </w:tcPr>
          <w:p>
            <w:pPr>
              <w:jc w:val="right"/>
              <w:ind w:right="218"/>
              <w:spacing w:after="0"/>
              <w:rPr>
                <w:sz w:val="20"/>
                <w:szCs w:val="20"/>
                <w:color w:val="auto"/>
              </w:rPr>
            </w:pPr>
            <w:r>
              <w:rPr>
                <w:rFonts w:ascii="Arial" w:cs="Arial" w:eastAsia="Arial" w:hAnsi="Arial"/>
                <w:sz w:val="8"/>
                <w:szCs w:val="8"/>
                <w:color w:val="auto"/>
              </w:rPr>
              <w:t>17.2400</w:t>
            </w:r>
          </w:p>
        </w:tc>
        <w:tc>
          <w:tcPr>
            <w:tcW w:w="700" w:type="dxa"/>
            <w:vAlign w:val="bottom"/>
          </w:tcPr>
          <w:p>
            <w:pPr>
              <w:spacing w:after="0"/>
              <w:rPr>
                <w:sz w:val="8"/>
                <w:szCs w:val="8"/>
                <w:color w:val="auto"/>
              </w:rPr>
            </w:pPr>
          </w:p>
        </w:tc>
        <w:tc>
          <w:tcPr>
            <w:tcW w:w="640" w:type="dxa"/>
            <w:vAlign w:val="bottom"/>
          </w:tcPr>
          <w:p>
            <w:pPr>
              <w:jc w:val="right"/>
              <w:ind w:right="138"/>
              <w:spacing w:after="0"/>
              <w:rPr>
                <w:sz w:val="20"/>
                <w:szCs w:val="20"/>
                <w:color w:val="auto"/>
              </w:rPr>
            </w:pPr>
            <w:r>
              <w:rPr>
                <w:rFonts w:ascii="Arial" w:cs="Arial" w:eastAsia="Arial" w:hAnsi="Arial"/>
                <w:sz w:val="8"/>
                <w:szCs w:val="8"/>
                <w:color w:val="auto"/>
              </w:rPr>
              <w:t>—</w:t>
            </w:r>
          </w:p>
        </w:tc>
        <w:tc>
          <w:tcPr>
            <w:tcW w:w="680" w:type="dxa"/>
            <w:vAlign w:val="bottom"/>
          </w:tcPr>
          <w:p>
            <w:pPr>
              <w:spacing w:after="0"/>
              <w:rPr>
                <w:sz w:val="8"/>
                <w:szCs w:val="8"/>
                <w:color w:val="auto"/>
              </w:rPr>
            </w:pPr>
          </w:p>
        </w:tc>
        <w:tc>
          <w:tcPr>
            <w:tcW w:w="840" w:type="dxa"/>
            <w:vAlign w:val="bottom"/>
          </w:tcPr>
          <w:p>
            <w:pPr>
              <w:jc w:val="right"/>
              <w:ind w:right="238"/>
              <w:spacing w:after="0"/>
              <w:rPr>
                <w:sz w:val="20"/>
                <w:szCs w:val="20"/>
                <w:color w:val="auto"/>
              </w:rPr>
            </w:pPr>
            <w:r>
              <w:rPr>
                <w:rFonts w:ascii="Arial" w:cs="Arial" w:eastAsia="Arial" w:hAnsi="Arial"/>
                <w:sz w:val="8"/>
                <w:szCs w:val="8"/>
                <w:color w:val="auto"/>
              </w:rPr>
              <w:t>—</w:t>
            </w:r>
          </w:p>
        </w:tc>
        <w:tc>
          <w:tcPr>
            <w:tcW w:w="700" w:type="dxa"/>
            <w:vAlign w:val="bottom"/>
          </w:tcPr>
          <w:p>
            <w:pPr>
              <w:spacing w:after="0"/>
              <w:rPr>
                <w:sz w:val="8"/>
                <w:szCs w:val="8"/>
                <w:color w:val="auto"/>
              </w:rPr>
            </w:pPr>
          </w:p>
        </w:tc>
        <w:tc>
          <w:tcPr>
            <w:tcW w:w="1560" w:type="dxa"/>
            <w:vAlign w:val="bottom"/>
            <w:gridSpan w:val="2"/>
          </w:tcPr>
          <w:p>
            <w:pPr>
              <w:jc w:val="right"/>
              <w:ind w:right="1000"/>
              <w:spacing w:after="0"/>
              <w:rPr>
                <w:sz w:val="20"/>
                <w:szCs w:val="20"/>
                <w:color w:val="auto"/>
              </w:rPr>
            </w:pPr>
            <w:r>
              <w:rPr>
                <w:rFonts w:ascii="Arial" w:cs="Arial" w:eastAsia="Arial" w:hAnsi="Arial"/>
                <w:sz w:val="8"/>
                <w:szCs w:val="8"/>
                <w:color w:val="auto"/>
              </w:rPr>
              <w:t>—</w:t>
            </w:r>
          </w:p>
        </w:tc>
        <w:tc>
          <w:tcPr>
            <w:tcW w:w="620" w:type="dxa"/>
            <w:vAlign w:val="bottom"/>
          </w:tcPr>
          <w:p>
            <w:pPr>
              <w:jc w:val="right"/>
              <w:ind w:right="158"/>
              <w:spacing w:after="0"/>
              <w:rPr>
                <w:sz w:val="20"/>
                <w:szCs w:val="20"/>
                <w:color w:val="auto"/>
              </w:rPr>
            </w:pPr>
            <w:r>
              <w:rPr>
                <w:rFonts w:ascii="Arial" w:cs="Arial" w:eastAsia="Arial" w:hAnsi="Arial"/>
                <w:sz w:val="8"/>
                <w:szCs w:val="8"/>
                <w:color w:val="auto"/>
              </w:rPr>
              <w:t>—</w:t>
            </w:r>
          </w:p>
        </w:tc>
        <w:tc>
          <w:tcPr>
            <w:tcW w:w="1500" w:type="dxa"/>
            <w:vAlign w:val="bottom"/>
            <w:gridSpan w:val="2"/>
          </w:tcPr>
          <w:p>
            <w:pPr>
              <w:jc w:val="right"/>
              <w:ind w:right="258"/>
              <w:spacing w:after="0"/>
              <w:rPr>
                <w:sz w:val="20"/>
                <w:szCs w:val="20"/>
                <w:color w:val="auto"/>
              </w:rPr>
            </w:pPr>
            <w:r>
              <w:rPr>
                <w:rFonts w:ascii="Arial" w:cs="Arial" w:eastAsia="Arial" w:hAnsi="Arial"/>
                <w:sz w:val="8"/>
                <w:szCs w:val="8"/>
                <w:color w:val="auto"/>
              </w:rPr>
              <w:t>19,629</w:t>
            </w:r>
          </w:p>
        </w:tc>
        <w:tc>
          <w:tcPr>
            <w:tcW w:w="0" w:type="dxa"/>
            <w:vAlign w:val="bottom"/>
          </w:tcPr>
          <w:p>
            <w:pPr>
              <w:spacing w:after="0"/>
              <w:rPr>
                <w:sz w:val="1"/>
                <w:szCs w:val="1"/>
                <w:color w:val="auto"/>
              </w:rPr>
            </w:pPr>
          </w:p>
        </w:tc>
      </w:tr>
      <w:tr>
        <w:trPr>
          <w:trHeight w:val="81"/>
        </w:trPr>
        <w:tc>
          <w:tcPr>
            <w:tcW w:w="2140" w:type="dxa"/>
            <w:vAlign w:val="bottom"/>
            <w:shd w:val="clear" w:color="auto" w:fill="CCEEFF"/>
          </w:tcPr>
          <w:p>
            <w:pPr>
              <w:spacing w:after="0" w:line="81" w:lineRule="exact"/>
              <w:rPr>
                <w:sz w:val="20"/>
                <w:szCs w:val="20"/>
                <w:color w:val="auto"/>
              </w:rPr>
            </w:pPr>
            <w:r>
              <w:rPr>
                <w:rFonts w:ascii="Arial" w:cs="Arial" w:eastAsia="Arial" w:hAnsi="Arial"/>
                <w:sz w:val="8"/>
                <w:szCs w:val="8"/>
                <w:b w:val="1"/>
                <w:bCs w:val="1"/>
                <w:color w:val="auto"/>
              </w:rPr>
              <w:t>2014</w:t>
            </w:r>
          </w:p>
        </w:tc>
        <w:tc>
          <w:tcPr>
            <w:tcW w:w="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14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01/20/2014</w:t>
            </w:r>
          </w:p>
        </w:tc>
        <w:tc>
          <w:tcPr>
            <w:tcW w:w="80" w:type="dxa"/>
            <w:vAlign w:val="bottom"/>
            <w:shd w:val="clear" w:color="auto" w:fill="CCEEFF"/>
          </w:tcPr>
          <w:p>
            <w:pPr>
              <w:spacing w:after="0"/>
              <w:rPr>
                <w:sz w:val="7"/>
                <w:szCs w:val="7"/>
                <w:color w:val="auto"/>
              </w:rPr>
            </w:pPr>
          </w:p>
        </w:tc>
        <w:tc>
          <w:tcPr>
            <w:tcW w:w="540" w:type="dxa"/>
            <w:vAlign w:val="bottom"/>
            <w:shd w:val="clear" w:color="auto" w:fill="CCEEFF"/>
          </w:tcPr>
          <w:p>
            <w:pPr>
              <w:jc w:val="right"/>
              <w:ind w:right="218"/>
              <w:spacing w:after="0" w:line="90" w:lineRule="exact"/>
              <w:rPr>
                <w:sz w:val="20"/>
                <w:szCs w:val="20"/>
                <w:color w:val="auto"/>
              </w:rPr>
            </w:pPr>
            <w:r>
              <w:rPr>
                <w:rFonts w:ascii="Arial" w:cs="Arial" w:eastAsia="Arial" w:hAnsi="Arial"/>
                <w:sz w:val="8"/>
                <w:szCs w:val="8"/>
                <w:color w:val="auto"/>
                <w:w w:val="89"/>
              </w:rPr>
              <w:t>18.5066</w:t>
            </w:r>
          </w:p>
        </w:tc>
        <w:tc>
          <w:tcPr>
            <w:tcW w:w="700" w:type="dxa"/>
            <w:vAlign w:val="bottom"/>
            <w:shd w:val="clear" w:color="auto" w:fill="CCEEFF"/>
          </w:tcPr>
          <w:p>
            <w:pPr>
              <w:spacing w:after="0"/>
              <w:rPr>
                <w:sz w:val="7"/>
                <w:szCs w:val="7"/>
                <w:color w:val="auto"/>
              </w:rPr>
            </w:pP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w:t>
            </w:r>
          </w:p>
        </w:tc>
        <w:tc>
          <w:tcPr>
            <w:tcW w:w="680" w:type="dxa"/>
            <w:vAlign w:val="bottom"/>
            <w:shd w:val="clear" w:color="auto" w:fill="CCEEFF"/>
          </w:tcPr>
          <w:p>
            <w:pPr>
              <w:spacing w:after="0"/>
              <w:rPr>
                <w:sz w:val="7"/>
                <w:szCs w:val="7"/>
                <w:color w:val="auto"/>
              </w:rPr>
            </w:pPr>
          </w:p>
        </w:tc>
        <w:tc>
          <w:tcPr>
            <w:tcW w:w="840" w:type="dxa"/>
            <w:vAlign w:val="bottom"/>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rPr>
              <w:t>—</w:t>
            </w:r>
          </w:p>
        </w:tc>
        <w:tc>
          <w:tcPr>
            <w:tcW w:w="700" w:type="dxa"/>
            <w:vAlign w:val="bottom"/>
            <w:shd w:val="clear" w:color="auto" w:fill="CCEEFF"/>
          </w:tcPr>
          <w:p>
            <w:pPr>
              <w:spacing w:after="0"/>
              <w:rPr>
                <w:sz w:val="7"/>
                <w:szCs w:val="7"/>
                <w:color w:val="auto"/>
              </w:rPr>
            </w:pPr>
          </w:p>
        </w:tc>
        <w:tc>
          <w:tcPr>
            <w:tcW w:w="1560" w:type="dxa"/>
            <w:vAlign w:val="bottom"/>
            <w:gridSpan w:val="2"/>
            <w:shd w:val="clear" w:color="auto" w:fill="CCEEFF"/>
          </w:tcPr>
          <w:p>
            <w:pPr>
              <w:jc w:val="right"/>
              <w:ind w:right="1000"/>
              <w:spacing w:after="0" w:line="90" w:lineRule="exact"/>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jc w:val="right"/>
              <w:ind w:right="158"/>
              <w:spacing w:after="0" w:line="90" w:lineRule="exact"/>
              <w:rPr>
                <w:sz w:val="20"/>
                <w:szCs w:val="20"/>
                <w:color w:val="auto"/>
              </w:rPr>
            </w:pPr>
            <w:r>
              <w:rPr>
                <w:rFonts w:ascii="Arial" w:cs="Arial" w:eastAsia="Arial" w:hAnsi="Arial"/>
                <w:sz w:val="8"/>
                <w:szCs w:val="8"/>
                <w:color w:val="auto"/>
              </w:rPr>
              <w:t>—</w:t>
            </w:r>
          </w:p>
        </w:tc>
        <w:tc>
          <w:tcPr>
            <w:tcW w:w="1500" w:type="dxa"/>
            <w:vAlign w:val="bottom"/>
            <w:gridSpan w:val="2"/>
            <w:shd w:val="clear" w:color="auto" w:fill="CCEEFF"/>
          </w:tcPr>
          <w:p>
            <w:pPr>
              <w:jc w:val="right"/>
              <w:ind w:right="258"/>
              <w:spacing w:after="0" w:line="90" w:lineRule="exact"/>
              <w:rPr>
                <w:sz w:val="20"/>
                <w:szCs w:val="20"/>
                <w:color w:val="auto"/>
              </w:rPr>
            </w:pPr>
            <w:r>
              <w:rPr>
                <w:rFonts w:ascii="Arial" w:cs="Arial" w:eastAsia="Arial" w:hAnsi="Arial"/>
                <w:sz w:val="8"/>
                <w:szCs w:val="8"/>
                <w:color w:val="auto"/>
              </w:rPr>
              <w:t>3,413</w:t>
            </w:r>
          </w:p>
        </w:tc>
        <w:tc>
          <w:tcPr>
            <w:tcW w:w="0" w:type="dxa"/>
            <w:vAlign w:val="bottom"/>
          </w:tcPr>
          <w:p>
            <w:pPr>
              <w:spacing w:after="0"/>
              <w:rPr>
                <w:sz w:val="1"/>
                <w:szCs w:val="1"/>
                <w:color w:val="auto"/>
              </w:rPr>
            </w:pPr>
          </w:p>
        </w:tc>
      </w:tr>
      <w:tr>
        <w:trPr>
          <w:trHeight w:val="90"/>
        </w:trPr>
        <w:tc>
          <w:tcPr>
            <w:tcW w:w="214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03/10/2014</w:t>
            </w:r>
          </w:p>
        </w:tc>
        <w:tc>
          <w:tcPr>
            <w:tcW w:w="80" w:type="dxa"/>
            <w:vAlign w:val="bottom"/>
            <w:shd w:val="clear" w:color="auto" w:fill="CCEEFF"/>
          </w:tcPr>
          <w:p>
            <w:pPr>
              <w:spacing w:after="0"/>
              <w:rPr>
                <w:sz w:val="7"/>
                <w:szCs w:val="7"/>
                <w:color w:val="auto"/>
              </w:rPr>
            </w:pPr>
          </w:p>
        </w:tc>
        <w:tc>
          <w:tcPr>
            <w:tcW w:w="540" w:type="dxa"/>
            <w:vAlign w:val="bottom"/>
            <w:shd w:val="clear" w:color="auto" w:fill="CCEEFF"/>
          </w:tcPr>
          <w:p>
            <w:pPr>
              <w:jc w:val="right"/>
              <w:ind w:right="218"/>
              <w:spacing w:after="0" w:line="90" w:lineRule="exact"/>
              <w:rPr>
                <w:sz w:val="20"/>
                <w:szCs w:val="20"/>
                <w:color w:val="auto"/>
              </w:rPr>
            </w:pPr>
            <w:r>
              <w:rPr>
                <w:rFonts w:ascii="Arial" w:cs="Arial" w:eastAsia="Arial" w:hAnsi="Arial"/>
                <w:sz w:val="8"/>
                <w:szCs w:val="8"/>
                <w:color w:val="auto"/>
                <w:w w:val="89"/>
              </w:rPr>
              <w:t>17.5000</w:t>
            </w:r>
          </w:p>
        </w:tc>
        <w:tc>
          <w:tcPr>
            <w:tcW w:w="700" w:type="dxa"/>
            <w:vAlign w:val="bottom"/>
            <w:shd w:val="clear" w:color="auto" w:fill="CCEEFF"/>
          </w:tcPr>
          <w:p>
            <w:pPr>
              <w:spacing w:after="0"/>
              <w:rPr>
                <w:sz w:val="7"/>
                <w:szCs w:val="7"/>
                <w:color w:val="auto"/>
              </w:rPr>
            </w:pP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37,800</w:t>
            </w:r>
          </w:p>
        </w:tc>
        <w:tc>
          <w:tcPr>
            <w:tcW w:w="680" w:type="dxa"/>
            <w:vAlign w:val="bottom"/>
            <w:shd w:val="clear" w:color="auto" w:fill="CCEEFF"/>
          </w:tcPr>
          <w:p>
            <w:pPr>
              <w:spacing w:after="0"/>
              <w:rPr>
                <w:sz w:val="7"/>
                <w:szCs w:val="7"/>
                <w:color w:val="auto"/>
              </w:rPr>
            </w:pPr>
          </w:p>
        </w:tc>
        <w:tc>
          <w:tcPr>
            <w:tcW w:w="840" w:type="dxa"/>
            <w:vAlign w:val="bottom"/>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rPr>
              <w:t>—</w:t>
            </w:r>
          </w:p>
        </w:tc>
        <w:tc>
          <w:tcPr>
            <w:tcW w:w="1560" w:type="dxa"/>
            <w:vAlign w:val="bottom"/>
            <w:gridSpan w:val="2"/>
            <w:shd w:val="clear" w:color="auto" w:fill="CCEEFF"/>
          </w:tcPr>
          <w:p>
            <w:pPr>
              <w:jc w:val="right"/>
              <w:ind w:right="258"/>
              <w:spacing w:after="0" w:line="90" w:lineRule="exact"/>
              <w:rPr>
                <w:sz w:val="20"/>
                <w:szCs w:val="20"/>
                <w:color w:val="auto"/>
              </w:rPr>
            </w:pPr>
            <w:r>
              <w:rPr>
                <w:rFonts w:ascii="Arial" w:cs="Arial" w:eastAsia="Arial" w:hAnsi="Arial"/>
                <w:sz w:val="8"/>
                <w:szCs w:val="8"/>
                <w:color w:val="auto"/>
              </w:rPr>
              <w:t>30,240</w:t>
            </w:r>
          </w:p>
        </w:tc>
        <w:tc>
          <w:tcPr>
            <w:tcW w:w="700" w:type="dxa"/>
            <w:vAlign w:val="bottom"/>
            <w:shd w:val="clear" w:color="auto" w:fill="CCEEFF"/>
          </w:tcPr>
          <w:p>
            <w:pPr>
              <w:spacing w:after="0"/>
              <w:rPr>
                <w:sz w:val="7"/>
                <w:szCs w:val="7"/>
                <w:color w:val="auto"/>
              </w:rPr>
            </w:pPr>
          </w:p>
        </w:tc>
        <w:tc>
          <w:tcPr>
            <w:tcW w:w="620" w:type="dxa"/>
            <w:vAlign w:val="bottom"/>
            <w:shd w:val="clear" w:color="auto" w:fill="CCEEFF"/>
          </w:tcPr>
          <w:p>
            <w:pPr>
              <w:jc w:val="right"/>
              <w:ind w:right="158"/>
              <w:spacing w:after="0" w:line="90" w:lineRule="exact"/>
              <w:rPr>
                <w:sz w:val="20"/>
                <w:szCs w:val="20"/>
                <w:color w:val="auto"/>
              </w:rPr>
            </w:pPr>
            <w:r>
              <w:rPr>
                <w:rFonts w:ascii="Arial" w:cs="Arial" w:eastAsia="Arial" w:hAnsi="Arial"/>
                <w:sz w:val="8"/>
                <w:szCs w:val="8"/>
                <w:color w:val="auto"/>
              </w:rPr>
              <w:t>17,625</w:t>
            </w:r>
          </w:p>
        </w:tc>
        <w:tc>
          <w:tcPr>
            <w:tcW w:w="1500" w:type="dxa"/>
            <w:vAlign w:val="bottom"/>
            <w:gridSpan w:val="2"/>
            <w:shd w:val="clear" w:color="auto" w:fill="CCEEFF"/>
          </w:tcPr>
          <w:p>
            <w:pPr>
              <w:jc w:val="right"/>
              <w:ind w:right="258"/>
              <w:spacing w:after="0" w:line="90" w:lineRule="exact"/>
              <w:rPr>
                <w:sz w:val="20"/>
                <w:szCs w:val="20"/>
                <w:color w:val="auto"/>
              </w:rPr>
            </w:pPr>
            <w:r>
              <w:rPr>
                <w:rFonts w:ascii="Arial" w:cs="Arial" w:eastAsia="Arial" w:hAnsi="Arial"/>
                <w:sz w:val="8"/>
                <w:szCs w:val="8"/>
                <w:color w:val="auto"/>
              </w:rPr>
              <w:t>4,650</w:t>
            </w:r>
          </w:p>
        </w:tc>
        <w:tc>
          <w:tcPr>
            <w:tcW w:w="0" w:type="dxa"/>
            <w:vAlign w:val="bottom"/>
          </w:tcPr>
          <w:p>
            <w:pPr>
              <w:spacing w:after="0"/>
              <w:rPr>
                <w:sz w:val="1"/>
                <w:szCs w:val="1"/>
                <w:color w:val="auto"/>
              </w:rPr>
            </w:pPr>
          </w:p>
        </w:tc>
      </w:tr>
      <w:tr>
        <w:trPr>
          <w:trHeight w:val="90"/>
        </w:trPr>
        <w:tc>
          <w:tcPr>
            <w:tcW w:w="214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03/14/2014</w:t>
            </w:r>
          </w:p>
        </w:tc>
        <w:tc>
          <w:tcPr>
            <w:tcW w:w="80" w:type="dxa"/>
            <w:vAlign w:val="bottom"/>
            <w:shd w:val="clear" w:color="auto" w:fill="CCEEFF"/>
          </w:tcPr>
          <w:p>
            <w:pPr>
              <w:spacing w:after="0"/>
              <w:rPr>
                <w:sz w:val="7"/>
                <w:szCs w:val="7"/>
                <w:color w:val="auto"/>
              </w:rPr>
            </w:pPr>
          </w:p>
        </w:tc>
        <w:tc>
          <w:tcPr>
            <w:tcW w:w="540" w:type="dxa"/>
            <w:vAlign w:val="bottom"/>
            <w:shd w:val="clear" w:color="auto" w:fill="CCEEFF"/>
          </w:tcPr>
          <w:p>
            <w:pPr>
              <w:jc w:val="right"/>
              <w:ind w:right="218"/>
              <w:spacing w:after="0" w:line="90" w:lineRule="exact"/>
              <w:rPr>
                <w:sz w:val="20"/>
                <w:szCs w:val="20"/>
                <w:color w:val="auto"/>
              </w:rPr>
            </w:pPr>
            <w:r>
              <w:rPr>
                <w:rFonts w:ascii="Arial" w:cs="Arial" w:eastAsia="Arial" w:hAnsi="Arial"/>
                <w:sz w:val="8"/>
                <w:szCs w:val="8"/>
                <w:color w:val="auto"/>
                <w:w w:val="89"/>
              </w:rPr>
              <w:t>22.6600</w:t>
            </w:r>
          </w:p>
        </w:tc>
        <w:tc>
          <w:tcPr>
            <w:tcW w:w="700" w:type="dxa"/>
            <w:vAlign w:val="bottom"/>
            <w:shd w:val="clear" w:color="auto" w:fill="CCEEFF"/>
          </w:tcPr>
          <w:p>
            <w:pPr>
              <w:spacing w:after="0"/>
              <w:rPr>
                <w:sz w:val="7"/>
                <w:szCs w:val="7"/>
                <w:color w:val="auto"/>
              </w:rPr>
            </w:pP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31,875</w:t>
            </w:r>
          </w:p>
        </w:tc>
        <w:tc>
          <w:tcPr>
            <w:tcW w:w="680" w:type="dxa"/>
            <w:vAlign w:val="bottom"/>
            <w:shd w:val="clear" w:color="auto" w:fill="CCEEFF"/>
          </w:tcPr>
          <w:p>
            <w:pPr>
              <w:spacing w:after="0"/>
              <w:rPr>
                <w:sz w:val="7"/>
                <w:szCs w:val="7"/>
                <w:color w:val="auto"/>
              </w:rPr>
            </w:pPr>
          </w:p>
        </w:tc>
        <w:tc>
          <w:tcPr>
            <w:tcW w:w="840" w:type="dxa"/>
            <w:vAlign w:val="bottom"/>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rPr>
              <w:t>—</w:t>
            </w:r>
          </w:p>
        </w:tc>
        <w:tc>
          <w:tcPr>
            <w:tcW w:w="1560" w:type="dxa"/>
            <w:vAlign w:val="bottom"/>
            <w:gridSpan w:val="2"/>
            <w:shd w:val="clear" w:color="auto" w:fill="CCEEFF"/>
          </w:tcPr>
          <w:p>
            <w:pPr>
              <w:jc w:val="right"/>
              <w:ind w:right="258"/>
              <w:spacing w:after="0" w:line="90" w:lineRule="exact"/>
              <w:rPr>
                <w:sz w:val="20"/>
                <w:szCs w:val="20"/>
                <w:color w:val="auto"/>
              </w:rPr>
            </w:pPr>
            <w:r>
              <w:rPr>
                <w:rFonts w:ascii="Arial" w:cs="Arial" w:eastAsia="Arial" w:hAnsi="Arial"/>
                <w:sz w:val="8"/>
                <w:szCs w:val="8"/>
                <w:color w:val="auto"/>
              </w:rPr>
              <w:t>17,437</w:t>
            </w:r>
          </w:p>
        </w:tc>
        <w:tc>
          <w:tcPr>
            <w:tcW w:w="700" w:type="dxa"/>
            <w:vAlign w:val="bottom"/>
            <w:shd w:val="clear" w:color="auto" w:fill="CCEEFF"/>
          </w:tcPr>
          <w:p>
            <w:pPr>
              <w:spacing w:after="0"/>
              <w:rPr>
                <w:sz w:val="7"/>
                <w:szCs w:val="7"/>
                <w:color w:val="auto"/>
              </w:rPr>
            </w:pPr>
          </w:p>
        </w:tc>
        <w:tc>
          <w:tcPr>
            <w:tcW w:w="620" w:type="dxa"/>
            <w:vAlign w:val="bottom"/>
            <w:shd w:val="clear" w:color="auto" w:fill="CCEEFF"/>
          </w:tcPr>
          <w:p>
            <w:pPr>
              <w:jc w:val="right"/>
              <w:ind w:right="158"/>
              <w:spacing w:after="0" w:line="90" w:lineRule="exact"/>
              <w:rPr>
                <w:sz w:val="20"/>
                <w:szCs w:val="20"/>
                <w:color w:val="auto"/>
              </w:rPr>
            </w:pPr>
            <w:r>
              <w:rPr>
                <w:rFonts w:ascii="Arial" w:cs="Arial" w:eastAsia="Arial" w:hAnsi="Arial"/>
                <w:sz w:val="8"/>
                <w:szCs w:val="8"/>
                <w:color w:val="auto"/>
              </w:rPr>
              <w:t>15,000</w:t>
            </w:r>
          </w:p>
        </w:tc>
        <w:tc>
          <w:tcPr>
            <w:tcW w:w="1500" w:type="dxa"/>
            <w:vAlign w:val="bottom"/>
            <w:gridSpan w:val="2"/>
            <w:shd w:val="clear" w:color="auto" w:fill="CCEEFF"/>
          </w:tcPr>
          <w:p>
            <w:pPr>
              <w:jc w:val="right"/>
              <w:ind w:right="258"/>
              <w:spacing w:after="0" w:line="90" w:lineRule="exact"/>
              <w:rPr>
                <w:sz w:val="20"/>
                <w:szCs w:val="20"/>
                <w:color w:val="auto"/>
              </w:rPr>
            </w:pPr>
            <w:r>
              <w:rPr>
                <w:rFonts w:ascii="Arial" w:cs="Arial" w:eastAsia="Arial" w:hAnsi="Arial"/>
                <w:sz w:val="8"/>
                <w:szCs w:val="8"/>
                <w:color w:val="auto"/>
              </w:rPr>
              <w:t>3,675</w:t>
            </w:r>
          </w:p>
        </w:tc>
        <w:tc>
          <w:tcPr>
            <w:tcW w:w="0" w:type="dxa"/>
            <w:vAlign w:val="bottom"/>
          </w:tcPr>
          <w:p>
            <w:pPr>
              <w:spacing w:after="0"/>
              <w:rPr>
                <w:sz w:val="1"/>
                <w:szCs w:val="1"/>
                <w:color w:val="auto"/>
              </w:rPr>
            </w:pPr>
          </w:p>
        </w:tc>
      </w:tr>
      <w:tr>
        <w:trPr>
          <w:trHeight w:val="90"/>
        </w:trPr>
        <w:tc>
          <w:tcPr>
            <w:tcW w:w="214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03/16/2014</w:t>
            </w:r>
          </w:p>
        </w:tc>
        <w:tc>
          <w:tcPr>
            <w:tcW w:w="80" w:type="dxa"/>
            <w:vAlign w:val="bottom"/>
            <w:shd w:val="clear" w:color="auto" w:fill="CCEEFF"/>
          </w:tcPr>
          <w:p>
            <w:pPr>
              <w:spacing w:after="0"/>
              <w:rPr>
                <w:sz w:val="7"/>
                <w:szCs w:val="7"/>
                <w:color w:val="auto"/>
              </w:rPr>
            </w:pPr>
          </w:p>
        </w:tc>
        <w:tc>
          <w:tcPr>
            <w:tcW w:w="540" w:type="dxa"/>
            <w:vAlign w:val="bottom"/>
            <w:shd w:val="clear" w:color="auto" w:fill="CCEEFF"/>
          </w:tcPr>
          <w:p>
            <w:pPr>
              <w:jc w:val="right"/>
              <w:ind w:right="218"/>
              <w:spacing w:after="0" w:line="90" w:lineRule="exact"/>
              <w:rPr>
                <w:sz w:val="20"/>
                <w:szCs w:val="20"/>
                <w:color w:val="auto"/>
              </w:rPr>
            </w:pPr>
            <w:r>
              <w:rPr>
                <w:rFonts w:ascii="Arial" w:cs="Arial" w:eastAsia="Arial" w:hAnsi="Arial"/>
                <w:sz w:val="8"/>
                <w:szCs w:val="8"/>
                <w:color w:val="auto"/>
                <w:w w:val="89"/>
              </w:rPr>
              <w:t>25.4400</w:t>
            </w:r>
          </w:p>
        </w:tc>
        <w:tc>
          <w:tcPr>
            <w:tcW w:w="700" w:type="dxa"/>
            <w:vAlign w:val="bottom"/>
            <w:shd w:val="clear" w:color="auto" w:fill="CCEEFF"/>
          </w:tcPr>
          <w:p>
            <w:pPr>
              <w:spacing w:after="0"/>
              <w:rPr>
                <w:sz w:val="7"/>
                <w:szCs w:val="7"/>
                <w:color w:val="auto"/>
              </w:rPr>
            </w:pP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27,400</w:t>
            </w:r>
          </w:p>
        </w:tc>
        <w:tc>
          <w:tcPr>
            <w:tcW w:w="680" w:type="dxa"/>
            <w:vAlign w:val="bottom"/>
            <w:shd w:val="clear" w:color="auto" w:fill="CCEEFF"/>
          </w:tcPr>
          <w:p>
            <w:pPr>
              <w:spacing w:after="0"/>
              <w:rPr>
                <w:sz w:val="7"/>
                <w:szCs w:val="7"/>
                <w:color w:val="auto"/>
              </w:rPr>
            </w:pPr>
          </w:p>
        </w:tc>
        <w:tc>
          <w:tcPr>
            <w:tcW w:w="840" w:type="dxa"/>
            <w:vAlign w:val="bottom"/>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rPr>
              <w:t>—</w:t>
            </w:r>
          </w:p>
        </w:tc>
        <w:tc>
          <w:tcPr>
            <w:tcW w:w="1560" w:type="dxa"/>
            <w:vAlign w:val="bottom"/>
            <w:gridSpan w:val="2"/>
            <w:shd w:val="clear" w:color="auto" w:fill="CCEEFF"/>
          </w:tcPr>
          <w:p>
            <w:pPr>
              <w:jc w:val="right"/>
              <w:ind w:right="258"/>
              <w:spacing w:after="0" w:line="90" w:lineRule="exact"/>
              <w:rPr>
                <w:sz w:val="20"/>
                <w:szCs w:val="20"/>
                <w:color w:val="auto"/>
              </w:rPr>
            </w:pPr>
            <w:r>
              <w:rPr>
                <w:rFonts w:ascii="Arial" w:cs="Arial" w:eastAsia="Arial" w:hAnsi="Arial"/>
                <w:sz w:val="8"/>
                <w:szCs w:val="8"/>
                <w:color w:val="auto"/>
              </w:rPr>
              <w:t>21,920</w:t>
            </w:r>
          </w:p>
        </w:tc>
        <w:tc>
          <w:tcPr>
            <w:tcW w:w="700" w:type="dxa"/>
            <w:vAlign w:val="bottom"/>
            <w:shd w:val="clear" w:color="auto" w:fill="CCEEFF"/>
          </w:tcPr>
          <w:p>
            <w:pPr>
              <w:spacing w:after="0"/>
              <w:rPr>
                <w:sz w:val="7"/>
                <w:szCs w:val="7"/>
                <w:color w:val="auto"/>
              </w:rPr>
            </w:pPr>
          </w:p>
        </w:tc>
        <w:tc>
          <w:tcPr>
            <w:tcW w:w="620" w:type="dxa"/>
            <w:vAlign w:val="bottom"/>
            <w:shd w:val="clear" w:color="auto" w:fill="CCEEFF"/>
          </w:tcPr>
          <w:p>
            <w:pPr>
              <w:jc w:val="right"/>
              <w:ind w:right="158"/>
              <w:spacing w:after="0" w:line="90" w:lineRule="exact"/>
              <w:rPr>
                <w:sz w:val="20"/>
                <w:szCs w:val="20"/>
                <w:color w:val="auto"/>
              </w:rPr>
            </w:pPr>
            <w:r>
              <w:rPr>
                <w:rFonts w:ascii="Arial" w:cs="Arial" w:eastAsia="Arial" w:hAnsi="Arial"/>
                <w:sz w:val="8"/>
                <w:szCs w:val="8"/>
                <w:color w:val="auto"/>
              </w:rPr>
              <w:t>12,760</w:t>
            </w:r>
          </w:p>
        </w:tc>
        <w:tc>
          <w:tcPr>
            <w:tcW w:w="1500" w:type="dxa"/>
            <w:vAlign w:val="bottom"/>
            <w:gridSpan w:val="2"/>
            <w:shd w:val="clear" w:color="auto" w:fill="CCEEFF"/>
          </w:tcPr>
          <w:p>
            <w:pPr>
              <w:jc w:val="right"/>
              <w:ind w:right="258"/>
              <w:spacing w:after="0" w:line="90" w:lineRule="exact"/>
              <w:rPr>
                <w:sz w:val="20"/>
                <w:szCs w:val="20"/>
                <w:color w:val="auto"/>
              </w:rPr>
            </w:pPr>
            <w:r>
              <w:rPr>
                <w:rFonts w:ascii="Arial" w:cs="Arial" w:eastAsia="Arial" w:hAnsi="Arial"/>
                <w:sz w:val="8"/>
                <w:szCs w:val="8"/>
                <w:color w:val="auto"/>
              </w:rPr>
              <w:t>3,370</w:t>
            </w:r>
          </w:p>
        </w:tc>
        <w:tc>
          <w:tcPr>
            <w:tcW w:w="0" w:type="dxa"/>
            <w:vAlign w:val="bottom"/>
          </w:tcPr>
          <w:p>
            <w:pPr>
              <w:spacing w:after="0"/>
              <w:rPr>
                <w:sz w:val="1"/>
                <w:szCs w:val="1"/>
                <w:color w:val="auto"/>
              </w:rPr>
            </w:pPr>
          </w:p>
        </w:tc>
      </w:tr>
      <w:tr>
        <w:trPr>
          <w:trHeight w:val="90"/>
        </w:trPr>
        <w:tc>
          <w:tcPr>
            <w:tcW w:w="214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03/27/2014</w:t>
            </w:r>
          </w:p>
        </w:tc>
        <w:tc>
          <w:tcPr>
            <w:tcW w:w="80" w:type="dxa"/>
            <w:vAlign w:val="bottom"/>
            <w:shd w:val="clear" w:color="auto" w:fill="CCEEFF"/>
          </w:tcPr>
          <w:p>
            <w:pPr>
              <w:spacing w:after="0"/>
              <w:rPr>
                <w:sz w:val="7"/>
                <w:szCs w:val="7"/>
                <w:color w:val="auto"/>
              </w:rPr>
            </w:pPr>
          </w:p>
        </w:tc>
        <w:tc>
          <w:tcPr>
            <w:tcW w:w="540" w:type="dxa"/>
            <w:vAlign w:val="bottom"/>
            <w:shd w:val="clear" w:color="auto" w:fill="CCEEFF"/>
          </w:tcPr>
          <w:p>
            <w:pPr>
              <w:jc w:val="right"/>
              <w:ind w:right="218"/>
              <w:spacing w:after="0" w:line="90" w:lineRule="exact"/>
              <w:rPr>
                <w:sz w:val="20"/>
                <w:szCs w:val="20"/>
                <w:color w:val="auto"/>
              </w:rPr>
            </w:pPr>
            <w:r>
              <w:rPr>
                <w:rFonts w:ascii="Arial" w:cs="Arial" w:eastAsia="Arial" w:hAnsi="Arial"/>
                <w:sz w:val="8"/>
                <w:szCs w:val="8"/>
                <w:color w:val="auto"/>
                <w:w w:val="89"/>
              </w:rPr>
              <w:t>14.5400</w:t>
            </w:r>
          </w:p>
        </w:tc>
        <w:tc>
          <w:tcPr>
            <w:tcW w:w="700" w:type="dxa"/>
            <w:vAlign w:val="bottom"/>
            <w:shd w:val="clear" w:color="auto" w:fill="CCEEFF"/>
          </w:tcPr>
          <w:p>
            <w:pPr>
              <w:spacing w:after="0"/>
              <w:rPr>
                <w:sz w:val="7"/>
                <w:szCs w:val="7"/>
                <w:color w:val="auto"/>
              </w:rPr>
            </w:pP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171,750</w:t>
            </w:r>
          </w:p>
        </w:tc>
        <w:tc>
          <w:tcPr>
            <w:tcW w:w="1520" w:type="dxa"/>
            <w:vAlign w:val="bottom"/>
            <w:gridSpan w:val="2"/>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rPr>
              <w:t>103,500</w:t>
            </w:r>
          </w:p>
        </w:tc>
        <w:tc>
          <w:tcPr>
            <w:tcW w:w="1560" w:type="dxa"/>
            <w:vAlign w:val="bottom"/>
            <w:gridSpan w:val="2"/>
            <w:shd w:val="clear" w:color="auto" w:fill="CCEEFF"/>
          </w:tcPr>
          <w:p>
            <w:pPr>
              <w:jc w:val="right"/>
              <w:ind w:right="258"/>
              <w:spacing w:after="0" w:line="90" w:lineRule="exact"/>
              <w:rPr>
                <w:sz w:val="20"/>
                <w:szCs w:val="20"/>
                <w:color w:val="auto"/>
              </w:rPr>
            </w:pPr>
            <w:r>
              <w:rPr>
                <w:rFonts w:ascii="Arial" w:cs="Arial" w:eastAsia="Arial" w:hAnsi="Arial"/>
                <w:sz w:val="8"/>
                <w:szCs w:val="8"/>
                <w:color w:val="auto"/>
              </w:rPr>
              <w:t>138,000</w:t>
            </w:r>
          </w:p>
        </w:tc>
        <w:tc>
          <w:tcPr>
            <w:tcW w:w="700" w:type="dxa"/>
            <w:vAlign w:val="bottom"/>
            <w:shd w:val="clear" w:color="auto" w:fill="CCEEFF"/>
          </w:tcPr>
          <w:p>
            <w:pPr>
              <w:spacing w:after="0"/>
              <w:rPr>
                <w:sz w:val="7"/>
                <w:szCs w:val="7"/>
                <w:color w:val="auto"/>
              </w:rPr>
            </w:pPr>
          </w:p>
        </w:tc>
        <w:tc>
          <w:tcPr>
            <w:tcW w:w="620" w:type="dxa"/>
            <w:vAlign w:val="bottom"/>
            <w:shd w:val="clear" w:color="auto" w:fill="CCEEFF"/>
          </w:tcPr>
          <w:p>
            <w:pPr>
              <w:jc w:val="right"/>
              <w:ind w:right="158"/>
              <w:spacing w:after="0" w:line="90" w:lineRule="exact"/>
              <w:rPr>
                <w:sz w:val="20"/>
                <w:szCs w:val="20"/>
                <w:color w:val="auto"/>
              </w:rPr>
            </w:pPr>
            <w:r>
              <w:rPr>
                <w:rFonts w:ascii="Arial" w:cs="Arial" w:eastAsia="Arial" w:hAnsi="Arial"/>
                <w:sz w:val="8"/>
                <w:szCs w:val="8"/>
                <w:color w:val="auto"/>
              </w:rPr>
              <w:t>81,000</w:t>
            </w:r>
          </w:p>
        </w:tc>
        <w:tc>
          <w:tcPr>
            <w:tcW w:w="1500" w:type="dxa"/>
            <w:vAlign w:val="bottom"/>
            <w:gridSpan w:val="2"/>
            <w:shd w:val="clear" w:color="auto" w:fill="CCEEFF"/>
          </w:tcPr>
          <w:p>
            <w:pPr>
              <w:jc w:val="right"/>
              <w:ind w:right="258"/>
              <w:spacing w:after="0" w:line="90" w:lineRule="exact"/>
              <w:rPr>
                <w:sz w:val="20"/>
                <w:szCs w:val="20"/>
                <w:color w:val="auto"/>
              </w:rPr>
            </w:pPr>
            <w:r>
              <w:rPr>
                <w:rFonts w:ascii="Arial" w:cs="Arial" w:eastAsia="Arial" w:hAnsi="Arial"/>
                <w:sz w:val="8"/>
                <w:szCs w:val="8"/>
                <w:color w:val="auto"/>
              </w:rPr>
              <w:t>21,150</w:t>
            </w:r>
          </w:p>
        </w:tc>
        <w:tc>
          <w:tcPr>
            <w:tcW w:w="0" w:type="dxa"/>
            <w:vAlign w:val="bottom"/>
          </w:tcPr>
          <w:p>
            <w:pPr>
              <w:spacing w:after="0"/>
              <w:rPr>
                <w:sz w:val="1"/>
                <w:szCs w:val="1"/>
                <w:color w:val="auto"/>
              </w:rPr>
            </w:pPr>
          </w:p>
        </w:tc>
      </w:tr>
      <w:tr>
        <w:trPr>
          <w:trHeight w:val="90"/>
        </w:trPr>
        <w:tc>
          <w:tcPr>
            <w:tcW w:w="214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03/28/2014</w:t>
            </w:r>
          </w:p>
        </w:tc>
        <w:tc>
          <w:tcPr>
            <w:tcW w:w="80" w:type="dxa"/>
            <w:vAlign w:val="bottom"/>
            <w:shd w:val="clear" w:color="auto" w:fill="CCEEFF"/>
          </w:tcPr>
          <w:p>
            <w:pPr>
              <w:spacing w:after="0"/>
              <w:rPr>
                <w:sz w:val="7"/>
                <w:szCs w:val="7"/>
                <w:color w:val="auto"/>
              </w:rPr>
            </w:pPr>
          </w:p>
        </w:tc>
        <w:tc>
          <w:tcPr>
            <w:tcW w:w="540" w:type="dxa"/>
            <w:vAlign w:val="bottom"/>
            <w:shd w:val="clear" w:color="auto" w:fill="CCEEFF"/>
          </w:tcPr>
          <w:p>
            <w:pPr>
              <w:jc w:val="right"/>
              <w:ind w:right="218"/>
              <w:spacing w:after="0" w:line="90" w:lineRule="exact"/>
              <w:rPr>
                <w:sz w:val="20"/>
                <w:szCs w:val="20"/>
                <w:color w:val="auto"/>
              </w:rPr>
            </w:pPr>
            <w:r>
              <w:rPr>
                <w:rFonts w:ascii="Arial" w:cs="Arial" w:eastAsia="Arial" w:hAnsi="Arial"/>
                <w:sz w:val="8"/>
                <w:szCs w:val="8"/>
                <w:color w:val="auto"/>
                <w:w w:val="89"/>
              </w:rPr>
              <w:t>18.9800</w:t>
            </w:r>
          </w:p>
        </w:tc>
        <w:tc>
          <w:tcPr>
            <w:tcW w:w="700" w:type="dxa"/>
            <w:vAlign w:val="bottom"/>
            <w:shd w:val="clear" w:color="auto" w:fill="CCEEFF"/>
          </w:tcPr>
          <w:p>
            <w:pPr>
              <w:spacing w:after="0"/>
              <w:rPr>
                <w:sz w:val="7"/>
                <w:szCs w:val="7"/>
                <w:color w:val="auto"/>
              </w:rPr>
            </w:pP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40,150</w:t>
            </w:r>
          </w:p>
        </w:tc>
        <w:tc>
          <w:tcPr>
            <w:tcW w:w="1520" w:type="dxa"/>
            <w:vAlign w:val="bottom"/>
            <w:gridSpan w:val="2"/>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rPr>
              <w:t>24,090</w:t>
            </w:r>
          </w:p>
        </w:tc>
        <w:tc>
          <w:tcPr>
            <w:tcW w:w="1560" w:type="dxa"/>
            <w:vAlign w:val="bottom"/>
            <w:gridSpan w:val="2"/>
            <w:shd w:val="clear" w:color="auto" w:fill="CCEEFF"/>
          </w:tcPr>
          <w:p>
            <w:pPr>
              <w:jc w:val="right"/>
              <w:ind w:right="258"/>
              <w:spacing w:after="0" w:line="90" w:lineRule="exact"/>
              <w:rPr>
                <w:sz w:val="20"/>
                <w:szCs w:val="20"/>
                <w:color w:val="auto"/>
              </w:rPr>
            </w:pPr>
            <w:r>
              <w:rPr>
                <w:rFonts w:ascii="Arial" w:cs="Arial" w:eastAsia="Arial" w:hAnsi="Arial"/>
                <w:sz w:val="8"/>
                <w:szCs w:val="8"/>
                <w:color w:val="auto"/>
              </w:rPr>
              <w:t>32,120</w:t>
            </w:r>
          </w:p>
        </w:tc>
        <w:tc>
          <w:tcPr>
            <w:tcW w:w="700" w:type="dxa"/>
            <w:vAlign w:val="bottom"/>
            <w:shd w:val="clear" w:color="auto" w:fill="CCEEFF"/>
          </w:tcPr>
          <w:p>
            <w:pPr>
              <w:spacing w:after="0"/>
              <w:rPr>
                <w:sz w:val="7"/>
                <w:szCs w:val="7"/>
                <w:color w:val="auto"/>
              </w:rPr>
            </w:pPr>
          </w:p>
        </w:tc>
        <w:tc>
          <w:tcPr>
            <w:tcW w:w="620" w:type="dxa"/>
            <w:vAlign w:val="bottom"/>
            <w:shd w:val="clear" w:color="auto" w:fill="CCEEFF"/>
          </w:tcPr>
          <w:p>
            <w:pPr>
              <w:jc w:val="right"/>
              <w:ind w:right="158"/>
              <w:spacing w:after="0" w:line="90" w:lineRule="exact"/>
              <w:rPr>
                <w:sz w:val="20"/>
                <w:szCs w:val="20"/>
                <w:color w:val="auto"/>
              </w:rPr>
            </w:pPr>
            <w:r>
              <w:rPr>
                <w:rFonts w:ascii="Arial" w:cs="Arial" w:eastAsia="Arial" w:hAnsi="Arial"/>
                <w:sz w:val="8"/>
                <w:szCs w:val="8"/>
                <w:color w:val="auto"/>
              </w:rPr>
              <w:t>18,700</w:t>
            </w:r>
          </w:p>
        </w:tc>
        <w:tc>
          <w:tcPr>
            <w:tcW w:w="1500" w:type="dxa"/>
            <w:vAlign w:val="bottom"/>
            <w:gridSpan w:val="2"/>
            <w:shd w:val="clear" w:color="auto" w:fill="CCEEFF"/>
          </w:tcPr>
          <w:p>
            <w:pPr>
              <w:jc w:val="right"/>
              <w:ind w:right="258"/>
              <w:spacing w:after="0" w:line="90" w:lineRule="exact"/>
              <w:rPr>
                <w:sz w:val="20"/>
                <w:szCs w:val="20"/>
                <w:color w:val="auto"/>
              </w:rPr>
            </w:pPr>
            <w:r>
              <w:rPr>
                <w:rFonts w:ascii="Arial" w:cs="Arial" w:eastAsia="Arial" w:hAnsi="Arial"/>
                <w:sz w:val="8"/>
                <w:szCs w:val="8"/>
                <w:color w:val="auto"/>
              </w:rPr>
              <w:t>4,950</w:t>
            </w:r>
          </w:p>
        </w:tc>
        <w:tc>
          <w:tcPr>
            <w:tcW w:w="0" w:type="dxa"/>
            <w:vAlign w:val="bottom"/>
          </w:tcPr>
          <w:p>
            <w:pPr>
              <w:spacing w:after="0"/>
              <w:rPr>
                <w:sz w:val="1"/>
                <w:szCs w:val="1"/>
                <w:color w:val="auto"/>
              </w:rPr>
            </w:pPr>
          </w:p>
        </w:tc>
      </w:tr>
      <w:tr>
        <w:trPr>
          <w:trHeight w:val="90"/>
        </w:trPr>
        <w:tc>
          <w:tcPr>
            <w:tcW w:w="214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03/30/2014</w:t>
            </w:r>
          </w:p>
        </w:tc>
        <w:tc>
          <w:tcPr>
            <w:tcW w:w="80" w:type="dxa"/>
            <w:vAlign w:val="bottom"/>
            <w:shd w:val="clear" w:color="auto" w:fill="CCEEFF"/>
          </w:tcPr>
          <w:p>
            <w:pPr>
              <w:spacing w:after="0"/>
              <w:rPr>
                <w:sz w:val="7"/>
                <w:szCs w:val="7"/>
                <w:color w:val="auto"/>
              </w:rPr>
            </w:pPr>
          </w:p>
        </w:tc>
        <w:tc>
          <w:tcPr>
            <w:tcW w:w="540" w:type="dxa"/>
            <w:vAlign w:val="bottom"/>
            <w:shd w:val="clear" w:color="auto" w:fill="CCEEFF"/>
          </w:tcPr>
          <w:p>
            <w:pPr>
              <w:jc w:val="right"/>
              <w:ind w:right="218"/>
              <w:spacing w:after="0" w:line="90" w:lineRule="exact"/>
              <w:rPr>
                <w:sz w:val="20"/>
                <w:szCs w:val="20"/>
                <w:color w:val="auto"/>
              </w:rPr>
            </w:pPr>
            <w:r>
              <w:rPr>
                <w:rFonts w:ascii="Arial" w:cs="Arial" w:eastAsia="Arial" w:hAnsi="Arial"/>
                <w:sz w:val="8"/>
                <w:szCs w:val="8"/>
                <w:color w:val="auto"/>
                <w:w w:val="89"/>
              </w:rPr>
              <w:t>25.9500</w:t>
            </w:r>
          </w:p>
        </w:tc>
        <w:tc>
          <w:tcPr>
            <w:tcW w:w="700" w:type="dxa"/>
            <w:vAlign w:val="bottom"/>
            <w:shd w:val="clear" w:color="auto" w:fill="CCEEFF"/>
          </w:tcPr>
          <w:p>
            <w:pPr>
              <w:spacing w:after="0"/>
              <w:rPr>
                <w:sz w:val="7"/>
                <w:szCs w:val="7"/>
                <w:color w:val="auto"/>
              </w:rPr>
            </w:pP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w:t>
            </w:r>
          </w:p>
        </w:tc>
        <w:tc>
          <w:tcPr>
            <w:tcW w:w="1520" w:type="dxa"/>
            <w:vAlign w:val="bottom"/>
            <w:gridSpan w:val="2"/>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rPr>
              <w:t>12,386</w:t>
            </w:r>
          </w:p>
        </w:tc>
        <w:tc>
          <w:tcPr>
            <w:tcW w:w="700" w:type="dxa"/>
            <w:vAlign w:val="bottom"/>
            <w:shd w:val="clear" w:color="auto" w:fill="CCEEFF"/>
          </w:tcPr>
          <w:p>
            <w:pPr>
              <w:spacing w:after="0"/>
              <w:rPr>
                <w:sz w:val="7"/>
                <w:szCs w:val="7"/>
                <w:color w:val="auto"/>
              </w:rPr>
            </w:pPr>
          </w:p>
        </w:tc>
        <w:tc>
          <w:tcPr>
            <w:tcW w:w="1560" w:type="dxa"/>
            <w:vAlign w:val="bottom"/>
            <w:gridSpan w:val="2"/>
            <w:shd w:val="clear" w:color="auto" w:fill="CCEEFF"/>
          </w:tcPr>
          <w:p>
            <w:pPr>
              <w:jc w:val="right"/>
              <w:ind w:right="1000"/>
              <w:spacing w:after="0" w:line="90" w:lineRule="exact"/>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jc w:val="right"/>
              <w:ind w:right="158"/>
              <w:spacing w:after="0" w:line="90" w:lineRule="exact"/>
              <w:rPr>
                <w:sz w:val="20"/>
                <w:szCs w:val="20"/>
                <w:color w:val="auto"/>
              </w:rPr>
            </w:pPr>
            <w:r>
              <w:rPr>
                <w:rFonts w:ascii="Arial" w:cs="Arial" w:eastAsia="Arial" w:hAnsi="Arial"/>
                <w:sz w:val="8"/>
                <w:szCs w:val="8"/>
                <w:color w:val="auto"/>
              </w:rPr>
              <w:t>—</w:t>
            </w:r>
          </w:p>
        </w:tc>
        <w:tc>
          <w:tcPr>
            <w:tcW w:w="700" w:type="dxa"/>
            <w:vAlign w:val="bottom"/>
            <w:shd w:val="clear" w:color="auto" w:fill="CCEEFF"/>
          </w:tcPr>
          <w:p>
            <w:pPr>
              <w:spacing w:after="0"/>
              <w:rPr>
                <w:sz w:val="7"/>
                <w:szCs w:val="7"/>
                <w:color w:val="auto"/>
              </w:rPr>
            </w:pPr>
          </w:p>
        </w:tc>
        <w:tc>
          <w:tcPr>
            <w:tcW w:w="800" w:type="dxa"/>
            <w:vAlign w:val="bottom"/>
            <w:shd w:val="clear" w:color="auto" w:fill="CCEEFF"/>
          </w:tcPr>
          <w:p>
            <w:pPr>
              <w:jc w:val="right"/>
              <w:ind w:right="258"/>
              <w:spacing w:after="0" w:line="90"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90"/>
        </w:trPr>
        <w:tc>
          <w:tcPr>
            <w:tcW w:w="214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09/14/2014</w:t>
            </w:r>
          </w:p>
        </w:tc>
        <w:tc>
          <w:tcPr>
            <w:tcW w:w="80" w:type="dxa"/>
            <w:vAlign w:val="bottom"/>
            <w:shd w:val="clear" w:color="auto" w:fill="CCEEFF"/>
          </w:tcPr>
          <w:p>
            <w:pPr>
              <w:spacing w:after="0"/>
              <w:rPr>
                <w:sz w:val="7"/>
                <w:szCs w:val="7"/>
                <w:color w:val="auto"/>
              </w:rPr>
            </w:pPr>
          </w:p>
        </w:tc>
        <w:tc>
          <w:tcPr>
            <w:tcW w:w="540" w:type="dxa"/>
            <w:vAlign w:val="bottom"/>
            <w:shd w:val="clear" w:color="auto" w:fill="CCEEFF"/>
          </w:tcPr>
          <w:p>
            <w:pPr>
              <w:jc w:val="right"/>
              <w:ind w:right="218"/>
              <w:spacing w:after="0" w:line="90" w:lineRule="exact"/>
              <w:rPr>
                <w:sz w:val="20"/>
                <w:szCs w:val="20"/>
                <w:color w:val="auto"/>
              </w:rPr>
            </w:pPr>
            <w:r>
              <w:rPr>
                <w:rFonts w:ascii="Arial" w:cs="Arial" w:eastAsia="Arial" w:hAnsi="Arial"/>
                <w:sz w:val="8"/>
                <w:szCs w:val="8"/>
                <w:color w:val="auto"/>
                <w:w w:val="89"/>
              </w:rPr>
              <w:t>22.6600</w:t>
            </w:r>
          </w:p>
        </w:tc>
        <w:tc>
          <w:tcPr>
            <w:tcW w:w="700" w:type="dxa"/>
            <w:vAlign w:val="bottom"/>
            <w:shd w:val="clear" w:color="auto" w:fill="CCEEFF"/>
          </w:tcPr>
          <w:p>
            <w:pPr>
              <w:spacing w:after="0"/>
              <w:rPr>
                <w:sz w:val="7"/>
                <w:szCs w:val="7"/>
                <w:color w:val="auto"/>
              </w:rPr>
            </w:pP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31,875</w:t>
            </w:r>
          </w:p>
        </w:tc>
        <w:tc>
          <w:tcPr>
            <w:tcW w:w="680" w:type="dxa"/>
            <w:vAlign w:val="bottom"/>
            <w:shd w:val="clear" w:color="auto" w:fill="CCEEFF"/>
          </w:tcPr>
          <w:p>
            <w:pPr>
              <w:spacing w:after="0"/>
              <w:rPr>
                <w:sz w:val="7"/>
                <w:szCs w:val="7"/>
                <w:color w:val="auto"/>
              </w:rPr>
            </w:pPr>
          </w:p>
        </w:tc>
        <w:tc>
          <w:tcPr>
            <w:tcW w:w="840" w:type="dxa"/>
            <w:vAlign w:val="bottom"/>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rPr>
              <w:t>—</w:t>
            </w:r>
          </w:p>
        </w:tc>
        <w:tc>
          <w:tcPr>
            <w:tcW w:w="1560" w:type="dxa"/>
            <w:vAlign w:val="bottom"/>
            <w:gridSpan w:val="2"/>
            <w:shd w:val="clear" w:color="auto" w:fill="CCEEFF"/>
          </w:tcPr>
          <w:p>
            <w:pPr>
              <w:jc w:val="right"/>
              <w:ind w:right="258"/>
              <w:spacing w:after="0" w:line="90" w:lineRule="exact"/>
              <w:rPr>
                <w:sz w:val="20"/>
                <w:szCs w:val="20"/>
                <w:color w:val="auto"/>
              </w:rPr>
            </w:pPr>
            <w:r>
              <w:rPr>
                <w:rFonts w:ascii="Arial" w:cs="Arial" w:eastAsia="Arial" w:hAnsi="Arial"/>
                <w:sz w:val="8"/>
                <w:szCs w:val="8"/>
                <w:color w:val="auto"/>
              </w:rPr>
              <w:t>17,438</w:t>
            </w:r>
          </w:p>
        </w:tc>
        <w:tc>
          <w:tcPr>
            <w:tcW w:w="700" w:type="dxa"/>
            <w:vAlign w:val="bottom"/>
            <w:shd w:val="clear" w:color="auto" w:fill="CCEEFF"/>
          </w:tcPr>
          <w:p>
            <w:pPr>
              <w:spacing w:after="0"/>
              <w:rPr>
                <w:sz w:val="7"/>
                <w:szCs w:val="7"/>
                <w:color w:val="auto"/>
              </w:rPr>
            </w:pPr>
          </w:p>
        </w:tc>
        <w:tc>
          <w:tcPr>
            <w:tcW w:w="620" w:type="dxa"/>
            <w:vAlign w:val="bottom"/>
            <w:shd w:val="clear" w:color="auto" w:fill="CCEEFF"/>
          </w:tcPr>
          <w:p>
            <w:pPr>
              <w:jc w:val="right"/>
              <w:ind w:right="158"/>
              <w:spacing w:after="0" w:line="90" w:lineRule="exact"/>
              <w:rPr>
                <w:sz w:val="20"/>
                <w:szCs w:val="20"/>
                <w:color w:val="auto"/>
              </w:rPr>
            </w:pPr>
            <w:r>
              <w:rPr>
                <w:rFonts w:ascii="Arial" w:cs="Arial" w:eastAsia="Arial" w:hAnsi="Arial"/>
                <w:sz w:val="8"/>
                <w:szCs w:val="8"/>
                <w:color w:val="auto"/>
              </w:rPr>
              <w:t>15,000</w:t>
            </w:r>
          </w:p>
        </w:tc>
        <w:tc>
          <w:tcPr>
            <w:tcW w:w="1500" w:type="dxa"/>
            <w:vAlign w:val="bottom"/>
            <w:gridSpan w:val="2"/>
            <w:shd w:val="clear" w:color="auto" w:fill="CCEEFF"/>
          </w:tcPr>
          <w:p>
            <w:pPr>
              <w:jc w:val="right"/>
              <w:ind w:right="258"/>
              <w:spacing w:after="0" w:line="90" w:lineRule="exact"/>
              <w:rPr>
                <w:sz w:val="20"/>
                <w:szCs w:val="20"/>
                <w:color w:val="auto"/>
              </w:rPr>
            </w:pPr>
            <w:r>
              <w:rPr>
                <w:rFonts w:ascii="Arial" w:cs="Arial" w:eastAsia="Arial" w:hAnsi="Arial"/>
                <w:sz w:val="8"/>
                <w:szCs w:val="8"/>
                <w:color w:val="auto"/>
              </w:rPr>
              <w:t>3,675</w:t>
            </w:r>
          </w:p>
        </w:tc>
        <w:tc>
          <w:tcPr>
            <w:tcW w:w="0" w:type="dxa"/>
            <w:vAlign w:val="bottom"/>
          </w:tcPr>
          <w:p>
            <w:pPr>
              <w:spacing w:after="0"/>
              <w:rPr>
                <w:sz w:val="1"/>
                <w:szCs w:val="1"/>
                <w:color w:val="auto"/>
              </w:rPr>
            </w:pPr>
          </w:p>
        </w:tc>
      </w:tr>
      <w:tr>
        <w:trPr>
          <w:trHeight w:val="90"/>
        </w:trPr>
        <w:tc>
          <w:tcPr>
            <w:tcW w:w="214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11/11/2014</w:t>
            </w:r>
          </w:p>
        </w:tc>
        <w:tc>
          <w:tcPr>
            <w:tcW w:w="80" w:type="dxa"/>
            <w:vAlign w:val="bottom"/>
            <w:shd w:val="clear" w:color="auto" w:fill="CCEEFF"/>
          </w:tcPr>
          <w:p>
            <w:pPr>
              <w:spacing w:after="0"/>
              <w:rPr>
                <w:sz w:val="7"/>
                <w:szCs w:val="7"/>
                <w:color w:val="auto"/>
              </w:rPr>
            </w:pPr>
          </w:p>
        </w:tc>
        <w:tc>
          <w:tcPr>
            <w:tcW w:w="540" w:type="dxa"/>
            <w:vAlign w:val="bottom"/>
            <w:shd w:val="clear" w:color="auto" w:fill="CCEEFF"/>
          </w:tcPr>
          <w:p>
            <w:pPr>
              <w:jc w:val="right"/>
              <w:ind w:right="218"/>
              <w:spacing w:after="0" w:line="90" w:lineRule="exact"/>
              <w:rPr>
                <w:sz w:val="20"/>
                <w:szCs w:val="20"/>
                <w:color w:val="auto"/>
              </w:rPr>
            </w:pPr>
            <w:r>
              <w:rPr>
                <w:rFonts w:ascii="Arial" w:cs="Arial" w:eastAsia="Arial" w:hAnsi="Arial"/>
                <w:sz w:val="8"/>
                <w:szCs w:val="8"/>
                <w:color w:val="auto"/>
                <w:w w:val="89"/>
              </w:rPr>
              <w:t>17.9533</w:t>
            </w:r>
          </w:p>
        </w:tc>
        <w:tc>
          <w:tcPr>
            <w:tcW w:w="700" w:type="dxa"/>
            <w:vAlign w:val="bottom"/>
            <w:shd w:val="clear" w:color="auto" w:fill="CCEEFF"/>
          </w:tcPr>
          <w:p>
            <w:pPr>
              <w:spacing w:after="0"/>
              <w:rPr>
                <w:sz w:val="7"/>
                <w:szCs w:val="7"/>
                <w:color w:val="auto"/>
              </w:rPr>
            </w:pP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w:t>
            </w:r>
          </w:p>
        </w:tc>
        <w:tc>
          <w:tcPr>
            <w:tcW w:w="680" w:type="dxa"/>
            <w:vAlign w:val="bottom"/>
            <w:shd w:val="clear" w:color="auto" w:fill="CCEEFF"/>
          </w:tcPr>
          <w:p>
            <w:pPr>
              <w:spacing w:after="0"/>
              <w:rPr>
                <w:sz w:val="7"/>
                <w:szCs w:val="7"/>
                <w:color w:val="auto"/>
              </w:rPr>
            </w:pPr>
          </w:p>
        </w:tc>
        <w:tc>
          <w:tcPr>
            <w:tcW w:w="840" w:type="dxa"/>
            <w:vAlign w:val="bottom"/>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rPr>
              <w:t>—</w:t>
            </w:r>
          </w:p>
        </w:tc>
        <w:tc>
          <w:tcPr>
            <w:tcW w:w="700" w:type="dxa"/>
            <w:vAlign w:val="bottom"/>
            <w:shd w:val="clear" w:color="auto" w:fill="CCEEFF"/>
          </w:tcPr>
          <w:p>
            <w:pPr>
              <w:spacing w:after="0"/>
              <w:rPr>
                <w:sz w:val="7"/>
                <w:szCs w:val="7"/>
                <w:color w:val="auto"/>
              </w:rPr>
            </w:pPr>
          </w:p>
        </w:tc>
        <w:tc>
          <w:tcPr>
            <w:tcW w:w="1560" w:type="dxa"/>
            <w:vAlign w:val="bottom"/>
            <w:gridSpan w:val="2"/>
            <w:shd w:val="clear" w:color="auto" w:fill="CCEEFF"/>
          </w:tcPr>
          <w:p>
            <w:pPr>
              <w:jc w:val="right"/>
              <w:ind w:right="1000"/>
              <w:spacing w:after="0" w:line="90" w:lineRule="exact"/>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jc w:val="right"/>
              <w:ind w:right="158"/>
              <w:spacing w:after="0" w:line="90" w:lineRule="exact"/>
              <w:rPr>
                <w:sz w:val="20"/>
                <w:szCs w:val="20"/>
                <w:color w:val="auto"/>
              </w:rPr>
            </w:pPr>
            <w:r>
              <w:rPr>
                <w:rFonts w:ascii="Arial" w:cs="Arial" w:eastAsia="Arial" w:hAnsi="Arial"/>
                <w:sz w:val="8"/>
                <w:szCs w:val="8"/>
                <w:color w:val="auto"/>
              </w:rPr>
              <w:t>16,875</w:t>
            </w:r>
          </w:p>
        </w:tc>
        <w:tc>
          <w:tcPr>
            <w:tcW w:w="700" w:type="dxa"/>
            <w:vAlign w:val="bottom"/>
            <w:shd w:val="clear" w:color="auto" w:fill="CCEEFF"/>
          </w:tcPr>
          <w:p>
            <w:pPr>
              <w:spacing w:after="0"/>
              <w:rPr>
                <w:sz w:val="7"/>
                <w:szCs w:val="7"/>
                <w:color w:val="auto"/>
              </w:rPr>
            </w:pPr>
          </w:p>
        </w:tc>
        <w:tc>
          <w:tcPr>
            <w:tcW w:w="800" w:type="dxa"/>
            <w:vAlign w:val="bottom"/>
            <w:shd w:val="clear" w:color="auto" w:fill="CCEEFF"/>
          </w:tcPr>
          <w:p>
            <w:pPr>
              <w:jc w:val="right"/>
              <w:ind w:right="258"/>
              <w:spacing w:after="0" w:line="90"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99"/>
        </w:trPr>
        <w:tc>
          <w:tcPr>
            <w:tcW w:w="2140" w:type="dxa"/>
            <w:vAlign w:val="bottom"/>
            <w:shd w:val="clear" w:color="auto" w:fill="CCEEFF"/>
          </w:tcPr>
          <w:p>
            <w:pPr>
              <w:spacing w:after="0"/>
              <w:rPr>
                <w:sz w:val="20"/>
                <w:szCs w:val="20"/>
                <w:color w:val="auto"/>
              </w:rPr>
            </w:pPr>
            <w:r>
              <w:rPr>
                <w:rFonts w:ascii="Arial" w:cs="Arial" w:eastAsia="Arial" w:hAnsi="Arial"/>
                <w:sz w:val="8"/>
                <w:szCs w:val="8"/>
                <w:color w:val="auto"/>
              </w:rPr>
              <w:t>12/18/2014</w:t>
            </w: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jc w:val="right"/>
              <w:ind w:right="218"/>
              <w:spacing w:after="0"/>
              <w:rPr>
                <w:sz w:val="20"/>
                <w:szCs w:val="20"/>
                <w:color w:val="auto"/>
              </w:rPr>
            </w:pPr>
            <w:r>
              <w:rPr>
                <w:rFonts w:ascii="Arial" w:cs="Arial" w:eastAsia="Arial" w:hAnsi="Arial"/>
                <w:sz w:val="8"/>
                <w:szCs w:val="8"/>
                <w:color w:val="auto"/>
                <w:w w:val="89"/>
              </w:rPr>
              <w:t>17.2400</w:t>
            </w:r>
          </w:p>
        </w:tc>
        <w:tc>
          <w:tcPr>
            <w:tcW w:w="700" w:type="dxa"/>
            <w:vAlign w:val="bottom"/>
            <w:shd w:val="clear" w:color="auto" w:fill="CCEEFF"/>
          </w:tcPr>
          <w:p>
            <w:pPr>
              <w:spacing w:after="0"/>
              <w:rPr>
                <w:sz w:val="8"/>
                <w:szCs w:val="8"/>
                <w:color w:val="auto"/>
              </w:rPr>
            </w:pPr>
          </w:p>
        </w:tc>
        <w:tc>
          <w:tcPr>
            <w:tcW w:w="640" w:type="dxa"/>
            <w:vAlign w:val="bottom"/>
            <w:shd w:val="clear" w:color="auto" w:fill="CCEEFF"/>
          </w:tcPr>
          <w:p>
            <w:pPr>
              <w:jc w:val="right"/>
              <w:ind w:right="138"/>
              <w:spacing w:after="0"/>
              <w:rPr>
                <w:sz w:val="20"/>
                <w:szCs w:val="20"/>
                <w:color w:val="auto"/>
              </w:rPr>
            </w:pPr>
            <w:r>
              <w:rPr>
                <w:rFonts w:ascii="Arial" w:cs="Arial" w:eastAsia="Arial" w:hAnsi="Arial"/>
                <w:sz w:val="8"/>
                <w:szCs w:val="8"/>
                <w:color w:val="auto"/>
              </w:rPr>
              <w:t>—</w:t>
            </w:r>
          </w:p>
        </w:tc>
        <w:tc>
          <w:tcPr>
            <w:tcW w:w="680" w:type="dxa"/>
            <w:vAlign w:val="bottom"/>
            <w:shd w:val="clear" w:color="auto" w:fill="CCEEFF"/>
          </w:tcPr>
          <w:p>
            <w:pPr>
              <w:spacing w:after="0"/>
              <w:rPr>
                <w:sz w:val="8"/>
                <w:szCs w:val="8"/>
                <w:color w:val="auto"/>
              </w:rPr>
            </w:pPr>
          </w:p>
        </w:tc>
        <w:tc>
          <w:tcPr>
            <w:tcW w:w="840" w:type="dxa"/>
            <w:vAlign w:val="bottom"/>
            <w:shd w:val="clear" w:color="auto" w:fill="CCEEFF"/>
          </w:tcPr>
          <w:p>
            <w:pPr>
              <w:jc w:val="right"/>
              <w:ind w:right="238"/>
              <w:spacing w:after="0"/>
              <w:rPr>
                <w:sz w:val="20"/>
                <w:szCs w:val="20"/>
                <w:color w:val="auto"/>
              </w:rPr>
            </w:pPr>
            <w:r>
              <w:rPr>
                <w:rFonts w:ascii="Arial" w:cs="Arial" w:eastAsia="Arial" w:hAnsi="Arial"/>
                <w:sz w:val="8"/>
                <w:szCs w:val="8"/>
                <w:color w:val="auto"/>
              </w:rPr>
              <w:t>—</w:t>
            </w:r>
          </w:p>
        </w:tc>
        <w:tc>
          <w:tcPr>
            <w:tcW w:w="700" w:type="dxa"/>
            <w:vAlign w:val="bottom"/>
            <w:shd w:val="clear" w:color="auto" w:fill="CCEEFF"/>
          </w:tcPr>
          <w:p>
            <w:pPr>
              <w:spacing w:after="0"/>
              <w:rPr>
                <w:sz w:val="8"/>
                <w:szCs w:val="8"/>
                <w:color w:val="auto"/>
              </w:rPr>
            </w:pPr>
          </w:p>
        </w:tc>
        <w:tc>
          <w:tcPr>
            <w:tcW w:w="1560" w:type="dxa"/>
            <w:vAlign w:val="bottom"/>
            <w:gridSpan w:val="2"/>
            <w:shd w:val="clear" w:color="auto" w:fill="CCEEFF"/>
          </w:tcPr>
          <w:p>
            <w:pPr>
              <w:jc w:val="right"/>
              <w:ind w:right="1000"/>
              <w:spacing w:after="0"/>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jc w:val="right"/>
              <w:ind w:right="158"/>
              <w:spacing w:after="0"/>
              <w:rPr>
                <w:sz w:val="20"/>
                <w:szCs w:val="20"/>
                <w:color w:val="auto"/>
              </w:rPr>
            </w:pPr>
            <w:r>
              <w:rPr>
                <w:rFonts w:ascii="Arial" w:cs="Arial" w:eastAsia="Arial" w:hAnsi="Arial"/>
                <w:sz w:val="8"/>
                <w:szCs w:val="8"/>
                <w:color w:val="auto"/>
              </w:rPr>
              <w:t>—</w:t>
            </w:r>
          </w:p>
        </w:tc>
        <w:tc>
          <w:tcPr>
            <w:tcW w:w="1500" w:type="dxa"/>
            <w:vAlign w:val="bottom"/>
            <w:gridSpan w:val="2"/>
            <w:shd w:val="clear" w:color="auto" w:fill="CCEEFF"/>
          </w:tcPr>
          <w:p>
            <w:pPr>
              <w:jc w:val="right"/>
              <w:ind w:right="258"/>
              <w:spacing w:after="0"/>
              <w:rPr>
                <w:sz w:val="20"/>
                <w:szCs w:val="20"/>
                <w:color w:val="auto"/>
              </w:rPr>
            </w:pPr>
            <w:r>
              <w:rPr>
                <w:rFonts w:ascii="Arial" w:cs="Arial" w:eastAsia="Arial" w:hAnsi="Arial"/>
                <w:sz w:val="8"/>
                <w:szCs w:val="8"/>
                <w:color w:val="auto"/>
              </w:rPr>
              <w:t>19,629</w:t>
            </w:r>
          </w:p>
        </w:tc>
        <w:tc>
          <w:tcPr>
            <w:tcW w:w="0" w:type="dxa"/>
            <w:vAlign w:val="bottom"/>
          </w:tcPr>
          <w:p>
            <w:pPr>
              <w:spacing w:after="0"/>
              <w:rPr>
                <w:sz w:val="1"/>
                <w:szCs w:val="1"/>
                <w:color w:val="auto"/>
              </w:rPr>
            </w:pPr>
          </w:p>
        </w:tc>
      </w:tr>
      <w:tr>
        <w:trPr>
          <w:trHeight w:val="81"/>
        </w:trPr>
        <w:tc>
          <w:tcPr>
            <w:tcW w:w="2140" w:type="dxa"/>
            <w:vAlign w:val="bottom"/>
          </w:tcPr>
          <w:p>
            <w:pPr>
              <w:spacing w:after="0" w:line="81" w:lineRule="exact"/>
              <w:rPr>
                <w:sz w:val="20"/>
                <w:szCs w:val="20"/>
                <w:color w:val="auto"/>
              </w:rPr>
            </w:pPr>
            <w:r>
              <w:rPr>
                <w:rFonts w:ascii="Arial" w:cs="Arial" w:eastAsia="Arial" w:hAnsi="Arial"/>
                <w:sz w:val="8"/>
                <w:szCs w:val="8"/>
                <w:b w:val="1"/>
                <w:bCs w:val="1"/>
                <w:color w:val="auto"/>
              </w:rPr>
              <w:t>2015</w:t>
            </w: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140" w:type="dxa"/>
            <w:vAlign w:val="bottom"/>
          </w:tcPr>
          <w:p>
            <w:pPr>
              <w:spacing w:after="0" w:line="90" w:lineRule="exact"/>
              <w:rPr>
                <w:sz w:val="20"/>
                <w:szCs w:val="20"/>
                <w:color w:val="auto"/>
              </w:rPr>
            </w:pPr>
            <w:r>
              <w:rPr>
                <w:rFonts w:ascii="Arial" w:cs="Arial" w:eastAsia="Arial" w:hAnsi="Arial"/>
                <w:sz w:val="8"/>
                <w:szCs w:val="8"/>
                <w:color w:val="auto"/>
              </w:rPr>
              <w:t>01/20/2015</w:t>
            </w:r>
          </w:p>
        </w:tc>
        <w:tc>
          <w:tcPr>
            <w:tcW w:w="620" w:type="dxa"/>
            <w:vAlign w:val="bottom"/>
            <w:gridSpan w:val="2"/>
          </w:tcPr>
          <w:p>
            <w:pPr>
              <w:jc w:val="right"/>
              <w:ind w:right="218"/>
              <w:spacing w:after="0" w:line="90" w:lineRule="exact"/>
              <w:rPr>
                <w:sz w:val="20"/>
                <w:szCs w:val="20"/>
                <w:color w:val="auto"/>
              </w:rPr>
            </w:pPr>
            <w:r>
              <w:rPr>
                <w:rFonts w:ascii="Arial" w:cs="Arial" w:eastAsia="Arial" w:hAnsi="Arial"/>
                <w:sz w:val="8"/>
                <w:szCs w:val="8"/>
                <w:color w:val="auto"/>
              </w:rPr>
              <w:t>18.5066</w:t>
            </w:r>
          </w:p>
        </w:tc>
        <w:tc>
          <w:tcPr>
            <w:tcW w:w="700" w:type="dxa"/>
            <w:vAlign w:val="bottom"/>
          </w:tcPr>
          <w:p>
            <w:pPr>
              <w:spacing w:after="0"/>
              <w:rPr>
                <w:sz w:val="7"/>
                <w:szCs w:val="7"/>
                <w:color w:val="auto"/>
              </w:rPr>
            </w:pPr>
          </w:p>
        </w:tc>
        <w:tc>
          <w:tcPr>
            <w:tcW w:w="640" w:type="dxa"/>
            <w:vAlign w:val="bottom"/>
          </w:tcPr>
          <w:p>
            <w:pPr>
              <w:jc w:val="right"/>
              <w:ind w:right="138"/>
              <w:spacing w:after="0" w:line="90" w:lineRule="exact"/>
              <w:rPr>
                <w:sz w:val="20"/>
                <w:szCs w:val="20"/>
                <w:color w:val="auto"/>
              </w:rPr>
            </w:pPr>
            <w:r>
              <w:rPr>
                <w:rFonts w:ascii="Arial" w:cs="Arial" w:eastAsia="Arial" w:hAnsi="Arial"/>
                <w:sz w:val="8"/>
                <w:szCs w:val="8"/>
                <w:color w:val="auto"/>
              </w:rPr>
              <w:t>—</w:t>
            </w:r>
          </w:p>
        </w:tc>
        <w:tc>
          <w:tcPr>
            <w:tcW w:w="680" w:type="dxa"/>
            <w:vAlign w:val="bottom"/>
          </w:tcPr>
          <w:p>
            <w:pPr>
              <w:spacing w:after="0"/>
              <w:rPr>
                <w:sz w:val="7"/>
                <w:szCs w:val="7"/>
                <w:color w:val="auto"/>
              </w:rPr>
            </w:pPr>
          </w:p>
        </w:tc>
        <w:tc>
          <w:tcPr>
            <w:tcW w:w="840" w:type="dxa"/>
            <w:vAlign w:val="bottom"/>
          </w:tcPr>
          <w:p>
            <w:pPr>
              <w:jc w:val="right"/>
              <w:ind w:right="238"/>
              <w:spacing w:after="0" w:line="90" w:lineRule="exact"/>
              <w:rPr>
                <w:sz w:val="20"/>
                <w:szCs w:val="20"/>
                <w:color w:val="auto"/>
              </w:rPr>
            </w:pPr>
            <w:r>
              <w:rPr>
                <w:rFonts w:ascii="Arial" w:cs="Arial" w:eastAsia="Arial" w:hAnsi="Arial"/>
                <w:sz w:val="8"/>
                <w:szCs w:val="8"/>
                <w:color w:val="auto"/>
              </w:rPr>
              <w:t>—</w:t>
            </w:r>
          </w:p>
        </w:tc>
        <w:tc>
          <w:tcPr>
            <w:tcW w:w="700" w:type="dxa"/>
            <w:vAlign w:val="bottom"/>
          </w:tcPr>
          <w:p>
            <w:pPr>
              <w:spacing w:after="0"/>
              <w:rPr>
                <w:sz w:val="7"/>
                <w:szCs w:val="7"/>
                <w:color w:val="auto"/>
              </w:rPr>
            </w:pPr>
          </w:p>
        </w:tc>
        <w:tc>
          <w:tcPr>
            <w:tcW w:w="1560" w:type="dxa"/>
            <w:vAlign w:val="bottom"/>
            <w:gridSpan w:val="2"/>
          </w:tcPr>
          <w:p>
            <w:pPr>
              <w:jc w:val="right"/>
              <w:ind w:right="1000"/>
              <w:spacing w:after="0" w:line="90" w:lineRule="exact"/>
              <w:rPr>
                <w:sz w:val="20"/>
                <w:szCs w:val="20"/>
                <w:color w:val="auto"/>
              </w:rPr>
            </w:pPr>
            <w:r>
              <w:rPr>
                <w:rFonts w:ascii="Arial" w:cs="Arial" w:eastAsia="Arial" w:hAnsi="Arial"/>
                <w:sz w:val="8"/>
                <w:szCs w:val="8"/>
                <w:color w:val="auto"/>
              </w:rPr>
              <w:t>—</w:t>
            </w:r>
          </w:p>
        </w:tc>
        <w:tc>
          <w:tcPr>
            <w:tcW w:w="620" w:type="dxa"/>
            <w:vAlign w:val="bottom"/>
          </w:tcPr>
          <w:p>
            <w:pPr>
              <w:jc w:val="right"/>
              <w:ind w:right="158"/>
              <w:spacing w:after="0" w:line="90" w:lineRule="exact"/>
              <w:rPr>
                <w:sz w:val="20"/>
                <w:szCs w:val="20"/>
                <w:color w:val="auto"/>
              </w:rPr>
            </w:pPr>
            <w:r>
              <w:rPr>
                <w:rFonts w:ascii="Arial" w:cs="Arial" w:eastAsia="Arial" w:hAnsi="Arial"/>
                <w:sz w:val="8"/>
                <w:szCs w:val="8"/>
                <w:color w:val="auto"/>
              </w:rPr>
              <w:t>—</w:t>
            </w:r>
          </w:p>
        </w:tc>
        <w:tc>
          <w:tcPr>
            <w:tcW w:w="1500" w:type="dxa"/>
            <w:vAlign w:val="bottom"/>
            <w:gridSpan w:val="2"/>
          </w:tcPr>
          <w:p>
            <w:pPr>
              <w:jc w:val="right"/>
              <w:ind w:right="258"/>
              <w:spacing w:after="0" w:line="90" w:lineRule="exact"/>
              <w:rPr>
                <w:sz w:val="20"/>
                <w:szCs w:val="20"/>
                <w:color w:val="auto"/>
              </w:rPr>
            </w:pPr>
            <w:r>
              <w:rPr>
                <w:rFonts w:ascii="Arial" w:cs="Arial" w:eastAsia="Arial" w:hAnsi="Arial"/>
                <w:sz w:val="8"/>
                <w:szCs w:val="8"/>
                <w:color w:val="auto"/>
              </w:rPr>
              <w:t>3,412</w:t>
            </w:r>
          </w:p>
        </w:tc>
        <w:tc>
          <w:tcPr>
            <w:tcW w:w="0" w:type="dxa"/>
            <w:vAlign w:val="bottom"/>
          </w:tcPr>
          <w:p>
            <w:pPr>
              <w:spacing w:after="0"/>
              <w:rPr>
                <w:sz w:val="1"/>
                <w:szCs w:val="1"/>
                <w:color w:val="auto"/>
              </w:rPr>
            </w:pPr>
          </w:p>
        </w:tc>
      </w:tr>
      <w:tr>
        <w:trPr>
          <w:trHeight w:val="90"/>
        </w:trPr>
        <w:tc>
          <w:tcPr>
            <w:tcW w:w="2140" w:type="dxa"/>
            <w:vAlign w:val="bottom"/>
          </w:tcPr>
          <w:p>
            <w:pPr>
              <w:spacing w:after="0" w:line="90" w:lineRule="exact"/>
              <w:rPr>
                <w:sz w:val="20"/>
                <w:szCs w:val="20"/>
                <w:color w:val="auto"/>
              </w:rPr>
            </w:pPr>
            <w:r>
              <w:rPr>
                <w:rFonts w:ascii="Arial" w:cs="Arial" w:eastAsia="Arial" w:hAnsi="Arial"/>
                <w:sz w:val="8"/>
                <w:szCs w:val="8"/>
                <w:color w:val="auto"/>
              </w:rPr>
              <w:t>03/10/2015</w:t>
            </w:r>
          </w:p>
        </w:tc>
        <w:tc>
          <w:tcPr>
            <w:tcW w:w="620" w:type="dxa"/>
            <w:vAlign w:val="bottom"/>
            <w:gridSpan w:val="2"/>
          </w:tcPr>
          <w:p>
            <w:pPr>
              <w:jc w:val="right"/>
              <w:ind w:right="218"/>
              <w:spacing w:after="0" w:line="90" w:lineRule="exact"/>
              <w:rPr>
                <w:sz w:val="20"/>
                <w:szCs w:val="20"/>
                <w:color w:val="auto"/>
              </w:rPr>
            </w:pPr>
            <w:r>
              <w:rPr>
                <w:rFonts w:ascii="Arial" w:cs="Arial" w:eastAsia="Arial" w:hAnsi="Arial"/>
                <w:sz w:val="8"/>
                <w:szCs w:val="8"/>
                <w:color w:val="auto"/>
              </w:rPr>
              <w:t>17.5000</w:t>
            </w:r>
          </w:p>
        </w:tc>
        <w:tc>
          <w:tcPr>
            <w:tcW w:w="700" w:type="dxa"/>
            <w:vAlign w:val="bottom"/>
          </w:tcPr>
          <w:p>
            <w:pPr>
              <w:spacing w:after="0"/>
              <w:rPr>
                <w:sz w:val="7"/>
                <w:szCs w:val="7"/>
                <w:color w:val="auto"/>
              </w:rPr>
            </w:pPr>
          </w:p>
        </w:tc>
        <w:tc>
          <w:tcPr>
            <w:tcW w:w="640" w:type="dxa"/>
            <w:vAlign w:val="bottom"/>
          </w:tcPr>
          <w:p>
            <w:pPr>
              <w:jc w:val="right"/>
              <w:ind w:right="138"/>
              <w:spacing w:after="0" w:line="90" w:lineRule="exact"/>
              <w:rPr>
                <w:sz w:val="20"/>
                <w:szCs w:val="20"/>
                <w:color w:val="auto"/>
              </w:rPr>
            </w:pPr>
            <w:r>
              <w:rPr>
                <w:rFonts w:ascii="Arial" w:cs="Arial" w:eastAsia="Arial" w:hAnsi="Arial"/>
                <w:sz w:val="8"/>
                <w:szCs w:val="8"/>
                <w:color w:val="auto"/>
              </w:rPr>
              <w:t>37,800</w:t>
            </w:r>
          </w:p>
        </w:tc>
        <w:tc>
          <w:tcPr>
            <w:tcW w:w="680" w:type="dxa"/>
            <w:vAlign w:val="bottom"/>
          </w:tcPr>
          <w:p>
            <w:pPr>
              <w:spacing w:after="0"/>
              <w:rPr>
                <w:sz w:val="7"/>
                <w:szCs w:val="7"/>
                <w:color w:val="auto"/>
              </w:rPr>
            </w:pPr>
          </w:p>
        </w:tc>
        <w:tc>
          <w:tcPr>
            <w:tcW w:w="840" w:type="dxa"/>
            <w:vAlign w:val="bottom"/>
          </w:tcPr>
          <w:p>
            <w:pPr>
              <w:jc w:val="right"/>
              <w:ind w:right="238"/>
              <w:spacing w:after="0" w:line="90" w:lineRule="exact"/>
              <w:rPr>
                <w:sz w:val="20"/>
                <w:szCs w:val="20"/>
                <w:color w:val="auto"/>
              </w:rPr>
            </w:pPr>
            <w:r>
              <w:rPr>
                <w:rFonts w:ascii="Arial" w:cs="Arial" w:eastAsia="Arial" w:hAnsi="Arial"/>
                <w:sz w:val="8"/>
                <w:szCs w:val="8"/>
                <w:color w:val="auto"/>
              </w:rPr>
              <w:t>—</w:t>
            </w:r>
          </w:p>
        </w:tc>
        <w:tc>
          <w:tcPr>
            <w:tcW w:w="1560" w:type="dxa"/>
            <w:vAlign w:val="bottom"/>
            <w:gridSpan w:val="2"/>
          </w:tcPr>
          <w:p>
            <w:pPr>
              <w:jc w:val="right"/>
              <w:ind w:right="258"/>
              <w:spacing w:after="0" w:line="90" w:lineRule="exact"/>
              <w:rPr>
                <w:sz w:val="20"/>
                <w:szCs w:val="20"/>
                <w:color w:val="auto"/>
              </w:rPr>
            </w:pPr>
            <w:r>
              <w:rPr>
                <w:rFonts w:ascii="Arial" w:cs="Arial" w:eastAsia="Arial" w:hAnsi="Arial"/>
                <w:sz w:val="8"/>
                <w:szCs w:val="8"/>
                <w:color w:val="auto"/>
              </w:rPr>
              <w:t>30,240</w:t>
            </w:r>
          </w:p>
        </w:tc>
        <w:tc>
          <w:tcPr>
            <w:tcW w:w="700" w:type="dxa"/>
            <w:vAlign w:val="bottom"/>
          </w:tcPr>
          <w:p>
            <w:pPr>
              <w:spacing w:after="0"/>
              <w:rPr>
                <w:sz w:val="7"/>
                <w:szCs w:val="7"/>
                <w:color w:val="auto"/>
              </w:rPr>
            </w:pPr>
          </w:p>
        </w:tc>
        <w:tc>
          <w:tcPr>
            <w:tcW w:w="620" w:type="dxa"/>
            <w:vAlign w:val="bottom"/>
          </w:tcPr>
          <w:p>
            <w:pPr>
              <w:jc w:val="right"/>
              <w:ind w:right="158"/>
              <w:spacing w:after="0" w:line="90" w:lineRule="exact"/>
              <w:rPr>
                <w:sz w:val="20"/>
                <w:szCs w:val="20"/>
                <w:color w:val="auto"/>
              </w:rPr>
            </w:pPr>
            <w:r>
              <w:rPr>
                <w:rFonts w:ascii="Arial" w:cs="Arial" w:eastAsia="Arial" w:hAnsi="Arial"/>
                <w:sz w:val="8"/>
                <w:szCs w:val="8"/>
                <w:color w:val="auto"/>
              </w:rPr>
              <w:t>17,625</w:t>
            </w:r>
          </w:p>
        </w:tc>
        <w:tc>
          <w:tcPr>
            <w:tcW w:w="1500" w:type="dxa"/>
            <w:vAlign w:val="bottom"/>
            <w:gridSpan w:val="2"/>
          </w:tcPr>
          <w:p>
            <w:pPr>
              <w:jc w:val="right"/>
              <w:ind w:right="258"/>
              <w:spacing w:after="0" w:line="90" w:lineRule="exact"/>
              <w:rPr>
                <w:sz w:val="20"/>
                <w:szCs w:val="20"/>
                <w:color w:val="auto"/>
              </w:rPr>
            </w:pPr>
            <w:r>
              <w:rPr>
                <w:rFonts w:ascii="Arial" w:cs="Arial" w:eastAsia="Arial" w:hAnsi="Arial"/>
                <w:sz w:val="8"/>
                <w:szCs w:val="8"/>
                <w:color w:val="auto"/>
              </w:rPr>
              <w:t>4,650</w:t>
            </w:r>
          </w:p>
        </w:tc>
        <w:tc>
          <w:tcPr>
            <w:tcW w:w="0" w:type="dxa"/>
            <w:vAlign w:val="bottom"/>
          </w:tcPr>
          <w:p>
            <w:pPr>
              <w:spacing w:after="0"/>
              <w:rPr>
                <w:sz w:val="1"/>
                <w:szCs w:val="1"/>
                <w:color w:val="auto"/>
              </w:rPr>
            </w:pPr>
          </w:p>
        </w:tc>
      </w:tr>
      <w:tr>
        <w:trPr>
          <w:trHeight w:val="90"/>
        </w:trPr>
        <w:tc>
          <w:tcPr>
            <w:tcW w:w="2140" w:type="dxa"/>
            <w:vAlign w:val="bottom"/>
          </w:tcPr>
          <w:p>
            <w:pPr>
              <w:spacing w:after="0" w:line="90" w:lineRule="exact"/>
              <w:rPr>
                <w:sz w:val="20"/>
                <w:szCs w:val="20"/>
                <w:color w:val="auto"/>
              </w:rPr>
            </w:pPr>
            <w:r>
              <w:rPr>
                <w:rFonts w:ascii="Arial" w:cs="Arial" w:eastAsia="Arial" w:hAnsi="Arial"/>
                <w:sz w:val="8"/>
                <w:szCs w:val="8"/>
                <w:color w:val="auto"/>
              </w:rPr>
              <w:t>03/16/2015</w:t>
            </w:r>
          </w:p>
        </w:tc>
        <w:tc>
          <w:tcPr>
            <w:tcW w:w="620" w:type="dxa"/>
            <w:vAlign w:val="bottom"/>
            <w:gridSpan w:val="2"/>
          </w:tcPr>
          <w:p>
            <w:pPr>
              <w:jc w:val="right"/>
              <w:ind w:right="218"/>
              <w:spacing w:after="0" w:line="90" w:lineRule="exact"/>
              <w:rPr>
                <w:sz w:val="20"/>
                <w:szCs w:val="20"/>
                <w:color w:val="auto"/>
              </w:rPr>
            </w:pPr>
            <w:r>
              <w:rPr>
                <w:rFonts w:ascii="Arial" w:cs="Arial" w:eastAsia="Arial" w:hAnsi="Arial"/>
                <w:sz w:val="8"/>
                <w:szCs w:val="8"/>
                <w:color w:val="auto"/>
              </w:rPr>
              <w:t>25.4400</w:t>
            </w:r>
          </w:p>
        </w:tc>
        <w:tc>
          <w:tcPr>
            <w:tcW w:w="700" w:type="dxa"/>
            <w:vAlign w:val="bottom"/>
          </w:tcPr>
          <w:p>
            <w:pPr>
              <w:spacing w:after="0"/>
              <w:rPr>
                <w:sz w:val="7"/>
                <w:szCs w:val="7"/>
                <w:color w:val="auto"/>
              </w:rPr>
            </w:pPr>
          </w:p>
        </w:tc>
        <w:tc>
          <w:tcPr>
            <w:tcW w:w="640" w:type="dxa"/>
            <w:vAlign w:val="bottom"/>
          </w:tcPr>
          <w:p>
            <w:pPr>
              <w:jc w:val="right"/>
              <w:ind w:right="138"/>
              <w:spacing w:after="0" w:line="90" w:lineRule="exact"/>
              <w:rPr>
                <w:sz w:val="20"/>
                <w:szCs w:val="20"/>
                <w:color w:val="auto"/>
              </w:rPr>
            </w:pPr>
            <w:r>
              <w:rPr>
                <w:rFonts w:ascii="Arial" w:cs="Arial" w:eastAsia="Arial" w:hAnsi="Arial"/>
                <w:sz w:val="8"/>
                <w:szCs w:val="8"/>
                <w:color w:val="auto"/>
              </w:rPr>
              <w:t>27,400</w:t>
            </w:r>
          </w:p>
        </w:tc>
        <w:tc>
          <w:tcPr>
            <w:tcW w:w="680" w:type="dxa"/>
            <w:vAlign w:val="bottom"/>
          </w:tcPr>
          <w:p>
            <w:pPr>
              <w:spacing w:after="0"/>
              <w:rPr>
                <w:sz w:val="7"/>
                <w:szCs w:val="7"/>
                <w:color w:val="auto"/>
              </w:rPr>
            </w:pPr>
          </w:p>
        </w:tc>
        <w:tc>
          <w:tcPr>
            <w:tcW w:w="840" w:type="dxa"/>
            <w:vAlign w:val="bottom"/>
          </w:tcPr>
          <w:p>
            <w:pPr>
              <w:jc w:val="right"/>
              <w:ind w:right="238"/>
              <w:spacing w:after="0" w:line="90" w:lineRule="exact"/>
              <w:rPr>
                <w:sz w:val="20"/>
                <w:szCs w:val="20"/>
                <w:color w:val="auto"/>
              </w:rPr>
            </w:pPr>
            <w:r>
              <w:rPr>
                <w:rFonts w:ascii="Arial" w:cs="Arial" w:eastAsia="Arial" w:hAnsi="Arial"/>
                <w:sz w:val="8"/>
                <w:szCs w:val="8"/>
                <w:color w:val="auto"/>
              </w:rPr>
              <w:t>—</w:t>
            </w:r>
          </w:p>
        </w:tc>
        <w:tc>
          <w:tcPr>
            <w:tcW w:w="1560" w:type="dxa"/>
            <w:vAlign w:val="bottom"/>
            <w:gridSpan w:val="2"/>
          </w:tcPr>
          <w:p>
            <w:pPr>
              <w:jc w:val="right"/>
              <w:ind w:right="258"/>
              <w:spacing w:after="0" w:line="90" w:lineRule="exact"/>
              <w:rPr>
                <w:sz w:val="20"/>
                <w:szCs w:val="20"/>
                <w:color w:val="auto"/>
              </w:rPr>
            </w:pPr>
            <w:r>
              <w:rPr>
                <w:rFonts w:ascii="Arial" w:cs="Arial" w:eastAsia="Arial" w:hAnsi="Arial"/>
                <w:sz w:val="8"/>
                <w:szCs w:val="8"/>
                <w:color w:val="auto"/>
              </w:rPr>
              <w:t>21,920</w:t>
            </w:r>
          </w:p>
        </w:tc>
        <w:tc>
          <w:tcPr>
            <w:tcW w:w="700" w:type="dxa"/>
            <w:vAlign w:val="bottom"/>
          </w:tcPr>
          <w:p>
            <w:pPr>
              <w:spacing w:after="0"/>
              <w:rPr>
                <w:sz w:val="7"/>
                <w:szCs w:val="7"/>
                <w:color w:val="auto"/>
              </w:rPr>
            </w:pPr>
          </w:p>
        </w:tc>
        <w:tc>
          <w:tcPr>
            <w:tcW w:w="620" w:type="dxa"/>
            <w:vAlign w:val="bottom"/>
          </w:tcPr>
          <w:p>
            <w:pPr>
              <w:jc w:val="right"/>
              <w:ind w:right="158"/>
              <w:spacing w:after="0" w:line="90" w:lineRule="exact"/>
              <w:rPr>
                <w:sz w:val="20"/>
                <w:szCs w:val="20"/>
                <w:color w:val="auto"/>
              </w:rPr>
            </w:pPr>
            <w:r>
              <w:rPr>
                <w:rFonts w:ascii="Arial" w:cs="Arial" w:eastAsia="Arial" w:hAnsi="Arial"/>
                <w:sz w:val="8"/>
                <w:szCs w:val="8"/>
                <w:color w:val="auto"/>
              </w:rPr>
              <w:t>12,760</w:t>
            </w:r>
          </w:p>
        </w:tc>
        <w:tc>
          <w:tcPr>
            <w:tcW w:w="1500" w:type="dxa"/>
            <w:vAlign w:val="bottom"/>
            <w:gridSpan w:val="2"/>
          </w:tcPr>
          <w:p>
            <w:pPr>
              <w:jc w:val="right"/>
              <w:ind w:right="258"/>
              <w:spacing w:after="0" w:line="90" w:lineRule="exact"/>
              <w:rPr>
                <w:sz w:val="20"/>
                <w:szCs w:val="20"/>
                <w:color w:val="auto"/>
              </w:rPr>
            </w:pPr>
            <w:r>
              <w:rPr>
                <w:rFonts w:ascii="Arial" w:cs="Arial" w:eastAsia="Arial" w:hAnsi="Arial"/>
                <w:sz w:val="8"/>
                <w:szCs w:val="8"/>
                <w:color w:val="auto"/>
              </w:rPr>
              <w:t>3,370</w:t>
            </w:r>
          </w:p>
        </w:tc>
        <w:tc>
          <w:tcPr>
            <w:tcW w:w="0" w:type="dxa"/>
            <w:vAlign w:val="bottom"/>
          </w:tcPr>
          <w:p>
            <w:pPr>
              <w:spacing w:after="0"/>
              <w:rPr>
                <w:sz w:val="1"/>
                <w:szCs w:val="1"/>
                <w:color w:val="auto"/>
              </w:rPr>
            </w:pPr>
          </w:p>
        </w:tc>
      </w:tr>
      <w:tr>
        <w:trPr>
          <w:trHeight w:val="90"/>
        </w:trPr>
        <w:tc>
          <w:tcPr>
            <w:tcW w:w="2140" w:type="dxa"/>
            <w:vAlign w:val="bottom"/>
          </w:tcPr>
          <w:p>
            <w:pPr>
              <w:spacing w:after="0" w:line="90" w:lineRule="exact"/>
              <w:rPr>
                <w:sz w:val="20"/>
                <w:szCs w:val="20"/>
                <w:color w:val="auto"/>
              </w:rPr>
            </w:pPr>
            <w:r>
              <w:rPr>
                <w:rFonts w:ascii="Arial" w:cs="Arial" w:eastAsia="Arial" w:hAnsi="Arial"/>
                <w:sz w:val="8"/>
                <w:szCs w:val="8"/>
                <w:color w:val="auto"/>
              </w:rPr>
              <w:t>03/27/2015</w:t>
            </w:r>
          </w:p>
        </w:tc>
        <w:tc>
          <w:tcPr>
            <w:tcW w:w="620" w:type="dxa"/>
            <w:vAlign w:val="bottom"/>
            <w:gridSpan w:val="2"/>
          </w:tcPr>
          <w:p>
            <w:pPr>
              <w:jc w:val="right"/>
              <w:ind w:right="218"/>
              <w:spacing w:after="0" w:line="90" w:lineRule="exact"/>
              <w:rPr>
                <w:sz w:val="20"/>
                <w:szCs w:val="20"/>
                <w:color w:val="auto"/>
              </w:rPr>
            </w:pPr>
            <w:r>
              <w:rPr>
                <w:rFonts w:ascii="Arial" w:cs="Arial" w:eastAsia="Arial" w:hAnsi="Arial"/>
                <w:sz w:val="8"/>
                <w:szCs w:val="8"/>
                <w:color w:val="auto"/>
              </w:rPr>
              <w:t>14.5400</w:t>
            </w:r>
          </w:p>
        </w:tc>
        <w:tc>
          <w:tcPr>
            <w:tcW w:w="700" w:type="dxa"/>
            <w:vAlign w:val="bottom"/>
          </w:tcPr>
          <w:p>
            <w:pPr>
              <w:spacing w:after="0"/>
              <w:rPr>
                <w:sz w:val="7"/>
                <w:szCs w:val="7"/>
                <w:color w:val="auto"/>
              </w:rPr>
            </w:pPr>
          </w:p>
        </w:tc>
        <w:tc>
          <w:tcPr>
            <w:tcW w:w="640" w:type="dxa"/>
            <w:vAlign w:val="bottom"/>
          </w:tcPr>
          <w:p>
            <w:pPr>
              <w:jc w:val="right"/>
              <w:ind w:right="138"/>
              <w:spacing w:after="0" w:line="90" w:lineRule="exact"/>
              <w:rPr>
                <w:sz w:val="20"/>
                <w:szCs w:val="20"/>
                <w:color w:val="auto"/>
              </w:rPr>
            </w:pPr>
            <w:r>
              <w:rPr>
                <w:rFonts w:ascii="Arial" w:cs="Arial" w:eastAsia="Arial" w:hAnsi="Arial"/>
                <w:sz w:val="8"/>
                <w:szCs w:val="8"/>
                <w:color w:val="auto"/>
              </w:rPr>
              <w:t>57,250</w:t>
            </w:r>
          </w:p>
        </w:tc>
        <w:tc>
          <w:tcPr>
            <w:tcW w:w="1520" w:type="dxa"/>
            <w:vAlign w:val="bottom"/>
            <w:gridSpan w:val="2"/>
          </w:tcPr>
          <w:p>
            <w:pPr>
              <w:jc w:val="right"/>
              <w:ind w:right="238"/>
              <w:spacing w:after="0" w:line="90" w:lineRule="exact"/>
              <w:rPr>
                <w:sz w:val="20"/>
                <w:szCs w:val="20"/>
                <w:color w:val="auto"/>
              </w:rPr>
            </w:pPr>
            <w:r>
              <w:rPr>
                <w:rFonts w:ascii="Arial" w:cs="Arial" w:eastAsia="Arial" w:hAnsi="Arial"/>
                <w:sz w:val="8"/>
                <w:szCs w:val="8"/>
                <w:color w:val="auto"/>
              </w:rPr>
              <w:t>34,500</w:t>
            </w:r>
          </w:p>
        </w:tc>
        <w:tc>
          <w:tcPr>
            <w:tcW w:w="1560" w:type="dxa"/>
            <w:vAlign w:val="bottom"/>
            <w:gridSpan w:val="2"/>
          </w:tcPr>
          <w:p>
            <w:pPr>
              <w:jc w:val="right"/>
              <w:ind w:right="258"/>
              <w:spacing w:after="0" w:line="90" w:lineRule="exact"/>
              <w:rPr>
                <w:sz w:val="20"/>
                <w:szCs w:val="20"/>
                <w:color w:val="auto"/>
              </w:rPr>
            </w:pPr>
            <w:r>
              <w:rPr>
                <w:rFonts w:ascii="Arial" w:cs="Arial" w:eastAsia="Arial" w:hAnsi="Arial"/>
                <w:sz w:val="8"/>
                <w:szCs w:val="8"/>
                <w:color w:val="auto"/>
              </w:rPr>
              <w:t>46,000</w:t>
            </w:r>
          </w:p>
        </w:tc>
        <w:tc>
          <w:tcPr>
            <w:tcW w:w="700" w:type="dxa"/>
            <w:vAlign w:val="bottom"/>
          </w:tcPr>
          <w:p>
            <w:pPr>
              <w:spacing w:after="0"/>
              <w:rPr>
                <w:sz w:val="7"/>
                <w:szCs w:val="7"/>
                <w:color w:val="auto"/>
              </w:rPr>
            </w:pPr>
          </w:p>
        </w:tc>
        <w:tc>
          <w:tcPr>
            <w:tcW w:w="620" w:type="dxa"/>
            <w:vAlign w:val="bottom"/>
          </w:tcPr>
          <w:p>
            <w:pPr>
              <w:jc w:val="right"/>
              <w:ind w:right="158"/>
              <w:spacing w:after="0" w:line="90" w:lineRule="exact"/>
              <w:rPr>
                <w:sz w:val="20"/>
                <w:szCs w:val="20"/>
                <w:color w:val="auto"/>
              </w:rPr>
            </w:pPr>
            <w:r>
              <w:rPr>
                <w:rFonts w:ascii="Arial" w:cs="Arial" w:eastAsia="Arial" w:hAnsi="Arial"/>
                <w:sz w:val="8"/>
                <w:szCs w:val="8"/>
                <w:color w:val="auto"/>
              </w:rPr>
              <w:t>27,000</w:t>
            </w:r>
          </w:p>
        </w:tc>
        <w:tc>
          <w:tcPr>
            <w:tcW w:w="1500" w:type="dxa"/>
            <w:vAlign w:val="bottom"/>
            <w:gridSpan w:val="2"/>
          </w:tcPr>
          <w:p>
            <w:pPr>
              <w:jc w:val="right"/>
              <w:ind w:right="258"/>
              <w:spacing w:after="0" w:line="90" w:lineRule="exact"/>
              <w:rPr>
                <w:sz w:val="20"/>
                <w:szCs w:val="20"/>
                <w:color w:val="auto"/>
              </w:rPr>
            </w:pPr>
            <w:r>
              <w:rPr>
                <w:rFonts w:ascii="Arial" w:cs="Arial" w:eastAsia="Arial" w:hAnsi="Arial"/>
                <w:sz w:val="8"/>
                <w:szCs w:val="8"/>
                <w:color w:val="auto"/>
              </w:rPr>
              <w:t>7,050</w:t>
            </w:r>
          </w:p>
        </w:tc>
        <w:tc>
          <w:tcPr>
            <w:tcW w:w="0" w:type="dxa"/>
            <w:vAlign w:val="bottom"/>
          </w:tcPr>
          <w:p>
            <w:pPr>
              <w:spacing w:after="0"/>
              <w:rPr>
                <w:sz w:val="1"/>
                <w:szCs w:val="1"/>
                <w:color w:val="auto"/>
              </w:rPr>
            </w:pPr>
          </w:p>
        </w:tc>
      </w:tr>
      <w:tr>
        <w:trPr>
          <w:trHeight w:val="90"/>
        </w:trPr>
        <w:tc>
          <w:tcPr>
            <w:tcW w:w="2140" w:type="dxa"/>
            <w:vAlign w:val="bottom"/>
          </w:tcPr>
          <w:p>
            <w:pPr>
              <w:spacing w:after="0" w:line="90" w:lineRule="exact"/>
              <w:rPr>
                <w:sz w:val="20"/>
                <w:szCs w:val="20"/>
                <w:color w:val="auto"/>
              </w:rPr>
            </w:pPr>
            <w:r>
              <w:rPr>
                <w:rFonts w:ascii="Arial" w:cs="Arial" w:eastAsia="Arial" w:hAnsi="Arial"/>
                <w:sz w:val="8"/>
                <w:szCs w:val="8"/>
                <w:color w:val="auto"/>
              </w:rPr>
              <w:t>03/28/2015</w:t>
            </w:r>
          </w:p>
        </w:tc>
        <w:tc>
          <w:tcPr>
            <w:tcW w:w="620" w:type="dxa"/>
            <w:vAlign w:val="bottom"/>
            <w:gridSpan w:val="2"/>
          </w:tcPr>
          <w:p>
            <w:pPr>
              <w:jc w:val="right"/>
              <w:ind w:right="218"/>
              <w:spacing w:after="0" w:line="90" w:lineRule="exact"/>
              <w:rPr>
                <w:sz w:val="20"/>
                <w:szCs w:val="20"/>
                <w:color w:val="auto"/>
              </w:rPr>
            </w:pPr>
            <w:r>
              <w:rPr>
                <w:rFonts w:ascii="Arial" w:cs="Arial" w:eastAsia="Arial" w:hAnsi="Arial"/>
                <w:sz w:val="8"/>
                <w:szCs w:val="8"/>
                <w:color w:val="auto"/>
              </w:rPr>
              <w:t>18.9800</w:t>
            </w:r>
          </w:p>
        </w:tc>
        <w:tc>
          <w:tcPr>
            <w:tcW w:w="700" w:type="dxa"/>
            <w:vAlign w:val="bottom"/>
          </w:tcPr>
          <w:p>
            <w:pPr>
              <w:spacing w:after="0"/>
              <w:rPr>
                <w:sz w:val="7"/>
                <w:szCs w:val="7"/>
                <w:color w:val="auto"/>
              </w:rPr>
            </w:pPr>
          </w:p>
        </w:tc>
        <w:tc>
          <w:tcPr>
            <w:tcW w:w="640" w:type="dxa"/>
            <w:vAlign w:val="bottom"/>
          </w:tcPr>
          <w:p>
            <w:pPr>
              <w:jc w:val="right"/>
              <w:ind w:right="138"/>
              <w:spacing w:after="0" w:line="90" w:lineRule="exact"/>
              <w:rPr>
                <w:sz w:val="20"/>
                <w:szCs w:val="20"/>
                <w:color w:val="auto"/>
              </w:rPr>
            </w:pPr>
            <w:r>
              <w:rPr>
                <w:rFonts w:ascii="Arial" w:cs="Arial" w:eastAsia="Arial" w:hAnsi="Arial"/>
                <w:sz w:val="8"/>
                <w:szCs w:val="8"/>
                <w:color w:val="auto"/>
              </w:rPr>
              <w:t>40,150</w:t>
            </w:r>
          </w:p>
        </w:tc>
        <w:tc>
          <w:tcPr>
            <w:tcW w:w="1520" w:type="dxa"/>
            <w:vAlign w:val="bottom"/>
            <w:gridSpan w:val="2"/>
          </w:tcPr>
          <w:p>
            <w:pPr>
              <w:jc w:val="right"/>
              <w:ind w:right="238"/>
              <w:spacing w:after="0" w:line="90" w:lineRule="exact"/>
              <w:rPr>
                <w:sz w:val="20"/>
                <w:szCs w:val="20"/>
                <w:color w:val="auto"/>
              </w:rPr>
            </w:pPr>
            <w:r>
              <w:rPr>
                <w:rFonts w:ascii="Arial" w:cs="Arial" w:eastAsia="Arial" w:hAnsi="Arial"/>
                <w:sz w:val="8"/>
                <w:szCs w:val="8"/>
                <w:color w:val="auto"/>
              </w:rPr>
              <w:t>24,090</w:t>
            </w:r>
          </w:p>
        </w:tc>
        <w:tc>
          <w:tcPr>
            <w:tcW w:w="1560" w:type="dxa"/>
            <w:vAlign w:val="bottom"/>
            <w:gridSpan w:val="2"/>
          </w:tcPr>
          <w:p>
            <w:pPr>
              <w:jc w:val="right"/>
              <w:ind w:right="258"/>
              <w:spacing w:after="0" w:line="90" w:lineRule="exact"/>
              <w:rPr>
                <w:sz w:val="20"/>
                <w:szCs w:val="20"/>
                <w:color w:val="auto"/>
              </w:rPr>
            </w:pPr>
            <w:r>
              <w:rPr>
                <w:rFonts w:ascii="Arial" w:cs="Arial" w:eastAsia="Arial" w:hAnsi="Arial"/>
                <w:sz w:val="8"/>
                <w:szCs w:val="8"/>
                <w:color w:val="auto"/>
              </w:rPr>
              <w:t>32,120</w:t>
            </w:r>
          </w:p>
        </w:tc>
        <w:tc>
          <w:tcPr>
            <w:tcW w:w="700" w:type="dxa"/>
            <w:vAlign w:val="bottom"/>
          </w:tcPr>
          <w:p>
            <w:pPr>
              <w:spacing w:after="0"/>
              <w:rPr>
                <w:sz w:val="7"/>
                <w:szCs w:val="7"/>
                <w:color w:val="auto"/>
              </w:rPr>
            </w:pPr>
          </w:p>
        </w:tc>
        <w:tc>
          <w:tcPr>
            <w:tcW w:w="620" w:type="dxa"/>
            <w:vAlign w:val="bottom"/>
          </w:tcPr>
          <w:p>
            <w:pPr>
              <w:jc w:val="right"/>
              <w:ind w:right="158"/>
              <w:spacing w:after="0" w:line="90" w:lineRule="exact"/>
              <w:rPr>
                <w:sz w:val="20"/>
                <w:szCs w:val="20"/>
                <w:color w:val="auto"/>
              </w:rPr>
            </w:pPr>
            <w:r>
              <w:rPr>
                <w:rFonts w:ascii="Arial" w:cs="Arial" w:eastAsia="Arial" w:hAnsi="Arial"/>
                <w:sz w:val="8"/>
                <w:szCs w:val="8"/>
                <w:color w:val="auto"/>
              </w:rPr>
              <w:t>18,700</w:t>
            </w:r>
          </w:p>
        </w:tc>
        <w:tc>
          <w:tcPr>
            <w:tcW w:w="1500" w:type="dxa"/>
            <w:vAlign w:val="bottom"/>
            <w:gridSpan w:val="2"/>
          </w:tcPr>
          <w:p>
            <w:pPr>
              <w:jc w:val="right"/>
              <w:ind w:right="258"/>
              <w:spacing w:after="0" w:line="90" w:lineRule="exact"/>
              <w:rPr>
                <w:sz w:val="20"/>
                <w:szCs w:val="20"/>
                <w:color w:val="auto"/>
              </w:rPr>
            </w:pPr>
            <w:r>
              <w:rPr>
                <w:rFonts w:ascii="Arial" w:cs="Arial" w:eastAsia="Arial" w:hAnsi="Arial"/>
                <w:sz w:val="8"/>
                <w:szCs w:val="8"/>
                <w:color w:val="auto"/>
              </w:rPr>
              <w:t>4,950</w:t>
            </w:r>
          </w:p>
        </w:tc>
        <w:tc>
          <w:tcPr>
            <w:tcW w:w="0" w:type="dxa"/>
            <w:vAlign w:val="bottom"/>
          </w:tcPr>
          <w:p>
            <w:pPr>
              <w:spacing w:after="0"/>
              <w:rPr>
                <w:sz w:val="1"/>
                <w:szCs w:val="1"/>
                <w:color w:val="auto"/>
              </w:rPr>
            </w:pPr>
          </w:p>
        </w:tc>
      </w:tr>
      <w:tr>
        <w:trPr>
          <w:trHeight w:val="90"/>
        </w:trPr>
        <w:tc>
          <w:tcPr>
            <w:tcW w:w="2140" w:type="dxa"/>
            <w:vAlign w:val="bottom"/>
          </w:tcPr>
          <w:p>
            <w:pPr>
              <w:spacing w:after="0" w:line="90" w:lineRule="exact"/>
              <w:rPr>
                <w:sz w:val="20"/>
                <w:szCs w:val="20"/>
                <w:color w:val="auto"/>
              </w:rPr>
            </w:pPr>
            <w:r>
              <w:rPr>
                <w:rFonts w:ascii="Arial" w:cs="Arial" w:eastAsia="Arial" w:hAnsi="Arial"/>
                <w:sz w:val="8"/>
                <w:szCs w:val="8"/>
                <w:color w:val="auto"/>
              </w:rPr>
              <w:t>03/30/2015</w:t>
            </w:r>
          </w:p>
        </w:tc>
        <w:tc>
          <w:tcPr>
            <w:tcW w:w="620" w:type="dxa"/>
            <w:vAlign w:val="bottom"/>
            <w:gridSpan w:val="2"/>
          </w:tcPr>
          <w:p>
            <w:pPr>
              <w:jc w:val="right"/>
              <w:ind w:right="218"/>
              <w:spacing w:after="0" w:line="90" w:lineRule="exact"/>
              <w:rPr>
                <w:sz w:val="20"/>
                <w:szCs w:val="20"/>
                <w:color w:val="auto"/>
              </w:rPr>
            </w:pPr>
            <w:r>
              <w:rPr>
                <w:rFonts w:ascii="Arial" w:cs="Arial" w:eastAsia="Arial" w:hAnsi="Arial"/>
                <w:sz w:val="8"/>
                <w:szCs w:val="8"/>
                <w:color w:val="auto"/>
              </w:rPr>
              <w:t>25.9500</w:t>
            </w:r>
          </w:p>
        </w:tc>
        <w:tc>
          <w:tcPr>
            <w:tcW w:w="700" w:type="dxa"/>
            <w:vAlign w:val="bottom"/>
          </w:tcPr>
          <w:p>
            <w:pPr>
              <w:spacing w:after="0"/>
              <w:rPr>
                <w:sz w:val="7"/>
                <w:szCs w:val="7"/>
                <w:color w:val="auto"/>
              </w:rPr>
            </w:pPr>
          </w:p>
        </w:tc>
        <w:tc>
          <w:tcPr>
            <w:tcW w:w="640" w:type="dxa"/>
            <w:vAlign w:val="bottom"/>
          </w:tcPr>
          <w:p>
            <w:pPr>
              <w:jc w:val="right"/>
              <w:ind w:right="138"/>
              <w:spacing w:after="0" w:line="90" w:lineRule="exact"/>
              <w:rPr>
                <w:sz w:val="20"/>
                <w:szCs w:val="20"/>
                <w:color w:val="auto"/>
              </w:rPr>
            </w:pPr>
            <w:r>
              <w:rPr>
                <w:rFonts w:ascii="Arial" w:cs="Arial" w:eastAsia="Arial" w:hAnsi="Arial"/>
                <w:sz w:val="8"/>
                <w:szCs w:val="8"/>
                <w:color w:val="auto"/>
              </w:rPr>
              <w:t>—</w:t>
            </w:r>
          </w:p>
        </w:tc>
        <w:tc>
          <w:tcPr>
            <w:tcW w:w="1520" w:type="dxa"/>
            <w:vAlign w:val="bottom"/>
            <w:gridSpan w:val="2"/>
          </w:tcPr>
          <w:p>
            <w:pPr>
              <w:jc w:val="right"/>
              <w:ind w:right="238"/>
              <w:spacing w:after="0" w:line="90" w:lineRule="exact"/>
              <w:rPr>
                <w:sz w:val="20"/>
                <w:szCs w:val="20"/>
                <w:color w:val="auto"/>
              </w:rPr>
            </w:pPr>
            <w:r>
              <w:rPr>
                <w:rFonts w:ascii="Arial" w:cs="Arial" w:eastAsia="Arial" w:hAnsi="Arial"/>
                <w:sz w:val="8"/>
                <w:szCs w:val="8"/>
                <w:color w:val="auto"/>
              </w:rPr>
              <w:t>12,387</w:t>
            </w:r>
          </w:p>
        </w:tc>
        <w:tc>
          <w:tcPr>
            <w:tcW w:w="700" w:type="dxa"/>
            <w:vAlign w:val="bottom"/>
          </w:tcPr>
          <w:p>
            <w:pPr>
              <w:spacing w:after="0"/>
              <w:rPr>
                <w:sz w:val="7"/>
                <w:szCs w:val="7"/>
                <w:color w:val="auto"/>
              </w:rPr>
            </w:pPr>
          </w:p>
        </w:tc>
        <w:tc>
          <w:tcPr>
            <w:tcW w:w="1560" w:type="dxa"/>
            <w:vAlign w:val="bottom"/>
            <w:gridSpan w:val="2"/>
          </w:tcPr>
          <w:p>
            <w:pPr>
              <w:jc w:val="right"/>
              <w:ind w:right="1000"/>
              <w:spacing w:after="0" w:line="90" w:lineRule="exact"/>
              <w:rPr>
                <w:sz w:val="20"/>
                <w:szCs w:val="20"/>
                <w:color w:val="auto"/>
              </w:rPr>
            </w:pPr>
            <w:r>
              <w:rPr>
                <w:rFonts w:ascii="Arial" w:cs="Arial" w:eastAsia="Arial" w:hAnsi="Arial"/>
                <w:sz w:val="8"/>
                <w:szCs w:val="8"/>
                <w:color w:val="auto"/>
              </w:rPr>
              <w:t>—</w:t>
            </w:r>
          </w:p>
        </w:tc>
        <w:tc>
          <w:tcPr>
            <w:tcW w:w="620" w:type="dxa"/>
            <w:vAlign w:val="bottom"/>
          </w:tcPr>
          <w:p>
            <w:pPr>
              <w:jc w:val="right"/>
              <w:ind w:right="158"/>
              <w:spacing w:after="0" w:line="90" w:lineRule="exact"/>
              <w:rPr>
                <w:sz w:val="20"/>
                <w:szCs w:val="20"/>
                <w:color w:val="auto"/>
              </w:rPr>
            </w:pPr>
            <w:r>
              <w:rPr>
                <w:rFonts w:ascii="Arial" w:cs="Arial" w:eastAsia="Arial" w:hAnsi="Arial"/>
                <w:sz w:val="8"/>
                <w:szCs w:val="8"/>
                <w:color w:val="auto"/>
              </w:rPr>
              <w:t>—</w:t>
            </w:r>
          </w:p>
        </w:tc>
        <w:tc>
          <w:tcPr>
            <w:tcW w:w="700" w:type="dxa"/>
            <w:vAlign w:val="bottom"/>
          </w:tcPr>
          <w:p>
            <w:pPr>
              <w:spacing w:after="0"/>
              <w:rPr>
                <w:sz w:val="7"/>
                <w:szCs w:val="7"/>
                <w:color w:val="auto"/>
              </w:rPr>
            </w:pPr>
          </w:p>
        </w:tc>
        <w:tc>
          <w:tcPr>
            <w:tcW w:w="800" w:type="dxa"/>
            <w:vAlign w:val="bottom"/>
          </w:tcPr>
          <w:p>
            <w:pPr>
              <w:jc w:val="right"/>
              <w:ind w:right="258"/>
              <w:spacing w:after="0" w:line="90"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90"/>
        </w:trPr>
        <w:tc>
          <w:tcPr>
            <w:tcW w:w="2140" w:type="dxa"/>
            <w:vAlign w:val="bottom"/>
          </w:tcPr>
          <w:p>
            <w:pPr>
              <w:spacing w:after="0" w:line="90" w:lineRule="exact"/>
              <w:rPr>
                <w:sz w:val="20"/>
                <w:szCs w:val="20"/>
                <w:color w:val="auto"/>
              </w:rPr>
            </w:pPr>
            <w:r>
              <w:rPr>
                <w:rFonts w:ascii="Arial" w:cs="Arial" w:eastAsia="Arial" w:hAnsi="Arial"/>
                <w:sz w:val="8"/>
                <w:szCs w:val="8"/>
                <w:color w:val="auto"/>
              </w:rPr>
              <w:t>05/11/2015</w:t>
            </w:r>
          </w:p>
        </w:tc>
        <w:tc>
          <w:tcPr>
            <w:tcW w:w="620" w:type="dxa"/>
            <w:vAlign w:val="bottom"/>
            <w:gridSpan w:val="2"/>
          </w:tcPr>
          <w:p>
            <w:pPr>
              <w:jc w:val="right"/>
              <w:ind w:right="218"/>
              <w:spacing w:after="0" w:line="90" w:lineRule="exact"/>
              <w:rPr>
                <w:sz w:val="20"/>
                <w:szCs w:val="20"/>
                <w:color w:val="auto"/>
              </w:rPr>
            </w:pPr>
            <w:r>
              <w:rPr>
                <w:rFonts w:ascii="Arial" w:cs="Arial" w:eastAsia="Arial" w:hAnsi="Arial"/>
                <w:sz w:val="8"/>
                <w:szCs w:val="8"/>
                <w:color w:val="auto"/>
              </w:rPr>
              <w:t>17.9533</w:t>
            </w:r>
          </w:p>
        </w:tc>
        <w:tc>
          <w:tcPr>
            <w:tcW w:w="700" w:type="dxa"/>
            <w:vAlign w:val="bottom"/>
          </w:tcPr>
          <w:p>
            <w:pPr>
              <w:spacing w:after="0"/>
              <w:rPr>
                <w:sz w:val="7"/>
                <w:szCs w:val="7"/>
                <w:color w:val="auto"/>
              </w:rPr>
            </w:pPr>
          </w:p>
        </w:tc>
        <w:tc>
          <w:tcPr>
            <w:tcW w:w="640" w:type="dxa"/>
            <w:vAlign w:val="bottom"/>
          </w:tcPr>
          <w:p>
            <w:pPr>
              <w:jc w:val="right"/>
              <w:ind w:right="138"/>
              <w:spacing w:after="0" w:line="90" w:lineRule="exact"/>
              <w:rPr>
                <w:sz w:val="20"/>
                <w:szCs w:val="20"/>
                <w:color w:val="auto"/>
              </w:rPr>
            </w:pPr>
            <w:r>
              <w:rPr>
                <w:rFonts w:ascii="Arial" w:cs="Arial" w:eastAsia="Arial" w:hAnsi="Arial"/>
                <w:sz w:val="8"/>
                <w:szCs w:val="8"/>
                <w:color w:val="auto"/>
              </w:rPr>
              <w:t>—</w:t>
            </w:r>
          </w:p>
        </w:tc>
        <w:tc>
          <w:tcPr>
            <w:tcW w:w="680" w:type="dxa"/>
            <w:vAlign w:val="bottom"/>
          </w:tcPr>
          <w:p>
            <w:pPr>
              <w:spacing w:after="0"/>
              <w:rPr>
                <w:sz w:val="7"/>
                <w:szCs w:val="7"/>
                <w:color w:val="auto"/>
              </w:rPr>
            </w:pPr>
          </w:p>
        </w:tc>
        <w:tc>
          <w:tcPr>
            <w:tcW w:w="840" w:type="dxa"/>
            <w:vAlign w:val="bottom"/>
          </w:tcPr>
          <w:p>
            <w:pPr>
              <w:jc w:val="right"/>
              <w:ind w:right="238"/>
              <w:spacing w:after="0" w:line="90" w:lineRule="exact"/>
              <w:rPr>
                <w:sz w:val="20"/>
                <w:szCs w:val="20"/>
                <w:color w:val="auto"/>
              </w:rPr>
            </w:pPr>
            <w:r>
              <w:rPr>
                <w:rFonts w:ascii="Arial" w:cs="Arial" w:eastAsia="Arial" w:hAnsi="Arial"/>
                <w:sz w:val="8"/>
                <w:szCs w:val="8"/>
                <w:color w:val="auto"/>
              </w:rPr>
              <w:t>—</w:t>
            </w:r>
          </w:p>
        </w:tc>
        <w:tc>
          <w:tcPr>
            <w:tcW w:w="700" w:type="dxa"/>
            <w:vAlign w:val="bottom"/>
          </w:tcPr>
          <w:p>
            <w:pPr>
              <w:spacing w:after="0"/>
              <w:rPr>
                <w:sz w:val="7"/>
                <w:szCs w:val="7"/>
                <w:color w:val="auto"/>
              </w:rPr>
            </w:pPr>
          </w:p>
        </w:tc>
        <w:tc>
          <w:tcPr>
            <w:tcW w:w="1560" w:type="dxa"/>
            <w:vAlign w:val="bottom"/>
            <w:gridSpan w:val="2"/>
          </w:tcPr>
          <w:p>
            <w:pPr>
              <w:jc w:val="right"/>
              <w:ind w:right="1000"/>
              <w:spacing w:after="0" w:line="90" w:lineRule="exact"/>
              <w:rPr>
                <w:sz w:val="20"/>
                <w:szCs w:val="20"/>
                <w:color w:val="auto"/>
              </w:rPr>
            </w:pPr>
            <w:r>
              <w:rPr>
                <w:rFonts w:ascii="Arial" w:cs="Arial" w:eastAsia="Arial" w:hAnsi="Arial"/>
                <w:sz w:val="8"/>
                <w:szCs w:val="8"/>
                <w:color w:val="auto"/>
              </w:rPr>
              <w:t>—</w:t>
            </w:r>
          </w:p>
        </w:tc>
        <w:tc>
          <w:tcPr>
            <w:tcW w:w="620" w:type="dxa"/>
            <w:vAlign w:val="bottom"/>
          </w:tcPr>
          <w:p>
            <w:pPr>
              <w:jc w:val="right"/>
              <w:ind w:right="158"/>
              <w:spacing w:after="0" w:line="90" w:lineRule="exact"/>
              <w:rPr>
                <w:sz w:val="20"/>
                <w:szCs w:val="20"/>
                <w:color w:val="auto"/>
              </w:rPr>
            </w:pPr>
            <w:r>
              <w:rPr>
                <w:rFonts w:ascii="Arial" w:cs="Arial" w:eastAsia="Arial" w:hAnsi="Arial"/>
                <w:sz w:val="8"/>
                <w:szCs w:val="8"/>
                <w:color w:val="auto"/>
              </w:rPr>
              <w:t>16,875</w:t>
            </w:r>
          </w:p>
        </w:tc>
        <w:tc>
          <w:tcPr>
            <w:tcW w:w="700" w:type="dxa"/>
            <w:vAlign w:val="bottom"/>
          </w:tcPr>
          <w:p>
            <w:pPr>
              <w:spacing w:after="0"/>
              <w:rPr>
                <w:sz w:val="7"/>
                <w:szCs w:val="7"/>
                <w:color w:val="auto"/>
              </w:rPr>
            </w:pPr>
          </w:p>
        </w:tc>
        <w:tc>
          <w:tcPr>
            <w:tcW w:w="800" w:type="dxa"/>
            <w:vAlign w:val="bottom"/>
          </w:tcPr>
          <w:p>
            <w:pPr>
              <w:jc w:val="right"/>
              <w:ind w:right="258"/>
              <w:spacing w:after="0" w:line="90"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90"/>
        </w:trPr>
        <w:tc>
          <w:tcPr>
            <w:tcW w:w="2140" w:type="dxa"/>
            <w:vAlign w:val="bottom"/>
          </w:tcPr>
          <w:p>
            <w:pPr>
              <w:spacing w:after="0" w:line="90" w:lineRule="exact"/>
              <w:rPr>
                <w:sz w:val="20"/>
                <w:szCs w:val="20"/>
                <w:color w:val="auto"/>
              </w:rPr>
            </w:pPr>
            <w:r>
              <w:rPr>
                <w:rFonts w:ascii="Arial" w:cs="Arial" w:eastAsia="Arial" w:hAnsi="Arial"/>
                <w:sz w:val="8"/>
                <w:szCs w:val="8"/>
                <w:color w:val="auto"/>
              </w:rPr>
              <w:t>07/20/2015</w:t>
            </w:r>
          </w:p>
        </w:tc>
        <w:tc>
          <w:tcPr>
            <w:tcW w:w="620" w:type="dxa"/>
            <w:vAlign w:val="bottom"/>
            <w:gridSpan w:val="2"/>
          </w:tcPr>
          <w:p>
            <w:pPr>
              <w:jc w:val="right"/>
              <w:ind w:right="218"/>
              <w:spacing w:after="0" w:line="90" w:lineRule="exact"/>
              <w:rPr>
                <w:sz w:val="20"/>
                <w:szCs w:val="20"/>
                <w:color w:val="auto"/>
              </w:rPr>
            </w:pPr>
            <w:r>
              <w:rPr>
                <w:rFonts w:ascii="Arial" w:cs="Arial" w:eastAsia="Arial" w:hAnsi="Arial"/>
                <w:sz w:val="8"/>
                <w:szCs w:val="8"/>
                <w:color w:val="auto"/>
              </w:rPr>
              <w:t>18.5066</w:t>
            </w:r>
          </w:p>
        </w:tc>
        <w:tc>
          <w:tcPr>
            <w:tcW w:w="700" w:type="dxa"/>
            <w:vAlign w:val="bottom"/>
          </w:tcPr>
          <w:p>
            <w:pPr>
              <w:spacing w:after="0"/>
              <w:rPr>
                <w:sz w:val="7"/>
                <w:szCs w:val="7"/>
                <w:color w:val="auto"/>
              </w:rPr>
            </w:pPr>
          </w:p>
        </w:tc>
        <w:tc>
          <w:tcPr>
            <w:tcW w:w="640" w:type="dxa"/>
            <w:vAlign w:val="bottom"/>
          </w:tcPr>
          <w:p>
            <w:pPr>
              <w:jc w:val="right"/>
              <w:ind w:right="138"/>
              <w:spacing w:after="0" w:line="90" w:lineRule="exact"/>
              <w:rPr>
                <w:sz w:val="20"/>
                <w:szCs w:val="20"/>
                <w:color w:val="auto"/>
              </w:rPr>
            </w:pPr>
            <w:r>
              <w:rPr>
                <w:rFonts w:ascii="Arial" w:cs="Arial" w:eastAsia="Arial" w:hAnsi="Arial"/>
                <w:sz w:val="8"/>
                <w:szCs w:val="8"/>
                <w:color w:val="auto"/>
              </w:rPr>
              <w:t>—</w:t>
            </w:r>
          </w:p>
        </w:tc>
        <w:tc>
          <w:tcPr>
            <w:tcW w:w="680" w:type="dxa"/>
            <w:vAlign w:val="bottom"/>
          </w:tcPr>
          <w:p>
            <w:pPr>
              <w:spacing w:after="0"/>
              <w:rPr>
                <w:sz w:val="7"/>
                <w:szCs w:val="7"/>
                <w:color w:val="auto"/>
              </w:rPr>
            </w:pPr>
          </w:p>
        </w:tc>
        <w:tc>
          <w:tcPr>
            <w:tcW w:w="840" w:type="dxa"/>
            <w:vAlign w:val="bottom"/>
          </w:tcPr>
          <w:p>
            <w:pPr>
              <w:jc w:val="right"/>
              <w:ind w:right="238"/>
              <w:spacing w:after="0" w:line="90" w:lineRule="exact"/>
              <w:rPr>
                <w:sz w:val="20"/>
                <w:szCs w:val="20"/>
                <w:color w:val="auto"/>
              </w:rPr>
            </w:pPr>
            <w:r>
              <w:rPr>
                <w:rFonts w:ascii="Arial" w:cs="Arial" w:eastAsia="Arial" w:hAnsi="Arial"/>
                <w:sz w:val="8"/>
                <w:szCs w:val="8"/>
                <w:color w:val="auto"/>
              </w:rPr>
              <w:t>—</w:t>
            </w:r>
          </w:p>
        </w:tc>
        <w:tc>
          <w:tcPr>
            <w:tcW w:w="700" w:type="dxa"/>
            <w:vAlign w:val="bottom"/>
          </w:tcPr>
          <w:p>
            <w:pPr>
              <w:spacing w:after="0"/>
              <w:rPr>
                <w:sz w:val="7"/>
                <w:szCs w:val="7"/>
                <w:color w:val="auto"/>
              </w:rPr>
            </w:pPr>
          </w:p>
        </w:tc>
        <w:tc>
          <w:tcPr>
            <w:tcW w:w="1560" w:type="dxa"/>
            <w:vAlign w:val="bottom"/>
            <w:gridSpan w:val="2"/>
          </w:tcPr>
          <w:p>
            <w:pPr>
              <w:jc w:val="right"/>
              <w:ind w:right="1000"/>
              <w:spacing w:after="0" w:line="90" w:lineRule="exact"/>
              <w:rPr>
                <w:sz w:val="20"/>
                <w:szCs w:val="20"/>
                <w:color w:val="auto"/>
              </w:rPr>
            </w:pPr>
            <w:r>
              <w:rPr>
                <w:rFonts w:ascii="Arial" w:cs="Arial" w:eastAsia="Arial" w:hAnsi="Arial"/>
                <w:sz w:val="8"/>
                <w:szCs w:val="8"/>
                <w:color w:val="auto"/>
              </w:rPr>
              <w:t>—</w:t>
            </w:r>
          </w:p>
        </w:tc>
        <w:tc>
          <w:tcPr>
            <w:tcW w:w="620" w:type="dxa"/>
            <w:vAlign w:val="bottom"/>
          </w:tcPr>
          <w:p>
            <w:pPr>
              <w:jc w:val="right"/>
              <w:ind w:right="158"/>
              <w:spacing w:after="0" w:line="90" w:lineRule="exact"/>
              <w:rPr>
                <w:sz w:val="20"/>
                <w:szCs w:val="20"/>
                <w:color w:val="auto"/>
              </w:rPr>
            </w:pPr>
            <w:r>
              <w:rPr>
                <w:rFonts w:ascii="Arial" w:cs="Arial" w:eastAsia="Arial" w:hAnsi="Arial"/>
                <w:sz w:val="8"/>
                <w:szCs w:val="8"/>
                <w:color w:val="auto"/>
              </w:rPr>
              <w:t>—</w:t>
            </w:r>
          </w:p>
        </w:tc>
        <w:tc>
          <w:tcPr>
            <w:tcW w:w="1500" w:type="dxa"/>
            <w:vAlign w:val="bottom"/>
            <w:gridSpan w:val="2"/>
          </w:tcPr>
          <w:p>
            <w:pPr>
              <w:jc w:val="right"/>
              <w:ind w:right="258"/>
              <w:spacing w:after="0" w:line="90" w:lineRule="exact"/>
              <w:rPr>
                <w:sz w:val="20"/>
                <w:szCs w:val="20"/>
                <w:color w:val="auto"/>
              </w:rPr>
            </w:pPr>
            <w:r>
              <w:rPr>
                <w:rFonts w:ascii="Arial" w:cs="Arial" w:eastAsia="Arial" w:hAnsi="Arial"/>
                <w:sz w:val="8"/>
                <w:szCs w:val="8"/>
                <w:color w:val="auto"/>
              </w:rPr>
              <w:t>3,413</w:t>
            </w:r>
          </w:p>
        </w:tc>
        <w:tc>
          <w:tcPr>
            <w:tcW w:w="0" w:type="dxa"/>
            <w:vAlign w:val="bottom"/>
          </w:tcPr>
          <w:p>
            <w:pPr>
              <w:spacing w:after="0"/>
              <w:rPr>
                <w:sz w:val="1"/>
                <w:szCs w:val="1"/>
                <w:color w:val="auto"/>
              </w:rPr>
            </w:pPr>
          </w:p>
        </w:tc>
      </w:tr>
      <w:tr>
        <w:trPr>
          <w:trHeight w:val="90"/>
        </w:trPr>
        <w:tc>
          <w:tcPr>
            <w:tcW w:w="2140" w:type="dxa"/>
            <w:vAlign w:val="bottom"/>
          </w:tcPr>
          <w:p>
            <w:pPr>
              <w:spacing w:after="0" w:line="90" w:lineRule="exact"/>
              <w:rPr>
                <w:sz w:val="20"/>
                <w:szCs w:val="20"/>
                <w:color w:val="auto"/>
              </w:rPr>
            </w:pPr>
            <w:r>
              <w:rPr>
                <w:rFonts w:ascii="Arial" w:cs="Arial" w:eastAsia="Arial" w:hAnsi="Arial"/>
                <w:sz w:val="8"/>
                <w:szCs w:val="8"/>
                <w:color w:val="auto"/>
              </w:rPr>
              <w:t>09/10/2015</w:t>
            </w:r>
          </w:p>
        </w:tc>
        <w:tc>
          <w:tcPr>
            <w:tcW w:w="620" w:type="dxa"/>
            <w:vAlign w:val="bottom"/>
            <w:gridSpan w:val="2"/>
          </w:tcPr>
          <w:p>
            <w:pPr>
              <w:jc w:val="right"/>
              <w:ind w:right="218"/>
              <w:spacing w:after="0" w:line="90" w:lineRule="exact"/>
              <w:rPr>
                <w:sz w:val="20"/>
                <w:szCs w:val="20"/>
                <w:color w:val="auto"/>
              </w:rPr>
            </w:pPr>
            <w:r>
              <w:rPr>
                <w:rFonts w:ascii="Arial" w:cs="Arial" w:eastAsia="Arial" w:hAnsi="Arial"/>
                <w:sz w:val="8"/>
                <w:szCs w:val="8"/>
                <w:color w:val="auto"/>
              </w:rPr>
              <w:t>17.5000</w:t>
            </w:r>
          </w:p>
        </w:tc>
        <w:tc>
          <w:tcPr>
            <w:tcW w:w="700" w:type="dxa"/>
            <w:vAlign w:val="bottom"/>
          </w:tcPr>
          <w:p>
            <w:pPr>
              <w:spacing w:after="0"/>
              <w:rPr>
                <w:sz w:val="7"/>
                <w:szCs w:val="7"/>
                <w:color w:val="auto"/>
              </w:rPr>
            </w:pPr>
          </w:p>
        </w:tc>
        <w:tc>
          <w:tcPr>
            <w:tcW w:w="640" w:type="dxa"/>
            <w:vAlign w:val="bottom"/>
          </w:tcPr>
          <w:p>
            <w:pPr>
              <w:jc w:val="right"/>
              <w:ind w:right="138"/>
              <w:spacing w:after="0" w:line="90" w:lineRule="exact"/>
              <w:rPr>
                <w:sz w:val="20"/>
                <w:szCs w:val="20"/>
                <w:color w:val="auto"/>
              </w:rPr>
            </w:pPr>
            <w:r>
              <w:rPr>
                <w:rFonts w:ascii="Arial" w:cs="Arial" w:eastAsia="Arial" w:hAnsi="Arial"/>
                <w:sz w:val="8"/>
                <w:szCs w:val="8"/>
                <w:color w:val="auto"/>
              </w:rPr>
              <w:t>37,800</w:t>
            </w:r>
          </w:p>
        </w:tc>
        <w:tc>
          <w:tcPr>
            <w:tcW w:w="680" w:type="dxa"/>
            <w:vAlign w:val="bottom"/>
          </w:tcPr>
          <w:p>
            <w:pPr>
              <w:spacing w:after="0"/>
              <w:rPr>
                <w:sz w:val="7"/>
                <w:szCs w:val="7"/>
                <w:color w:val="auto"/>
              </w:rPr>
            </w:pPr>
          </w:p>
        </w:tc>
        <w:tc>
          <w:tcPr>
            <w:tcW w:w="840" w:type="dxa"/>
            <w:vAlign w:val="bottom"/>
          </w:tcPr>
          <w:p>
            <w:pPr>
              <w:jc w:val="right"/>
              <w:ind w:right="238"/>
              <w:spacing w:after="0" w:line="90" w:lineRule="exact"/>
              <w:rPr>
                <w:sz w:val="20"/>
                <w:szCs w:val="20"/>
                <w:color w:val="auto"/>
              </w:rPr>
            </w:pPr>
            <w:r>
              <w:rPr>
                <w:rFonts w:ascii="Arial" w:cs="Arial" w:eastAsia="Arial" w:hAnsi="Arial"/>
                <w:sz w:val="8"/>
                <w:szCs w:val="8"/>
                <w:color w:val="auto"/>
              </w:rPr>
              <w:t>—</w:t>
            </w:r>
          </w:p>
        </w:tc>
        <w:tc>
          <w:tcPr>
            <w:tcW w:w="1560" w:type="dxa"/>
            <w:vAlign w:val="bottom"/>
            <w:gridSpan w:val="2"/>
          </w:tcPr>
          <w:p>
            <w:pPr>
              <w:jc w:val="right"/>
              <w:ind w:right="258"/>
              <w:spacing w:after="0" w:line="90" w:lineRule="exact"/>
              <w:rPr>
                <w:sz w:val="20"/>
                <w:szCs w:val="20"/>
                <w:color w:val="auto"/>
              </w:rPr>
            </w:pPr>
            <w:r>
              <w:rPr>
                <w:rFonts w:ascii="Arial" w:cs="Arial" w:eastAsia="Arial" w:hAnsi="Arial"/>
                <w:sz w:val="8"/>
                <w:szCs w:val="8"/>
                <w:color w:val="auto"/>
              </w:rPr>
              <w:t>30,240</w:t>
            </w:r>
          </w:p>
        </w:tc>
        <w:tc>
          <w:tcPr>
            <w:tcW w:w="700" w:type="dxa"/>
            <w:vAlign w:val="bottom"/>
          </w:tcPr>
          <w:p>
            <w:pPr>
              <w:spacing w:after="0"/>
              <w:rPr>
                <w:sz w:val="7"/>
                <w:szCs w:val="7"/>
                <w:color w:val="auto"/>
              </w:rPr>
            </w:pPr>
          </w:p>
        </w:tc>
        <w:tc>
          <w:tcPr>
            <w:tcW w:w="620" w:type="dxa"/>
            <w:vAlign w:val="bottom"/>
          </w:tcPr>
          <w:p>
            <w:pPr>
              <w:jc w:val="right"/>
              <w:ind w:right="158"/>
              <w:spacing w:after="0" w:line="90" w:lineRule="exact"/>
              <w:rPr>
                <w:sz w:val="20"/>
                <w:szCs w:val="20"/>
                <w:color w:val="auto"/>
              </w:rPr>
            </w:pPr>
            <w:r>
              <w:rPr>
                <w:rFonts w:ascii="Arial" w:cs="Arial" w:eastAsia="Arial" w:hAnsi="Arial"/>
                <w:sz w:val="8"/>
                <w:szCs w:val="8"/>
                <w:color w:val="auto"/>
              </w:rPr>
              <w:t>17,625</w:t>
            </w:r>
          </w:p>
        </w:tc>
        <w:tc>
          <w:tcPr>
            <w:tcW w:w="1500" w:type="dxa"/>
            <w:vAlign w:val="bottom"/>
            <w:gridSpan w:val="2"/>
          </w:tcPr>
          <w:p>
            <w:pPr>
              <w:jc w:val="right"/>
              <w:ind w:right="258"/>
              <w:spacing w:after="0" w:line="90" w:lineRule="exact"/>
              <w:rPr>
                <w:sz w:val="20"/>
                <w:szCs w:val="20"/>
                <w:color w:val="auto"/>
              </w:rPr>
            </w:pPr>
            <w:r>
              <w:rPr>
                <w:rFonts w:ascii="Arial" w:cs="Arial" w:eastAsia="Arial" w:hAnsi="Arial"/>
                <w:sz w:val="8"/>
                <w:szCs w:val="8"/>
                <w:color w:val="auto"/>
              </w:rPr>
              <w:t>4,650</w:t>
            </w:r>
          </w:p>
        </w:tc>
        <w:tc>
          <w:tcPr>
            <w:tcW w:w="0" w:type="dxa"/>
            <w:vAlign w:val="bottom"/>
          </w:tcPr>
          <w:p>
            <w:pPr>
              <w:spacing w:after="0"/>
              <w:rPr>
                <w:sz w:val="1"/>
                <w:szCs w:val="1"/>
                <w:color w:val="auto"/>
              </w:rPr>
            </w:pPr>
          </w:p>
        </w:tc>
      </w:tr>
      <w:tr>
        <w:trPr>
          <w:trHeight w:val="99"/>
        </w:trPr>
        <w:tc>
          <w:tcPr>
            <w:tcW w:w="2140" w:type="dxa"/>
            <w:vAlign w:val="bottom"/>
          </w:tcPr>
          <w:p>
            <w:pPr>
              <w:spacing w:after="0"/>
              <w:rPr>
                <w:sz w:val="20"/>
                <w:szCs w:val="20"/>
                <w:color w:val="auto"/>
              </w:rPr>
            </w:pPr>
            <w:r>
              <w:rPr>
                <w:rFonts w:ascii="Arial" w:cs="Arial" w:eastAsia="Arial" w:hAnsi="Arial"/>
                <w:sz w:val="8"/>
                <w:szCs w:val="8"/>
                <w:color w:val="auto"/>
              </w:rPr>
              <w:t>12/18/2015</w:t>
            </w:r>
          </w:p>
        </w:tc>
        <w:tc>
          <w:tcPr>
            <w:tcW w:w="620" w:type="dxa"/>
            <w:vAlign w:val="bottom"/>
            <w:gridSpan w:val="2"/>
          </w:tcPr>
          <w:p>
            <w:pPr>
              <w:jc w:val="right"/>
              <w:ind w:right="218"/>
              <w:spacing w:after="0"/>
              <w:rPr>
                <w:sz w:val="20"/>
                <w:szCs w:val="20"/>
                <w:color w:val="auto"/>
              </w:rPr>
            </w:pPr>
            <w:r>
              <w:rPr>
                <w:rFonts w:ascii="Arial" w:cs="Arial" w:eastAsia="Arial" w:hAnsi="Arial"/>
                <w:sz w:val="8"/>
                <w:szCs w:val="8"/>
                <w:color w:val="auto"/>
              </w:rPr>
              <w:t>17.2400</w:t>
            </w:r>
          </w:p>
        </w:tc>
        <w:tc>
          <w:tcPr>
            <w:tcW w:w="700" w:type="dxa"/>
            <w:vAlign w:val="bottom"/>
          </w:tcPr>
          <w:p>
            <w:pPr>
              <w:spacing w:after="0"/>
              <w:rPr>
                <w:sz w:val="8"/>
                <w:szCs w:val="8"/>
                <w:color w:val="auto"/>
              </w:rPr>
            </w:pPr>
          </w:p>
        </w:tc>
        <w:tc>
          <w:tcPr>
            <w:tcW w:w="640" w:type="dxa"/>
            <w:vAlign w:val="bottom"/>
          </w:tcPr>
          <w:p>
            <w:pPr>
              <w:jc w:val="right"/>
              <w:ind w:right="138"/>
              <w:spacing w:after="0"/>
              <w:rPr>
                <w:sz w:val="20"/>
                <w:szCs w:val="20"/>
                <w:color w:val="auto"/>
              </w:rPr>
            </w:pPr>
            <w:r>
              <w:rPr>
                <w:rFonts w:ascii="Arial" w:cs="Arial" w:eastAsia="Arial" w:hAnsi="Arial"/>
                <w:sz w:val="8"/>
                <w:szCs w:val="8"/>
                <w:color w:val="auto"/>
              </w:rPr>
              <w:t>—</w:t>
            </w:r>
          </w:p>
        </w:tc>
        <w:tc>
          <w:tcPr>
            <w:tcW w:w="680" w:type="dxa"/>
            <w:vAlign w:val="bottom"/>
          </w:tcPr>
          <w:p>
            <w:pPr>
              <w:spacing w:after="0"/>
              <w:rPr>
                <w:sz w:val="8"/>
                <w:szCs w:val="8"/>
                <w:color w:val="auto"/>
              </w:rPr>
            </w:pPr>
          </w:p>
        </w:tc>
        <w:tc>
          <w:tcPr>
            <w:tcW w:w="840" w:type="dxa"/>
            <w:vAlign w:val="bottom"/>
          </w:tcPr>
          <w:p>
            <w:pPr>
              <w:jc w:val="right"/>
              <w:ind w:right="238"/>
              <w:spacing w:after="0"/>
              <w:rPr>
                <w:sz w:val="20"/>
                <w:szCs w:val="20"/>
                <w:color w:val="auto"/>
              </w:rPr>
            </w:pPr>
            <w:r>
              <w:rPr>
                <w:rFonts w:ascii="Arial" w:cs="Arial" w:eastAsia="Arial" w:hAnsi="Arial"/>
                <w:sz w:val="8"/>
                <w:szCs w:val="8"/>
                <w:color w:val="auto"/>
              </w:rPr>
              <w:t>—</w:t>
            </w:r>
          </w:p>
        </w:tc>
        <w:tc>
          <w:tcPr>
            <w:tcW w:w="700" w:type="dxa"/>
            <w:vAlign w:val="bottom"/>
          </w:tcPr>
          <w:p>
            <w:pPr>
              <w:spacing w:after="0"/>
              <w:rPr>
                <w:sz w:val="8"/>
                <w:szCs w:val="8"/>
                <w:color w:val="auto"/>
              </w:rPr>
            </w:pPr>
          </w:p>
        </w:tc>
        <w:tc>
          <w:tcPr>
            <w:tcW w:w="1560" w:type="dxa"/>
            <w:vAlign w:val="bottom"/>
            <w:gridSpan w:val="2"/>
          </w:tcPr>
          <w:p>
            <w:pPr>
              <w:jc w:val="right"/>
              <w:ind w:right="1000"/>
              <w:spacing w:after="0"/>
              <w:rPr>
                <w:sz w:val="20"/>
                <w:szCs w:val="20"/>
                <w:color w:val="auto"/>
              </w:rPr>
            </w:pPr>
            <w:r>
              <w:rPr>
                <w:rFonts w:ascii="Arial" w:cs="Arial" w:eastAsia="Arial" w:hAnsi="Arial"/>
                <w:sz w:val="8"/>
                <w:szCs w:val="8"/>
                <w:color w:val="auto"/>
              </w:rPr>
              <w:t>—</w:t>
            </w:r>
          </w:p>
        </w:tc>
        <w:tc>
          <w:tcPr>
            <w:tcW w:w="620" w:type="dxa"/>
            <w:vAlign w:val="bottom"/>
          </w:tcPr>
          <w:p>
            <w:pPr>
              <w:jc w:val="right"/>
              <w:ind w:right="158"/>
              <w:spacing w:after="0"/>
              <w:rPr>
                <w:sz w:val="20"/>
                <w:szCs w:val="20"/>
                <w:color w:val="auto"/>
              </w:rPr>
            </w:pPr>
            <w:r>
              <w:rPr>
                <w:rFonts w:ascii="Arial" w:cs="Arial" w:eastAsia="Arial" w:hAnsi="Arial"/>
                <w:sz w:val="8"/>
                <w:szCs w:val="8"/>
                <w:color w:val="auto"/>
              </w:rPr>
              <w:t>—</w:t>
            </w:r>
          </w:p>
        </w:tc>
        <w:tc>
          <w:tcPr>
            <w:tcW w:w="1500" w:type="dxa"/>
            <w:vAlign w:val="bottom"/>
            <w:gridSpan w:val="2"/>
          </w:tcPr>
          <w:p>
            <w:pPr>
              <w:jc w:val="right"/>
              <w:ind w:right="258"/>
              <w:spacing w:after="0"/>
              <w:rPr>
                <w:sz w:val="20"/>
                <w:szCs w:val="20"/>
                <w:color w:val="auto"/>
              </w:rPr>
            </w:pPr>
            <w:r>
              <w:rPr>
                <w:rFonts w:ascii="Arial" w:cs="Arial" w:eastAsia="Arial" w:hAnsi="Arial"/>
                <w:sz w:val="8"/>
                <w:szCs w:val="8"/>
                <w:color w:val="auto"/>
              </w:rPr>
              <w:t>6,543</w:t>
            </w:r>
          </w:p>
        </w:tc>
        <w:tc>
          <w:tcPr>
            <w:tcW w:w="0" w:type="dxa"/>
            <w:vAlign w:val="bottom"/>
          </w:tcPr>
          <w:p>
            <w:pPr>
              <w:spacing w:after="0"/>
              <w:rPr>
                <w:sz w:val="1"/>
                <w:szCs w:val="1"/>
                <w:color w:val="auto"/>
              </w:rPr>
            </w:pPr>
          </w:p>
        </w:tc>
      </w:tr>
      <w:tr>
        <w:trPr>
          <w:trHeight w:val="81"/>
        </w:trPr>
        <w:tc>
          <w:tcPr>
            <w:tcW w:w="2140" w:type="dxa"/>
            <w:vAlign w:val="bottom"/>
            <w:shd w:val="clear" w:color="auto" w:fill="CCEEFF"/>
          </w:tcPr>
          <w:p>
            <w:pPr>
              <w:spacing w:after="0" w:line="81" w:lineRule="exact"/>
              <w:rPr>
                <w:sz w:val="20"/>
                <w:szCs w:val="20"/>
                <w:color w:val="auto"/>
              </w:rPr>
            </w:pPr>
            <w:r>
              <w:rPr>
                <w:rFonts w:ascii="Arial" w:cs="Arial" w:eastAsia="Arial" w:hAnsi="Arial"/>
                <w:sz w:val="8"/>
                <w:szCs w:val="8"/>
                <w:b w:val="1"/>
                <w:bCs w:val="1"/>
                <w:color w:val="auto"/>
              </w:rPr>
              <w:t>2016</w:t>
            </w:r>
          </w:p>
        </w:tc>
        <w:tc>
          <w:tcPr>
            <w:tcW w:w="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14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03/16/2016</w:t>
            </w:r>
          </w:p>
        </w:tc>
        <w:tc>
          <w:tcPr>
            <w:tcW w:w="80" w:type="dxa"/>
            <w:vAlign w:val="bottom"/>
            <w:shd w:val="clear" w:color="auto" w:fill="CCEEFF"/>
          </w:tcPr>
          <w:p>
            <w:pPr>
              <w:spacing w:after="0"/>
              <w:rPr>
                <w:sz w:val="7"/>
                <w:szCs w:val="7"/>
                <w:color w:val="auto"/>
              </w:rPr>
            </w:pPr>
          </w:p>
        </w:tc>
        <w:tc>
          <w:tcPr>
            <w:tcW w:w="540" w:type="dxa"/>
            <w:vAlign w:val="bottom"/>
            <w:shd w:val="clear" w:color="auto" w:fill="CCEEFF"/>
          </w:tcPr>
          <w:p>
            <w:pPr>
              <w:jc w:val="right"/>
              <w:ind w:right="218"/>
              <w:spacing w:after="0" w:line="90" w:lineRule="exact"/>
              <w:rPr>
                <w:sz w:val="20"/>
                <w:szCs w:val="20"/>
                <w:color w:val="auto"/>
              </w:rPr>
            </w:pPr>
            <w:r>
              <w:rPr>
                <w:rFonts w:ascii="Arial" w:cs="Arial" w:eastAsia="Arial" w:hAnsi="Arial"/>
                <w:sz w:val="8"/>
                <w:szCs w:val="8"/>
                <w:color w:val="auto"/>
                <w:w w:val="89"/>
              </w:rPr>
              <w:t>25.4400</w:t>
            </w:r>
          </w:p>
        </w:tc>
        <w:tc>
          <w:tcPr>
            <w:tcW w:w="700" w:type="dxa"/>
            <w:vAlign w:val="bottom"/>
            <w:shd w:val="clear" w:color="auto" w:fill="CCEEFF"/>
          </w:tcPr>
          <w:p>
            <w:pPr>
              <w:spacing w:after="0"/>
              <w:rPr>
                <w:sz w:val="7"/>
                <w:szCs w:val="7"/>
                <w:color w:val="auto"/>
              </w:rPr>
            </w:pP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27,400</w:t>
            </w:r>
          </w:p>
        </w:tc>
        <w:tc>
          <w:tcPr>
            <w:tcW w:w="680" w:type="dxa"/>
            <w:vAlign w:val="bottom"/>
            <w:shd w:val="clear" w:color="auto" w:fill="CCEEFF"/>
          </w:tcPr>
          <w:p>
            <w:pPr>
              <w:spacing w:after="0"/>
              <w:rPr>
                <w:sz w:val="7"/>
                <w:szCs w:val="7"/>
                <w:color w:val="auto"/>
              </w:rPr>
            </w:pPr>
          </w:p>
        </w:tc>
        <w:tc>
          <w:tcPr>
            <w:tcW w:w="840" w:type="dxa"/>
            <w:vAlign w:val="bottom"/>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rPr>
              <w:t>—</w:t>
            </w:r>
          </w:p>
        </w:tc>
        <w:tc>
          <w:tcPr>
            <w:tcW w:w="1560" w:type="dxa"/>
            <w:vAlign w:val="bottom"/>
            <w:gridSpan w:val="2"/>
            <w:shd w:val="clear" w:color="auto" w:fill="CCEEFF"/>
          </w:tcPr>
          <w:p>
            <w:pPr>
              <w:jc w:val="right"/>
              <w:ind w:right="258"/>
              <w:spacing w:after="0" w:line="90" w:lineRule="exact"/>
              <w:rPr>
                <w:sz w:val="20"/>
                <w:szCs w:val="20"/>
                <w:color w:val="auto"/>
              </w:rPr>
            </w:pPr>
            <w:r>
              <w:rPr>
                <w:rFonts w:ascii="Arial" w:cs="Arial" w:eastAsia="Arial" w:hAnsi="Arial"/>
                <w:sz w:val="8"/>
                <w:szCs w:val="8"/>
                <w:color w:val="auto"/>
              </w:rPr>
              <w:t>21,920</w:t>
            </w:r>
          </w:p>
        </w:tc>
        <w:tc>
          <w:tcPr>
            <w:tcW w:w="700" w:type="dxa"/>
            <w:vAlign w:val="bottom"/>
            <w:shd w:val="clear" w:color="auto" w:fill="CCEEFF"/>
          </w:tcPr>
          <w:p>
            <w:pPr>
              <w:spacing w:after="0"/>
              <w:rPr>
                <w:sz w:val="7"/>
                <w:szCs w:val="7"/>
                <w:color w:val="auto"/>
              </w:rPr>
            </w:pPr>
          </w:p>
        </w:tc>
        <w:tc>
          <w:tcPr>
            <w:tcW w:w="620" w:type="dxa"/>
            <w:vAlign w:val="bottom"/>
            <w:shd w:val="clear" w:color="auto" w:fill="CCEEFF"/>
          </w:tcPr>
          <w:p>
            <w:pPr>
              <w:jc w:val="right"/>
              <w:ind w:right="158"/>
              <w:spacing w:after="0" w:line="90" w:lineRule="exact"/>
              <w:rPr>
                <w:sz w:val="20"/>
                <w:szCs w:val="20"/>
                <w:color w:val="auto"/>
              </w:rPr>
            </w:pPr>
            <w:r>
              <w:rPr>
                <w:rFonts w:ascii="Arial" w:cs="Arial" w:eastAsia="Arial" w:hAnsi="Arial"/>
                <w:sz w:val="8"/>
                <w:szCs w:val="8"/>
                <w:color w:val="auto"/>
              </w:rPr>
              <w:t>12,760</w:t>
            </w:r>
          </w:p>
        </w:tc>
        <w:tc>
          <w:tcPr>
            <w:tcW w:w="1500" w:type="dxa"/>
            <w:vAlign w:val="bottom"/>
            <w:gridSpan w:val="2"/>
            <w:shd w:val="clear" w:color="auto" w:fill="CCEEFF"/>
          </w:tcPr>
          <w:p>
            <w:pPr>
              <w:jc w:val="right"/>
              <w:ind w:right="258"/>
              <w:spacing w:after="0" w:line="90" w:lineRule="exact"/>
              <w:rPr>
                <w:sz w:val="20"/>
                <w:szCs w:val="20"/>
                <w:color w:val="auto"/>
              </w:rPr>
            </w:pPr>
            <w:r>
              <w:rPr>
                <w:rFonts w:ascii="Arial" w:cs="Arial" w:eastAsia="Arial" w:hAnsi="Arial"/>
                <w:sz w:val="8"/>
                <w:szCs w:val="8"/>
                <w:color w:val="auto"/>
              </w:rPr>
              <w:t>3,370</w:t>
            </w:r>
          </w:p>
        </w:tc>
        <w:tc>
          <w:tcPr>
            <w:tcW w:w="0" w:type="dxa"/>
            <w:vAlign w:val="bottom"/>
          </w:tcPr>
          <w:p>
            <w:pPr>
              <w:spacing w:after="0"/>
              <w:rPr>
                <w:sz w:val="1"/>
                <w:szCs w:val="1"/>
                <w:color w:val="auto"/>
              </w:rPr>
            </w:pPr>
          </w:p>
        </w:tc>
      </w:tr>
      <w:tr>
        <w:trPr>
          <w:trHeight w:val="90"/>
        </w:trPr>
        <w:tc>
          <w:tcPr>
            <w:tcW w:w="214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03/27/2016</w:t>
            </w:r>
          </w:p>
        </w:tc>
        <w:tc>
          <w:tcPr>
            <w:tcW w:w="80" w:type="dxa"/>
            <w:vAlign w:val="bottom"/>
            <w:shd w:val="clear" w:color="auto" w:fill="CCEEFF"/>
          </w:tcPr>
          <w:p>
            <w:pPr>
              <w:spacing w:after="0"/>
              <w:rPr>
                <w:sz w:val="7"/>
                <w:szCs w:val="7"/>
                <w:color w:val="auto"/>
              </w:rPr>
            </w:pPr>
          </w:p>
        </w:tc>
        <w:tc>
          <w:tcPr>
            <w:tcW w:w="540" w:type="dxa"/>
            <w:vAlign w:val="bottom"/>
            <w:shd w:val="clear" w:color="auto" w:fill="CCEEFF"/>
          </w:tcPr>
          <w:p>
            <w:pPr>
              <w:jc w:val="right"/>
              <w:ind w:right="218"/>
              <w:spacing w:after="0" w:line="90" w:lineRule="exact"/>
              <w:rPr>
                <w:sz w:val="20"/>
                <w:szCs w:val="20"/>
                <w:color w:val="auto"/>
              </w:rPr>
            </w:pPr>
            <w:r>
              <w:rPr>
                <w:rFonts w:ascii="Arial" w:cs="Arial" w:eastAsia="Arial" w:hAnsi="Arial"/>
                <w:sz w:val="8"/>
                <w:szCs w:val="8"/>
                <w:color w:val="auto"/>
                <w:w w:val="89"/>
              </w:rPr>
              <w:t>14.5400</w:t>
            </w:r>
          </w:p>
        </w:tc>
        <w:tc>
          <w:tcPr>
            <w:tcW w:w="700" w:type="dxa"/>
            <w:vAlign w:val="bottom"/>
            <w:shd w:val="clear" w:color="auto" w:fill="CCEEFF"/>
          </w:tcPr>
          <w:p>
            <w:pPr>
              <w:spacing w:after="0"/>
              <w:rPr>
                <w:sz w:val="7"/>
                <w:szCs w:val="7"/>
                <w:color w:val="auto"/>
              </w:rPr>
            </w:pP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57,250</w:t>
            </w:r>
          </w:p>
        </w:tc>
        <w:tc>
          <w:tcPr>
            <w:tcW w:w="1520" w:type="dxa"/>
            <w:vAlign w:val="bottom"/>
            <w:gridSpan w:val="2"/>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rPr>
              <w:t>34,500</w:t>
            </w:r>
          </w:p>
        </w:tc>
        <w:tc>
          <w:tcPr>
            <w:tcW w:w="1560" w:type="dxa"/>
            <w:vAlign w:val="bottom"/>
            <w:gridSpan w:val="2"/>
            <w:shd w:val="clear" w:color="auto" w:fill="CCEEFF"/>
          </w:tcPr>
          <w:p>
            <w:pPr>
              <w:jc w:val="right"/>
              <w:ind w:right="258"/>
              <w:spacing w:after="0" w:line="90" w:lineRule="exact"/>
              <w:rPr>
                <w:sz w:val="20"/>
                <w:szCs w:val="20"/>
                <w:color w:val="auto"/>
              </w:rPr>
            </w:pPr>
            <w:r>
              <w:rPr>
                <w:rFonts w:ascii="Arial" w:cs="Arial" w:eastAsia="Arial" w:hAnsi="Arial"/>
                <w:sz w:val="8"/>
                <w:szCs w:val="8"/>
                <w:color w:val="auto"/>
              </w:rPr>
              <w:t>46,000</w:t>
            </w:r>
          </w:p>
        </w:tc>
        <w:tc>
          <w:tcPr>
            <w:tcW w:w="700" w:type="dxa"/>
            <w:vAlign w:val="bottom"/>
            <w:shd w:val="clear" w:color="auto" w:fill="CCEEFF"/>
          </w:tcPr>
          <w:p>
            <w:pPr>
              <w:spacing w:after="0"/>
              <w:rPr>
                <w:sz w:val="7"/>
                <w:szCs w:val="7"/>
                <w:color w:val="auto"/>
              </w:rPr>
            </w:pPr>
          </w:p>
        </w:tc>
        <w:tc>
          <w:tcPr>
            <w:tcW w:w="620" w:type="dxa"/>
            <w:vAlign w:val="bottom"/>
            <w:shd w:val="clear" w:color="auto" w:fill="CCEEFF"/>
          </w:tcPr>
          <w:p>
            <w:pPr>
              <w:jc w:val="right"/>
              <w:ind w:right="158"/>
              <w:spacing w:after="0" w:line="90" w:lineRule="exact"/>
              <w:rPr>
                <w:sz w:val="20"/>
                <w:szCs w:val="20"/>
                <w:color w:val="auto"/>
              </w:rPr>
            </w:pPr>
            <w:r>
              <w:rPr>
                <w:rFonts w:ascii="Arial" w:cs="Arial" w:eastAsia="Arial" w:hAnsi="Arial"/>
                <w:sz w:val="8"/>
                <w:szCs w:val="8"/>
                <w:color w:val="auto"/>
              </w:rPr>
              <w:t>27,000</w:t>
            </w:r>
          </w:p>
        </w:tc>
        <w:tc>
          <w:tcPr>
            <w:tcW w:w="1500" w:type="dxa"/>
            <w:vAlign w:val="bottom"/>
            <w:gridSpan w:val="2"/>
            <w:shd w:val="clear" w:color="auto" w:fill="CCEEFF"/>
          </w:tcPr>
          <w:p>
            <w:pPr>
              <w:jc w:val="right"/>
              <w:ind w:right="258"/>
              <w:spacing w:after="0" w:line="90" w:lineRule="exact"/>
              <w:rPr>
                <w:sz w:val="20"/>
                <w:szCs w:val="20"/>
                <w:color w:val="auto"/>
              </w:rPr>
            </w:pPr>
            <w:r>
              <w:rPr>
                <w:rFonts w:ascii="Arial" w:cs="Arial" w:eastAsia="Arial" w:hAnsi="Arial"/>
                <w:sz w:val="8"/>
                <w:szCs w:val="8"/>
                <w:color w:val="auto"/>
              </w:rPr>
              <w:t>7,050</w:t>
            </w:r>
          </w:p>
        </w:tc>
        <w:tc>
          <w:tcPr>
            <w:tcW w:w="0" w:type="dxa"/>
            <w:vAlign w:val="bottom"/>
          </w:tcPr>
          <w:p>
            <w:pPr>
              <w:spacing w:after="0"/>
              <w:rPr>
                <w:sz w:val="1"/>
                <w:szCs w:val="1"/>
                <w:color w:val="auto"/>
              </w:rPr>
            </w:pPr>
          </w:p>
        </w:tc>
      </w:tr>
      <w:tr>
        <w:trPr>
          <w:trHeight w:val="90"/>
        </w:trPr>
        <w:tc>
          <w:tcPr>
            <w:tcW w:w="214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03/28/2016</w:t>
            </w:r>
          </w:p>
        </w:tc>
        <w:tc>
          <w:tcPr>
            <w:tcW w:w="80" w:type="dxa"/>
            <w:vAlign w:val="bottom"/>
            <w:shd w:val="clear" w:color="auto" w:fill="CCEEFF"/>
          </w:tcPr>
          <w:p>
            <w:pPr>
              <w:spacing w:after="0"/>
              <w:rPr>
                <w:sz w:val="7"/>
                <w:szCs w:val="7"/>
                <w:color w:val="auto"/>
              </w:rPr>
            </w:pPr>
          </w:p>
        </w:tc>
        <w:tc>
          <w:tcPr>
            <w:tcW w:w="540" w:type="dxa"/>
            <w:vAlign w:val="bottom"/>
            <w:shd w:val="clear" w:color="auto" w:fill="CCEEFF"/>
          </w:tcPr>
          <w:p>
            <w:pPr>
              <w:jc w:val="right"/>
              <w:ind w:right="218"/>
              <w:spacing w:after="0" w:line="90" w:lineRule="exact"/>
              <w:rPr>
                <w:sz w:val="20"/>
                <w:szCs w:val="20"/>
                <w:color w:val="auto"/>
              </w:rPr>
            </w:pPr>
            <w:r>
              <w:rPr>
                <w:rFonts w:ascii="Arial" w:cs="Arial" w:eastAsia="Arial" w:hAnsi="Arial"/>
                <w:sz w:val="8"/>
                <w:szCs w:val="8"/>
                <w:color w:val="auto"/>
                <w:w w:val="89"/>
              </w:rPr>
              <w:t>18.9800</w:t>
            </w:r>
          </w:p>
        </w:tc>
        <w:tc>
          <w:tcPr>
            <w:tcW w:w="700" w:type="dxa"/>
            <w:vAlign w:val="bottom"/>
            <w:shd w:val="clear" w:color="auto" w:fill="CCEEFF"/>
          </w:tcPr>
          <w:p>
            <w:pPr>
              <w:spacing w:after="0"/>
              <w:rPr>
                <w:sz w:val="7"/>
                <w:szCs w:val="7"/>
                <w:color w:val="auto"/>
              </w:rPr>
            </w:pP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40,150</w:t>
            </w:r>
          </w:p>
        </w:tc>
        <w:tc>
          <w:tcPr>
            <w:tcW w:w="1520" w:type="dxa"/>
            <w:vAlign w:val="bottom"/>
            <w:gridSpan w:val="2"/>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rPr>
              <w:t>24,090</w:t>
            </w:r>
          </w:p>
        </w:tc>
        <w:tc>
          <w:tcPr>
            <w:tcW w:w="1560" w:type="dxa"/>
            <w:vAlign w:val="bottom"/>
            <w:gridSpan w:val="2"/>
            <w:shd w:val="clear" w:color="auto" w:fill="CCEEFF"/>
          </w:tcPr>
          <w:p>
            <w:pPr>
              <w:jc w:val="right"/>
              <w:ind w:right="258"/>
              <w:spacing w:after="0" w:line="90" w:lineRule="exact"/>
              <w:rPr>
                <w:sz w:val="20"/>
                <w:szCs w:val="20"/>
                <w:color w:val="auto"/>
              </w:rPr>
            </w:pPr>
            <w:r>
              <w:rPr>
                <w:rFonts w:ascii="Arial" w:cs="Arial" w:eastAsia="Arial" w:hAnsi="Arial"/>
                <w:sz w:val="8"/>
                <w:szCs w:val="8"/>
                <w:color w:val="auto"/>
              </w:rPr>
              <w:t>32,120</w:t>
            </w:r>
          </w:p>
        </w:tc>
        <w:tc>
          <w:tcPr>
            <w:tcW w:w="700" w:type="dxa"/>
            <w:vAlign w:val="bottom"/>
            <w:shd w:val="clear" w:color="auto" w:fill="CCEEFF"/>
          </w:tcPr>
          <w:p>
            <w:pPr>
              <w:spacing w:after="0"/>
              <w:rPr>
                <w:sz w:val="7"/>
                <w:szCs w:val="7"/>
                <w:color w:val="auto"/>
              </w:rPr>
            </w:pPr>
          </w:p>
        </w:tc>
        <w:tc>
          <w:tcPr>
            <w:tcW w:w="620" w:type="dxa"/>
            <w:vAlign w:val="bottom"/>
            <w:shd w:val="clear" w:color="auto" w:fill="CCEEFF"/>
          </w:tcPr>
          <w:p>
            <w:pPr>
              <w:jc w:val="right"/>
              <w:ind w:right="158"/>
              <w:spacing w:after="0" w:line="90" w:lineRule="exact"/>
              <w:rPr>
                <w:sz w:val="20"/>
                <w:szCs w:val="20"/>
                <w:color w:val="auto"/>
              </w:rPr>
            </w:pPr>
            <w:r>
              <w:rPr>
                <w:rFonts w:ascii="Arial" w:cs="Arial" w:eastAsia="Arial" w:hAnsi="Arial"/>
                <w:sz w:val="8"/>
                <w:szCs w:val="8"/>
                <w:color w:val="auto"/>
              </w:rPr>
              <w:t>18,700</w:t>
            </w:r>
          </w:p>
        </w:tc>
        <w:tc>
          <w:tcPr>
            <w:tcW w:w="1500" w:type="dxa"/>
            <w:vAlign w:val="bottom"/>
            <w:gridSpan w:val="2"/>
            <w:shd w:val="clear" w:color="auto" w:fill="CCEEFF"/>
          </w:tcPr>
          <w:p>
            <w:pPr>
              <w:jc w:val="right"/>
              <w:ind w:right="258"/>
              <w:spacing w:after="0" w:line="90" w:lineRule="exact"/>
              <w:rPr>
                <w:sz w:val="20"/>
                <w:szCs w:val="20"/>
                <w:color w:val="auto"/>
              </w:rPr>
            </w:pPr>
            <w:r>
              <w:rPr>
                <w:rFonts w:ascii="Arial" w:cs="Arial" w:eastAsia="Arial" w:hAnsi="Arial"/>
                <w:sz w:val="8"/>
                <w:szCs w:val="8"/>
                <w:color w:val="auto"/>
              </w:rPr>
              <w:t>4,950</w:t>
            </w:r>
          </w:p>
        </w:tc>
        <w:tc>
          <w:tcPr>
            <w:tcW w:w="0" w:type="dxa"/>
            <w:vAlign w:val="bottom"/>
          </w:tcPr>
          <w:p>
            <w:pPr>
              <w:spacing w:after="0"/>
              <w:rPr>
                <w:sz w:val="1"/>
                <w:szCs w:val="1"/>
                <w:color w:val="auto"/>
              </w:rPr>
            </w:pPr>
          </w:p>
        </w:tc>
      </w:tr>
      <w:tr>
        <w:trPr>
          <w:trHeight w:val="90"/>
        </w:trPr>
        <w:tc>
          <w:tcPr>
            <w:tcW w:w="214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03/30/2016</w:t>
            </w:r>
          </w:p>
        </w:tc>
        <w:tc>
          <w:tcPr>
            <w:tcW w:w="80" w:type="dxa"/>
            <w:vAlign w:val="bottom"/>
            <w:shd w:val="clear" w:color="auto" w:fill="CCEEFF"/>
          </w:tcPr>
          <w:p>
            <w:pPr>
              <w:spacing w:after="0"/>
              <w:rPr>
                <w:sz w:val="7"/>
                <w:szCs w:val="7"/>
                <w:color w:val="auto"/>
              </w:rPr>
            </w:pPr>
          </w:p>
        </w:tc>
        <w:tc>
          <w:tcPr>
            <w:tcW w:w="540" w:type="dxa"/>
            <w:vAlign w:val="bottom"/>
            <w:shd w:val="clear" w:color="auto" w:fill="CCEEFF"/>
          </w:tcPr>
          <w:p>
            <w:pPr>
              <w:jc w:val="right"/>
              <w:ind w:right="218"/>
              <w:spacing w:after="0" w:line="90" w:lineRule="exact"/>
              <w:rPr>
                <w:sz w:val="20"/>
                <w:szCs w:val="20"/>
                <w:color w:val="auto"/>
              </w:rPr>
            </w:pPr>
            <w:r>
              <w:rPr>
                <w:rFonts w:ascii="Arial" w:cs="Arial" w:eastAsia="Arial" w:hAnsi="Arial"/>
                <w:sz w:val="8"/>
                <w:szCs w:val="8"/>
                <w:color w:val="auto"/>
                <w:w w:val="89"/>
              </w:rPr>
              <w:t>25.9500</w:t>
            </w:r>
          </w:p>
        </w:tc>
        <w:tc>
          <w:tcPr>
            <w:tcW w:w="700" w:type="dxa"/>
            <w:vAlign w:val="bottom"/>
            <w:shd w:val="clear" w:color="auto" w:fill="CCEEFF"/>
          </w:tcPr>
          <w:p>
            <w:pPr>
              <w:spacing w:after="0"/>
              <w:rPr>
                <w:sz w:val="7"/>
                <w:szCs w:val="7"/>
                <w:color w:val="auto"/>
              </w:rPr>
            </w:pP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w:t>
            </w:r>
          </w:p>
        </w:tc>
        <w:tc>
          <w:tcPr>
            <w:tcW w:w="1520" w:type="dxa"/>
            <w:vAlign w:val="bottom"/>
            <w:gridSpan w:val="2"/>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rPr>
              <w:t>12,387</w:t>
            </w:r>
          </w:p>
        </w:tc>
        <w:tc>
          <w:tcPr>
            <w:tcW w:w="700" w:type="dxa"/>
            <w:vAlign w:val="bottom"/>
            <w:shd w:val="clear" w:color="auto" w:fill="CCEEFF"/>
          </w:tcPr>
          <w:p>
            <w:pPr>
              <w:spacing w:after="0"/>
              <w:rPr>
                <w:sz w:val="7"/>
                <w:szCs w:val="7"/>
                <w:color w:val="auto"/>
              </w:rPr>
            </w:pPr>
          </w:p>
        </w:tc>
        <w:tc>
          <w:tcPr>
            <w:tcW w:w="1560" w:type="dxa"/>
            <w:vAlign w:val="bottom"/>
            <w:gridSpan w:val="2"/>
            <w:shd w:val="clear" w:color="auto" w:fill="CCEEFF"/>
          </w:tcPr>
          <w:p>
            <w:pPr>
              <w:jc w:val="right"/>
              <w:ind w:right="1000"/>
              <w:spacing w:after="0" w:line="90" w:lineRule="exact"/>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jc w:val="right"/>
              <w:ind w:right="158"/>
              <w:spacing w:after="0" w:line="90" w:lineRule="exact"/>
              <w:rPr>
                <w:sz w:val="20"/>
                <w:szCs w:val="20"/>
                <w:color w:val="auto"/>
              </w:rPr>
            </w:pPr>
            <w:r>
              <w:rPr>
                <w:rFonts w:ascii="Arial" w:cs="Arial" w:eastAsia="Arial" w:hAnsi="Arial"/>
                <w:sz w:val="8"/>
                <w:szCs w:val="8"/>
                <w:color w:val="auto"/>
              </w:rPr>
              <w:t>—</w:t>
            </w:r>
          </w:p>
        </w:tc>
        <w:tc>
          <w:tcPr>
            <w:tcW w:w="700" w:type="dxa"/>
            <w:vAlign w:val="bottom"/>
            <w:shd w:val="clear" w:color="auto" w:fill="CCEEFF"/>
          </w:tcPr>
          <w:p>
            <w:pPr>
              <w:spacing w:after="0"/>
              <w:rPr>
                <w:sz w:val="7"/>
                <w:szCs w:val="7"/>
                <w:color w:val="auto"/>
              </w:rPr>
            </w:pPr>
          </w:p>
        </w:tc>
        <w:tc>
          <w:tcPr>
            <w:tcW w:w="800" w:type="dxa"/>
            <w:vAlign w:val="bottom"/>
            <w:shd w:val="clear" w:color="auto" w:fill="CCEEFF"/>
          </w:tcPr>
          <w:p>
            <w:pPr>
              <w:jc w:val="right"/>
              <w:ind w:right="258"/>
              <w:spacing w:after="0" w:line="90"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90"/>
        </w:trPr>
        <w:tc>
          <w:tcPr>
            <w:tcW w:w="214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09/16/2016</w:t>
            </w:r>
          </w:p>
        </w:tc>
        <w:tc>
          <w:tcPr>
            <w:tcW w:w="80" w:type="dxa"/>
            <w:vAlign w:val="bottom"/>
            <w:shd w:val="clear" w:color="auto" w:fill="CCEEFF"/>
          </w:tcPr>
          <w:p>
            <w:pPr>
              <w:spacing w:after="0"/>
              <w:rPr>
                <w:sz w:val="7"/>
                <w:szCs w:val="7"/>
                <w:color w:val="auto"/>
              </w:rPr>
            </w:pPr>
          </w:p>
        </w:tc>
        <w:tc>
          <w:tcPr>
            <w:tcW w:w="540" w:type="dxa"/>
            <w:vAlign w:val="bottom"/>
            <w:shd w:val="clear" w:color="auto" w:fill="CCEEFF"/>
          </w:tcPr>
          <w:p>
            <w:pPr>
              <w:jc w:val="right"/>
              <w:ind w:right="218"/>
              <w:spacing w:after="0" w:line="90" w:lineRule="exact"/>
              <w:rPr>
                <w:sz w:val="20"/>
                <w:szCs w:val="20"/>
                <w:color w:val="auto"/>
              </w:rPr>
            </w:pPr>
            <w:r>
              <w:rPr>
                <w:rFonts w:ascii="Arial" w:cs="Arial" w:eastAsia="Arial" w:hAnsi="Arial"/>
                <w:sz w:val="8"/>
                <w:szCs w:val="8"/>
                <w:color w:val="auto"/>
                <w:w w:val="89"/>
              </w:rPr>
              <w:t>25.4400</w:t>
            </w:r>
          </w:p>
        </w:tc>
        <w:tc>
          <w:tcPr>
            <w:tcW w:w="700" w:type="dxa"/>
            <w:vAlign w:val="bottom"/>
            <w:shd w:val="clear" w:color="auto" w:fill="CCEEFF"/>
          </w:tcPr>
          <w:p>
            <w:pPr>
              <w:spacing w:after="0"/>
              <w:rPr>
                <w:sz w:val="7"/>
                <w:szCs w:val="7"/>
                <w:color w:val="auto"/>
              </w:rPr>
            </w:pP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27,400</w:t>
            </w:r>
          </w:p>
        </w:tc>
        <w:tc>
          <w:tcPr>
            <w:tcW w:w="680" w:type="dxa"/>
            <w:vAlign w:val="bottom"/>
            <w:shd w:val="clear" w:color="auto" w:fill="CCEEFF"/>
          </w:tcPr>
          <w:p>
            <w:pPr>
              <w:spacing w:after="0"/>
              <w:rPr>
                <w:sz w:val="7"/>
                <w:szCs w:val="7"/>
                <w:color w:val="auto"/>
              </w:rPr>
            </w:pPr>
          </w:p>
        </w:tc>
        <w:tc>
          <w:tcPr>
            <w:tcW w:w="840" w:type="dxa"/>
            <w:vAlign w:val="bottom"/>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rPr>
              <w:t>—</w:t>
            </w:r>
          </w:p>
        </w:tc>
        <w:tc>
          <w:tcPr>
            <w:tcW w:w="1560" w:type="dxa"/>
            <w:vAlign w:val="bottom"/>
            <w:gridSpan w:val="2"/>
            <w:shd w:val="clear" w:color="auto" w:fill="CCEEFF"/>
          </w:tcPr>
          <w:p>
            <w:pPr>
              <w:jc w:val="right"/>
              <w:ind w:right="258"/>
              <w:spacing w:after="0" w:line="90" w:lineRule="exact"/>
              <w:rPr>
                <w:sz w:val="20"/>
                <w:szCs w:val="20"/>
                <w:color w:val="auto"/>
              </w:rPr>
            </w:pPr>
            <w:r>
              <w:rPr>
                <w:rFonts w:ascii="Arial" w:cs="Arial" w:eastAsia="Arial" w:hAnsi="Arial"/>
                <w:sz w:val="8"/>
                <w:szCs w:val="8"/>
                <w:color w:val="auto"/>
              </w:rPr>
              <w:t>21,920</w:t>
            </w:r>
          </w:p>
        </w:tc>
        <w:tc>
          <w:tcPr>
            <w:tcW w:w="700" w:type="dxa"/>
            <w:vAlign w:val="bottom"/>
            <w:shd w:val="clear" w:color="auto" w:fill="CCEEFF"/>
          </w:tcPr>
          <w:p>
            <w:pPr>
              <w:spacing w:after="0"/>
              <w:rPr>
                <w:sz w:val="7"/>
                <w:szCs w:val="7"/>
                <w:color w:val="auto"/>
              </w:rPr>
            </w:pPr>
          </w:p>
        </w:tc>
        <w:tc>
          <w:tcPr>
            <w:tcW w:w="620" w:type="dxa"/>
            <w:vAlign w:val="bottom"/>
            <w:shd w:val="clear" w:color="auto" w:fill="CCEEFF"/>
          </w:tcPr>
          <w:p>
            <w:pPr>
              <w:jc w:val="right"/>
              <w:ind w:right="158"/>
              <w:spacing w:after="0" w:line="90" w:lineRule="exact"/>
              <w:rPr>
                <w:sz w:val="20"/>
                <w:szCs w:val="20"/>
                <w:color w:val="auto"/>
              </w:rPr>
            </w:pPr>
            <w:r>
              <w:rPr>
                <w:rFonts w:ascii="Arial" w:cs="Arial" w:eastAsia="Arial" w:hAnsi="Arial"/>
                <w:sz w:val="8"/>
                <w:szCs w:val="8"/>
                <w:color w:val="auto"/>
              </w:rPr>
              <w:t>12,760</w:t>
            </w:r>
          </w:p>
        </w:tc>
        <w:tc>
          <w:tcPr>
            <w:tcW w:w="1500" w:type="dxa"/>
            <w:vAlign w:val="bottom"/>
            <w:gridSpan w:val="2"/>
            <w:shd w:val="clear" w:color="auto" w:fill="CCEEFF"/>
          </w:tcPr>
          <w:p>
            <w:pPr>
              <w:jc w:val="right"/>
              <w:ind w:right="258"/>
              <w:spacing w:after="0" w:line="90" w:lineRule="exact"/>
              <w:rPr>
                <w:sz w:val="20"/>
                <w:szCs w:val="20"/>
                <w:color w:val="auto"/>
              </w:rPr>
            </w:pPr>
            <w:r>
              <w:rPr>
                <w:rFonts w:ascii="Arial" w:cs="Arial" w:eastAsia="Arial" w:hAnsi="Arial"/>
                <w:sz w:val="8"/>
                <w:szCs w:val="8"/>
                <w:color w:val="auto"/>
              </w:rPr>
              <w:t>3,370</w:t>
            </w:r>
          </w:p>
        </w:tc>
        <w:tc>
          <w:tcPr>
            <w:tcW w:w="0" w:type="dxa"/>
            <w:vAlign w:val="bottom"/>
          </w:tcPr>
          <w:p>
            <w:pPr>
              <w:spacing w:after="0"/>
              <w:rPr>
                <w:sz w:val="1"/>
                <w:szCs w:val="1"/>
                <w:color w:val="auto"/>
              </w:rPr>
            </w:pPr>
          </w:p>
        </w:tc>
      </w:tr>
      <w:tr>
        <w:trPr>
          <w:trHeight w:val="90"/>
        </w:trPr>
        <w:tc>
          <w:tcPr>
            <w:tcW w:w="214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09/30/2016</w:t>
            </w:r>
          </w:p>
        </w:tc>
        <w:tc>
          <w:tcPr>
            <w:tcW w:w="80" w:type="dxa"/>
            <w:vAlign w:val="bottom"/>
            <w:shd w:val="clear" w:color="auto" w:fill="CCEEFF"/>
          </w:tcPr>
          <w:p>
            <w:pPr>
              <w:spacing w:after="0"/>
              <w:rPr>
                <w:sz w:val="7"/>
                <w:szCs w:val="7"/>
                <w:color w:val="auto"/>
              </w:rPr>
            </w:pPr>
          </w:p>
        </w:tc>
        <w:tc>
          <w:tcPr>
            <w:tcW w:w="540" w:type="dxa"/>
            <w:vAlign w:val="bottom"/>
            <w:shd w:val="clear" w:color="auto" w:fill="CCEEFF"/>
          </w:tcPr>
          <w:p>
            <w:pPr>
              <w:jc w:val="right"/>
              <w:ind w:right="218"/>
              <w:spacing w:after="0" w:line="90" w:lineRule="exact"/>
              <w:rPr>
                <w:sz w:val="20"/>
                <w:szCs w:val="20"/>
                <w:color w:val="auto"/>
              </w:rPr>
            </w:pPr>
            <w:r>
              <w:rPr>
                <w:rFonts w:ascii="Arial" w:cs="Arial" w:eastAsia="Arial" w:hAnsi="Arial"/>
                <w:sz w:val="8"/>
                <w:szCs w:val="8"/>
                <w:color w:val="auto"/>
                <w:w w:val="89"/>
              </w:rPr>
              <w:t>25.9500</w:t>
            </w:r>
          </w:p>
        </w:tc>
        <w:tc>
          <w:tcPr>
            <w:tcW w:w="700" w:type="dxa"/>
            <w:vAlign w:val="bottom"/>
            <w:shd w:val="clear" w:color="auto" w:fill="CCEEFF"/>
          </w:tcPr>
          <w:p>
            <w:pPr>
              <w:spacing w:after="0"/>
              <w:rPr>
                <w:sz w:val="7"/>
                <w:szCs w:val="7"/>
                <w:color w:val="auto"/>
              </w:rPr>
            </w:pP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w:t>
            </w:r>
          </w:p>
        </w:tc>
        <w:tc>
          <w:tcPr>
            <w:tcW w:w="1520" w:type="dxa"/>
            <w:vAlign w:val="bottom"/>
            <w:gridSpan w:val="2"/>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rPr>
              <w:t>12,387</w:t>
            </w:r>
          </w:p>
        </w:tc>
        <w:tc>
          <w:tcPr>
            <w:tcW w:w="700" w:type="dxa"/>
            <w:vAlign w:val="bottom"/>
            <w:shd w:val="clear" w:color="auto" w:fill="CCEEFF"/>
          </w:tcPr>
          <w:p>
            <w:pPr>
              <w:spacing w:after="0"/>
              <w:rPr>
                <w:sz w:val="7"/>
                <w:szCs w:val="7"/>
                <w:color w:val="auto"/>
              </w:rPr>
            </w:pPr>
          </w:p>
        </w:tc>
        <w:tc>
          <w:tcPr>
            <w:tcW w:w="1560" w:type="dxa"/>
            <w:vAlign w:val="bottom"/>
            <w:gridSpan w:val="2"/>
            <w:shd w:val="clear" w:color="auto" w:fill="CCEEFF"/>
          </w:tcPr>
          <w:p>
            <w:pPr>
              <w:jc w:val="right"/>
              <w:ind w:right="1000"/>
              <w:spacing w:after="0" w:line="90" w:lineRule="exact"/>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jc w:val="right"/>
              <w:ind w:right="158"/>
              <w:spacing w:after="0" w:line="90" w:lineRule="exact"/>
              <w:rPr>
                <w:sz w:val="20"/>
                <w:szCs w:val="20"/>
                <w:color w:val="auto"/>
              </w:rPr>
            </w:pPr>
            <w:r>
              <w:rPr>
                <w:rFonts w:ascii="Arial" w:cs="Arial" w:eastAsia="Arial" w:hAnsi="Arial"/>
                <w:sz w:val="8"/>
                <w:szCs w:val="8"/>
                <w:color w:val="auto"/>
              </w:rPr>
              <w:t>—</w:t>
            </w:r>
          </w:p>
        </w:tc>
        <w:tc>
          <w:tcPr>
            <w:tcW w:w="700" w:type="dxa"/>
            <w:vAlign w:val="bottom"/>
            <w:shd w:val="clear" w:color="auto" w:fill="CCEEFF"/>
          </w:tcPr>
          <w:p>
            <w:pPr>
              <w:spacing w:after="0"/>
              <w:rPr>
                <w:sz w:val="7"/>
                <w:szCs w:val="7"/>
                <w:color w:val="auto"/>
              </w:rPr>
            </w:pPr>
          </w:p>
        </w:tc>
        <w:tc>
          <w:tcPr>
            <w:tcW w:w="800" w:type="dxa"/>
            <w:vAlign w:val="bottom"/>
            <w:shd w:val="clear" w:color="auto" w:fill="CCEEFF"/>
          </w:tcPr>
          <w:p>
            <w:pPr>
              <w:jc w:val="right"/>
              <w:ind w:right="258"/>
              <w:spacing w:after="0" w:line="90"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99"/>
        </w:trPr>
        <w:tc>
          <w:tcPr>
            <w:tcW w:w="2140" w:type="dxa"/>
            <w:vAlign w:val="bottom"/>
            <w:shd w:val="clear" w:color="auto" w:fill="CCEEFF"/>
          </w:tcPr>
          <w:p>
            <w:pPr>
              <w:spacing w:after="0"/>
              <w:rPr>
                <w:sz w:val="20"/>
                <w:szCs w:val="20"/>
                <w:color w:val="auto"/>
              </w:rPr>
            </w:pPr>
            <w:r>
              <w:rPr>
                <w:rFonts w:ascii="Arial" w:cs="Arial" w:eastAsia="Arial" w:hAnsi="Arial"/>
                <w:sz w:val="8"/>
                <w:szCs w:val="8"/>
                <w:color w:val="auto"/>
              </w:rPr>
              <w:t>12/18/2016</w:t>
            </w: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jc w:val="right"/>
              <w:ind w:right="218"/>
              <w:spacing w:after="0"/>
              <w:rPr>
                <w:sz w:val="20"/>
                <w:szCs w:val="20"/>
                <w:color w:val="auto"/>
              </w:rPr>
            </w:pPr>
            <w:r>
              <w:rPr>
                <w:rFonts w:ascii="Arial" w:cs="Arial" w:eastAsia="Arial" w:hAnsi="Arial"/>
                <w:sz w:val="8"/>
                <w:szCs w:val="8"/>
                <w:color w:val="auto"/>
                <w:w w:val="89"/>
              </w:rPr>
              <w:t>17.2400</w:t>
            </w:r>
          </w:p>
        </w:tc>
        <w:tc>
          <w:tcPr>
            <w:tcW w:w="700" w:type="dxa"/>
            <w:vAlign w:val="bottom"/>
            <w:shd w:val="clear" w:color="auto" w:fill="CCEEFF"/>
          </w:tcPr>
          <w:p>
            <w:pPr>
              <w:spacing w:after="0"/>
              <w:rPr>
                <w:sz w:val="8"/>
                <w:szCs w:val="8"/>
                <w:color w:val="auto"/>
              </w:rPr>
            </w:pPr>
          </w:p>
        </w:tc>
        <w:tc>
          <w:tcPr>
            <w:tcW w:w="640" w:type="dxa"/>
            <w:vAlign w:val="bottom"/>
            <w:shd w:val="clear" w:color="auto" w:fill="CCEEFF"/>
          </w:tcPr>
          <w:p>
            <w:pPr>
              <w:jc w:val="right"/>
              <w:ind w:right="138"/>
              <w:spacing w:after="0"/>
              <w:rPr>
                <w:sz w:val="20"/>
                <w:szCs w:val="20"/>
                <w:color w:val="auto"/>
              </w:rPr>
            </w:pPr>
            <w:r>
              <w:rPr>
                <w:rFonts w:ascii="Arial" w:cs="Arial" w:eastAsia="Arial" w:hAnsi="Arial"/>
                <w:sz w:val="8"/>
                <w:szCs w:val="8"/>
                <w:color w:val="auto"/>
              </w:rPr>
              <w:t>—</w:t>
            </w:r>
          </w:p>
        </w:tc>
        <w:tc>
          <w:tcPr>
            <w:tcW w:w="680" w:type="dxa"/>
            <w:vAlign w:val="bottom"/>
            <w:shd w:val="clear" w:color="auto" w:fill="CCEEFF"/>
          </w:tcPr>
          <w:p>
            <w:pPr>
              <w:spacing w:after="0"/>
              <w:rPr>
                <w:sz w:val="8"/>
                <w:szCs w:val="8"/>
                <w:color w:val="auto"/>
              </w:rPr>
            </w:pPr>
          </w:p>
        </w:tc>
        <w:tc>
          <w:tcPr>
            <w:tcW w:w="840" w:type="dxa"/>
            <w:vAlign w:val="bottom"/>
            <w:shd w:val="clear" w:color="auto" w:fill="CCEEFF"/>
          </w:tcPr>
          <w:p>
            <w:pPr>
              <w:jc w:val="right"/>
              <w:ind w:right="238"/>
              <w:spacing w:after="0"/>
              <w:rPr>
                <w:sz w:val="20"/>
                <w:szCs w:val="20"/>
                <w:color w:val="auto"/>
              </w:rPr>
            </w:pPr>
            <w:r>
              <w:rPr>
                <w:rFonts w:ascii="Arial" w:cs="Arial" w:eastAsia="Arial" w:hAnsi="Arial"/>
                <w:sz w:val="8"/>
                <w:szCs w:val="8"/>
                <w:color w:val="auto"/>
              </w:rPr>
              <w:t>—</w:t>
            </w:r>
          </w:p>
        </w:tc>
        <w:tc>
          <w:tcPr>
            <w:tcW w:w="700" w:type="dxa"/>
            <w:vAlign w:val="bottom"/>
            <w:shd w:val="clear" w:color="auto" w:fill="CCEEFF"/>
          </w:tcPr>
          <w:p>
            <w:pPr>
              <w:spacing w:after="0"/>
              <w:rPr>
                <w:sz w:val="8"/>
                <w:szCs w:val="8"/>
                <w:color w:val="auto"/>
              </w:rPr>
            </w:pPr>
          </w:p>
        </w:tc>
        <w:tc>
          <w:tcPr>
            <w:tcW w:w="1560" w:type="dxa"/>
            <w:vAlign w:val="bottom"/>
            <w:gridSpan w:val="2"/>
            <w:shd w:val="clear" w:color="auto" w:fill="CCEEFF"/>
          </w:tcPr>
          <w:p>
            <w:pPr>
              <w:jc w:val="right"/>
              <w:ind w:right="1000"/>
              <w:spacing w:after="0"/>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jc w:val="right"/>
              <w:ind w:right="158"/>
              <w:spacing w:after="0"/>
              <w:rPr>
                <w:sz w:val="20"/>
                <w:szCs w:val="20"/>
                <w:color w:val="auto"/>
              </w:rPr>
            </w:pPr>
            <w:r>
              <w:rPr>
                <w:rFonts w:ascii="Arial" w:cs="Arial" w:eastAsia="Arial" w:hAnsi="Arial"/>
                <w:sz w:val="8"/>
                <w:szCs w:val="8"/>
                <w:color w:val="auto"/>
              </w:rPr>
              <w:t>—</w:t>
            </w:r>
          </w:p>
        </w:tc>
        <w:tc>
          <w:tcPr>
            <w:tcW w:w="1500" w:type="dxa"/>
            <w:vAlign w:val="bottom"/>
            <w:gridSpan w:val="2"/>
            <w:shd w:val="clear" w:color="auto" w:fill="CCEEFF"/>
          </w:tcPr>
          <w:p>
            <w:pPr>
              <w:jc w:val="right"/>
              <w:ind w:right="258"/>
              <w:spacing w:after="0"/>
              <w:rPr>
                <w:sz w:val="20"/>
                <w:szCs w:val="20"/>
                <w:color w:val="auto"/>
              </w:rPr>
            </w:pPr>
            <w:r>
              <w:rPr>
                <w:rFonts w:ascii="Arial" w:cs="Arial" w:eastAsia="Arial" w:hAnsi="Arial"/>
                <w:sz w:val="8"/>
                <w:szCs w:val="8"/>
                <w:color w:val="auto"/>
              </w:rPr>
              <w:t>6,543</w:t>
            </w:r>
          </w:p>
        </w:tc>
        <w:tc>
          <w:tcPr>
            <w:tcW w:w="0" w:type="dxa"/>
            <w:vAlign w:val="bottom"/>
          </w:tcPr>
          <w:p>
            <w:pPr>
              <w:spacing w:after="0"/>
              <w:rPr>
                <w:sz w:val="1"/>
                <w:szCs w:val="1"/>
                <w:color w:val="auto"/>
              </w:rPr>
            </w:pPr>
          </w:p>
        </w:tc>
      </w:tr>
      <w:tr>
        <w:trPr>
          <w:trHeight w:val="81"/>
        </w:trPr>
        <w:tc>
          <w:tcPr>
            <w:tcW w:w="2140" w:type="dxa"/>
            <w:vAlign w:val="bottom"/>
          </w:tcPr>
          <w:p>
            <w:pPr>
              <w:spacing w:after="0" w:line="81" w:lineRule="exact"/>
              <w:rPr>
                <w:sz w:val="20"/>
                <w:szCs w:val="20"/>
                <w:color w:val="auto"/>
              </w:rPr>
            </w:pPr>
            <w:r>
              <w:rPr>
                <w:rFonts w:ascii="Arial" w:cs="Arial" w:eastAsia="Arial" w:hAnsi="Arial"/>
                <w:sz w:val="8"/>
                <w:szCs w:val="8"/>
                <w:b w:val="1"/>
                <w:bCs w:val="1"/>
                <w:color w:val="auto"/>
              </w:rPr>
              <w:t>2017</w:t>
            </w: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140" w:type="dxa"/>
            <w:vAlign w:val="bottom"/>
          </w:tcPr>
          <w:p>
            <w:pPr>
              <w:spacing w:after="0" w:line="90" w:lineRule="exact"/>
              <w:rPr>
                <w:sz w:val="20"/>
                <w:szCs w:val="20"/>
                <w:color w:val="auto"/>
              </w:rPr>
            </w:pPr>
            <w:r>
              <w:rPr>
                <w:rFonts w:ascii="Arial" w:cs="Arial" w:eastAsia="Arial" w:hAnsi="Arial"/>
                <w:sz w:val="8"/>
                <w:szCs w:val="8"/>
                <w:color w:val="auto"/>
              </w:rPr>
              <w:t>03/27/2017</w:t>
            </w:r>
          </w:p>
        </w:tc>
        <w:tc>
          <w:tcPr>
            <w:tcW w:w="620" w:type="dxa"/>
            <w:vAlign w:val="bottom"/>
            <w:gridSpan w:val="2"/>
          </w:tcPr>
          <w:p>
            <w:pPr>
              <w:jc w:val="right"/>
              <w:ind w:right="218"/>
              <w:spacing w:after="0" w:line="90" w:lineRule="exact"/>
              <w:rPr>
                <w:sz w:val="20"/>
                <w:szCs w:val="20"/>
                <w:color w:val="auto"/>
              </w:rPr>
            </w:pPr>
            <w:r>
              <w:rPr>
                <w:rFonts w:ascii="Arial" w:cs="Arial" w:eastAsia="Arial" w:hAnsi="Arial"/>
                <w:sz w:val="8"/>
                <w:szCs w:val="8"/>
                <w:color w:val="auto"/>
              </w:rPr>
              <w:t>14.5400</w:t>
            </w:r>
          </w:p>
        </w:tc>
        <w:tc>
          <w:tcPr>
            <w:tcW w:w="700" w:type="dxa"/>
            <w:vAlign w:val="bottom"/>
          </w:tcPr>
          <w:p>
            <w:pPr>
              <w:spacing w:after="0"/>
              <w:rPr>
                <w:sz w:val="7"/>
                <w:szCs w:val="7"/>
                <w:color w:val="auto"/>
              </w:rPr>
            </w:pPr>
          </w:p>
        </w:tc>
        <w:tc>
          <w:tcPr>
            <w:tcW w:w="640" w:type="dxa"/>
            <w:vAlign w:val="bottom"/>
          </w:tcPr>
          <w:p>
            <w:pPr>
              <w:jc w:val="right"/>
              <w:ind w:right="138"/>
              <w:spacing w:after="0" w:line="90" w:lineRule="exact"/>
              <w:rPr>
                <w:sz w:val="20"/>
                <w:szCs w:val="20"/>
                <w:color w:val="auto"/>
              </w:rPr>
            </w:pPr>
            <w:r>
              <w:rPr>
                <w:rFonts w:ascii="Arial" w:cs="Arial" w:eastAsia="Arial" w:hAnsi="Arial"/>
                <w:sz w:val="8"/>
                <w:szCs w:val="8"/>
                <w:color w:val="auto"/>
              </w:rPr>
              <w:t>57,250</w:t>
            </w:r>
          </w:p>
        </w:tc>
        <w:tc>
          <w:tcPr>
            <w:tcW w:w="1520" w:type="dxa"/>
            <w:vAlign w:val="bottom"/>
            <w:gridSpan w:val="2"/>
          </w:tcPr>
          <w:p>
            <w:pPr>
              <w:jc w:val="right"/>
              <w:ind w:right="238"/>
              <w:spacing w:after="0" w:line="90" w:lineRule="exact"/>
              <w:rPr>
                <w:sz w:val="20"/>
                <w:szCs w:val="20"/>
                <w:color w:val="auto"/>
              </w:rPr>
            </w:pPr>
            <w:r>
              <w:rPr>
                <w:rFonts w:ascii="Arial" w:cs="Arial" w:eastAsia="Arial" w:hAnsi="Arial"/>
                <w:sz w:val="8"/>
                <w:szCs w:val="8"/>
                <w:color w:val="auto"/>
              </w:rPr>
              <w:t>34,500</w:t>
            </w:r>
          </w:p>
        </w:tc>
        <w:tc>
          <w:tcPr>
            <w:tcW w:w="1560" w:type="dxa"/>
            <w:vAlign w:val="bottom"/>
            <w:gridSpan w:val="2"/>
          </w:tcPr>
          <w:p>
            <w:pPr>
              <w:jc w:val="right"/>
              <w:ind w:right="258"/>
              <w:spacing w:after="0" w:line="90" w:lineRule="exact"/>
              <w:rPr>
                <w:sz w:val="20"/>
                <w:szCs w:val="20"/>
                <w:color w:val="auto"/>
              </w:rPr>
            </w:pPr>
            <w:r>
              <w:rPr>
                <w:rFonts w:ascii="Arial" w:cs="Arial" w:eastAsia="Arial" w:hAnsi="Arial"/>
                <w:sz w:val="8"/>
                <w:szCs w:val="8"/>
                <w:color w:val="auto"/>
              </w:rPr>
              <w:t>46,000</w:t>
            </w:r>
          </w:p>
        </w:tc>
        <w:tc>
          <w:tcPr>
            <w:tcW w:w="700" w:type="dxa"/>
            <w:vAlign w:val="bottom"/>
          </w:tcPr>
          <w:p>
            <w:pPr>
              <w:spacing w:after="0"/>
              <w:rPr>
                <w:sz w:val="7"/>
                <w:szCs w:val="7"/>
                <w:color w:val="auto"/>
              </w:rPr>
            </w:pPr>
          </w:p>
        </w:tc>
        <w:tc>
          <w:tcPr>
            <w:tcW w:w="620" w:type="dxa"/>
            <w:vAlign w:val="bottom"/>
          </w:tcPr>
          <w:p>
            <w:pPr>
              <w:jc w:val="right"/>
              <w:ind w:right="158"/>
              <w:spacing w:after="0" w:line="90" w:lineRule="exact"/>
              <w:rPr>
                <w:sz w:val="20"/>
                <w:szCs w:val="20"/>
                <w:color w:val="auto"/>
              </w:rPr>
            </w:pPr>
            <w:r>
              <w:rPr>
                <w:rFonts w:ascii="Arial" w:cs="Arial" w:eastAsia="Arial" w:hAnsi="Arial"/>
                <w:sz w:val="8"/>
                <w:szCs w:val="8"/>
                <w:color w:val="auto"/>
              </w:rPr>
              <w:t>27,000</w:t>
            </w:r>
          </w:p>
        </w:tc>
        <w:tc>
          <w:tcPr>
            <w:tcW w:w="1500" w:type="dxa"/>
            <w:vAlign w:val="bottom"/>
            <w:gridSpan w:val="2"/>
          </w:tcPr>
          <w:p>
            <w:pPr>
              <w:jc w:val="right"/>
              <w:ind w:right="258"/>
              <w:spacing w:after="0" w:line="90" w:lineRule="exact"/>
              <w:rPr>
                <w:sz w:val="20"/>
                <w:szCs w:val="20"/>
                <w:color w:val="auto"/>
              </w:rPr>
            </w:pPr>
            <w:r>
              <w:rPr>
                <w:rFonts w:ascii="Arial" w:cs="Arial" w:eastAsia="Arial" w:hAnsi="Arial"/>
                <w:sz w:val="8"/>
                <w:szCs w:val="8"/>
                <w:color w:val="auto"/>
              </w:rPr>
              <w:t>7,050</w:t>
            </w:r>
          </w:p>
        </w:tc>
        <w:tc>
          <w:tcPr>
            <w:tcW w:w="0" w:type="dxa"/>
            <w:vAlign w:val="bottom"/>
          </w:tcPr>
          <w:p>
            <w:pPr>
              <w:spacing w:after="0"/>
              <w:rPr>
                <w:sz w:val="1"/>
                <w:szCs w:val="1"/>
                <w:color w:val="auto"/>
              </w:rPr>
            </w:pPr>
          </w:p>
        </w:tc>
      </w:tr>
      <w:tr>
        <w:trPr>
          <w:trHeight w:val="90"/>
        </w:trPr>
        <w:tc>
          <w:tcPr>
            <w:tcW w:w="2140" w:type="dxa"/>
            <w:vAlign w:val="bottom"/>
          </w:tcPr>
          <w:p>
            <w:pPr>
              <w:spacing w:after="0" w:line="90" w:lineRule="exact"/>
              <w:rPr>
                <w:sz w:val="20"/>
                <w:szCs w:val="20"/>
                <w:color w:val="auto"/>
              </w:rPr>
            </w:pPr>
            <w:r>
              <w:rPr>
                <w:rFonts w:ascii="Arial" w:cs="Arial" w:eastAsia="Arial" w:hAnsi="Arial"/>
                <w:sz w:val="8"/>
                <w:szCs w:val="8"/>
                <w:color w:val="auto"/>
              </w:rPr>
              <w:t>03/28/2017</w:t>
            </w:r>
          </w:p>
        </w:tc>
        <w:tc>
          <w:tcPr>
            <w:tcW w:w="620" w:type="dxa"/>
            <w:vAlign w:val="bottom"/>
            <w:gridSpan w:val="2"/>
          </w:tcPr>
          <w:p>
            <w:pPr>
              <w:jc w:val="right"/>
              <w:ind w:right="218"/>
              <w:spacing w:after="0" w:line="90" w:lineRule="exact"/>
              <w:rPr>
                <w:sz w:val="20"/>
                <w:szCs w:val="20"/>
                <w:color w:val="auto"/>
              </w:rPr>
            </w:pPr>
            <w:r>
              <w:rPr>
                <w:rFonts w:ascii="Arial" w:cs="Arial" w:eastAsia="Arial" w:hAnsi="Arial"/>
                <w:sz w:val="8"/>
                <w:szCs w:val="8"/>
                <w:color w:val="auto"/>
              </w:rPr>
              <w:t>18.9800</w:t>
            </w:r>
          </w:p>
        </w:tc>
        <w:tc>
          <w:tcPr>
            <w:tcW w:w="700" w:type="dxa"/>
            <w:vAlign w:val="bottom"/>
          </w:tcPr>
          <w:p>
            <w:pPr>
              <w:spacing w:after="0"/>
              <w:rPr>
                <w:sz w:val="7"/>
                <w:szCs w:val="7"/>
                <w:color w:val="auto"/>
              </w:rPr>
            </w:pPr>
          </w:p>
        </w:tc>
        <w:tc>
          <w:tcPr>
            <w:tcW w:w="640" w:type="dxa"/>
            <w:vAlign w:val="bottom"/>
          </w:tcPr>
          <w:p>
            <w:pPr>
              <w:jc w:val="right"/>
              <w:ind w:right="138"/>
              <w:spacing w:after="0" w:line="90" w:lineRule="exact"/>
              <w:rPr>
                <w:sz w:val="20"/>
                <w:szCs w:val="20"/>
                <w:color w:val="auto"/>
              </w:rPr>
            </w:pPr>
            <w:r>
              <w:rPr>
                <w:rFonts w:ascii="Arial" w:cs="Arial" w:eastAsia="Arial" w:hAnsi="Arial"/>
                <w:sz w:val="8"/>
                <w:szCs w:val="8"/>
                <w:color w:val="auto"/>
              </w:rPr>
              <w:t>40,150</w:t>
            </w:r>
          </w:p>
        </w:tc>
        <w:tc>
          <w:tcPr>
            <w:tcW w:w="1520" w:type="dxa"/>
            <w:vAlign w:val="bottom"/>
            <w:gridSpan w:val="2"/>
          </w:tcPr>
          <w:p>
            <w:pPr>
              <w:jc w:val="right"/>
              <w:ind w:right="238"/>
              <w:spacing w:after="0" w:line="90" w:lineRule="exact"/>
              <w:rPr>
                <w:sz w:val="20"/>
                <w:szCs w:val="20"/>
                <w:color w:val="auto"/>
              </w:rPr>
            </w:pPr>
            <w:r>
              <w:rPr>
                <w:rFonts w:ascii="Arial" w:cs="Arial" w:eastAsia="Arial" w:hAnsi="Arial"/>
                <w:sz w:val="8"/>
                <w:szCs w:val="8"/>
                <w:color w:val="auto"/>
              </w:rPr>
              <w:t>24,090</w:t>
            </w:r>
          </w:p>
        </w:tc>
        <w:tc>
          <w:tcPr>
            <w:tcW w:w="1560" w:type="dxa"/>
            <w:vAlign w:val="bottom"/>
            <w:gridSpan w:val="2"/>
          </w:tcPr>
          <w:p>
            <w:pPr>
              <w:jc w:val="right"/>
              <w:ind w:right="258"/>
              <w:spacing w:after="0" w:line="90" w:lineRule="exact"/>
              <w:rPr>
                <w:sz w:val="20"/>
                <w:szCs w:val="20"/>
                <w:color w:val="auto"/>
              </w:rPr>
            </w:pPr>
            <w:r>
              <w:rPr>
                <w:rFonts w:ascii="Arial" w:cs="Arial" w:eastAsia="Arial" w:hAnsi="Arial"/>
                <w:sz w:val="8"/>
                <w:szCs w:val="8"/>
                <w:color w:val="auto"/>
              </w:rPr>
              <w:t>32,120</w:t>
            </w:r>
          </w:p>
        </w:tc>
        <w:tc>
          <w:tcPr>
            <w:tcW w:w="700" w:type="dxa"/>
            <w:vAlign w:val="bottom"/>
          </w:tcPr>
          <w:p>
            <w:pPr>
              <w:spacing w:after="0"/>
              <w:rPr>
                <w:sz w:val="7"/>
                <w:szCs w:val="7"/>
                <w:color w:val="auto"/>
              </w:rPr>
            </w:pPr>
          </w:p>
        </w:tc>
        <w:tc>
          <w:tcPr>
            <w:tcW w:w="620" w:type="dxa"/>
            <w:vAlign w:val="bottom"/>
          </w:tcPr>
          <w:p>
            <w:pPr>
              <w:jc w:val="right"/>
              <w:ind w:right="158"/>
              <w:spacing w:after="0" w:line="90" w:lineRule="exact"/>
              <w:rPr>
                <w:sz w:val="20"/>
                <w:szCs w:val="20"/>
                <w:color w:val="auto"/>
              </w:rPr>
            </w:pPr>
            <w:r>
              <w:rPr>
                <w:rFonts w:ascii="Arial" w:cs="Arial" w:eastAsia="Arial" w:hAnsi="Arial"/>
                <w:sz w:val="8"/>
                <w:szCs w:val="8"/>
                <w:color w:val="auto"/>
              </w:rPr>
              <w:t>18,700</w:t>
            </w:r>
          </w:p>
        </w:tc>
        <w:tc>
          <w:tcPr>
            <w:tcW w:w="1500" w:type="dxa"/>
            <w:vAlign w:val="bottom"/>
            <w:gridSpan w:val="2"/>
          </w:tcPr>
          <w:p>
            <w:pPr>
              <w:jc w:val="right"/>
              <w:ind w:right="258"/>
              <w:spacing w:after="0" w:line="90" w:lineRule="exact"/>
              <w:rPr>
                <w:sz w:val="20"/>
                <w:szCs w:val="20"/>
                <w:color w:val="auto"/>
              </w:rPr>
            </w:pPr>
            <w:r>
              <w:rPr>
                <w:rFonts w:ascii="Arial" w:cs="Arial" w:eastAsia="Arial" w:hAnsi="Arial"/>
                <w:sz w:val="8"/>
                <w:szCs w:val="8"/>
                <w:color w:val="auto"/>
              </w:rPr>
              <w:t>4,950</w:t>
            </w:r>
          </w:p>
        </w:tc>
        <w:tc>
          <w:tcPr>
            <w:tcW w:w="0" w:type="dxa"/>
            <w:vAlign w:val="bottom"/>
          </w:tcPr>
          <w:p>
            <w:pPr>
              <w:spacing w:after="0"/>
              <w:rPr>
                <w:sz w:val="1"/>
                <w:szCs w:val="1"/>
                <w:color w:val="auto"/>
              </w:rPr>
            </w:pPr>
          </w:p>
        </w:tc>
      </w:tr>
      <w:tr>
        <w:trPr>
          <w:trHeight w:val="90"/>
        </w:trPr>
        <w:tc>
          <w:tcPr>
            <w:tcW w:w="2140" w:type="dxa"/>
            <w:vAlign w:val="bottom"/>
          </w:tcPr>
          <w:p>
            <w:pPr>
              <w:spacing w:after="0" w:line="90" w:lineRule="exact"/>
              <w:rPr>
                <w:sz w:val="20"/>
                <w:szCs w:val="20"/>
                <w:color w:val="auto"/>
              </w:rPr>
            </w:pPr>
            <w:r>
              <w:rPr>
                <w:rFonts w:ascii="Arial" w:cs="Arial" w:eastAsia="Arial" w:hAnsi="Arial"/>
                <w:sz w:val="8"/>
                <w:szCs w:val="8"/>
                <w:color w:val="auto"/>
              </w:rPr>
              <w:t>09/28/2017</w:t>
            </w:r>
          </w:p>
        </w:tc>
        <w:tc>
          <w:tcPr>
            <w:tcW w:w="620" w:type="dxa"/>
            <w:vAlign w:val="bottom"/>
            <w:gridSpan w:val="2"/>
          </w:tcPr>
          <w:p>
            <w:pPr>
              <w:jc w:val="right"/>
              <w:ind w:right="218"/>
              <w:spacing w:after="0" w:line="90" w:lineRule="exact"/>
              <w:rPr>
                <w:sz w:val="20"/>
                <w:szCs w:val="20"/>
                <w:color w:val="auto"/>
              </w:rPr>
            </w:pPr>
            <w:r>
              <w:rPr>
                <w:rFonts w:ascii="Arial" w:cs="Arial" w:eastAsia="Arial" w:hAnsi="Arial"/>
                <w:sz w:val="8"/>
                <w:szCs w:val="8"/>
                <w:color w:val="auto"/>
              </w:rPr>
              <w:t>18.9800</w:t>
            </w:r>
          </w:p>
        </w:tc>
        <w:tc>
          <w:tcPr>
            <w:tcW w:w="700" w:type="dxa"/>
            <w:vAlign w:val="bottom"/>
          </w:tcPr>
          <w:p>
            <w:pPr>
              <w:spacing w:after="0"/>
              <w:rPr>
                <w:sz w:val="7"/>
                <w:szCs w:val="7"/>
                <w:color w:val="auto"/>
              </w:rPr>
            </w:pPr>
          </w:p>
        </w:tc>
        <w:tc>
          <w:tcPr>
            <w:tcW w:w="640" w:type="dxa"/>
            <w:vAlign w:val="bottom"/>
          </w:tcPr>
          <w:p>
            <w:pPr>
              <w:jc w:val="right"/>
              <w:ind w:right="138"/>
              <w:spacing w:after="0" w:line="90" w:lineRule="exact"/>
              <w:rPr>
                <w:sz w:val="20"/>
                <w:szCs w:val="20"/>
                <w:color w:val="auto"/>
              </w:rPr>
            </w:pPr>
            <w:r>
              <w:rPr>
                <w:rFonts w:ascii="Arial" w:cs="Arial" w:eastAsia="Arial" w:hAnsi="Arial"/>
                <w:sz w:val="8"/>
                <w:szCs w:val="8"/>
                <w:color w:val="auto"/>
              </w:rPr>
              <w:t>40,150</w:t>
            </w:r>
          </w:p>
        </w:tc>
        <w:tc>
          <w:tcPr>
            <w:tcW w:w="1520" w:type="dxa"/>
            <w:vAlign w:val="bottom"/>
            <w:gridSpan w:val="2"/>
          </w:tcPr>
          <w:p>
            <w:pPr>
              <w:jc w:val="right"/>
              <w:ind w:right="238"/>
              <w:spacing w:after="0" w:line="90" w:lineRule="exact"/>
              <w:rPr>
                <w:sz w:val="20"/>
                <w:szCs w:val="20"/>
                <w:color w:val="auto"/>
              </w:rPr>
            </w:pPr>
            <w:r>
              <w:rPr>
                <w:rFonts w:ascii="Arial" w:cs="Arial" w:eastAsia="Arial" w:hAnsi="Arial"/>
                <w:sz w:val="8"/>
                <w:szCs w:val="8"/>
                <w:color w:val="auto"/>
              </w:rPr>
              <w:t>24,090</w:t>
            </w:r>
          </w:p>
        </w:tc>
        <w:tc>
          <w:tcPr>
            <w:tcW w:w="1560" w:type="dxa"/>
            <w:vAlign w:val="bottom"/>
            <w:gridSpan w:val="2"/>
          </w:tcPr>
          <w:p>
            <w:pPr>
              <w:jc w:val="right"/>
              <w:ind w:right="258"/>
              <w:spacing w:after="0" w:line="90" w:lineRule="exact"/>
              <w:rPr>
                <w:sz w:val="20"/>
                <w:szCs w:val="20"/>
                <w:color w:val="auto"/>
              </w:rPr>
            </w:pPr>
            <w:r>
              <w:rPr>
                <w:rFonts w:ascii="Arial" w:cs="Arial" w:eastAsia="Arial" w:hAnsi="Arial"/>
                <w:sz w:val="8"/>
                <w:szCs w:val="8"/>
                <w:color w:val="auto"/>
              </w:rPr>
              <w:t>32,120</w:t>
            </w:r>
          </w:p>
        </w:tc>
        <w:tc>
          <w:tcPr>
            <w:tcW w:w="700" w:type="dxa"/>
            <w:vAlign w:val="bottom"/>
          </w:tcPr>
          <w:p>
            <w:pPr>
              <w:spacing w:after="0"/>
              <w:rPr>
                <w:sz w:val="7"/>
                <w:szCs w:val="7"/>
                <w:color w:val="auto"/>
              </w:rPr>
            </w:pPr>
          </w:p>
        </w:tc>
        <w:tc>
          <w:tcPr>
            <w:tcW w:w="620" w:type="dxa"/>
            <w:vAlign w:val="bottom"/>
          </w:tcPr>
          <w:p>
            <w:pPr>
              <w:jc w:val="right"/>
              <w:ind w:right="158"/>
              <w:spacing w:after="0" w:line="90" w:lineRule="exact"/>
              <w:rPr>
                <w:sz w:val="20"/>
                <w:szCs w:val="20"/>
                <w:color w:val="auto"/>
              </w:rPr>
            </w:pPr>
            <w:r>
              <w:rPr>
                <w:rFonts w:ascii="Arial" w:cs="Arial" w:eastAsia="Arial" w:hAnsi="Arial"/>
                <w:sz w:val="8"/>
                <w:szCs w:val="8"/>
                <w:color w:val="auto"/>
              </w:rPr>
              <w:t>18,700</w:t>
            </w:r>
          </w:p>
        </w:tc>
        <w:tc>
          <w:tcPr>
            <w:tcW w:w="1500" w:type="dxa"/>
            <w:vAlign w:val="bottom"/>
            <w:gridSpan w:val="2"/>
          </w:tcPr>
          <w:p>
            <w:pPr>
              <w:jc w:val="right"/>
              <w:ind w:right="258"/>
              <w:spacing w:after="0" w:line="90" w:lineRule="exact"/>
              <w:rPr>
                <w:sz w:val="20"/>
                <w:szCs w:val="20"/>
                <w:color w:val="auto"/>
              </w:rPr>
            </w:pPr>
            <w:r>
              <w:rPr>
                <w:rFonts w:ascii="Arial" w:cs="Arial" w:eastAsia="Arial" w:hAnsi="Arial"/>
                <w:sz w:val="8"/>
                <w:szCs w:val="8"/>
                <w:color w:val="auto"/>
              </w:rPr>
              <w:t>4,950</w:t>
            </w:r>
          </w:p>
        </w:tc>
        <w:tc>
          <w:tcPr>
            <w:tcW w:w="0" w:type="dxa"/>
            <w:vAlign w:val="bottom"/>
          </w:tcPr>
          <w:p>
            <w:pPr>
              <w:spacing w:after="0"/>
              <w:rPr>
                <w:sz w:val="1"/>
                <w:szCs w:val="1"/>
                <w:color w:val="auto"/>
              </w:rPr>
            </w:pPr>
          </w:p>
        </w:tc>
      </w:tr>
      <w:tr>
        <w:trPr>
          <w:trHeight w:val="99"/>
        </w:trPr>
        <w:tc>
          <w:tcPr>
            <w:tcW w:w="2140" w:type="dxa"/>
            <w:vAlign w:val="bottom"/>
          </w:tcPr>
          <w:p>
            <w:pPr>
              <w:spacing w:after="0"/>
              <w:rPr>
                <w:sz w:val="20"/>
                <w:szCs w:val="20"/>
                <w:color w:val="auto"/>
              </w:rPr>
            </w:pPr>
            <w:r>
              <w:rPr>
                <w:rFonts w:ascii="Arial" w:cs="Arial" w:eastAsia="Arial" w:hAnsi="Arial"/>
                <w:sz w:val="8"/>
                <w:szCs w:val="8"/>
                <w:color w:val="auto"/>
              </w:rPr>
              <w:t>12/18/2017</w:t>
            </w:r>
          </w:p>
        </w:tc>
        <w:tc>
          <w:tcPr>
            <w:tcW w:w="620" w:type="dxa"/>
            <w:vAlign w:val="bottom"/>
            <w:gridSpan w:val="2"/>
          </w:tcPr>
          <w:p>
            <w:pPr>
              <w:jc w:val="right"/>
              <w:ind w:right="218"/>
              <w:spacing w:after="0"/>
              <w:rPr>
                <w:sz w:val="20"/>
                <w:szCs w:val="20"/>
                <w:color w:val="auto"/>
              </w:rPr>
            </w:pPr>
            <w:r>
              <w:rPr>
                <w:rFonts w:ascii="Arial" w:cs="Arial" w:eastAsia="Arial" w:hAnsi="Arial"/>
                <w:sz w:val="8"/>
                <w:szCs w:val="8"/>
                <w:color w:val="auto"/>
              </w:rPr>
              <w:t>17.2400</w:t>
            </w:r>
          </w:p>
        </w:tc>
        <w:tc>
          <w:tcPr>
            <w:tcW w:w="700" w:type="dxa"/>
            <w:vAlign w:val="bottom"/>
          </w:tcPr>
          <w:p>
            <w:pPr>
              <w:spacing w:after="0"/>
              <w:rPr>
                <w:sz w:val="8"/>
                <w:szCs w:val="8"/>
                <w:color w:val="auto"/>
              </w:rPr>
            </w:pPr>
          </w:p>
        </w:tc>
        <w:tc>
          <w:tcPr>
            <w:tcW w:w="640" w:type="dxa"/>
            <w:vAlign w:val="bottom"/>
          </w:tcPr>
          <w:p>
            <w:pPr>
              <w:jc w:val="right"/>
              <w:ind w:right="138"/>
              <w:spacing w:after="0"/>
              <w:rPr>
                <w:sz w:val="20"/>
                <w:szCs w:val="20"/>
                <w:color w:val="auto"/>
              </w:rPr>
            </w:pPr>
            <w:r>
              <w:rPr>
                <w:rFonts w:ascii="Arial" w:cs="Arial" w:eastAsia="Arial" w:hAnsi="Arial"/>
                <w:sz w:val="8"/>
                <w:szCs w:val="8"/>
                <w:color w:val="auto"/>
              </w:rPr>
              <w:t>—</w:t>
            </w:r>
          </w:p>
        </w:tc>
        <w:tc>
          <w:tcPr>
            <w:tcW w:w="680" w:type="dxa"/>
            <w:vAlign w:val="bottom"/>
          </w:tcPr>
          <w:p>
            <w:pPr>
              <w:spacing w:after="0"/>
              <w:rPr>
                <w:sz w:val="8"/>
                <w:szCs w:val="8"/>
                <w:color w:val="auto"/>
              </w:rPr>
            </w:pPr>
          </w:p>
        </w:tc>
        <w:tc>
          <w:tcPr>
            <w:tcW w:w="840" w:type="dxa"/>
            <w:vAlign w:val="bottom"/>
          </w:tcPr>
          <w:p>
            <w:pPr>
              <w:jc w:val="right"/>
              <w:ind w:right="238"/>
              <w:spacing w:after="0"/>
              <w:rPr>
                <w:sz w:val="20"/>
                <w:szCs w:val="20"/>
                <w:color w:val="auto"/>
              </w:rPr>
            </w:pPr>
            <w:r>
              <w:rPr>
                <w:rFonts w:ascii="Arial" w:cs="Arial" w:eastAsia="Arial" w:hAnsi="Arial"/>
                <w:sz w:val="8"/>
                <w:szCs w:val="8"/>
                <w:color w:val="auto"/>
              </w:rPr>
              <w:t>—</w:t>
            </w:r>
          </w:p>
        </w:tc>
        <w:tc>
          <w:tcPr>
            <w:tcW w:w="700" w:type="dxa"/>
            <w:vAlign w:val="bottom"/>
          </w:tcPr>
          <w:p>
            <w:pPr>
              <w:spacing w:after="0"/>
              <w:rPr>
                <w:sz w:val="8"/>
                <w:szCs w:val="8"/>
                <w:color w:val="auto"/>
              </w:rPr>
            </w:pPr>
          </w:p>
        </w:tc>
        <w:tc>
          <w:tcPr>
            <w:tcW w:w="1560" w:type="dxa"/>
            <w:vAlign w:val="bottom"/>
            <w:gridSpan w:val="2"/>
          </w:tcPr>
          <w:p>
            <w:pPr>
              <w:jc w:val="right"/>
              <w:ind w:right="1000"/>
              <w:spacing w:after="0"/>
              <w:rPr>
                <w:sz w:val="20"/>
                <w:szCs w:val="20"/>
                <w:color w:val="auto"/>
              </w:rPr>
            </w:pPr>
            <w:r>
              <w:rPr>
                <w:rFonts w:ascii="Arial" w:cs="Arial" w:eastAsia="Arial" w:hAnsi="Arial"/>
                <w:sz w:val="8"/>
                <w:szCs w:val="8"/>
                <w:color w:val="auto"/>
              </w:rPr>
              <w:t>—</w:t>
            </w:r>
          </w:p>
        </w:tc>
        <w:tc>
          <w:tcPr>
            <w:tcW w:w="620" w:type="dxa"/>
            <w:vAlign w:val="bottom"/>
          </w:tcPr>
          <w:p>
            <w:pPr>
              <w:jc w:val="right"/>
              <w:ind w:right="158"/>
              <w:spacing w:after="0"/>
              <w:rPr>
                <w:sz w:val="20"/>
                <w:szCs w:val="20"/>
                <w:color w:val="auto"/>
              </w:rPr>
            </w:pPr>
            <w:r>
              <w:rPr>
                <w:rFonts w:ascii="Arial" w:cs="Arial" w:eastAsia="Arial" w:hAnsi="Arial"/>
                <w:sz w:val="8"/>
                <w:szCs w:val="8"/>
                <w:color w:val="auto"/>
              </w:rPr>
              <w:t>—</w:t>
            </w:r>
          </w:p>
        </w:tc>
        <w:tc>
          <w:tcPr>
            <w:tcW w:w="1500" w:type="dxa"/>
            <w:vAlign w:val="bottom"/>
            <w:gridSpan w:val="2"/>
          </w:tcPr>
          <w:p>
            <w:pPr>
              <w:jc w:val="right"/>
              <w:ind w:right="258"/>
              <w:spacing w:after="0"/>
              <w:rPr>
                <w:sz w:val="20"/>
                <w:szCs w:val="20"/>
                <w:color w:val="auto"/>
              </w:rPr>
            </w:pPr>
            <w:r>
              <w:rPr>
                <w:rFonts w:ascii="Arial" w:cs="Arial" w:eastAsia="Arial" w:hAnsi="Arial"/>
                <w:sz w:val="8"/>
                <w:szCs w:val="8"/>
                <w:color w:val="auto"/>
              </w:rPr>
              <w:t>6,543</w:t>
            </w:r>
          </w:p>
        </w:tc>
        <w:tc>
          <w:tcPr>
            <w:tcW w:w="0" w:type="dxa"/>
            <w:vAlign w:val="bottom"/>
          </w:tcPr>
          <w:p>
            <w:pPr>
              <w:spacing w:after="0"/>
              <w:rPr>
                <w:sz w:val="1"/>
                <w:szCs w:val="1"/>
                <w:color w:val="auto"/>
              </w:rPr>
            </w:pPr>
          </w:p>
        </w:tc>
      </w:tr>
      <w:tr>
        <w:trPr>
          <w:trHeight w:val="81"/>
        </w:trPr>
        <w:tc>
          <w:tcPr>
            <w:tcW w:w="2140" w:type="dxa"/>
            <w:vAlign w:val="bottom"/>
            <w:shd w:val="clear" w:color="auto" w:fill="CCEEFF"/>
          </w:tcPr>
          <w:p>
            <w:pPr>
              <w:spacing w:after="0" w:line="81" w:lineRule="exact"/>
              <w:rPr>
                <w:sz w:val="20"/>
                <w:szCs w:val="20"/>
                <w:color w:val="auto"/>
              </w:rPr>
            </w:pPr>
            <w:r>
              <w:rPr>
                <w:rFonts w:ascii="Arial" w:cs="Arial" w:eastAsia="Arial" w:hAnsi="Arial"/>
                <w:sz w:val="8"/>
                <w:szCs w:val="8"/>
                <w:b w:val="1"/>
                <w:bCs w:val="1"/>
                <w:color w:val="auto"/>
              </w:rPr>
              <w:t>2018</w:t>
            </w:r>
          </w:p>
        </w:tc>
        <w:tc>
          <w:tcPr>
            <w:tcW w:w="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14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03/27/2018</w:t>
            </w:r>
          </w:p>
        </w:tc>
        <w:tc>
          <w:tcPr>
            <w:tcW w:w="620" w:type="dxa"/>
            <w:vAlign w:val="bottom"/>
            <w:gridSpan w:val="2"/>
            <w:shd w:val="clear" w:color="auto" w:fill="CCEEFF"/>
          </w:tcPr>
          <w:p>
            <w:pPr>
              <w:jc w:val="right"/>
              <w:ind w:right="218"/>
              <w:spacing w:after="0" w:line="90" w:lineRule="exact"/>
              <w:rPr>
                <w:sz w:val="20"/>
                <w:szCs w:val="20"/>
                <w:color w:val="auto"/>
              </w:rPr>
            </w:pPr>
            <w:r>
              <w:rPr>
                <w:rFonts w:ascii="Arial" w:cs="Arial" w:eastAsia="Arial" w:hAnsi="Arial"/>
                <w:sz w:val="8"/>
                <w:szCs w:val="8"/>
                <w:color w:val="auto"/>
              </w:rPr>
              <w:t>14.5400</w:t>
            </w:r>
          </w:p>
        </w:tc>
        <w:tc>
          <w:tcPr>
            <w:tcW w:w="700" w:type="dxa"/>
            <w:vAlign w:val="bottom"/>
            <w:shd w:val="clear" w:color="auto" w:fill="CCEEFF"/>
          </w:tcPr>
          <w:p>
            <w:pPr>
              <w:spacing w:after="0"/>
              <w:rPr>
                <w:sz w:val="7"/>
                <w:szCs w:val="7"/>
                <w:color w:val="auto"/>
              </w:rPr>
            </w:pP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57,250</w:t>
            </w:r>
          </w:p>
        </w:tc>
        <w:tc>
          <w:tcPr>
            <w:tcW w:w="1520" w:type="dxa"/>
            <w:vAlign w:val="bottom"/>
            <w:gridSpan w:val="2"/>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rPr>
              <w:t>34,500</w:t>
            </w:r>
          </w:p>
        </w:tc>
        <w:tc>
          <w:tcPr>
            <w:tcW w:w="1560" w:type="dxa"/>
            <w:vAlign w:val="bottom"/>
            <w:gridSpan w:val="2"/>
            <w:shd w:val="clear" w:color="auto" w:fill="CCEEFF"/>
          </w:tcPr>
          <w:p>
            <w:pPr>
              <w:jc w:val="right"/>
              <w:ind w:right="258"/>
              <w:spacing w:after="0" w:line="90" w:lineRule="exact"/>
              <w:rPr>
                <w:sz w:val="20"/>
                <w:szCs w:val="20"/>
                <w:color w:val="auto"/>
              </w:rPr>
            </w:pPr>
            <w:r>
              <w:rPr>
                <w:rFonts w:ascii="Arial" w:cs="Arial" w:eastAsia="Arial" w:hAnsi="Arial"/>
                <w:sz w:val="8"/>
                <w:szCs w:val="8"/>
                <w:color w:val="auto"/>
              </w:rPr>
              <w:t>46,000</w:t>
            </w:r>
          </w:p>
        </w:tc>
        <w:tc>
          <w:tcPr>
            <w:tcW w:w="700" w:type="dxa"/>
            <w:vAlign w:val="bottom"/>
            <w:shd w:val="clear" w:color="auto" w:fill="CCEEFF"/>
          </w:tcPr>
          <w:p>
            <w:pPr>
              <w:spacing w:after="0"/>
              <w:rPr>
                <w:sz w:val="7"/>
                <w:szCs w:val="7"/>
                <w:color w:val="auto"/>
              </w:rPr>
            </w:pPr>
          </w:p>
        </w:tc>
        <w:tc>
          <w:tcPr>
            <w:tcW w:w="620" w:type="dxa"/>
            <w:vAlign w:val="bottom"/>
            <w:shd w:val="clear" w:color="auto" w:fill="CCEEFF"/>
          </w:tcPr>
          <w:p>
            <w:pPr>
              <w:jc w:val="right"/>
              <w:ind w:right="158"/>
              <w:spacing w:after="0" w:line="90" w:lineRule="exact"/>
              <w:rPr>
                <w:sz w:val="20"/>
                <w:szCs w:val="20"/>
                <w:color w:val="auto"/>
              </w:rPr>
            </w:pPr>
            <w:r>
              <w:rPr>
                <w:rFonts w:ascii="Arial" w:cs="Arial" w:eastAsia="Arial" w:hAnsi="Arial"/>
                <w:sz w:val="8"/>
                <w:szCs w:val="8"/>
                <w:color w:val="auto"/>
              </w:rPr>
              <w:t>27,000</w:t>
            </w:r>
          </w:p>
        </w:tc>
        <w:tc>
          <w:tcPr>
            <w:tcW w:w="1500" w:type="dxa"/>
            <w:vAlign w:val="bottom"/>
            <w:gridSpan w:val="2"/>
            <w:shd w:val="clear" w:color="auto" w:fill="CCEEFF"/>
          </w:tcPr>
          <w:p>
            <w:pPr>
              <w:jc w:val="right"/>
              <w:ind w:right="258"/>
              <w:spacing w:after="0" w:line="90" w:lineRule="exact"/>
              <w:rPr>
                <w:sz w:val="20"/>
                <w:szCs w:val="20"/>
                <w:color w:val="auto"/>
              </w:rPr>
            </w:pPr>
            <w:r>
              <w:rPr>
                <w:rFonts w:ascii="Arial" w:cs="Arial" w:eastAsia="Arial" w:hAnsi="Arial"/>
                <w:sz w:val="8"/>
                <w:szCs w:val="8"/>
                <w:color w:val="auto"/>
              </w:rPr>
              <w:t>7,050</w:t>
            </w:r>
          </w:p>
        </w:tc>
        <w:tc>
          <w:tcPr>
            <w:tcW w:w="0" w:type="dxa"/>
            <w:vAlign w:val="bottom"/>
          </w:tcPr>
          <w:p>
            <w:pPr>
              <w:spacing w:after="0"/>
              <w:rPr>
                <w:sz w:val="1"/>
                <w:szCs w:val="1"/>
                <w:color w:val="auto"/>
              </w:rPr>
            </w:pPr>
          </w:p>
        </w:tc>
      </w:tr>
      <w:tr>
        <w:trPr>
          <w:trHeight w:val="90"/>
        </w:trPr>
        <w:tc>
          <w:tcPr>
            <w:tcW w:w="214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09/27/2018</w:t>
            </w:r>
          </w:p>
        </w:tc>
        <w:tc>
          <w:tcPr>
            <w:tcW w:w="620" w:type="dxa"/>
            <w:vAlign w:val="bottom"/>
            <w:gridSpan w:val="2"/>
            <w:shd w:val="clear" w:color="auto" w:fill="CCEEFF"/>
          </w:tcPr>
          <w:p>
            <w:pPr>
              <w:jc w:val="right"/>
              <w:ind w:right="218"/>
              <w:spacing w:after="0" w:line="90" w:lineRule="exact"/>
              <w:rPr>
                <w:sz w:val="20"/>
                <w:szCs w:val="20"/>
                <w:color w:val="auto"/>
              </w:rPr>
            </w:pPr>
            <w:r>
              <w:rPr>
                <w:rFonts w:ascii="Arial" w:cs="Arial" w:eastAsia="Arial" w:hAnsi="Arial"/>
                <w:sz w:val="8"/>
                <w:szCs w:val="8"/>
                <w:color w:val="auto"/>
              </w:rPr>
              <w:t>14.5400</w:t>
            </w:r>
          </w:p>
        </w:tc>
        <w:tc>
          <w:tcPr>
            <w:tcW w:w="700" w:type="dxa"/>
            <w:vAlign w:val="bottom"/>
            <w:shd w:val="clear" w:color="auto" w:fill="CCEEFF"/>
          </w:tcPr>
          <w:p>
            <w:pPr>
              <w:spacing w:after="0"/>
              <w:rPr>
                <w:sz w:val="7"/>
                <w:szCs w:val="7"/>
                <w:color w:val="auto"/>
              </w:rPr>
            </w:pP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57,250</w:t>
            </w:r>
          </w:p>
        </w:tc>
        <w:tc>
          <w:tcPr>
            <w:tcW w:w="1520" w:type="dxa"/>
            <w:vAlign w:val="bottom"/>
            <w:gridSpan w:val="2"/>
            <w:shd w:val="clear" w:color="auto" w:fill="CCEEFF"/>
          </w:tcPr>
          <w:p>
            <w:pPr>
              <w:jc w:val="right"/>
              <w:ind w:right="238"/>
              <w:spacing w:after="0" w:line="90" w:lineRule="exact"/>
              <w:rPr>
                <w:sz w:val="20"/>
                <w:szCs w:val="20"/>
                <w:color w:val="auto"/>
              </w:rPr>
            </w:pPr>
            <w:r>
              <w:rPr>
                <w:rFonts w:ascii="Arial" w:cs="Arial" w:eastAsia="Arial" w:hAnsi="Arial"/>
                <w:sz w:val="8"/>
                <w:szCs w:val="8"/>
                <w:color w:val="auto"/>
              </w:rPr>
              <w:t>34,500</w:t>
            </w:r>
          </w:p>
        </w:tc>
        <w:tc>
          <w:tcPr>
            <w:tcW w:w="1560" w:type="dxa"/>
            <w:vAlign w:val="bottom"/>
            <w:gridSpan w:val="2"/>
            <w:shd w:val="clear" w:color="auto" w:fill="CCEEFF"/>
          </w:tcPr>
          <w:p>
            <w:pPr>
              <w:jc w:val="right"/>
              <w:ind w:right="258"/>
              <w:spacing w:after="0" w:line="90" w:lineRule="exact"/>
              <w:rPr>
                <w:sz w:val="20"/>
                <w:szCs w:val="20"/>
                <w:color w:val="auto"/>
              </w:rPr>
            </w:pPr>
            <w:r>
              <w:rPr>
                <w:rFonts w:ascii="Arial" w:cs="Arial" w:eastAsia="Arial" w:hAnsi="Arial"/>
                <w:sz w:val="8"/>
                <w:szCs w:val="8"/>
                <w:color w:val="auto"/>
              </w:rPr>
              <w:t>46,000</w:t>
            </w:r>
          </w:p>
        </w:tc>
        <w:tc>
          <w:tcPr>
            <w:tcW w:w="700" w:type="dxa"/>
            <w:vAlign w:val="bottom"/>
            <w:shd w:val="clear" w:color="auto" w:fill="CCEEFF"/>
          </w:tcPr>
          <w:p>
            <w:pPr>
              <w:spacing w:after="0"/>
              <w:rPr>
                <w:sz w:val="7"/>
                <w:szCs w:val="7"/>
                <w:color w:val="auto"/>
              </w:rPr>
            </w:pPr>
          </w:p>
        </w:tc>
        <w:tc>
          <w:tcPr>
            <w:tcW w:w="620" w:type="dxa"/>
            <w:vAlign w:val="bottom"/>
            <w:shd w:val="clear" w:color="auto" w:fill="CCEEFF"/>
          </w:tcPr>
          <w:p>
            <w:pPr>
              <w:jc w:val="right"/>
              <w:ind w:right="158"/>
              <w:spacing w:after="0" w:line="90" w:lineRule="exact"/>
              <w:rPr>
                <w:sz w:val="20"/>
                <w:szCs w:val="20"/>
                <w:color w:val="auto"/>
              </w:rPr>
            </w:pPr>
            <w:r>
              <w:rPr>
                <w:rFonts w:ascii="Arial" w:cs="Arial" w:eastAsia="Arial" w:hAnsi="Arial"/>
                <w:sz w:val="8"/>
                <w:szCs w:val="8"/>
                <w:color w:val="auto"/>
              </w:rPr>
              <w:t>27,000</w:t>
            </w:r>
          </w:p>
        </w:tc>
        <w:tc>
          <w:tcPr>
            <w:tcW w:w="1500" w:type="dxa"/>
            <w:vAlign w:val="bottom"/>
            <w:gridSpan w:val="2"/>
            <w:shd w:val="clear" w:color="auto" w:fill="CCEEFF"/>
          </w:tcPr>
          <w:p>
            <w:pPr>
              <w:jc w:val="right"/>
              <w:ind w:right="258"/>
              <w:spacing w:after="0" w:line="90" w:lineRule="exact"/>
              <w:rPr>
                <w:sz w:val="20"/>
                <w:szCs w:val="20"/>
                <w:color w:val="auto"/>
              </w:rPr>
            </w:pPr>
            <w:r>
              <w:rPr>
                <w:rFonts w:ascii="Arial" w:cs="Arial" w:eastAsia="Arial" w:hAnsi="Arial"/>
                <w:sz w:val="8"/>
                <w:szCs w:val="8"/>
                <w:color w:val="auto"/>
              </w:rPr>
              <w:t>7,050</w:t>
            </w:r>
          </w:p>
        </w:tc>
        <w:tc>
          <w:tcPr>
            <w:tcW w:w="0" w:type="dxa"/>
            <w:vAlign w:val="bottom"/>
          </w:tcPr>
          <w:p>
            <w:pPr>
              <w:spacing w:after="0"/>
              <w:rPr>
                <w:sz w:val="1"/>
                <w:szCs w:val="1"/>
                <w:color w:val="auto"/>
              </w:rPr>
            </w:pPr>
          </w:p>
        </w:tc>
      </w:tr>
      <w:tr>
        <w:trPr>
          <w:trHeight w:val="99"/>
        </w:trPr>
        <w:tc>
          <w:tcPr>
            <w:tcW w:w="2140" w:type="dxa"/>
            <w:vAlign w:val="bottom"/>
            <w:shd w:val="clear" w:color="auto" w:fill="CCEEFF"/>
          </w:tcPr>
          <w:p>
            <w:pPr>
              <w:spacing w:after="0"/>
              <w:rPr>
                <w:sz w:val="20"/>
                <w:szCs w:val="20"/>
                <w:color w:val="auto"/>
              </w:rPr>
            </w:pPr>
            <w:r>
              <w:rPr>
                <w:rFonts w:ascii="Arial" w:cs="Arial" w:eastAsia="Arial" w:hAnsi="Arial"/>
                <w:sz w:val="8"/>
                <w:szCs w:val="8"/>
                <w:color w:val="auto"/>
              </w:rPr>
              <w:t>12/18/2018</w:t>
            </w:r>
          </w:p>
        </w:tc>
        <w:tc>
          <w:tcPr>
            <w:tcW w:w="620" w:type="dxa"/>
            <w:vAlign w:val="bottom"/>
            <w:gridSpan w:val="2"/>
            <w:shd w:val="clear" w:color="auto" w:fill="CCEEFF"/>
          </w:tcPr>
          <w:p>
            <w:pPr>
              <w:jc w:val="right"/>
              <w:ind w:right="218"/>
              <w:spacing w:after="0"/>
              <w:rPr>
                <w:sz w:val="20"/>
                <w:szCs w:val="20"/>
                <w:color w:val="auto"/>
              </w:rPr>
            </w:pPr>
            <w:r>
              <w:rPr>
                <w:rFonts w:ascii="Arial" w:cs="Arial" w:eastAsia="Arial" w:hAnsi="Arial"/>
                <w:sz w:val="8"/>
                <w:szCs w:val="8"/>
                <w:color w:val="auto"/>
              </w:rPr>
              <w:t>17.2400</w:t>
            </w:r>
          </w:p>
        </w:tc>
        <w:tc>
          <w:tcPr>
            <w:tcW w:w="700" w:type="dxa"/>
            <w:vAlign w:val="bottom"/>
            <w:shd w:val="clear" w:color="auto" w:fill="CCEEFF"/>
          </w:tcPr>
          <w:p>
            <w:pPr>
              <w:spacing w:after="0"/>
              <w:rPr>
                <w:sz w:val="8"/>
                <w:szCs w:val="8"/>
                <w:color w:val="auto"/>
              </w:rPr>
            </w:pPr>
          </w:p>
        </w:tc>
        <w:tc>
          <w:tcPr>
            <w:tcW w:w="640" w:type="dxa"/>
            <w:vAlign w:val="bottom"/>
            <w:shd w:val="clear" w:color="auto" w:fill="CCEEFF"/>
          </w:tcPr>
          <w:p>
            <w:pPr>
              <w:jc w:val="right"/>
              <w:ind w:right="138"/>
              <w:spacing w:after="0"/>
              <w:rPr>
                <w:sz w:val="20"/>
                <w:szCs w:val="20"/>
                <w:color w:val="auto"/>
              </w:rPr>
            </w:pPr>
            <w:r>
              <w:rPr>
                <w:rFonts w:ascii="Arial" w:cs="Arial" w:eastAsia="Arial" w:hAnsi="Arial"/>
                <w:sz w:val="8"/>
                <w:szCs w:val="8"/>
                <w:color w:val="auto"/>
              </w:rPr>
              <w:t>—</w:t>
            </w:r>
          </w:p>
        </w:tc>
        <w:tc>
          <w:tcPr>
            <w:tcW w:w="680" w:type="dxa"/>
            <w:vAlign w:val="bottom"/>
            <w:shd w:val="clear" w:color="auto" w:fill="CCEEFF"/>
          </w:tcPr>
          <w:p>
            <w:pPr>
              <w:spacing w:after="0"/>
              <w:rPr>
                <w:sz w:val="8"/>
                <w:szCs w:val="8"/>
                <w:color w:val="auto"/>
              </w:rPr>
            </w:pPr>
          </w:p>
        </w:tc>
        <w:tc>
          <w:tcPr>
            <w:tcW w:w="840" w:type="dxa"/>
            <w:vAlign w:val="bottom"/>
            <w:shd w:val="clear" w:color="auto" w:fill="CCEEFF"/>
          </w:tcPr>
          <w:p>
            <w:pPr>
              <w:jc w:val="right"/>
              <w:ind w:right="238"/>
              <w:spacing w:after="0"/>
              <w:rPr>
                <w:sz w:val="20"/>
                <w:szCs w:val="20"/>
                <w:color w:val="auto"/>
              </w:rPr>
            </w:pPr>
            <w:r>
              <w:rPr>
                <w:rFonts w:ascii="Arial" w:cs="Arial" w:eastAsia="Arial" w:hAnsi="Arial"/>
                <w:sz w:val="8"/>
                <w:szCs w:val="8"/>
                <w:color w:val="auto"/>
              </w:rPr>
              <w:t>—</w:t>
            </w:r>
          </w:p>
        </w:tc>
        <w:tc>
          <w:tcPr>
            <w:tcW w:w="700" w:type="dxa"/>
            <w:vAlign w:val="bottom"/>
            <w:shd w:val="clear" w:color="auto" w:fill="CCEEFF"/>
          </w:tcPr>
          <w:p>
            <w:pPr>
              <w:spacing w:after="0"/>
              <w:rPr>
                <w:sz w:val="8"/>
                <w:szCs w:val="8"/>
                <w:color w:val="auto"/>
              </w:rPr>
            </w:pPr>
          </w:p>
        </w:tc>
        <w:tc>
          <w:tcPr>
            <w:tcW w:w="1560" w:type="dxa"/>
            <w:vAlign w:val="bottom"/>
            <w:gridSpan w:val="2"/>
            <w:shd w:val="clear" w:color="auto" w:fill="CCEEFF"/>
          </w:tcPr>
          <w:p>
            <w:pPr>
              <w:jc w:val="right"/>
              <w:ind w:right="1000"/>
              <w:spacing w:after="0"/>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jc w:val="right"/>
              <w:ind w:right="158"/>
              <w:spacing w:after="0"/>
              <w:rPr>
                <w:sz w:val="20"/>
                <w:szCs w:val="20"/>
                <w:color w:val="auto"/>
              </w:rPr>
            </w:pPr>
            <w:r>
              <w:rPr>
                <w:rFonts w:ascii="Arial" w:cs="Arial" w:eastAsia="Arial" w:hAnsi="Arial"/>
                <w:sz w:val="8"/>
                <w:szCs w:val="8"/>
                <w:color w:val="auto"/>
              </w:rPr>
              <w:t>—</w:t>
            </w:r>
          </w:p>
        </w:tc>
        <w:tc>
          <w:tcPr>
            <w:tcW w:w="1500" w:type="dxa"/>
            <w:vAlign w:val="bottom"/>
            <w:gridSpan w:val="2"/>
            <w:shd w:val="clear" w:color="auto" w:fill="CCEEFF"/>
          </w:tcPr>
          <w:p>
            <w:pPr>
              <w:jc w:val="right"/>
              <w:ind w:right="258"/>
              <w:spacing w:after="0"/>
              <w:rPr>
                <w:sz w:val="20"/>
                <w:szCs w:val="20"/>
                <w:color w:val="auto"/>
              </w:rPr>
            </w:pPr>
            <w:r>
              <w:rPr>
                <w:rFonts w:ascii="Arial" w:cs="Arial" w:eastAsia="Arial" w:hAnsi="Arial"/>
                <w:sz w:val="8"/>
                <w:szCs w:val="8"/>
                <w:color w:val="auto"/>
              </w:rPr>
              <w:t>6,543</w:t>
            </w:r>
          </w:p>
        </w:tc>
        <w:tc>
          <w:tcPr>
            <w:tcW w:w="0" w:type="dxa"/>
            <w:vAlign w:val="bottom"/>
          </w:tcPr>
          <w:p>
            <w:pPr>
              <w:spacing w:after="0"/>
              <w:rPr>
                <w:sz w:val="1"/>
                <w:szCs w:val="1"/>
                <w:color w:val="auto"/>
              </w:rPr>
            </w:pPr>
          </w:p>
        </w:tc>
      </w:tr>
      <w:tr>
        <w:trPr>
          <w:trHeight w:val="81"/>
        </w:trPr>
        <w:tc>
          <w:tcPr>
            <w:tcW w:w="2140" w:type="dxa"/>
            <w:vAlign w:val="bottom"/>
          </w:tcPr>
          <w:p>
            <w:pPr>
              <w:spacing w:after="0" w:line="81" w:lineRule="exact"/>
              <w:rPr>
                <w:sz w:val="20"/>
                <w:szCs w:val="20"/>
                <w:color w:val="auto"/>
              </w:rPr>
            </w:pPr>
            <w:r>
              <w:rPr>
                <w:rFonts w:ascii="Arial" w:cs="Arial" w:eastAsia="Arial" w:hAnsi="Arial"/>
                <w:sz w:val="8"/>
                <w:szCs w:val="8"/>
                <w:b w:val="1"/>
                <w:bCs w:val="1"/>
                <w:color w:val="auto"/>
              </w:rPr>
              <w:t>2019</w:t>
            </w: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140" w:type="dxa"/>
            <w:vAlign w:val="bottom"/>
          </w:tcPr>
          <w:p>
            <w:pPr>
              <w:spacing w:after="0"/>
              <w:rPr>
                <w:sz w:val="20"/>
                <w:szCs w:val="20"/>
                <w:color w:val="auto"/>
              </w:rPr>
            </w:pPr>
            <w:r>
              <w:rPr>
                <w:rFonts w:ascii="Arial" w:cs="Arial" w:eastAsia="Arial" w:hAnsi="Arial"/>
                <w:sz w:val="8"/>
                <w:szCs w:val="8"/>
                <w:color w:val="auto"/>
              </w:rPr>
              <w:t>6/18/2019</w:t>
            </w:r>
          </w:p>
        </w:tc>
        <w:tc>
          <w:tcPr>
            <w:tcW w:w="620" w:type="dxa"/>
            <w:vAlign w:val="bottom"/>
            <w:gridSpan w:val="2"/>
          </w:tcPr>
          <w:p>
            <w:pPr>
              <w:jc w:val="right"/>
              <w:ind w:right="218"/>
              <w:spacing w:after="0"/>
              <w:rPr>
                <w:sz w:val="20"/>
                <w:szCs w:val="20"/>
                <w:color w:val="auto"/>
              </w:rPr>
            </w:pPr>
            <w:r>
              <w:rPr>
                <w:rFonts w:ascii="Arial" w:cs="Arial" w:eastAsia="Arial" w:hAnsi="Arial"/>
                <w:sz w:val="8"/>
                <w:szCs w:val="8"/>
                <w:color w:val="auto"/>
              </w:rPr>
              <w:t>17.2400</w:t>
            </w:r>
          </w:p>
        </w:tc>
        <w:tc>
          <w:tcPr>
            <w:tcW w:w="700" w:type="dxa"/>
            <w:vAlign w:val="bottom"/>
          </w:tcPr>
          <w:p>
            <w:pPr>
              <w:spacing w:after="0"/>
              <w:rPr>
                <w:sz w:val="9"/>
                <w:szCs w:val="9"/>
                <w:color w:val="auto"/>
              </w:rPr>
            </w:pPr>
          </w:p>
        </w:tc>
        <w:tc>
          <w:tcPr>
            <w:tcW w:w="640" w:type="dxa"/>
            <w:vAlign w:val="bottom"/>
          </w:tcPr>
          <w:p>
            <w:pPr>
              <w:jc w:val="right"/>
              <w:ind w:right="138"/>
              <w:spacing w:after="0"/>
              <w:rPr>
                <w:sz w:val="20"/>
                <w:szCs w:val="20"/>
                <w:color w:val="auto"/>
              </w:rPr>
            </w:pPr>
            <w:r>
              <w:rPr>
                <w:rFonts w:ascii="Arial" w:cs="Arial" w:eastAsia="Arial" w:hAnsi="Arial"/>
                <w:sz w:val="8"/>
                <w:szCs w:val="8"/>
                <w:color w:val="auto"/>
              </w:rPr>
              <w:t>—</w:t>
            </w:r>
          </w:p>
        </w:tc>
        <w:tc>
          <w:tcPr>
            <w:tcW w:w="680" w:type="dxa"/>
            <w:vAlign w:val="bottom"/>
          </w:tcPr>
          <w:p>
            <w:pPr>
              <w:spacing w:after="0"/>
              <w:rPr>
                <w:sz w:val="9"/>
                <w:szCs w:val="9"/>
                <w:color w:val="auto"/>
              </w:rPr>
            </w:pPr>
          </w:p>
        </w:tc>
        <w:tc>
          <w:tcPr>
            <w:tcW w:w="840" w:type="dxa"/>
            <w:vAlign w:val="bottom"/>
          </w:tcPr>
          <w:p>
            <w:pPr>
              <w:jc w:val="right"/>
              <w:ind w:right="238"/>
              <w:spacing w:after="0"/>
              <w:rPr>
                <w:sz w:val="20"/>
                <w:szCs w:val="20"/>
                <w:color w:val="auto"/>
              </w:rPr>
            </w:pPr>
            <w:r>
              <w:rPr>
                <w:rFonts w:ascii="Arial" w:cs="Arial" w:eastAsia="Arial" w:hAnsi="Arial"/>
                <w:sz w:val="8"/>
                <w:szCs w:val="8"/>
                <w:color w:val="auto"/>
              </w:rPr>
              <w:t>—</w:t>
            </w:r>
          </w:p>
        </w:tc>
        <w:tc>
          <w:tcPr>
            <w:tcW w:w="700" w:type="dxa"/>
            <w:vAlign w:val="bottom"/>
          </w:tcPr>
          <w:p>
            <w:pPr>
              <w:spacing w:after="0"/>
              <w:rPr>
                <w:sz w:val="9"/>
                <w:szCs w:val="9"/>
                <w:color w:val="auto"/>
              </w:rPr>
            </w:pPr>
          </w:p>
        </w:tc>
        <w:tc>
          <w:tcPr>
            <w:tcW w:w="1560" w:type="dxa"/>
            <w:vAlign w:val="bottom"/>
            <w:gridSpan w:val="2"/>
          </w:tcPr>
          <w:p>
            <w:pPr>
              <w:jc w:val="right"/>
              <w:ind w:right="1000"/>
              <w:spacing w:after="0"/>
              <w:rPr>
                <w:sz w:val="20"/>
                <w:szCs w:val="20"/>
                <w:color w:val="auto"/>
              </w:rPr>
            </w:pPr>
            <w:r>
              <w:rPr>
                <w:rFonts w:ascii="Arial" w:cs="Arial" w:eastAsia="Arial" w:hAnsi="Arial"/>
                <w:sz w:val="8"/>
                <w:szCs w:val="8"/>
                <w:color w:val="auto"/>
              </w:rPr>
              <w:t>—</w:t>
            </w:r>
          </w:p>
        </w:tc>
        <w:tc>
          <w:tcPr>
            <w:tcW w:w="620" w:type="dxa"/>
            <w:vAlign w:val="bottom"/>
          </w:tcPr>
          <w:p>
            <w:pPr>
              <w:jc w:val="right"/>
              <w:ind w:right="158"/>
              <w:spacing w:after="0"/>
              <w:rPr>
                <w:sz w:val="20"/>
                <w:szCs w:val="20"/>
                <w:color w:val="auto"/>
              </w:rPr>
            </w:pPr>
            <w:r>
              <w:rPr>
                <w:rFonts w:ascii="Arial" w:cs="Arial" w:eastAsia="Arial" w:hAnsi="Arial"/>
                <w:sz w:val="8"/>
                <w:szCs w:val="8"/>
                <w:color w:val="auto"/>
              </w:rPr>
              <w:t>—</w:t>
            </w:r>
          </w:p>
        </w:tc>
        <w:tc>
          <w:tcPr>
            <w:tcW w:w="1500" w:type="dxa"/>
            <w:vAlign w:val="bottom"/>
            <w:gridSpan w:val="2"/>
          </w:tcPr>
          <w:p>
            <w:pPr>
              <w:jc w:val="right"/>
              <w:ind w:right="258"/>
              <w:spacing w:after="0"/>
              <w:rPr>
                <w:sz w:val="20"/>
                <w:szCs w:val="20"/>
                <w:color w:val="auto"/>
              </w:rPr>
            </w:pPr>
            <w:r>
              <w:rPr>
                <w:rFonts w:ascii="Arial" w:cs="Arial" w:eastAsia="Arial" w:hAnsi="Arial"/>
                <w:sz w:val="8"/>
                <w:szCs w:val="8"/>
                <w:color w:val="auto"/>
              </w:rPr>
              <w:t>6,543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1047115</wp:posOffset>
            </wp:positionH>
            <wp:positionV relativeFrom="paragraph">
              <wp:posOffset>-3063240</wp:posOffset>
            </wp:positionV>
            <wp:extent cx="1143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1430" cy="5715"/>
                    </a:xfrm>
                    <a:prstGeom prst="rect">
                      <a:avLst/>
                    </a:prstGeom>
                    <a:noFill/>
                  </pic:spPr>
                </pic:pic>
              </a:graphicData>
            </a:graphic>
          </wp:anchor>
        </w:drawing>
      </w:r>
    </w:p>
    <w:p>
      <w:pPr>
        <w:spacing w:after="0" w:line="91"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97790</wp:posOffset>
            </wp:positionV>
            <wp:extent cx="7299325" cy="184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680"/>
          </w:cols>
          <w:pgMar w:left="220" w:top="327" w:right="999" w:bottom="1440" w:gutter="0" w:footer="0" w:header="0"/>
        </w:sectPr>
      </w:pPr>
    </w:p>
    <w:bookmarkStart w:id="52" w:name="page53"/>
    <w:bookmarkEnd w:id="52"/>
    <w:p>
      <w:pPr>
        <w:spacing w:after="0"/>
        <w:rPr>
          <w:rFonts w:ascii="Arial" w:cs="Arial" w:eastAsia="Arial" w:hAnsi="Arial"/>
          <w:sz w:val="12"/>
          <w:szCs w:val="12"/>
          <w:b w:val="1"/>
          <w:bCs w:val="1"/>
          <w:u w:val="single" w:color="auto"/>
          <w:color w:val="0000EE"/>
        </w:rPr>
      </w:pP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740"/>
        <w:spacing w:after="0"/>
        <w:tabs>
          <w:tab w:leader="none" w:pos="960" w:val="left"/>
        </w:tabs>
        <w:rPr>
          <w:sz w:val="20"/>
          <w:szCs w:val="20"/>
          <w:color w:val="auto"/>
        </w:rPr>
      </w:pPr>
      <w:r>
        <w:rPr>
          <w:rFonts w:ascii="Arial" w:cs="Arial" w:eastAsia="Arial" w:hAnsi="Arial"/>
          <w:sz w:val="12"/>
          <w:szCs w:val="12"/>
          <w:color w:val="auto"/>
        </w:rPr>
        <w:t>(7)</w:t>
      </w:r>
      <w:r>
        <w:rPr>
          <w:sz w:val="20"/>
          <w:szCs w:val="20"/>
          <w:color w:val="auto"/>
        </w:rPr>
        <w:tab/>
      </w:r>
      <w:r>
        <w:rPr>
          <w:rFonts w:ascii="Arial" w:cs="Arial" w:eastAsia="Arial" w:hAnsi="Arial"/>
          <w:sz w:val="10"/>
          <w:szCs w:val="10"/>
          <w:color w:val="auto"/>
        </w:rPr>
        <w:t>Vesting dates for each outstanding RSU and performance-based RSU for the named executive officers are as follows:</w:t>
      </w:r>
    </w:p>
    <w:p>
      <w:pPr>
        <w:spacing w:after="0" w:line="15" w:lineRule="exact"/>
        <w:rPr>
          <w:sz w:val="20"/>
          <w:szCs w:val="20"/>
          <w:color w:val="auto"/>
        </w:rPr>
      </w:pPr>
    </w:p>
    <w:tbl>
      <w:tblPr>
        <w:tblLayout w:type="fixed"/>
        <w:tblInd w:w="680" w:type="dxa"/>
        <w:tblCellMar>
          <w:top w:w="0" w:type="dxa"/>
          <w:left w:w="0" w:type="dxa"/>
          <w:bottom w:w="0" w:type="dxa"/>
          <w:right w:w="0" w:type="dxa"/>
        </w:tblCellMar>
      </w:tblPr>
      <w:tr>
        <w:trPr>
          <w:trHeight w:val="99"/>
        </w:trPr>
        <w:tc>
          <w:tcPr>
            <w:tcW w:w="1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100" w:type="dxa"/>
            <w:vAlign w:val="bottom"/>
            <w:tcBorders>
              <w:bottom w:val="single" w:sz="8" w:color="auto"/>
            </w:tcBorders>
            <w:gridSpan w:val="3"/>
          </w:tcPr>
          <w:p>
            <w:pPr>
              <w:ind w:left="180"/>
              <w:spacing w:after="0"/>
              <w:rPr>
                <w:sz w:val="20"/>
                <w:szCs w:val="20"/>
                <w:color w:val="auto"/>
              </w:rPr>
            </w:pPr>
            <w:r>
              <w:rPr>
                <w:rFonts w:ascii="Arial" w:cs="Arial" w:eastAsia="Arial" w:hAnsi="Arial"/>
                <w:sz w:val="8"/>
                <w:szCs w:val="8"/>
                <w:b w:val="1"/>
                <w:bCs w:val="1"/>
                <w:color w:val="auto"/>
              </w:rPr>
              <w:t>Number of Shares Underlying Vesting Awards</w:t>
            </w:r>
          </w:p>
        </w:tc>
        <w:tc>
          <w:tcPr>
            <w:tcW w:w="6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1160" w:type="dxa"/>
            <w:vAlign w:val="bottom"/>
            <w:vMerge w:val="restart"/>
          </w:tcPr>
          <w:p>
            <w:pPr>
              <w:spacing w:after="0"/>
              <w:rPr>
                <w:sz w:val="20"/>
                <w:szCs w:val="20"/>
                <w:color w:val="auto"/>
              </w:rPr>
            </w:pPr>
            <w:r>
              <w:rPr>
                <w:rFonts w:ascii="Arial" w:cs="Arial" w:eastAsia="Arial" w:hAnsi="Arial"/>
                <w:sz w:val="8"/>
                <w:szCs w:val="8"/>
                <w:b w:val="1"/>
                <w:bCs w:val="1"/>
                <w:color w:val="auto"/>
              </w:rPr>
              <w:t>Vesting Date</w:t>
            </w:r>
          </w:p>
        </w:tc>
        <w:tc>
          <w:tcPr>
            <w:tcW w:w="7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line="78" w:lineRule="exact"/>
              <w:rPr>
                <w:sz w:val="20"/>
                <w:szCs w:val="20"/>
                <w:color w:val="auto"/>
              </w:rPr>
            </w:pPr>
            <w:r>
              <w:rPr>
                <w:rFonts w:ascii="Arial" w:cs="Arial" w:eastAsia="Arial" w:hAnsi="Arial"/>
                <w:sz w:val="8"/>
                <w:szCs w:val="8"/>
                <w:b w:val="1"/>
                <w:bCs w:val="1"/>
                <w:color w:val="auto"/>
              </w:rPr>
              <w:t>Brian L.</w:t>
            </w:r>
          </w:p>
        </w:tc>
        <w:tc>
          <w:tcPr>
            <w:tcW w:w="620" w:type="dxa"/>
            <w:vAlign w:val="bottom"/>
          </w:tcPr>
          <w:p>
            <w:pPr>
              <w:spacing w:after="0"/>
              <w:rPr>
                <w:sz w:val="6"/>
                <w:szCs w:val="6"/>
                <w:color w:val="auto"/>
              </w:rPr>
            </w:pPr>
          </w:p>
        </w:tc>
        <w:tc>
          <w:tcPr>
            <w:tcW w:w="860" w:type="dxa"/>
            <w:vAlign w:val="bottom"/>
          </w:tcPr>
          <w:p>
            <w:pPr>
              <w:jc w:val="right"/>
              <w:ind w:right="218"/>
              <w:spacing w:after="0" w:line="78" w:lineRule="exact"/>
              <w:rPr>
                <w:sz w:val="20"/>
                <w:szCs w:val="20"/>
                <w:color w:val="auto"/>
              </w:rPr>
            </w:pPr>
            <w:r>
              <w:rPr>
                <w:rFonts w:ascii="Arial" w:cs="Arial" w:eastAsia="Arial" w:hAnsi="Arial"/>
                <w:sz w:val="8"/>
                <w:szCs w:val="8"/>
                <w:b w:val="1"/>
                <w:bCs w:val="1"/>
                <w:color w:val="auto"/>
              </w:rPr>
              <w:t>Michael J.</w:t>
            </w:r>
          </w:p>
        </w:tc>
        <w:tc>
          <w:tcPr>
            <w:tcW w:w="620" w:type="dxa"/>
            <w:vAlign w:val="bottom"/>
          </w:tcPr>
          <w:p>
            <w:pPr>
              <w:spacing w:after="0"/>
              <w:rPr>
                <w:sz w:val="6"/>
                <w:szCs w:val="6"/>
                <w:color w:val="auto"/>
              </w:rPr>
            </w:pPr>
          </w:p>
        </w:tc>
        <w:tc>
          <w:tcPr>
            <w:tcW w:w="1480" w:type="dxa"/>
            <w:vAlign w:val="bottom"/>
            <w:gridSpan w:val="2"/>
          </w:tcPr>
          <w:p>
            <w:pPr>
              <w:jc w:val="center"/>
              <w:ind w:right="640"/>
              <w:spacing w:after="0" w:line="78" w:lineRule="exact"/>
              <w:rPr>
                <w:sz w:val="20"/>
                <w:szCs w:val="20"/>
                <w:color w:val="auto"/>
              </w:rPr>
            </w:pPr>
            <w:r>
              <w:rPr>
                <w:rFonts w:ascii="Arial" w:cs="Arial" w:eastAsia="Arial" w:hAnsi="Arial"/>
                <w:sz w:val="8"/>
                <w:szCs w:val="8"/>
                <w:b w:val="1"/>
                <w:bCs w:val="1"/>
                <w:color w:val="auto"/>
                <w:w w:val="95"/>
              </w:rPr>
              <w:t>Stephen B.</w:t>
            </w:r>
          </w:p>
        </w:tc>
        <w:tc>
          <w:tcPr>
            <w:tcW w:w="620" w:type="dxa"/>
            <w:vAlign w:val="bottom"/>
          </w:tcPr>
          <w:p>
            <w:pPr>
              <w:jc w:val="right"/>
              <w:ind w:right="118"/>
              <w:spacing w:after="0" w:line="78" w:lineRule="exact"/>
              <w:rPr>
                <w:sz w:val="20"/>
                <w:szCs w:val="20"/>
                <w:color w:val="auto"/>
              </w:rPr>
            </w:pPr>
            <w:r>
              <w:rPr>
                <w:rFonts w:ascii="Arial" w:cs="Arial" w:eastAsia="Arial" w:hAnsi="Arial"/>
                <w:sz w:val="8"/>
                <w:szCs w:val="8"/>
                <w:b w:val="1"/>
                <w:bCs w:val="1"/>
                <w:color w:val="auto"/>
              </w:rPr>
              <w:t>David L.</w:t>
            </w:r>
          </w:p>
        </w:tc>
        <w:tc>
          <w:tcPr>
            <w:tcW w:w="620" w:type="dxa"/>
            <w:vAlign w:val="bottom"/>
          </w:tcPr>
          <w:p>
            <w:pPr>
              <w:spacing w:after="0"/>
              <w:rPr>
                <w:sz w:val="6"/>
                <w:szCs w:val="6"/>
                <w:color w:val="auto"/>
              </w:rPr>
            </w:pPr>
          </w:p>
        </w:tc>
        <w:tc>
          <w:tcPr>
            <w:tcW w:w="820" w:type="dxa"/>
            <w:vAlign w:val="bottom"/>
          </w:tcPr>
          <w:p>
            <w:pPr>
              <w:jc w:val="right"/>
              <w:ind w:right="198"/>
              <w:spacing w:after="0" w:line="78" w:lineRule="exact"/>
              <w:rPr>
                <w:sz w:val="20"/>
                <w:szCs w:val="20"/>
                <w:color w:val="auto"/>
              </w:rPr>
            </w:pPr>
            <w:r>
              <w:rPr>
                <w:rFonts w:ascii="Arial" w:cs="Arial" w:eastAsia="Arial" w:hAnsi="Arial"/>
                <w:sz w:val="8"/>
                <w:szCs w:val="8"/>
                <w:b w:val="1"/>
                <w:bCs w:val="1"/>
                <w:color w:val="auto"/>
              </w:rPr>
              <w:t>Arthur R.</w:t>
            </w:r>
          </w:p>
        </w:tc>
        <w:tc>
          <w:tcPr>
            <w:tcW w:w="0" w:type="dxa"/>
            <w:vAlign w:val="bottom"/>
          </w:tcPr>
          <w:p>
            <w:pPr>
              <w:spacing w:after="0"/>
              <w:rPr>
                <w:sz w:val="1"/>
                <w:szCs w:val="1"/>
                <w:color w:val="auto"/>
              </w:rPr>
            </w:pPr>
          </w:p>
        </w:tc>
      </w:tr>
      <w:tr>
        <w:trPr>
          <w:trHeight w:val="101"/>
        </w:trPr>
        <w:tc>
          <w:tcPr>
            <w:tcW w:w="116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1240" w:type="dxa"/>
            <w:vAlign w:val="bottom"/>
          </w:tcPr>
          <w:p>
            <w:pPr>
              <w:ind w:left="400"/>
              <w:spacing w:after="0"/>
              <w:rPr>
                <w:sz w:val="20"/>
                <w:szCs w:val="20"/>
                <w:color w:val="auto"/>
              </w:rPr>
            </w:pPr>
            <w:r>
              <w:rPr>
                <w:rFonts w:ascii="Arial" w:cs="Arial" w:eastAsia="Arial" w:hAnsi="Arial"/>
                <w:sz w:val="8"/>
                <w:szCs w:val="8"/>
                <w:b w:val="1"/>
                <w:bCs w:val="1"/>
                <w:color w:val="auto"/>
              </w:rPr>
              <w:t>Award Type</w:t>
            </w:r>
          </w:p>
        </w:tc>
        <w:tc>
          <w:tcPr>
            <w:tcW w:w="1240" w:type="dxa"/>
            <w:vAlign w:val="bottom"/>
            <w:gridSpan w:val="2"/>
          </w:tcPr>
          <w:p>
            <w:pPr>
              <w:ind w:left="600"/>
              <w:spacing w:after="0"/>
              <w:rPr>
                <w:sz w:val="20"/>
                <w:szCs w:val="20"/>
                <w:color w:val="auto"/>
              </w:rPr>
            </w:pPr>
            <w:r>
              <w:rPr>
                <w:rFonts w:ascii="Arial" w:cs="Arial" w:eastAsia="Arial" w:hAnsi="Arial"/>
                <w:sz w:val="8"/>
                <w:szCs w:val="8"/>
                <w:b w:val="1"/>
                <w:bCs w:val="1"/>
                <w:color w:val="auto"/>
              </w:rPr>
              <w:t>Roberts</w:t>
            </w:r>
          </w:p>
        </w:tc>
        <w:tc>
          <w:tcPr>
            <w:tcW w:w="620" w:type="dxa"/>
            <w:vAlign w:val="bottom"/>
          </w:tcPr>
          <w:p>
            <w:pPr>
              <w:spacing w:after="0"/>
              <w:rPr>
                <w:sz w:val="8"/>
                <w:szCs w:val="8"/>
                <w:color w:val="auto"/>
              </w:rPr>
            </w:pPr>
          </w:p>
        </w:tc>
        <w:tc>
          <w:tcPr>
            <w:tcW w:w="860" w:type="dxa"/>
            <w:vAlign w:val="bottom"/>
          </w:tcPr>
          <w:p>
            <w:pPr>
              <w:jc w:val="right"/>
              <w:ind w:right="218"/>
              <w:spacing w:after="0"/>
              <w:rPr>
                <w:sz w:val="20"/>
                <w:szCs w:val="20"/>
                <w:color w:val="auto"/>
              </w:rPr>
            </w:pPr>
            <w:r>
              <w:rPr>
                <w:rFonts w:ascii="Arial" w:cs="Arial" w:eastAsia="Arial" w:hAnsi="Arial"/>
                <w:sz w:val="8"/>
                <w:szCs w:val="8"/>
                <w:b w:val="1"/>
                <w:bCs w:val="1"/>
                <w:color w:val="auto"/>
              </w:rPr>
              <w:t>Angelakis</w:t>
            </w:r>
          </w:p>
        </w:tc>
        <w:tc>
          <w:tcPr>
            <w:tcW w:w="620" w:type="dxa"/>
            <w:vAlign w:val="bottom"/>
          </w:tcPr>
          <w:p>
            <w:pPr>
              <w:spacing w:after="0"/>
              <w:rPr>
                <w:sz w:val="8"/>
                <w:szCs w:val="8"/>
                <w:color w:val="auto"/>
              </w:rPr>
            </w:pPr>
          </w:p>
        </w:tc>
        <w:tc>
          <w:tcPr>
            <w:tcW w:w="1480" w:type="dxa"/>
            <w:vAlign w:val="bottom"/>
            <w:gridSpan w:val="2"/>
          </w:tcPr>
          <w:p>
            <w:pPr>
              <w:jc w:val="center"/>
              <w:ind w:right="640"/>
              <w:spacing w:after="0"/>
              <w:rPr>
                <w:sz w:val="20"/>
                <w:szCs w:val="20"/>
                <w:color w:val="auto"/>
              </w:rPr>
            </w:pPr>
            <w:r>
              <w:rPr>
                <w:rFonts w:ascii="Arial" w:cs="Arial" w:eastAsia="Arial" w:hAnsi="Arial"/>
                <w:sz w:val="8"/>
                <w:szCs w:val="8"/>
                <w:b w:val="1"/>
                <w:bCs w:val="1"/>
                <w:color w:val="auto"/>
              </w:rPr>
              <w:t>Burke</w:t>
            </w:r>
          </w:p>
        </w:tc>
        <w:tc>
          <w:tcPr>
            <w:tcW w:w="620" w:type="dxa"/>
            <w:vAlign w:val="bottom"/>
          </w:tcPr>
          <w:p>
            <w:pPr>
              <w:jc w:val="right"/>
              <w:ind w:right="158"/>
              <w:spacing w:after="0"/>
              <w:rPr>
                <w:sz w:val="20"/>
                <w:szCs w:val="20"/>
                <w:color w:val="auto"/>
              </w:rPr>
            </w:pPr>
            <w:r>
              <w:rPr>
                <w:rFonts w:ascii="Arial" w:cs="Arial" w:eastAsia="Arial" w:hAnsi="Arial"/>
                <w:sz w:val="8"/>
                <w:szCs w:val="8"/>
                <w:b w:val="1"/>
                <w:bCs w:val="1"/>
                <w:color w:val="auto"/>
              </w:rPr>
              <w:t>Cohen</w:t>
            </w:r>
          </w:p>
        </w:tc>
        <w:tc>
          <w:tcPr>
            <w:tcW w:w="620" w:type="dxa"/>
            <w:vAlign w:val="bottom"/>
          </w:tcPr>
          <w:p>
            <w:pPr>
              <w:spacing w:after="0"/>
              <w:rPr>
                <w:sz w:val="8"/>
                <w:szCs w:val="8"/>
                <w:color w:val="auto"/>
              </w:rPr>
            </w:pPr>
          </w:p>
        </w:tc>
        <w:tc>
          <w:tcPr>
            <w:tcW w:w="820" w:type="dxa"/>
            <w:vAlign w:val="bottom"/>
          </w:tcPr>
          <w:p>
            <w:pPr>
              <w:jc w:val="right"/>
              <w:ind w:right="278"/>
              <w:spacing w:after="0"/>
              <w:rPr>
                <w:sz w:val="20"/>
                <w:szCs w:val="20"/>
                <w:color w:val="auto"/>
              </w:rPr>
            </w:pPr>
            <w:r>
              <w:rPr>
                <w:rFonts w:ascii="Arial" w:cs="Arial" w:eastAsia="Arial" w:hAnsi="Arial"/>
                <w:sz w:val="8"/>
                <w:szCs w:val="8"/>
                <w:b w:val="1"/>
                <w:bCs w:val="1"/>
                <w:color w:val="auto"/>
              </w:rPr>
              <w:t>Block</w:t>
            </w:r>
          </w:p>
        </w:tc>
        <w:tc>
          <w:tcPr>
            <w:tcW w:w="0" w:type="dxa"/>
            <w:vAlign w:val="bottom"/>
          </w:tcPr>
          <w:p>
            <w:pPr>
              <w:spacing w:after="0"/>
              <w:rPr>
                <w:sz w:val="1"/>
                <w:szCs w:val="1"/>
                <w:color w:val="auto"/>
              </w:rPr>
            </w:pPr>
          </w:p>
        </w:tc>
      </w:tr>
      <w:tr>
        <w:trPr>
          <w:trHeight w:val="25"/>
        </w:trPr>
        <w:tc>
          <w:tcPr>
            <w:tcW w:w="1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40" w:type="dxa"/>
            <w:vAlign w:val="bottom"/>
            <w:tcBorders>
              <w:top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1"/>
        </w:trPr>
        <w:tc>
          <w:tcPr>
            <w:tcW w:w="1160" w:type="dxa"/>
            <w:vAlign w:val="bottom"/>
            <w:shd w:val="clear" w:color="auto" w:fill="CCEEFF"/>
          </w:tcPr>
          <w:p>
            <w:pPr>
              <w:spacing w:after="0" w:line="81" w:lineRule="exact"/>
              <w:rPr>
                <w:sz w:val="20"/>
                <w:szCs w:val="20"/>
                <w:color w:val="auto"/>
              </w:rPr>
            </w:pPr>
            <w:r>
              <w:rPr>
                <w:rFonts w:ascii="Arial" w:cs="Arial" w:eastAsia="Arial" w:hAnsi="Arial"/>
                <w:sz w:val="8"/>
                <w:szCs w:val="8"/>
                <w:b w:val="1"/>
                <w:bCs w:val="1"/>
                <w:color w:val="auto"/>
              </w:rPr>
              <w:t>2010</w:t>
            </w:r>
          </w:p>
        </w:tc>
        <w:tc>
          <w:tcPr>
            <w:tcW w:w="72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16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01/20/2010</w:t>
            </w:r>
          </w:p>
        </w:tc>
        <w:tc>
          <w:tcPr>
            <w:tcW w:w="1960" w:type="dxa"/>
            <w:vAlign w:val="bottom"/>
            <w:gridSpan w:val="2"/>
            <w:shd w:val="clear" w:color="auto" w:fill="CCEEFF"/>
          </w:tcPr>
          <w:p>
            <w:pPr>
              <w:ind w:left="720"/>
              <w:spacing w:after="0" w:line="90" w:lineRule="exact"/>
              <w:rPr>
                <w:sz w:val="20"/>
                <w:szCs w:val="20"/>
                <w:color w:val="auto"/>
              </w:rPr>
            </w:pPr>
            <w:r>
              <w:rPr>
                <w:rFonts w:ascii="Arial" w:cs="Arial" w:eastAsia="Arial" w:hAnsi="Arial"/>
                <w:sz w:val="8"/>
                <w:szCs w:val="8"/>
                <w:color w:val="auto"/>
              </w:rPr>
              <w:t>RSU</w:t>
            </w:r>
          </w:p>
        </w:tc>
        <w:tc>
          <w:tcPr>
            <w:tcW w:w="600" w:type="dxa"/>
            <w:vAlign w:val="bottom"/>
            <w:shd w:val="clear" w:color="auto" w:fill="CCEEFF"/>
          </w:tcPr>
          <w:p>
            <w:pPr>
              <w:spacing w:after="0"/>
              <w:rPr>
                <w:sz w:val="7"/>
                <w:szCs w:val="7"/>
                <w:color w:val="auto"/>
              </w:rPr>
            </w:pP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spacing w:after="0"/>
              <w:rPr>
                <w:sz w:val="7"/>
                <w:szCs w:val="7"/>
                <w:color w:val="auto"/>
              </w:rPr>
            </w:pPr>
          </w:p>
        </w:tc>
        <w:tc>
          <w:tcPr>
            <w:tcW w:w="860" w:type="dxa"/>
            <w:vAlign w:val="bottom"/>
            <w:shd w:val="clear" w:color="auto" w:fill="CCEEFF"/>
          </w:tcPr>
          <w:p>
            <w:pPr>
              <w:jc w:val="right"/>
              <w:ind w:right="258"/>
              <w:spacing w:after="0" w:line="90" w:lineRule="exact"/>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spacing w:after="0"/>
              <w:rPr>
                <w:sz w:val="7"/>
                <w:szCs w:val="7"/>
                <w:color w:val="auto"/>
              </w:rPr>
            </w:pPr>
          </w:p>
        </w:tc>
        <w:tc>
          <w:tcPr>
            <w:tcW w:w="1480" w:type="dxa"/>
            <w:vAlign w:val="bottom"/>
            <w:gridSpan w:val="2"/>
            <w:shd w:val="clear" w:color="auto" w:fill="CCEEFF"/>
          </w:tcPr>
          <w:p>
            <w:pPr>
              <w:jc w:val="right"/>
              <w:ind w:right="920"/>
              <w:spacing w:after="0" w:line="90" w:lineRule="exact"/>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jc w:val="right"/>
              <w:ind w:right="158"/>
              <w:spacing w:after="0" w:line="90" w:lineRule="exact"/>
              <w:rPr>
                <w:sz w:val="20"/>
                <w:szCs w:val="20"/>
                <w:color w:val="auto"/>
              </w:rPr>
            </w:pPr>
            <w:r>
              <w:rPr>
                <w:rFonts w:ascii="Arial" w:cs="Arial" w:eastAsia="Arial" w:hAnsi="Arial"/>
                <w:sz w:val="8"/>
                <w:szCs w:val="8"/>
                <w:color w:val="auto"/>
              </w:rPr>
              <w:t>—</w:t>
            </w:r>
          </w:p>
        </w:tc>
        <w:tc>
          <w:tcPr>
            <w:tcW w:w="1440" w:type="dxa"/>
            <w:vAlign w:val="bottom"/>
            <w:gridSpan w:val="2"/>
            <w:shd w:val="clear" w:color="auto" w:fill="CCEEFF"/>
          </w:tcPr>
          <w:p>
            <w:pPr>
              <w:jc w:val="right"/>
              <w:ind w:right="258"/>
              <w:spacing w:after="0" w:line="90" w:lineRule="exact"/>
              <w:rPr>
                <w:sz w:val="20"/>
                <w:szCs w:val="20"/>
                <w:color w:val="auto"/>
              </w:rPr>
            </w:pPr>
            <w:r>
              <w:rPr>
                <w:rFonts w:ascii="Arial" w:cs="Arial" w:eastAsia="Arial" w:hAnsi="Arial"/>
                <w:sz w:val="8"/>
                <w:szCs w:val="8"/>
                <w:color w:val="auto"/>
              </w:rPr>
              <w:t>3,938</w:t>
            </w:r>
          </w:p>
        </w:tc>
        <w:tc>
          <w:tcPr>
            <w:tcW w:w="0" w:type="dxa"/>
            <w:vAlign w:val="bottom"/>
          </w:tcPr>
          <w:p>
            <w:pPr>
              <w:spacing w:after="0"/>
              <w:rPr>
                <w:sz w:val="1"/>
                <w:szCs w:val="1"/>
                <w:color w:val="auto"/>
              </w:rPr>
            </w:pPr>
          </w:p>
        </w:tc>
      </w:tr>
      <w:tr>
        <w:trPr>
          <w:trHeight w:val="90"/>
        </w:trPr>
        <w:tc>
          <w:tcPr>
            <w:tcW w:w="116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03/10/2010</w:t>
            </w:r>
          </w:p>
        </w:tc>
        <w:tc>
          <w:tcPr>
            <w:tcW w:w="1960" w:type="dxa"/>
            <w:vAlign w:val="bottom"/>
            <w:gridSpan w:val="2"/>
            <w:shd w:val="clear" w:color="auto" w:fill="CCEEFF"/>
          </w:tcPr>
          <w:p>
            <w:pPr>
              <w:ind w:left="720"/>
              <w:spacing w:after="0" w:line="90" w:lineRule="exact"/>
              <w:rPr>
                <w:sz w:val="20"/>
                <w:szCs w:val="20"/>
                <w:color w:val="auto"/>
              </w:rPr>
            </w:pPr>
            <w:r>
              <w:rPr>
                <w:rFonts w:ascii="Arial" w:cs="Arial" w:eastAsia="Arial" w:hAnsi="Arial"/>
                <w:sz w:val="8"/>
                <w:szCs w:val="8"/>
                <w:color w:val="auto"/>
              </w:rPr>
              <w:t>Performance RSU</w:t>
            </w:r>
            <w:r>
              <w:rPr>
                <w:rFonts w:ascii="Arial" w:cs="Arial" w:eastAsia="Arial" w:hAnsi="Arial"/>
                <w:sz w:val="7"/>
                <w:szCs w:val="7"/>
                <w:color w:val="auto"/>
              </w:rPr>
              <w:t>(a)</w:t>
            </w:r>
          </w:p>
        </w:tc>
        <w:tc>
          <w:tcPr>
            <w:tcW w:w="1240" w:type="dxa"/>
            <w:vAlign w:val="bottom"/>
            <w:gridSpan w:val="2"/>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45,225</w:t>
            </w:r>
          </w:p>
        </w:tc>
        <w:tc>
          <w:tcPr>
            <w:tcW w:w="620" w:type="dxa"/>
            <w:vAlign w:val="bottom"/>
            <w:shd w:val="clear" w:color="auto" w:fill="CCEEFF"/>
          </w:tcPr>
          <w:p>
            <w:pPr>
              <w:spacing w:after="0"/>
              <w:rPr>
                <w:sz w:val="7"/>
                <w:szCs w:val="7"/>
                <w:color w:val="auto"/>
              </w:rPr>
            </w:pPr>
          </w:p>
        </w:tc>
        <w:tc>
          <w:tcPr>
            <w:tcW w:w="860" w:type="dxa"/>
            <w:vAlign w:val="bottom"/>
            <w:shd w:val="clear" w:color="auto" w:fill="CCEEFF"/>
          </w:tcPr>
          <w:p>
            <w:pPr>
              <w:jc w:val="right"/>
              <w:ind w:right="258"/>
              <w:spacing w:after="0" w:line="90" w:lineRule="exact"/>
              <w:rPr>
                <w:sz w:val="20"/>
                <w:szCs w:val="20"/>
                <w:color w:val="auto"/>
              </w:rPr>
            </w:pPr>
            <w:r>
              <w:rPr>
                <w:rFonts w:ascii="Arial" w:cs="Arial" w:eastAsia="Arial" w:hAnsi="Arial"/>
                <w:sz w:val="8"/>
                <w:szCs w:val="8"/>
                <w:color w:val="auto"/>
              </w:rPr>
              <w:t>—</w:t>
            </w:r>
          </w:p>
        </w:tc>
        <w:tc>
          <w:tcPr>
            <w:tcW w:w="1480" w:type="dxa"/>
            <w:vAlign w:val="bottom"/>
            <w:gridSpan w:val="2"/>
            <w:shd w:val="clear" w:color="auto" w:fill="CCEEFF"/>
          </w:tcPr>
          <w:p>
            <w:pPr>
              <w:jc w:val="right"/>
              <w:ind w:right="258"/>
              <w:spacing w:after="0" w:line="90" w:lineRule="exact"/>
              <w:rPr>
                <w:sz w:val="20"/>
                <w:szCs w:val="20"/>
                <w:color w:val="auto"/>
              </w:rPr>
            </w:pPr>
            <w:r>
              <w:rPr>
                <w:rFonts w:ascii="Arial" w:cs="Arial" w:eastAsia="Arial" w:hAnsi="Arial"/>
                <w:sz w:val="8"/>
                <w:szCs w:val="8"/>
                <w:color w:val="auto"/>
              </w:rPr>
              <w:t>36,180</w:t>
            </w:r>
          </w:p>
        </w:tc>
        <w:tc>
          <w:tcPr>
            <w:tcW w:w="620" w:type="dxa"/>
            <w:vAlign w:val="bottom"/>
            <w:shd w:val="clear" w:color="auto" w:fill="CCEEFF"/>
          </w:tcPr>
          <w:p>
            <w:pPr>
              <w:spacing w:after="0"/>
              <w:rPr>
                <w:sz w:val="7"/>
                <w:szCs w:val="7"/>
                <w:color w:val="auto"/>
              </w:rPr>
            </w:pPr>
          </w:p>
        </w:tc>
        <w:tc>
          <w:tcPr>
            <w:tcW w:w="620" w:type="dxa"/>
            <w:vAlign w:val="bottom"/>
            <w:shd w:val="clear" w:color="auto" w:fill="CCEEFF"/>
          </w:tcPr>
          <w:p>
            <w:pPr>
              <w:jc w:val="right"/>
              <w:ind w:right="158"/>
              <w:spacing w:after="0" w:line="90" w:lineRule="exact"/>
              <w:rPr>
                <w:sz w:val="20"/>
                <w:szCs w:val="20"/>
                <w:color w:val="auto"/>
              </w:rPr>
            </w:pPr>
            <w:r>
              <w:rPr>
                <w:rFonts w:ascii="Arial" w:cs="Arial" w:eastAsia="Arial" w:hAnsi="Arial"/>
                <w:sz w:val="8"/>
                <w:szCs w:val="8"/>
                <w:color w:val="auto"/>
              </w:rPr>
              <w:t>21,038</w:t>
            </w:r>
          </w:p>
        </w:tc>
        <w:tc>
          <w:tcPr>
            <w:tcW w:w="620" w:type="dxa"/>
            <w:vAlign w:val="bottom"/>
            <w:shd w:val="clear" w:color="auto" w:fill="CCEEFF"/>
          </w:tcPr>
          <w:p>
            <w:pPr>
              <w:spacing w:after="0"/>
              <w:rPr>
                <w:sz w:val="7"/>
                <w:szCs w:val="7"/>
                <w:color w:val="auto"/>
              </w:rPr>
            </w:pPr>
          </w:p>
        </w:tc>
        <w:tc>
          <w:tcPr>
            <w:tcW w:w="820" w:type="dxa"/>
            <w:vAlign w:val="bottom"/>
            <w:shd w:val="clear" w:color="auto" w:fill="CCEEFF"/>
          </w:tcPr>
          <w:p>
            <w:pPr>
              <w:jc w:val="right"/>
              <w:ind w:right="258"/>
              <w:spacing w:after="0" w:line="90"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90"/>
        </w:trPr>
        <w:tc>
          <w:tcPr>
            <w:tcW w:w="116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03/10/2010</w:t>
            </w:r>
          </w:p>
        </w:tc>
        <w:tc>
          <w:tcPr>
            <w:tcW w:w="1960" w:type="dxa"/>
            <w:vAlign w:val="bottom"/>
            <w:gridSpan w:val="2"/>
            <w:shd w:val="clear" w:color="auto" w:fill="CCEEFF"/>
          </w:tcPr>
          <w:p>
            <w:pPr>
              <w:ind w:left="720"/>
              <w:spacing w:after="0" w:line="90" w:lineRule="exact"/>
              <w:rPr>
                <w:sz w:val="20"/>
                <w:szCs w:val="20"/>
                <w:color w:val="auto"/>
              </w:rPr>
            </w:pPr>
            <w:r>
              <w:rPr>
                <w:rFonts w:ascii="Arial" w:cs="Arial" w:eastAsia="Arial" w:hAnsi="Arial"/>
                <w:sz w:val="8"/>
                <w:szCs w:val="8"/>
                <w:color w:val="auto"/>
              </w:rPr>
              <w:t>RSU</w:t>
            </w:r>
          </w:p>
        </w:tc>
        <w:tc>
          <w:tcPr>
            <w:tcW w:w="600" w:type="dxa"/>
            <w:vAlign w:val="bottom"/>
            <w:shd w:val="clear" w:color="auto" w:fill="CCEEFF"/>
          </w:tcPr>
          <w:p>
            <w:pPr>
              <w:spacing w:after="0"/>
              <w:rPr>
                <w:sz w:val="7"/>
                <w:szCs w:val="7"/>
                <w:color w:val="auto"/>
              </w:rPr>
            </w:pP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spacing w:after="0"/>
              <w:rPr>
                <w:sz w:val="7"/>
                <w:szCs w:val="7"/>
                <w:color w:val="auto"/>
              </w:rPr>
            </w:pPr>
          </w:p>
        </w:tc>
        <w:tc>
          <w:tcPr>
            <w:tcW w:w="860" w:type="dxa"/>
            <w:vAlign w:val="bottom"/>
            <w:shd w:val="clear" w:color="auto" w:fill="CCEEFF"/>
          </w:tcPr>
          <w:p>
            <w:pPr>
              <w:jc w:val="right"/>
              <w:ind w:right="258"/>
              <w:spacing w:after="0" w:line="90" w:lineRule="exact"/>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spacing w:after="0"/>
              <w:rPr>
                <w:sz w:val="7"/>
                <w:szCs w:val="7"/>
                <w:color w:val="auto"/>
              </w:rPr>
            </w:pPr>
          </w:p>
        </w:tc>
        <w:tc>
          <w:tcPr>
            <w:tcW w:w="1480" w:type="dxa"/>
            <w:vAlign w:val="bottom"/>
            <w:gridSpan w:val="2"/>
            <w:shd w:val="clear" w:color="auto" w:fill="CCEEFF"/>
          </w:tcPr>
          <w:p>
            <w:pPr>
              <w:jc w:val="right"/>
              <w:ind w:right="920"/>
              <w:spacing w:after="0" w:line="90" w:lineRule="exact"/>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jc w:val="right"/>
              <w:ind w:right="158"/>
              <w:spacing w:after="0" w:line="90" w:lineRule="exact"/>
              <w:rPr>
                <w:sz w:val="20"/>
                <w:szCs w:val="20"/>
                <w:color w:val="auto"/>
              </w:rPr>
            </w:pPr>
            <w:r>
              <w:rPr>
                <w:rFonts w:ascii="Arial" w:cs="Arial" w:eastAsia="Arial" w:hAnsi="Arial"/>
                <w:sz w:val="8"/>
                <w:szCs w:val="8"/>
                <w:color w:val="auto"/>
              </w:rPr>
              <w:t>—</w:t>
            </w:r>
          </w:p>
        </w:tc>
        <w:tc>
          <w:tcPr>
            <w:tcW w:w="1440" w:type="dxa"/>
            <w:vAlign w:val="bottom"/>
            <w:gridSpan w:val="2"/>
            <w:shd w:val="clear" w:color="auto" w:fill="CCEEFF"/>
          </w:tcPr>
          <w:p>
            <w:pPr>
              <w:jc w:val="right"/>
              <w:ind w:right="258"/>
              <w:spacing w:after="0" w:line="90" w:lineRule="exact"/>
              <w:rPr>
                <w:sz w:val="20"/>
                <w:szCs w:val="20"/>
                <w:color w:val="auto"/>
              </w:rPr>
            </w:pPr>
            <w:r>
              <w:rPr>
                <w:rFonts w:ascii="Arial" w:cs="Arial" w:eastAsia="Arial" w:hAnsi="Arial"/>
                <w:sz w:val="8"/>
                <w:szCs w:val="8"/>
                <w:color w:val="auto"/>
              </w:rPr>
              <w:t>5,558</w:t>
            </w:r>
          </w:p>
        </w:tc>
        <w:tc>
          <w:tcPr>
            <w:tcW w:w="0" w:type="dxa"/>
            <w:vAlign w:val="bottom"/>
          </w:tcPr>
          <w:p>
            <w:pPr>
              <w:spacing w:after="0"/>
              <w:rPr>
                <w:sz w:val="1"/>
                <w:szCs w:val="1"/>
                <w:color w:val="auto"/>
              </w:rPr>
            </w:pPr>
          </w:p>
        </w:tc>
      </w:tr>
      <w:tr>
        <w:trPr>
          <w:trHeight w:val="90"/>
        </w:trPr>
        <w:tc>
          <w:tcPr>
            <w:tcW w:w="116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03/14/2010</w:t>
            </w:r>
          </w:p>
        </w:tc>
        <w:tc>
          <w:tcPr>
            <w:tcW w:w="1960" w:type="dxa"/>
            <w:vAlign w:val="bottom"/>
            <w:gridSpan w:val="2"/>
            <w:shd w:val="clear" w:color="auto" w:fill="CCEEFF"/>
          </w:tcPr>
          <w:p>
            <w:pPr>
              <w:ind w:left="720"/>
              <w:spacing w:after="0" w:line="90" w:lineRule="exact"/>
              <w:rPr>
                <w:sz w:val="20"/>
                <w:szCs w:val="20"/>
                <w:color w:val="auto"/>
              </w:rPr>
            </w:pPr>
            <w:r>
              <w:rPr>
                <w:rFonts w:ascii="Arial" w:cs="Arial" w:eastAsia="Arial" w:hAnsi="Arial"/>
                <w:sz w:val="8"/>
                <w:szCs w:val="8"/>
                <w:color w:val="auto"/>
              </w:rPr>
              <w:t>RSU</w:t>
            </w:r>
          </w:p>
        </w:tc>
        <w:tc>
          <w:tcPr>
            <w:tcW w:w="600" w:type="dxa"/>
            <w:vAlign w:val="bottom"/>
            <w:shd w:val="clear" w:color="auto" w:fill="CCEEFF"/>
          </w:tcPr>
          <w:p>
            <w:pPr>
              <w:spacing w:after="0"/>
              <w:rPr>
                <w:sz w:val="7"/>
                <w:szCs w:val="7"/>
                <w:color w:val="auto"/>
              </w:rPr>
            </w:pP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spacing w:after="0"/>
              <w:rPr>
                <w:sz w:val="7"/>
                <w:szCs w:val="7"/>
                <w:color w:val="auto"/>
              </w:rPr>
            </w:pPr>
          </w:p>
        </w:tc>
        <w:tc>
          <w:tcPr>
            <w:tcW w:w="860" w:type="dxa"/>
            <w:vAlign w:val="bottom"/>
            <w:shd w:val="clear" w:color="auto" w:fill="CCEEFF"/>
          </w:tcPr>
          <w:p>
            <w:pPr>
              <w:jc w:val="right"/>
              <w:ind w:right="258"/>
              <w:spacing w:after="0" w:line="90" w:lineRule="exact"/>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spacing w:after="0"/>
              <w:rPr>
                <w:sz w:val="7"/>
                <w:szCs w:val="7"/>
                <w:color w:val="auto"/>
              </w:rPr>
            </w:pPr>
          </w:p>
        </w:tc>
        <w:tc>
          <w:tcPr>
            <w:tcW w:w="1480" w:type="dxa"/>
            <w:vAlign w:val="bottom"/>
            <w:gridSpan w:val="2"/>
            <w:shd w:val="clear" w:color="auto" w:fill="CCEEFF"/>
          </w:tcPr>
          <w:p>
            <w:pPr>
              <w:jc w:val="right"/>
              <w:ind w:right="920"/>
              <w:spacing w:after="0" w:line="90" w:lineRule="exact"/>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jc w:val="right"/>
              <w:ind w:right="158"/>
              <w:spacing w:after="0" w:line="90" w:lineRule="exact"/>
              <w:rPr>
                <w:sz w:val="20"/>
                <w:szCs w:val="20"/>
                <w:color w:val="auto"/>
              </w:rPr>
            </w:pPr>
            <w:r>
              <w:rPr>
                <w:rFonts w:ascii="Arial" w:cs="Arial" w:eastAsia="Arial" w:hAnsi="Arial"/>
                <w:sz w:val="8"/>
                <w:szCs w:val="8"/>
                <w:color w:val="auto"/>
              </w:rPr>
              <w:t>—</w:t>
            </w:r>
          </w:p>
        </w:tc>
        <w:tc>
          <w:tcPr>
            <w:tcW w:w="1440" w:type="dxa"/>
            <w:vAlign w:val="bottom"/>
            <w:gridSpan w:val="2"/>
            <w:shd w:val="clear" w:color="auto" w:fill="CCEEFF"/>
          </w:tcPr>
          <w:p>
            <w:pPr>
              <w:jc w:val="right"/>
              <w:ind w:right="258"/>
              <w:spacing w:after="0" w:line="90" w:lineRule="exact"/>
              <w:rPr>
                <w:sz w:val="20"/>
                <w:szCs w:val="20"/>
                <w:color w:val="auto"/>
              </w:rPr>
            </w:pPr>
            <w:r>
              <w:rPr>
                <w:rFonts w:ascii="Arial" w:cs="Arial" w:eastAsia="Arial" w:hAnsi="Arial"/>
                <w:sz w:val="8"/>
                <w:szCs w:val="8"/>
                <w:color w:val="auto"/>
              </w:rPr>
              <w:t>11,699</w:t>
            </w:r>
          </w:p>
        </w:tc>
        <w:tc>
          <w:tcPr>
            <w:tcW w:w="0" w:type="dxa"/>
            <w:vAlign w:val="bottom"/>
          </w:tcPr>
          <w:p>
            <w:pPr>
              <w:spacing w:after="0"/>
              <w:rPr>
                <w:sz w:val="1"/>
                <w:szCs w:val="1"/>
                <w:color w:val="auto"/>
              </w:rPr>
            </w:pPr>
          </w:p>
        </w:tc>
      </w:tr>
      <w:tr>
        <w:trPr>
          <w:trHeight w:val="90"/>
        </w:trPr>
        <w:tc>
          <w:tcPr>
            <w:tcW w:w="116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03/16/2010</w:t>
            </w:r>
          </w:p>
        </w:tc>
        <w:tc>
          <w:tcPr>
            <w:tcW w:w="1960" w:type="dxa"/>
            <w:vAlign w:val="bottom"/>
            <w:gridSpan w:val="2"/>
            <w:shd w:val="clear" w:color="auto" w:fill="CCEEFF"/>
          </w:tcPr>
          <w:p>
            <w:pPr>
              <w:ind w:left="720"/>
              <w:spacing w:after="0" w:line="90" w:lineRule="exact"/>
              <w:rPr>
                <w:sz w:val="20"/>
                <w:szCs w:val="20"/>
                <w:color w:val="auto"/>
              </w:rPr>
            </w:pPr>
            <w:r>
              <w:rPr>
                <w:rFonts w:ascii="Arial" w:cs="Arial" w:eastAsia="Arial" w:hAnsi="Arial"/>
                <w:sz w:val="8"/>
                <w:szCs w:val="8"/>
                <w:color w:val="auto"/>
              </w:rPr>
              <w:t>Performance RSU</w:t>
            </w:r>
            <w:r>
              <w:rPr>
                <w:rFonts w:ascii="Arial" w:cs="Arial" w:eastAsia="Arial" w:hAnsi="Arial"/>
                <w:sz w:val="7"/>
                <w:szCs w:val="7"/>
                <w:color w:val="auto"/>
              </w:rPr>
              <w:t>(a)</w:t>
            </w:r>
          </w:p>
        </w:tc>
        <w:tc>
          <w:tcPr>
            <w:tcW w:w="1240" w:type="dxa"/>
            <w:vAlign w:val="bottom"/>
            <w:gridSpan w:val="2"/>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31,230</w:t>
            </w:r>
          </w:p>
        </w:tc>
        <w:tc>
          <w:tcPr>
            <w:tcW w:w="620" w:type="dxa"/>
            <w:vAlign w:val="bottom"/>
            <w:shd w:val="clear" w:color="auto" w:fill="CCEEFF"/>
          </w:tcPr>
          <w:p>
            <w:pPr>
              <w:spacing w:after="0"/>
              <w:rPr>
                <w:sz w:val="7"/>
                <w:szCs w:val="7"/>
                <w:color w:val="auto"/>
              </w:rPr>
            </w:pPr>
          </w:p>
        </w:tc>
        <w:tc>
          <w:tcPr>
            <w:tcW w:w="860" w:type="dxa"/>
            <w:vAlign w:val="bottom"/>
            <w:shd w:val="clear" w:color="auto" w:fill="CCEEFF"/>
          </w:tcPr>
          <w:p>
            <w:pPr>
              <w:jc w:val="right"/>
              <w:ind w:right="258"/>
              <w:spacing w:after="0" w:line="90" w:lineRule="exact"/>
              <w:rPr>
                <w:sz w:val="20"/>
                <w:szCs w:val="20"/>
                <w:color w:val="auto"/>
              </w:rPr>
            </w:pPr>
            <w:r>
              <w:rPr>
                <w:rFonts w:ascii="Arial" w:cs="Arial" w:eastAsia="Arial" w:hAnsi="Arial"/>
                <w:sz w:val="8"/>
                <w:szCs w:val="8"/>
                <w:color w:val="auto"/>
              </w:rPr>
              <w:t>—</w:t>
            </w:r>
          </w:p>
        </w:tc>
        <w:tc>
          <w:tcPr>
            <w:tcW w:w="1480" w:type="dxa"/>
            <w:vAlign w:val="bottom"/>
            <w:gridSpan w:val="2"/>
            <w:shd w:val="clear" w:color="auto" w:fill="CCEEFF"/>
          </w:tcPr>
          <w:p>
            <w:pPr>
              <w:jc w:val="right"/>
              <w:ind w:right="258"/>
              <w:spacing w:after="0" w:line="90" w:lineRule="exact"/>
              <w:rPr>
                <w:sz w:val="20"/>
                <w:szCs w:val="20"/>
                <w:color w:val="auto"/>
              </w:rPr>
            </w:pPr>
            <w:r>
              <w:rPr>
                <w:rFonts w:ascii="Arial" w:cs="Arial" w:eastAsia="Arial" w:hAnsi="Arial"/>
                <w:sz w:val="8"/>
                <w:szCs w:val="8"/>
                <w:color w:val="auto"/>
              </w:rPr>
              <w:t>24,984</w:t>
            </w:r>
          </w:p>
        </w:tc>
        <w:tc>
          <w:tcPr>
            <w:tcW w:w="620" w:type="dxa"/>
            <w:vAlign w:val="bottom"/>
            <w:shd w:val="clear" w:color="auto" w:fill="CCEEFF"/>
          </w:tcPr>
          <w:p>
            <w:pPr>
              <w:spacing w:after="0"/>
              <w:rPr>
                <w:sz w:val="7"/>
                <w:szCs w:val="7"/>
                <w:color w:val="auto"/>
              </w:rPr>
            </w:pPr>
          </w:p>
        </w:tc>
        <w:tc>
          <w:tcPr>
            <w:tcW w:w="620" w:type="dxa"/>
            <w:vAlign w:val="bottom"/>
            <w:shd w:val="clear" w:color="auto" w:fill="CCEEFF"/>
          </w:tcPr>
          <w:p>
            <w:pPr>
              <w:jc w:val="right"/>
              <w:ind w:right="158"/>
              <w:spacing w:after="0" w:line="90" w:lineRule="exact"/>
              <w:rPr>
                <w:sz w:val="20"/>
                <w:szCs w:val="20"/>
                <w:color w:val="auto"/>
              </w:rPr>
            </w:pPr>
            <w:r>
              <w:rPr>
                <w:rFonts w:ascii="Arial" w:cs="Arial" w:eastAsia="Arial" w:hAnsi="Arial"/>
                <w:sz w:val="8"/>
                <w:szCs w:val="8"/>
                <w:color w:val="auto"/>
              </w:rPr>
              <w:t>14,550</w:t>
            </w:r>
          </w:p>
        </w:tc>
        <w:tc>
          <w:tcPr>
            <w:tcW w:w="620" w:type="dxa"/>
            <w:vAlign w:val="bottom"/>
            <w:shd w:val="clear" w:color="auto" w:fill="CCEEFF"/>
          </w:tcPr>
          <w:p>
            <w:pPr>
              <w:spacing w:after="0"/>
              <w:rPr>
                <w:sz w:val="7"/>
                <w:szCs w:val="7"/>
                <w:color w:val="auto"/>
              </w:rPr>
            </w:pPr>
          </w:p>
        </w:tc>
        <w:tc>
          <w:tcPr>
            <w:tcW w:w="820" w:type="dxa"/>
            <w:vAlign w:val="bottom"/>
            <w:shd w:val="clear" w:color="auto" w:fill="CCEEFF"/>
          </w:tcPr>
          <w:p>
            <w:pPr>
              <w:jc w:val="right"/>
              <w:ind w:right="258"/>
              <w:spacing w:after="0" w:line="90"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90"/>
        </w:trPr>
        <w:tc>
          <w:tcPr>
            <w:tcW w:w="116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03/16/2010</w:t>
            </w:r>
          </w:p>
        </w:tc>
        <w:tc>
          <w:tcPr>
            <w:tcW w:w="1960" w:type="dxa"/>
            <w:vAlign w:val="bottom"/>
            <w:gridSpan w:val="2"/>
            <w:shd w:val="clear" w:color="auto" w:fill="CCEEFF"/>
          </w:tcPr>
          <w:p>
            <w:pPr>
              <w:ind w:left="720"/>
              <w:spacing w:after="0" w:line="90" w:lineRule="exact"/>
              <w:rPr>
                <w:sz w:val="20"/>
                <w:szCs w:val="20"/>
                <w:color w:val="auto"/>
              </w:rPr>
            </w:pPr>
            <w:r>
              <w:rPr>
                <w:rFonts w:ascii="Arial" w:cs="Arial" w:eastAsia="Arial" w:hAnsi="Arial"/>
                <w:sz w:val="8"/>
                <w:szCs w:val="8"/>
                <w:color w:val="auto"/>
              </w:rPr>
              <w:t>RSU</w:t>
            </w:r>
          </w:p>
        </w:tc>
        <w:tc>
          <w:tcPr>
            <w:tcW w:w="600" w:type="dxa"/>
            <w:vAlign w:val="bottom"/>
            <w:shd w:val="clear" w:color="auto" w:fill="CCEEFF"/>
          </w:tcPr>
          <w:p>
            <w:pPr>
              <w:spacing w:after="0"/>
              <w:rPr>
                <w:sz w:val="7"/>
                <w:szCs w:val="7"/>
                <w:color w:val="auto"/>
              </w:rPr>
            </w:pP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spacing w:after="0"/>
              <w:rPr>
                <w:sz w:val="7"/>
                <w:szCs w:val="7"/>
                <w:color w:val="auto"/>
              </w:rPr>
            </w:pPr>
          </w:p>
        </w:tc>
        <w:tc>
          <w:tcPr>
            <w:tcW w:w="860" w:type="dxa"/>
            <w:vAlign w:val="bottom"/>
            <w:shd w:val="clear" w:color="auto" w:fill="CCEEFF"/>
          </w:tcPr>
          <w:p>
            <w:pPr>
              <w:jc w:val="right"/>
              <w:ind w:right="258"/>
              <w:spacing w:after="0" w:line="90" w:lineRule="exact"/>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spacing w:after="0"/>
              <w:rPr>
                <w:sz w:val="7"/>
                <w:szCs w:val="7"/>
                <w:color w:val="auto"/>
              </w:rPr>
            </w:pPr>
          </w:p>
        </w:tc>
        <w:tc>
          <w:tcPr>
            <w:tcW w:w="1480" w:type="dxa"/>
            <w:vAlign w:val="bottom"/>
            <w:gridSpan w:val="2"/>
            <w:shd w:val="clear" w:color="auto" w:fill="CCEEFF"/>
          </w:tcPr>
          <w:p>
            <w:pPr>
              <w:jc w:val="right"/>
              <w:ind w:right="920"/>
              <w:spacing w:after="0" w:line="90" w:lineRule="exact"/>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jc w:val="right"/>
              <w:ind w:right="158"/>
              <w:spacing w:after="0" w:line="90" w:lineRule="exact"/>
              <w:rPr>
                <w:sz w:val="20"/>
                <w:szCs w:val="20"/>
                <w:color w:val="auto"/>
              </w:rPr>
            </w:pPr>
            <w:r>
              <w:rPr>
                <w:rFonts w:ascii="Arial" w:cs="Arial" w:eastAsia="Arial" w:hAnsi="Arial"/>
                <w:sz w:val="8"/>
                <w:szCs w:val="8"/>
                <w:color w:val="auto"/>
              </w:rPr>
              <w:t>—</w:t>
            </w:r>
          </w:p>
        </w:tc>
        <w:tc>
          <w:tcPr>
            <w:tcW w:w="1440" w:type="dxa"/>
            <w:vAlign w:val="bottom"/>
            <w:gridSpan w:val="2"/>
            <w:shd w:val="clear" w:color="auto" w:fill="CCEEFF"/>
          </w:tcPr>
          <w:p>
            <w:pPr>
              <w:jc w:val="right"/>
              <w:ind w:right="258"/>
              <w:spacing w:after="0" w:line="90" w:lineRule="exact"/>
              <w:rPr>
                <w:sz w:val="20"/>
                <w:szCs w:val="20"/>
                <w:color w:val="auto"/>
              </w:rPr>
            </w:pPr>
            <w:r>
              <w:rPr>
                <w:rFonts w:ascii="Arial" w:cs="Arial" w:eastAsia="Arial" w:hAnsi="Arial"/>
                <w:sz w:val="8"/>
                <w:szCs w:val="8"/>
                <w:color w:val="auto"/>
              </w:rPr>
              <w:t>3,840</w:t>
            </w:r>
          </w:p>
        </w:tc>
        <w:tc>
          <w:tcPr>
            <w:tcW w:w="0" w:type="dxa"/>
            <w:vAlign w:val="bottom"/>
          </w:tcPr>
          <w:p>
            <w:pPr>
              <w:spacing w:after="0"/>
              <w:rPr>
                <w:sz w:val="1"/>
                <w:szCs w:val="1"/>
                <w:color w:val="auto"/>
              </w:rPr>
            </w:pPr>
          </w:p>
        </w:tc>
      </w:tr>
      <w:tr>
        <w:trPr>
          <w:trHeight w:val="90"/>
        </w:trPr>
        <w:tc>
          <w:tcPr>
            <w:tcW w:w="116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03/28/2010</w:t>
            </w:r>
          </w:p>
        </w:tc>
        <w:tc>
          <w:tcPr>
            <w:tcW w:w="1960" w:type="dxa"/>
            <w:vAlign w:val="bottom"/>
            <w:gridSpan w:val="2"/>
            <w:shd w:val="clear" w:color="auto" w:fill="CCEEFF"/>
          </w:tcPr>
          <w:p>
            <w:pPr>
              <w:ind w:left="720"/>
              <w:spacing w:after="0" w:line="90" w:lineRule="exact"/>
              <w:rPr>
                <w:sz w:val="20"/>
                <w:szCs w:val="20"/>
                <w:color w:val="auto"/>
              </w:rPr>
            </w:pPr>
            <w:r>
              <w:rPr>
                <w:rFonts w:ascii="Arial" w:cs="Arial" w:eastAsia="Arial" w:hAnsi="Arial"/>
                <w:sz w:val="8"/>
                <w:szCs w:val="8"/>
                <w:color w:val="auto"/>
              </w:rPr>
              <w:t>Performance RSU</w:t>
            </w:r>
          </w:p>
        </w:tc>
        <w:tc>
          <w:tcPr>
            <w:tcW w:w="1240" w:type="dxa"/>
            <w:vAlign w:val="bottom"/>
            <w:gridSpan w:val="2"/>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41,400</w:t>
            </w:r>
          </w:p>
        </w:tc>
        <w:tc>
          <w:tcPr>
            <w:tcW w:w="1480" w:type="dxa"/>
            <w:vAlign w:val="bottom"/>
            <w:gridSpan w:val="2"/>
            <w:shd w:val="clear" w:color="auto" w:fill="CCEEFF"/>
          </w:tcPr>
          <w:p>
            <w:pPr>
              <w:jc w:val="right"/>
              <w:ind w:right="258"/>
              <w:spacing w:after="0" w:line="90" w:lineRule="exact"/>
              <w:rPr>
                <w:sz w:val="20"/>
                <w:szCs w:val="20"/>
                <w:color w:val="auto"/>
              </w:rPr>
            </w:pPr>
            <w:r>
              <w:rPr>
                <w:rFonts w:ascii="Arial" w:cs="Arial" w:eastAsia="Arial" w:hAnsi="Arial"/>
                <w:sz w:val="8"/>
                <w:szCs w:val="8"/>
                <w:color w:val="auto"/>
              </w:rPr>
              <w:t>24,840</w:t>
            </w:r>
          </w:p>
        </w:tc>
        <w:tc>
          <w:tcPr>
            <w:tcW w:w="1480" w:type="dxa"/>
            <w:vAlign w:val="bottom"/>
            <w:gridSpan w:val="2"/>
            <w:shd w:val="clear" w:color="auto" w:fill="CCEEFF"/>
          </w:tcPr>
          <w:p>
            <w:pPr>
              <w:jc w:val="right"/>
              <w:ind w:right="258"/>
              <w:spacing w:after="0" w:line="90" w:lineRule="exact"/>
              <w:rPr>
                <w:sz w:val="20"/>
                <w:szCs w:val="20"/>
                <w:color w:val="auto"/>
              </w:rPr>
            </w:pPr>
            <w:r>
              <w:rPr>
                <w:rFonts w:ascii="Arial" w:cs="Arial" w:eastAsia="Arial" w:hAnsi="Arial"/>
                <w:sz w:val="8"/>
                <w:szCs w:val="8"/>
                <w:color w:val="auto"/>
              </w:rPr>
              <w:t>33,120</w:t>
            </w:r>
          </w:p>
        </w:tc>
        <w:tc>
          <w:tcPr>
            <w:tcW w:w="620" w:type="dxa"/>
            <w:vAlign w:val="bottom"/>
            <w:shd w:val="clear" w:color="auto" w:fill="CCEEFF"/>
          </w:tcPr>
          <w:p>
            <w:pPr>
              <w:spacing w:after="0"/>
              <w:rPr>
                <w:sz w:val="7"/>
                <w:szCs w:val="7"/>
                <w:color w:val="auto"/>
              </w:rPr>
            </w:pPr>
          </w:p>
        </w:tc>
        <w:tc>
          <w:tcPr>
            <w:tcW w:w="620" w:type="dxa"/>
            <w:vAlign w:val="bottom"/>
            <w:shd w:val="clear" w:color="auto" w:fill="CCEEFF"/>
          </w:tcPr>
          <w:p>
            <w:pPr>
              <w:jc w:val="right"/>
              <w:ind w:right="158"/>
              <w:spacing w:after="0" w:line="90" w:lineRule="exact"/>
              <w:rPr>
                <w:sz w:val="20"/>
                <w:szCs w:val="20"/>
                <w:color w:val="auto"/>
              </w:rPr>
            </w:pPr>
            <w:r>
              <w:rPr>
                <w:rFonts w:ascii="Arial" w:cs="Arial" w:eastAsia="Arial" w:hAnsi="Arial"/>
                <w:sz w:val="8"/>
                <w:szCs w:val="8"/>
                <w:color w:val="auto"/>
              </w:rPr>
              <w:t>19,290</w:t>
            </w:r>
          </w:p>
        </w:tc>
        <w:tc>
          <w:tcPr>
            <w:tcW w:w="620" w:type="dxa"/>
            <w:vAlign w:val="bottom"/>
            <w:shd w:val="clear" w:color="auto" w:fill="CCEEFF"/>
          </w:tcPr>
          <w:p>
            <w:pPr>
              <w:spacing w:after="0"/>
              <w:rPr>
                <w:sz w:val="7"/>
                <w:szCs w:val="7"/>
                <w:color w:val="auto"/>
              </w:rPr>
            </w:pPr>
          </w:p>
        </w:tc>
        <w:tc>
          <w:tcPr>
            <w:tcW w:w="820" w:type="dxa"/>
            <w:vAlign w:val="bottom"/>
            <w:shd w:val="clear" w:color="auto" w:fill="CCEEFF"/>
          </w:tcPr>
          <w:p>
            <w:pPr>
              <w:jc w:val="right"/>
              <w:ind w:right="258"/>
              <w:spacing w:after="0" w:line="90"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90"/>
        </w:trPr>
        <w:tc>
          <w:tcPr>
            <w:tcW w:w="116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03/28/2010</w:t>
            </w:r>
          </w:p>
        </w:tc>
        <w:tc>
          <w:tcPr>
            <w:tcW w:w="1960" w:type="dxa"/>
            <w:vAlign w:val="bottom"/>
            <w:gridSpan w:val="2"/>
            <w:shd w:val="clear" w:color="auto" w:fill="CCEEFF"/>
          </w:tcPr>
          <w:p>
            <w:pPr>
              <w:ind w:left="720"/>
              <w:spacing w:after="0" w:line="90" w:lineRule="exact"/>
              <w:rPr>
                <w:sz w:val="20"/>
                <w:szCs w:val="20"/>
                <w:color w:val="auto"/>
              </w:rPr>
            </w:pPr>
            <w:r>
              <w:rPr>
                <w:rFonts w:ascii="Arial" w:cs="Arial" w:eastAsia="Arial" w:hAnsi="Arial"/>
                <w:sz w:val="8"/>
                <w:szCs w:val="8"/>
                <w:color w:val="auto"/>
              </w:rPr>
              <w:t>RSU</w:t>
            </w:r>
          </w:p>
        </w:tc>
        <w:tc>
          <w:tcPr>
            <w:tcW w:w="600" w:type="dxa"/>
            <w:vAlign w:val="bottom"/>
            <w:shd w:val="clear" w:color="auto" w:fill="CCEEFF"/>
          </w:tcPr>
          <w:p>
            <w:pPr>
              <w:spacing w:after="0"/>
              <w:rPr>
                <w:sz w:val="7"/>
                <w:szCs w:val="7"/>
                <w:color w:val="auto"/>
              </w:rPr>
            </w:pP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spacing w:after="0"/>
              <w:rPr>
                <w:sz w:val="7"/>
                <w:szCs w:val="7"/>
                <w:color w:val="auto"/>
              </w:rPr>
            </w:pPr>
          </w:p>
        </w:tc>
        <w:tc>
          <w:tcPr>
            <w:tcW w:w="860" w:type="dxa"/>
            <w:vAlign w:val="bottom"/>
            <w:shd w:val="clear" w:color="auto" w:fill="CCEEFF"/>
          </w:tcPr>
          <w:p>
            <w:pPr>
              <w:jc w:val="right"/>
              <w:ind w:right="258"/>
              <w:spacing w:after="0" w:line="90" w:lineRule="exact"/>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spacing w:after="0"/>
              <w:rPr>
                <w:sz w:val="7"/>
                <w:szCs w:val="7"/>
                <w:color w:val="auto"/>
              </w:rPr>
            </w:pPr>
          </w:p>
        </w:tc>
        <w:tc>
          <w:tcPr>
            <w:tcW w:w="1480" w:type="dxa"/>
            <w:vAlign w:val="bottom"/>
            <w:gridSpan w:val="2"/>
            <w:shd w:val="clear" w:color="auto" w:fill="CCEEFF"/>
          </w:tcPr>
          <w:p>
            <w:pPr>
              <w:jc w:val="right"/>
              <w:ind w:right="920"/>
              <w:spacing w:after="0" w:line="90" w:lineRule="exact"/>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jc w:val="right"/>
              <w:ind w:right="158"/>
              <w:spacing w:after="0" w:line="90" w:lineRule="exact"/>
              <w:rPr>
                <w:sz w:val="20"/>
                <w:szCs w:val="20"/>
                <w:color w:val="auto"/>
              </w:rPr>
            </w:pPr>
            <w:r>
              <w:rPr>
                <w:rFonts w:ascii="Arial" w:cs="Arial" w:eastAsia="Arial" w:hAnsi="Arial"/>
                <w:sz w:val="8"/>
                <w:szCs w:val="8"/>
                <w:color w:val="auto"/>
              </w:rPr>
              <w:t>—</w:t>
            </w:r>
          </w:p>
        </w:tc>
        <w:tc>
          <w:tcPr>
            <w:tcW w:w="1440" w:type="dxa"/>
            <w:vAlign w:val="bottom"/>
            <w:gridSpan w:val="2"/>
            <w:shd w:val="clear" w:color="auto" w:fill="CCEEFF"/>
          </w:tcPr>
          <w:p>
            <w:pPr>
              <w:jc w:val="right"/>
              <w:ind w:right="258"/>
              <w:spacing w:after="0" w:line="90" w:lineRule="exact"/>
              <w:rPr>
                <w:sz w:val="20"/>
                <w:szCs w:val="20"/>
                <w:color w:val="auto"/>
              </w:rPr>
            </w:pPr>
            <w:r>
              <w:rPr>
                <w:rFonts w:ascii="Arial" w:cs="Arial" w:eastAsia="Arial" w:hAnsi="Arial"/>
                <w:sz w:val="8"/>
                <w:szCs w:val="8"/>
                <w:color w:val="auto"/>
              </w:rPr>
              <w:t>5,085</w:t>
            </w:r>
          </w:p>
        </w:tc>
        <w:tc>
          <w:tcPr>
            <w:tcW w:w="0" w:type="dxa"/>
            <w:vAlign w:val="bottom"/>
          </w:tcPr>
          <w:p>
            <w:pPr>
              <w:spacing w:after="0"/>
              <w:rPr>
                <w:sz w:val="1"/>
                <w:szCs w:val="1"/>
                <w:color w:val="auto"/>
              </w:rPr>
            </w:pPr>
          </w:p>
        </w:tc>
      </w:tr>
      <w:tr>
        <w:trPr>
          <w:trHeight w:val="90"/>
        </w:trPr>
        <w:tc>
          <w:tcPr>
            <w:tcW w:w="116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03/30/2010</w:t>
            </w:r>
          </w:p>
        </w:tc>
        <w:tc>
          <w:tcPr>
            <w:tcW w:w="1960" w:type="dxa"/>
            <w:vAlign w:val="bottom"/>
            <w:gridSpan w:val="2"/>
            <w:shd w:val="clear" w:color="auto" w:fill="CCEEFF"/>
          </w:tcPr>
          <w:p>
            <w:pPr>
              <w:ind w:left="720"/>
              <w:spacing w:after="0" w:line="90" w:lineRule="exact"/>
              <w:rPr>
                <w:sz w:val="20"/>
                <w:szCs w:val="20"/>
                <w:color w:val="auto"/>
              </w:rPr>
            </w:pPr>
            <w:r>
              <w:rPr>
                <w:rFonts w:ascii="Arial" w:cs="Arial" w:eastAsia="Arial" w:hAnsi="Arial"/>
                <w:sz w:val="8"/>
                <w:szCs w:val="8"/>
                <w:color w:val="auto"/>
              </w:rPr>
              <w:t>Performance RSU</w:t>
            </w:r>
            <w:r>
              <w:rPr>
                <w:rFonts w:ascii="Arial" w:cs="Arial" w:eastAsia="Arial" w:hAnsi="Arial"/>
                <w:sz w:val="7"/>
                <w:szCs w:val="7"/>
                <w:color w:val="auto"/>
              </w:rPr>
              <w:t>(a)</w:t>
            </w:r>
          </w:p>
        </w:tc>
        <w:tc>
          <w:tcPr>
            <w:tcW w:w="600" w:type="dxa"/>
            <w:vAlign w:val="bottom"/>
            <w:shd w:val="clear" w:color="auto" w:fill="CCEEFF"/>
          </w:tcPr>
          <w:p>
            <w:pPr>
              <w:spacing w:after="0"/>
              <w:rPr>
                <w:sz w:val="7"/>
                <w:szCs w:val="7"/>
                <w:color w:val="auto"/>
              </w:rPr>
            </w:pP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w:t>
            </w:r>
          </w:p>
        </w:tc>
        <w:tc>
          <w:tcPr>
            <w:tcW w:w="1480" w:type="dxa"/>
            <w:vAlign w:val="bottom"/>
            <w:gridSpan w:val="2"/>
            <w:shd w:val="clear" w:color="auto" w:fill="CCEEFF"/>
          </w:tcPr>
          <w:p>
            <w:pPr>
              <w:jc w:val="right"/>
              <w:ind w:right="258"/>
              <w:spacing w:after="0" w:line="90" w:lineRule="exact"/>
              <w:rPr>
                <w:sz w:val="20"/>
                <w:szCs w:val="20"/>
                <w:color w:val="auto"/>
              </w:rPr>
            </w:pPr>
            <w:r>
              <w:rPr>
                <w:rFonts w:ascii="Arial" w:cs="Arial" w:eastAsia="Arial" w:hAnsi="Arial"/>
                <w:sz w:val="8"/>
                <w:szCs w:val="8"/>
                <w:color w:val="auto"/>
              </w:rPr>
              <w:t>14,121</w:t>
            </w:r>
          </w:p>
        </w:tc>
        <w:tc>
          <w:tcPr>
            <w:tcW w:w="620" w:type="dxa"/>
            <w:vAlign w:val="bottom"/>
            <w:shd w:val="clear" w:color="auto" w:fill="CCEEFF"/>
          </w:tcPr>
          <w:p>
            <w:pPr>
              <w:spacing w:after="0"/>
              <w:rPr>
                <w:sz w:val="7"/>
                <w:szCs w:val="7"/>
                <w:color w:val="auto"/>
              </w:rPr>
            </w:pPr>
          </w:p>
        </w:tc>
        <w:tc>
          <w:tcPr>
            <w:tcW w:w="1480" w:type="dxa"/>
            <w:vAlign w:val="bottom"/>
            <w:gridSpan w:val="2"/>
            <w:shd w:val="clear" w:color="auto" w:fill="CCEEFF"/>
          </w:tcPr>
          <w:p>
            <w:pPr>
              <w:jc w:val="right"/>
              <w:ind w:right="920"/>
              <w:spacing w:after="0" w:line="90" w:lineRule="exact"/>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jc w:val="right"/>
              <w:ind w:right="158"/>
              <w:spacing w:after="0" w:line="90" w:lineRule="exact"/>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spacing w:after="0"/>
              <w:rPr>
                <w:sz w:val="7"/>
                <w:szCs w:val="7"/>
                <w:color w:val="auto"/>
              </w:rPr>
            </w:pPr>
          </w:p>
        </w:tc>
        <w:tc>
          <w:tcPr>
            <w:tcW w:w="820" w:type="dxa"/>
            <w:vAlign w:val="bottom"/>
            <w:shd w:val="clear" w:color="auto" w:fill="CCEEFF"/>
          </w:tcPr>
          <w:p>
            <w:pPr>
              <w:jc w:val="right"/>
              <w:ind w:right="258"/>
              <w:spacing w:after="0" w:line="90"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90"/>
        </w:trPr>
        <w:tc>
          <w:tcPr>
            <w:tcW w:w="116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04/20/2010</w:t>
            </w:r>
          </w:p>
        </w:tc>
        <w:tc>
          <w:tcPr>
            <w:tcW w:w="1960" w:type="dxa"/>
            <w:vAlign w:val="bottom"/>
            <w:gridSpan w:val="2"/>
            <w:shd w:val="clear" w:color="auto" w:fill="CCEEFF"/>
          </w:tcPr>
          <w:p>
            <w:pPr>
              <w:ind w:left="720"/>
              <w:spacing w:after="0" w:line="90" w:lineRule="exact"/>
              <w:rPr>
                <w:sz w:val="20"/>
                <w:szCs w:val="20"/>
                <w:color w:val="auto"/>
              </w:rPr>
            </w:pPr>
            <w:r>
              <w:rPr>
                <w:rFonts w:ascii="Arial" w:cs="Arial" w:eastAsia="Arial" w:hAnsi="Arial"/>
                <w:sz w:val="8"/>
                <w:szCs w:val="8"/>
                <w:color w:val="auto"/>
              </w:rPr>
              <w:t>Performance RSU</w:t>
            </w:r>
          </w:p>
        </w:tc>
        <w:tc>
          <w:tcPr>
            <w:tcW w:w="600" w:type="dxa"/>
            <w:vAlign w:val="bottom"/>
            <w:shd w:val="clear" w:color="auto" w:fill="CCEEFF"/>
          </w:tcPr>
          <w:p>
            <w:pPr>
              <w:spacing w:after="0"/>
              <w:rPr>
                <w:sz w:val="7"/>
                <w:szCs w:val="7"/>
                <w:color w:val="auto"/>
              </w:rPr>
            </w:pP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spacing w:after="0"/>
              <w:rPr>
                <w:sz w:val="7"/>
                <w:szCs w:val="7"/>
                <w:color w:val="auto"/>
              </w:rPr>
            </w:pPr>
          </w:p>
        </w:tc>
        <w:tc>
          <w:tcPr>
            <w:tcW w:w="860" w:type="dxa"/>
            <w:vAlign w:val="bottom"/>
            <w:shd w:val="clear" w:color="auto" w:fill="CCEEFF"/>
          </w:tcPr>
          <w:p>
            <w:pPr>
              <w:jc w:val="right"/>
              <w:ind w:right="258"/>
              <w:spacing w:after="0" w:line="90" w:lineRule="exact"/>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spacing w:after="0"/>
              <w:rPr>
                <w:sz w:val="7"/>
                <w:szCs w:val="7"/>
                <w:color w:val="auto"/>
              </w:rPr>
            </w:pPr>
          </w:p>
        </w:tc>
        <w:tc>
          <w:tcPr>
            <w:tcW w:w="1480" w:type="dxa"/>
            <w:vAlign w:val="bottom"/>
            <w:gridSpan w:val="2"/>
            <w:shd w:val="clear" w:color="auto" w:fill="CCEEFF"/>
          </w:tcPr>
          <w:p>
            <w:pPr>
              <w:jc w:val="right"/>
              <w:ind w:right="920"/>
              <w:spacing w:after="0" w:line="90" w:lineRule="exact"/>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jc w:val="right"/>
              <w:ind w:right="158"/>
              <w:spacing w:after="0" w:line="90" w:lineRule="exact"/>
              <w:rPr>
                <w:sz w:val="20"/>
                <w:szCs w:val="20"/>
                <w:color w:val="auto"/>
              </w:rPr>
            </w:pPr>
            <w:r>
              <w:rPr>
                <w:rFonts w:ascii="Arial" w:cs="Arial" w:eastAsia="Arial" w:hAnsi="Arial"/>
                <w:sz w:val="8"/>
                <w:szCs w:val="8"/>
                <w:color w:val="auto"/>
              </w:rPr>
              <w:t>—</w:t>
            </w:r>
          </w:p>
        </w:tc>
        <w:tc>
          <w:tcPr>
            <w:tcW w:w="1440" w:type="dxa"/>
            <w:vAlign w:val="bottom"/>
            <w:gridSpan w:val="2"/>
            <w:shd w:val="clear" w:color="auto" w:fill="CCEEFF"/>
          </w:tcPr>
          <w:p>
            <w:pPr>
              <w:jc w:val="right"/>
              <w:ind w:right="258"/>
              <w:spacing w:after="0" w:line="90" w:lineRule="exact"/>
              <w:rPr>
                <w:sz w:val="20"/>
                <w:szCs w:val="20"/>
                <w:color w:val="auto"/>
              </w:rPr>
            </w:pPr>
            <w:r>
              <w:rPr>
                <w:rFonts w:ascii="Arial" w:cs="Arial" w:eastAsia="Arial" w:hAnsi="Arial"/>
                <w:sz w:val="8"/>
                <w:szCs w:val="8"/>
                <w:color w:val="auto"/>
              </w:rPr>
              <w:t>3,540</w:t>
            </w:r>
          </w:p>
        </w:tc>
        <w:tc>
          <w:tcPr>
            <w:tcW w:w="0" w:type="dxa"/>
            <w:vAlign w:val="bottom"/>
          </w:tcPr>
          <w:p>
            <w:pPr>
              <w:spacing w:after="0"/>
              <w:rPr>
                <w:sz w:val="1"/>
                <w:szCs w:val="1"/>
                <w:color w:val="auto"/>
              </w:rPr>
            </w:pPr>
          </w:p>
        </w:tc>
      </w:tr>
      <w:tr>
        <w:trPr>
          <w:trHeight w:val="99"/>
        </w:trPr>
        <w:tc>
          <w:tcPr>
            <w:tcW w:w="1160" w:type="dxa"/>
            <w:vAlign w:val="bottom"/>
            <w:shd w:val="clear" w:color="auto" w:fill="CCEEFF"/>
          </w:tcPr>
          <w:p>
            <w:pPr>
              <w:spacing w:after="0"/>
              <w:rPr>
                <w:sz w:val="20"/>
                <w:szCs w:val="20"/>
                <w:color w:val="auto"/>
              </w:rPr>
            </w:pPr>
            <w:r>
              <w:rPr>
                <w:rFonts w:ascii="Arial" w:cs="Arial" w:eastAsia="Arial" w:hAnsi="Arial"/>
                <w:sz w:val="8"/>
                <w:szCs w:val="8"/>
                <w:color w:val="auto"/>
              </w:rPr>
              <w:t>04/27/2010</w:t>
            </w:r>
          </w:p>
        </w:tc>
        <w:tc>
          <w:tcPr>
            <w:tcW w:w="1960" w:type="dxa"/>
            <w:vAlign w:val="bottom"/>
            <w:gridSpan w:val="2"/>
            <w:shd w:val="clear" w:color="auto" w:fill="CCEEFF"/>
          </w:tcPr>
          <w:p>
            <w:pPr>
              <w:ind w:left="720"/>
              <w:spacing w:after="0"/>
              <w:rPr>
                <w:sz w:val="20"/>
                <w:szCs w:val="20"/>
                <w:color w:val="auto"/>
              </w:rPr>
            </w:pPr>
            <w:r>
              <w:rPr>
                <w:rFonts w:ascii="Arial" w:cs="Arial" w:eastAsia="Arial" w:hAnsi="Arial"/>
                <w:sz w:val="8"/>
                <w:szCs w:val="8"/>
                <w:color w:val="auto"/>
              </w:rPr>
              <w:t>Performance RSU</w:t>
            </w:r>
          </w:p>
        </w:tc>
        <w:tc>
          <w:tcPr>
            <w:tcW w:w="1240" w:type="dxa"/>
            <w:vAlign w:val="bottom"/>
            <w:gridSpan w:val="2"/>
            <w:shd w:val="clear" w:color="auto" w:fill="CCEEFF"/>
          </w:tcPr>
          <w:p>
            <w:pPr>
              <w:jc w:val="right"/>
              <w:ind w:right="138"/>
              <w:spacing w:after="0"/>
              <w:rPr>
                <w:sz w:val="20"/>
                <w:szCs w:val="20"/>
                <w:color w:val="auto"/>
              </w:rPr>
            </w:pPr>
            <w:r>
              <w:rPr>
                <w:rFonts w:ascii="Arial" w:cs="Arial" w:eastAsia="Arial" w:hAnsi="Arial"/>
                <w:sz w:val="8"/>
                <w:szCs w:val="8"/>
                <w:color w:val="auto"/>
              </w:rPr>
              <w:t>58,500</w:t>
            </w:r>
          </w:p>
        </w:tc>
        <w:tc>
          <w:tcPr>
            <w:tcW w:w="1480" w:type="dxa"/>
            <w:vAlign w:val="bottom"/>
            <w:gridSpan w:val="2"/>
            <w:shd w:val="clear" w:color="auto" w:fill="CCEEFF"/>
          </w:tcPr>
          <w:p>
            <w:pPr>
              <w:jc w:val="right"/>
              <w:ind w:right="258"/>
              <w:spacing w:after="0"/>
              <w:rPr>
                <w:sz w:val="20"/>
                <w:szCs w:val="20"/>
                <w:color w:val="auto"/>
              </w:rPr>
            </w:pPr>
            <w:r>
              <w:rPr>
                <w:rFonts w:ascii="Arial" w:cs="Arial" w:eastAsia="Arial" w:hAnsi="Arial"/>
                <w:sz w:val="8"/>
                <w:szCs w:val="8"/>
                <w:color w:val="auto"/>
              </w:rPr>
              <w:t>36,000</w:t>
            </w:r>
          </w:p>
        </w:tc>
        <w:tc>
          <w:tcPr>
            <w:tcW w:w="1480" w:type="dxa"/>
            <w:vAlign w:val="bottom"/>
            <w:gridSpan w:val="2"/>
            <w:shd w:val="clear" w:color="auto" w:fill="CCEEFF"/>
          </w:tcPr>
          <w:p>
            <w:pPr>
              <w:jc w:val="right"/>
              <w:ind w:right="258"/>
              <w:spacing w:after="0"/>
              <w:rPr>
                <w:sz w:val="20"/>
                <w:szCs w:val="20"/>
                <w:color w:val="auto"/>
              </w:rPr>
            </w:pPr>
            <w:r>
              <w:rPr>
                <w:rFonts w:ascii="Arial" w:cs="Arial" w:eastAsia="Arial" w:hAnsi="Arial"/>
                <w:sz w:val="8"/>
                <w:szCs w:val="8"/>
                <w:color w:val="auto"/>
              </w:rPr>
              <w:t>47,250</w:t>
            </w:r>
          </w:p>
        </w:tc>
        <w:tc>
          <w:tcPr>
            <w:tcW w:w="620" w:type="dxa"/>
            <w:vAlign w:val="bottom"/>
            <w:shd w:val="clear" w:color="auto" w:fill="CCEEFF"/>
          </w:tcPr>
          <w:p>
            <w:pPr>
              <w:spacing w:after="0"/>
              <w:rPr>
                <w:sz w:val="8"/>
                <w:szCs w:val="8"/>
                <w:color w:val="auto"/>
              </w:rPr>
            </w:pPr>
          </w:p>
        </w:tc>
        <w:tc>
          <w:tcPr>
            <w:tcW w:w="620" w:type="dxa"/>
            <w:vAlign w:val="bottom"/>
            <w:shd w:val="clear" w:color="auto" w:fill="CCEEFF"/>
          </w:tcPr>
          <w:p>
            <w:pPr>
              <w:jc w:val="right"/>
              <w:ind w:right="158"/>
              <w:spacing w:after="0"/>
              <w:rPr>
                <w:sz w:val="20"/>
                <w:szCs w:val="20"/>
                <w:color w:val="auto"/>
              </w:rPr>
            </w:pPr>
            <w:r>
              <w:rPr>
                <w:rFonts w:ascii="Arial" w:cs="Arial" w:eastAsia="Arial" w:hAnsi="Arial"/>
                <w:sz w:val="8"/>
                <w:szCs w:val="8"/>
                <w:color w:val="auto"/>
              </w:rPr>
              <w:t>27,750</w:t>
            </w:r>
          </w:p>
        </w:tc>
        <w:tc>
          <w:tcPr>
            <w:tcW w:w="1440" w:type="dxa"/>
            <w:vAlign w:val="bottom"/>
            <w:gridSpan w:val="2"/>
            <w:shd w:val="clear" w:color="auto" w:fill="CCEEFF"/>
          </w:tcPr>
          <w:p>
            <w:pPr>
              <w:jc w:val="right"/>
              <w:ind w:right="258"/>
              <w:spacing w:after="0"/>
              <w:rPr>
                <w:sz w:val="20"/>
                <w:szCs w:val="20"/>
                <w:color w:val="auto"/>
              </w:rPr>
            </w:pPr>
            <w:r>
              <w:rPr>
                <w:rFonts w:ascii="Arial" w:cs="Arial" w:eastAsia="Arial" w:hAnsi="Arial"/>
                <w:sz w:val="8"/>
                <w:szCs w:val="8"/>
                <w:color w:val="auto"/>
              </w:rPr>
              <w:t>7,110</w:t>
            </w:r>
          </w:p>
        </w:tc>
        <w:tc>
          <w:tcPr>
            <w:tcW w:w="0" w:type="dxa"/>
            <w:vAlign w:val="bottom"/>
          </w:tcPr>
          <w:p>
            <w:pPr>
              <w:spacing w:after="0"/>
              <w:rPr>
                <w:sz w:val="1"/>
                <w:szCs w:val="1"/>
                <w:color w:val="auto"/>
              </w:rPr>
            </w:pPr>
          </w:p>
        </w:tc>
      </w:tr>
      <w:tr>
        <w:trPr>
          <w:trHeight w:val="81"/>
        </w:trPr>
        <w:tc>
          <w:tcPr>
            <w:tcW w:w="1160" w:type="dxa"/>
            <w:vAlign w:val="bottom"/>
          </w:tcPr>
          <w:p>
            <w:pPr>
              <w:spacing w:after="0" w:line="81" w:lineRule="exact"/>
              <w:rPr>
                <w:sz w:val="20"/>
                <w:szCs w:val="20"/>
                <w:color w:val="auto"/>
              </w:rPr>
            </w:pPr>
            <w:r>
              <w:rPr>
                <w:rFonts w:ascii="Arial" w:cs="Arial" w:eastAsia="Arial" w:hAnsi="Arial"/>
                <w:sz w:val="8"/>
                <w:szCs w:val="8"/>
                <w:b w:val="1"/>
                <w:bCs w:val="1"/>
                <w:color w:val="auto"/>
              </w:rPr>
              <w:t>2011</w:t>
            </w:r>
          </w:p>
        </w:tc>
        <w:tc>
          <w:tcPr>
            <w:tcW w:w="7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160" w:type="dxa"/>
            <w:vAlign w:val="bottom"/>
          </w:tcPr>
          <w:p>
            <w:pPr>
              <w:spacing w:after="0" w:line="90" w:lineRule="exact"/>
              <w:rPr>
                <w:sz w:val="20"/>
                <w:szCs w:val="20"/>
                <w:color w:val="auto"/>
              </w:rPr>
            </w:pPr>
            <w:r>
              <w:rPr>
                <w:rFonts w:ascii="Arial" w:cs="Arial" w:eastAsia="Arial" w:hAnsi="Arial"/>
                <w:sz w:val="8"/>
                <w:szCs w:val="8"/>
                <w:color w:val="auto"/>
              </w:rPr>
              <w:t>01/18/2011</w:t>
            </w:r>
          </w:p>
        </w:tc>
        <w:tc>
          <w:tcPr>
            <w:tcW w:w="1960" w:type="dxa"/>
            <w:vAlign w:val="bottom"/>
            <w:gridSpan w:val="2"/>
          </w:tcPr>
          <w:p>
            <w:pPr>
              <w:ind w:left="720"/>
              <w:spacing w:after="0" w:line="90" w:lineRule="exact"/>
              <w:rPr>
                <w:sz w:val="20"/>
                <w:szCs w:val="20"/>
                <w:color w:val="auto"/>
              </w:rPr>
            </w:pPr>
            <w:r>
              <w:rPr>
                <w:rFonts w:ascii="Arial" w:cs="Arial" w:eastAsia="Arial" w:hAnsi="Arial"/>
                <w:sz w:val="8"/>
                <w:szCs w:val="8"/>
                <w:color w:val="auto"/>
              </w:rPr>
              <w:t>Performance RSU</w:t>
            </w:r>
          </w:p>
        </w:tc>
        <w:tc>
          <w:tcPr>
            <w:tcW w:w="600" w:type="dxa"/>
            <w:vAlign w:val="bottom"/>
          </w:tcPr>
          <w:p>
            <w:pPr>
              <w:spacing w:after="0"/>
              <w:rPr>
                <w:sz w:val="7"/>
                <w:szCs w:val="7"/>
                <w:color w:val="auto"/>
              </w:rPr>
            </w:pPr>
          </w:p>
        </w:tc>
        <w:tc>
          <w:tcPr>
            <w:tcW w:w="640" w:type="dxa"/>
            <w:vAlign w:val="bottom"/>
          </w:tcPr>
          <w:p>
            <w:pPr>
              <w:jc w:val="right"/>
              <w:ind w:right="138"/>
              <w:spacing w:after="0" w:line="90" w:lineRule="exact"/>
              <w:rPr>
                <w:sz w:val="20"/>
                <w:szCs w:val="20"/>
                <w:color w:val="auto"/>
              </w:rPr>
            </w:pPr>
            <w:r>
              <w:rPr>
                <w:rFonts w:ascii="Arial" w:cs="Arial" w:eastAsia="Arial" w:hAnsi="Arial"/>
                <w:sz w:val="8"/>
                <w:szCs w:val="8"/>
                <w:color w:val="auto"/>
              </w:rPr>
              <w:t>—</w:t>
            </w:r>
          </w:p>
        </w:tc>
        <w:tc>
          <w:tcPr>
            <w:tcW w:w="1480" w:type="dxa"/>
            <w:vAlign w:val="bottom"/>
            <w:gridSpan w:val="2"/>
          </w:tcPr>
          <w:p>
            <w:pPr>
              <w:jc w:val="right"/>
              <w:ind w:right="258"/>
              <w:spacing w:after="0" w:line="90" w:lineRule="exact"/>
              <w:rPr>
                <w:sz w:val="20"/>
                <w:szCs w:val="20"/>
                <w:color w:val="auto"/>
              </w:rPr>
            </w:pPr>
            <w:r>
              <w:rPr>
                <w:rFonts w:ascii="Arial" w:cs="Arial" w:eastAsia="Arial" w:hAnsi="Arial"/>
                <w:sz w:val="8"/>
                <w:szCs w:val="8"/>
                <w:color w:val="auto"/>
              </w:rPr>
              <w:t>174,015</w:t>
            </w:r>
          </w:p>
        </w:tc>
        <w:tc>
          <w:tcPr>
            <w:tcW w:w="1480" w:type="dxa"/>
            <w:vAlign w:val="bottom"/>
            <w:gridSpan w:val="2"/>
          </w:tcPr>
          <w:p>
            <w:pPr>
              <w:jc w:val="right"/>
              <w:ind w:right="258"/>
              <w:spacing w:after="0" w:line="90" w:lineRule="exact"/>
              <w:rPr>
                <w:sz w:val="20"/>
                <w:szCs w:val="20"/>
                <w:color w:val="auto"/>
              </w:rPr>
            </w:pPr>
            <w:r>
              <w:rPr>
                <w:rFonts w:ascii="Arial" w:cs="Arial" w:eastAsia="Arial" w:hAnsi="Arial"/>
                <w:sz w:val="8"/>
                <w:szCs w:val="8"/>
                <w:color w:val="auto"/>
              </w:rPr>
              <w:t>348,030</w:t>
            </w:r>
          </w:p>
        </w:tc>
        <w:tc>
          <w:tcPr>
            <w:tcW w:w="620" w:type="dxa"/>
            <w:vAlign w:val="bottom"/>
          </w:tcPr>
          <w:p>
            <w:pPr>
              <w:spacing w:after="0"/>
              <w:rPr>
                <w:sz w:val="7"/>
                <w:szCs w:val="7"/>
                <w:color w:val="auto"/>
              </w:rPr>
            </w:pPr>
          </w:p>
        </w:tc>
        <w:tc>
          <w:tcPr>
            <w:tcW w:w="620" w:type="dxa"/>
            <w:vAlign w:val="bottom"/>
          </w:tcPr>
          <w:p>
            <w:pPr>
              <w:jc w:val="right"/>
              <w:ind w:right="158"/>
              <w:spacing w:after="0" w:line="90" w:lineRule="exact"/>
              <w:rPr>
                <w:sz w:val="20"/>
                <w:szCs w:val="20"/>
                <w:color w:val="auto"/>
              </w:rPr>
            </w:pPr>
            <w:r>
              <w:rPr>
                <w:rFonts w:ascii="Arial" w:cs="Arial" w:eastAsia="Arial" w:hAnsi="Arial"/>
                <w:sz w:val="8"/>
                <w:szCs w:val="8"/>
                <w:color w:val="auto"/>
              </w:rPr>
              <w:t>—</w:t>
            </w:r>
          </w:p>
        </w:tc>
        <w:tc>
          <w:tcPr>
            <w:tcW w:w="1440" w:type="dxa"/>
            <w:vAlign w:val="bottom"/>
            <w:gridSpan w:val="2"/>
          </w:tcPr>
          <w:p>
            <w:pPr>
              <w:jc w:val="right"/>
              <w:ind w:right="258"/>
              <w:spacing w:after="0" w:line="90" w:lineRule="exact"/>
              <w:rPr>
                <w:sz w:val="20"/>
                <w:szCs w:val="20"/>
                <w:color w:val="auto"/>
              </w:rPr>
            </w:pPr>
            <w:r>
              <w:rPr>
                <w:rFonts w:ascii="Arial" w:cs="Arial" w:eastAsia="Arial" w:hAnsi="Arial"/>
                <w:sz w:val="8"/>
                <w:szCs w:val="8"/>
                <w:color w:val="auto"/>
              </w:rPr>
              <w:t>14,724</w:t>
            </w:r>
          </w:p>
        </w:tc>
        <w:tc>
          <w:tcPr>
            <w:tcW w:w="0" w:type="dxa"/>
            <w:vAlign w:val="bottom"/>
          </w:tcPr>
          <w:p>
            <w:pPr>
              <w:spacing w:after="0"/>
              <w:rPr>
                <w:sz w:val="1"/>
                <w:szCs w:val="1"/>
                <w:color w:val="auto"/>
              </w:rPr>
            </w:pPr>
          </w:p>
        </w:tc>
      </w:tr>
      <w:tr>
        <w:trPr>
          <w:trHeight w:val="90"/>
        </w:trPr>
        <w:tc>
          <w:tcPr>
            <w:tcW w:w="1160" w:type="dxa"/>
            <w:vAlign w:val="bottom"/>
          </w:tcPr>
          <w:p>
            <w:pPr>
              <w:spacing w:after="0" w:line="90" w:lineRule="exact"/>
              <w:rPr>
                <w:sz w:val="20"/>
                <w:szCs w:val="20"/>
                <w:color w:val="auto"/>
              </w:rPr>
            </w:pPr>
            <w:r>
              <w:rPr>
                <w:rFonts w:ascii="Arial" w:cs="Arial" w:eastAsia="Arial" w:hAnsi="Arial"/>
                <w:sz w:val="8"/>
                <w:szCs w:val="8"/>
                <w:color w:val="auto"/>
              </w:rPr>
              <w:t>01/20/2011</w:t>
            </w:r>
          </w:p>
        </w:tc>
        <w:tc>
          <w:tcPr>
            <w:tcW w:w="1960" w:type="dxa"/>
            <w:vAlign w:val="bottom"/>
            <w:gridSpan w:val="2"/>
          </w:tcPr>
          <w:p>
            <w:pPr>
              <w:ind w:left="720"/>
              <w:spacing w:after="0" w:line="90" w:lineRule="exact"/>
              <w:rPr>
                <w:sz w:val="20"/>
                <w:szCs w:val="20"/>
                <w:color w:val="auto"/>
              </w:rPr>
            </w:pPr>
            <w:r>
              <w:rPr>
                <w:rFonts w:ascii="Arial" w:cs="Arial" w:eastAsia="Arial" w:hAnsi="Arial"/>
                <w:sz w:val="8"/>
                <w:szCs w:val="8"/>
                <w:color w:val="auto"/>
              </w:rPr>
              <w:t>RSU</w:t>
            </w:r>
          </w:p>
        </w:tc>
        <w:tc>
          <w:tcPr>
            <w:tcW w:w="600" w:type="dxa"/>
            <w:vAlign w:val="bottom"/>
          </w:tcPr>
          <w:p>
            <w:pPr>
              <w:spacing w:after="0"/>
              <w:rPr>
                <w:sz w:val="7"/>
                <w:szCs w:val="7"/>
                <w:color w:val="auto"/>
              </w:rPr>
            </w:pPr>
          </w:p>
        </w:tc>
        <w:tc>
          <w:tcPr>
            <w:tcW w:w="640" w:type="dxa"/>
            <w:vAlign w:val="bottom"/>
          </w:tcPr>
          <w:p>
            <w:pPr>
              <w:jc w:val="right"/>
              <w:ind w:right="138"/>
              <w:spacing w:after="0" w:line="90" w:lineRule="exact"/>
              <w:rPr>
                <w:sz w:val="20"/>
                <w:szCs w:val="20"/>
                <w:color w:val="auto"/>
              </w:rPr>
            </w:pPr>
            <w:r>
              <w:rPr>
                <w:rFonts w:ascii="Arial" w:cs="Arial" w:eastAsia="Arial" w:hAnsi="Arial"/>
                <w:sz w:val="8"/>
                <w:szCs w:val="8"/>
                <w:color w:val="auto"/>
              </w:rPr>
              <w:t>—</w:t>
            </w:r>
          </w:p>
        </w:tc>
        <w:tc>
          <w:tcPr>
            <w:tcW w:w="620" w:type="dxa"/>
            <w:vAlign w:val="bottom"/>
          </w:tcPr>
          <w:p>
            <w:pPr>
              <w:spacing w:after="0"/>
              <w:rPr>
                <w:sz w:val="7"/>
                <w:szCs w:val="7"/>
                <w:color w:val="auto"/>
              </w:rPr>
            </w:pPr>
          </w:p>
        </w:tc>
        <w:tc>
          <w:tcPr>
            <w:tcW w:w="860" w:type="dxa"/>
            <w:vAlign w:val="bottom"/>
          </w:tcPr>
          <w:p>
            <w:pPr>
              <w:jc w:val="right"/>
              <w:ind w:right="258"/>
              <w:spacing w:after="0" w:line="90" w:lineRule="exact"/>
              <w:rPr>
                <w:sz w:val="20"/>
                <w:szCs w:val="20"/>
                <w:color w:val="auto"/>
              </w:rPr>
            </w:pPr>
            <w:r>
              <w:rPr>
                <w:rFonts w:ascii="Arial" w:cs="Arial" w:eastAsia="Arial" w:hAnsi="Arial"/>
                <w:sz w:val="8"/>
                <w:szCs w:val="8"/>
                <w:color w:val="auto"/>
              </w:rPr>
              <w:t>—</w:t>
            </w:r>
          </w:p>
        </w:tc>
        <w:tc>
          <w:tcPr>
            <w:tcW w:w="620" w:type="dxa"/>
            <w:vAlign w:val="bottom"/>
          </w:tcPr>
          <w:p>
            <w:pPr>
              <w:spacing w:after="0"/>
              <w:rPr>
                <w:sz w:val="7"/>
                <w:szCs w:val="7"/>
                <w:color w:val="auto"/>
              </w:rPr>
            </w:pPr>
          </w:p>
        </w:tc>
        <w:tc>
          <w:tcPr>
            <w:tcW w:w="1480" w:type="dxa"/>
            <w:vAlign w:val="bottom"/>
            <w:gridSpan w:val="2"/>
          </w:tcPr>
          <w:p>
            <w:pPr>
              <w:jc w:val="right"/>
              <w:ind w:right="920"/>
              <w:spacing w:after="0" w:line="90" w:lineRule="exact"/>
              <w:rPr>
                <w:sz w:val="20"/>
                <w:szCs w:val="20"/>
                <w:color w:val="auto"/>
              </w:rPr>
            </w:pPr>
            <w:r>
              <w:rPr>
                <w:rFonts w:ascii="Arial" w:cs="Arial" w:eastAsia="Arial" w:hAnsi="Arial"/>
                <w:sz w:val="8"/>
                <w:szCs w:val="8"/>
                <w:color w:val="auto"/>
              </w:rPr>
              <w:t>—</w:t>
            </w:r>
          </w:p>
        </w:tc>
        <w:tc>
          <w:tcPr>
            <w:tcW w:w="620" w:type="dxa"/>
            <w:vAlign w:val="bottom"/>
          </w:tcPr>
          <w:p>
            <w:pPr>
              <w:jc w:val="right"/>
              <w:ind w:right="158"/>
              <w:spacing w:after="0" w:line="90" w:lineRule="exact"/>
              <w:rPr>
                <w:sz w:val="20"/>
                <w:szCs w:val="20"/>
                <w:color w:val="auto"/>
              </w:rPr>
            </w:pPr>
            <w:r>
              <w:rPr>
                <w:rFonts w:ascii="Arial" w:cs="Arial" w:eastAsia="Arial" w:hAnsi="Arial"/>
                <w:sz w:val="8"/>
                <w:szCs w:val="8"/>
                <w:color w:val="auto"/>
              </w:rPr>
              <w:t>—</w:t>
            </w:r>
          </w:p>
        </w:tc>
        <w:tc>
          <w:tcPr>
            <w:tcW w:w="1440" w:type="dxa"/>
            <w:vAlign w:val="bottom"/>
            <w:gridSpan w:val="2"/>
          </w:tcPr>
          <w:p>
            <w:pPr>
              <w:jc w:val="right"/>
              <w:ind w:right="258"/>
              <w:spacing w:after="0" w:line="90" w:lineRule="exact"/>
              <w:rPr>
                <w:sz w:val="20"/>
                <w:szCs w:val="20"/>
                <w:color w:val="auto"/>
              </w:rPr>
            </w:pPr>
            <w:r>
              <w:rPr>
                <w:rFonts w:ascii="Arial" w:cs="Arial" w:eastAsia="Arial" w:hAnsi="Arial"/>
                <w:sz w:val="8"/>
                <w:szCs w:val="8"/>
                <w:color w:val="auto"/>
              </w:rPr>
              <w:t>10,500</w:t>
            </w:r>
          </w:p>
        </w:tc>
        <w:tc>
          <w:tcPr>
            <w:tcW w:w="0" w:type="dxa"/>
            <w:vAlign w:val="bottom"/>
          </w:tcPr>
          <w:p>
            <w:pPr>
              <w:spacing w:after="0"/>
              <w:rPr>
                <w:sz w:val="1"/>
                <w:szCs w:val="1"/>
                <w:color w:val="auto"/>
              </w:rPr>
            </w:pPr>
          </w:p>
        </w:tc>
      </w:tr>
      <w:tr>
        <w:trPr>
          <w:trHeight w:val="90"/>
        </w:trPr>
        <w:tc>
          <w:tcPr>
            <w:tcW w:w="1160" w:type="dxa"/>
            <w:vAlign w:val="bottom"/>
          </w:tcPr>
          <w:p>
            <w:pPr>
              <w:spacing w:after="0" w:line="90" w:lineRule="exact"/>
              <w:rPr>
                <w:sz w:val="20"/>
                <w:szCs w:val="20"/>
                <w:color w:val="auto"/>
              </w:rPr>
            </w:pPr>
            <w:r>
              <w:rPr>
                <w:rFonts w:ascii="Arial" w:cs="Arial" w:eastAsia="Arial" w:hAnsi="Arial"/>
                <w:sz w:val="8"/>
                <w:szCs w:val="8"/>
                <w:color w:val="auto"/>
              </w:rPr>
              <w:t>03/10/2011</w:t>
            </w:r>
          </w:p>
        </w:tc>
        <w:tc>
          <w:tcPr>
            <w:tcW w:w="1960" w:type="dxa"/>
            <w:vAlign w:val="bottom"/>
            <w:gridSpan w:val="2"/>
          </w:tcPr>
          <w:p>
            <w:pPr>
              <w:ind w:left="720"/>
              <w:spacing w:after="0" w:line="90" w:lineRule="exact"/>
              <w:rPr>
                <w:sz w:val="20"/>
                <w:szCs w:val="20"/>
                <w:color w:val="auto"/>
              </w:rPr>
            </w:pPr>
            <w:r>
              <w:rPr>
                <w:rFonts w:ascii="Arial" w:cs="Arial" w:eastAsia="Arial" w:hAnsi="Arial"/>
                <w:sz w:val="8"/>
                <w:szCs w:val="8"/>
                <w:color w:val="auto"/>
              </w:rPr>
              <w:t>Performance RSU</w:t>
            </w:r>
          </w:p>
        </w:tc>
        <w:tc>
          <w:tcPr>
            <w:tcW w:w="1240" w:type="dxa"/>
            <w:vAlign w:val="bottom"/>
            <w:gridSpan w:val="2"/>
          </w:tcPr>
          <w:p>
            <w:pPr>
              <w:jc w:val="right"/>
              <w:ind w:right="138"/>
              <w:spacing w:after="0" w:line="90" w:lineRule="exact"/>
              <w:rPr>
                <w:sz w:val="20"/>
                <w:szCs w:val="20"/>
                <w:color w:val="auto"/>
              </w:rPr>
            </w:pPr>
            <w:r>
              <w:rPr>
                <w:rFonts w:ascii="Arial" w:cs="Arial" w:eastAsia="Arial" w:hAnsi="Arial"/>
                <w:sz w:val="8"/>
                <w:szCs w:val="8"/>
                <w:color w:val="auto"/>
              </w:rPr>
              <w:t>120,600</w:t>
            </w:r>
          </w:p>
        </w:tc>
        <w:tc>
          <w:tcPr>
            <w:tcW w:w="620" w:type="dxa"/>
            <w:vAlign w:val="bottom"/>
          </w:tcPr>
          <w:p>
            <w:pPr>
              <w:spacing w:after="0"/>
              <w:rPr>
                <w:sz w:val="7"/>
                <w:szCs w:val="7"/>
                <w:color w:val="auto"/>
              </w:rPr>
            </w:pPr>
          </w:p>
        </w:tc>
        <w:tc>
          <w:tcPr>
            <w:tcW w:w="860" w:type="dxa"/>
            <w:vAlign w:val="bottom"/>
          </w:tcPr>
          <w:p>
            <w:pPr>
              <w:jc w:val="right"/>
              <w:ind w:right="258"/>
              <w:spacing w:after="0" w:line="90" w:lineRule="exact"/>
              <w:rPr>
                <w:sz w:val="20"/>
                <w:szCs w:val="20"/>
                <w:color w:val="auto"/>
              </w:rPr>
            </w:pPr>
            <w:r>
              <w:rPr>
                <w:rFonts w:ascii="Arial" w:cs="Arial" w:eastAsia="Arial" w:hAnsi="Arial"/>
                <w:sz w:val="8"/>
                <w:szCs w:val="8"/>
                <w:color w:val="auto"/>
              </w:rPr>
              <w:t>—</w:t>
            </w:r>
          </w:p>
        </w:tc>
        <w:tc>
          <w:tcPr>
            <w:tcW w:w="1480" w:type="dxa"/>
            <w:vAlign w:val="bottom"/>
            <w:gridSpan w:val="2"/>
          </w:tcPr>
          <w:p>
            <w:pPr>
              <w:jc w:val="right"/>
              <w:ind w:right="258"/>
              <w:spacing w:after="0" w:line="90" w:lineRule="exact"/>
              <w:rPr>
                <w:sz w:val="20"/>
                <w:szCs w:val="20"/>
                <w:color w:val="auto"/>
              </w:rPr>
            </w:pPr>
            <w:r>
              <w:rPr>
                <w:rFonts w:ascii="Arial" w:cs="Arial" w:eastAsia="Arial" w:hAnsi="Arial"/>
                <w:sz w:val="8"/>
                <w:szCs w:val="8"/>
                <w:color w:val="auto"/>
              </w:rPr>
              <w:t>96,480</w:t>
            </w:r>
          </w:p>
        </w:tc>
        <w:tc>
          <w:tcPr>
            <w:tcW w:w="620" w:type="dxa"/>
            <w:vAlign w:val="bottom"/>
          </w:tcPr>
          <w:p>
            <w:pPr>
              <w:spacing w:after="0"/>
              <w:rPr>
                <w:sz w:val="7"/>
                <w:szCs w:val="7"/>
                <w:color w:val="auto"/>
              </w:rPr>
            </w:pPr>
          </w:p>
        </w:tc>
        <w:tc>
          <w:tcPr>
            <w:tcW w:w="620" w:type="dxa"/>
            <w:vAlign w:val="bottom"/>
          </w:tcPr>
          <w:p>
            <w:pPr>
              <w:jc w:val="right"/>
              <w:ind w:right="158"/>
              <w:spacing w:after="0" w:line="90" w:lineRule="exact"/>
              <w:rPr>
                <w:sz w:val="20"/>
                <w:szCs w:val="20"/>
                <w:color w:val="auto"/>
              </w:rPr>
            </w:pPr>
            <w:r>
              <w:rPr>
                <w:rFonts w:ascii="Arial" w:cs="Arial" w:eastAsia="Arial" w:hAnsi="Arial"/>
                <w:sz w:val="8"/>
                <w:szCs w:val="8"/>
                <w:color w:val="auto"/>
              </w:rPr>
              <w:t>56,100</w:t>
            </w:r>
          </w:p>
        </w:tc>
        <w:tc>
          <w:tcPr>
            <w:tcW w:w="620" w:type="dxa"/>
            <w:vAlign w:val="bottom"/>
          </w:tcPr>
          <w:p>
            <w:pPr>
              <w:spacing w:after="0"/>
              <w:rPr>
                <w:sz w:val="7"/>
                <w:szCs w:val="7"/>
                <w:color w:val="auto"/>
              </w:rPr>
            </w:pPr>
          </w:p>
        </w:tc>
        <w:tc>
          <w:tcPr>
            <w:tcW w:w="820" w:type="dxa"/>
            <w:vAlign w:val="bottom"/>
          </w:tcPr>
          <w:p>
            <w:pPr>
              <w:jc w:val="right"/>
              <w:ind w:right="258"/>
              <w:spacing w:after="0" w:line="90"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90"/>
        </w:trPr>
        <w:tc>
          <w:tcPr>
            <w:tcW w:w="1160" w:type="dxa"/>
            <w:vAlign w:val="bottom"/>
          </w:tcPr>
          <w:p>
            <w:pPr>
              <w:spacing w:after="0" w:line="90" w:lineRule="exact"/>
              <w:rPr>
                <w:sz w:val="20"/>
                <w:szCs w:val="20"/>
                <w:color w:val="auto"/>
              </w:rPr>
            </w:pPr>
            <w:r>
              <w:rPr>
                <w:rFonts w:ascii="Arial" w:cs="Arial" w:eastAsia="Arial" w:hAnsi="Arial"/>
                <w:sz w:val="8"/>
                <w:szCs w:val="8"/>
                <w:color w:val="auto"/>
              </w:rPr>
              <w:t>03/10/2011</w:t>
            </w:r>
          </w:p>
        </w:tc>
        <w:tc>
          <w:tcPr>
            <w:tcW w:w="1960" w:type="dxa"/>
            <w:vAlign w:val="bottom"/>
            <w:gridSpan w:val="2"/>
          </w:tcPr>
          <w:p>
            <w:pPr>
              <w:ind w:left="720"/>
              <w:spacing w:after="0" w:line="90" w:lineRule="exact"/>
              <w:rPr>
                <w:sz w:val="20"/>
                <w:szCs w:val="20"/>
                <w:color w:val="auto"/>
              </w:rPr>
            </w:pPr>
            <w:r>
              <w:rPr>
                <w:rFonts w:ascii="Arial" w:cs="Arial" w:eastAsia="Arial" w:hAnsi="Arial"/>
                <w:sz w:val="8"/>
                <w:szCs w:val="8"/>
                <w:color w:val="auto"/>
              </w:rPr>
              <w:t>RSU</w:t>
            </w:r>
          </w:p>
        </w:tc>
        <w:tc>
          <w:tcPr>
            <w:tcW w:w="600" w:type="dxa"/>
            <w:vAlign w:val="bottom"/>
          </w:tcPr>
          <w:p>
            <w:pPr>
              <w:spacing w:after="0"/>
              <w:rPr>
                <w:sz w:val="7"/>
                <w:szCs w:val="7"/>
                <w:color w:val="auto"/>
              </w:rPr>
            </w:pPr>
          </w:p>
        </w:tc>
        <w:tc>
          <w:tcPr>
            <w:tcW w:w="640" w:type="dxa"/>
            <w:vAlign w:val="bottom"/>
          </w:tcPr>
          <w:p>
            <w:pPr>
              <w:jc w:val="right"/>
              <w:ind w:right="138"/>
              <w:spacing w:after="0" w:line="90" w:lineRule="exact"/>
              <w:rPr>
                <w:sz w:val="20"/>
                <w:szCs w:val="20"/>
                <w:color w:val="auto"/>
              </w:rPr>
            </w:pPr>
            <w:r>
              <w:rPr>
                <w:rFonts w:ascii="Arial" w:cs="Arial" w:eastAsia="Arial" w:hAnsi="Arial"/>
                <w:sz w:val="8"/>
                <w:szCs w:val="8"/>
                <w:color w:val="auto"/>
              </w:rPr>
              <w:t>—</w:t>
            </w:r>
          </w:p>
        </w:tc>
        <w:tc>
          <w:tcPr>
            <w:tcW w:w="620" w:type="dxa"/>
            <w:vAlign w:val="bottom"/>
          </w:tcPr>
          <w:p>
            <w:pPr>
              <w:spacing w:after="0"/>
              <w:rPr>
                <w:sz w:val="7"/>
                <w:szCs w:val="7"/>
                <w:color w:val="auto"/>
              </w:rPr>
            </w:pPr>
          </w:p>
        </w:tc>
        <w:tc>
          <w:tcPr>
            <w:tcW w:w="860" w:type="dxa"/>
            <w:vAlign w:val="bottom"/>
          </w:tcPr>
          <w:p>
            <w:pPr>
              <w:jc w:val="right"/>
              <w:ind w:right="258"/>
              <w:spacing w:after="0" w:line="90" w:lineRule="exact"/>
              <w:rPr>
                <w:sz w:val="20"/>
                <w:szCs w:val="20"/>
                <w:color w:val="auto"/>
              </w:rPr>
            </w:pPr>
            <w:r>
              <w:rPr>
                <w:rFonts w:ascii="Arial" w:cs="Arial" w:eastAsia="Arial" w:hAnsi="Arial"/>
                <w:sz w:val="8"/>
                <w:szCs w:val="8"/>
                <w:color w:val="auto"/>
              </w:rPr>
              <w:t>—</w:t>
            </w:r>
          </w:p>
        </w:tc>
        <w:tc>
          <w:tcPr>
            <w:tcW w:w="620" w:type="dxa"/>
            <w:vAlign w:val="bottom"/>
          </w:tcPr>
          <w:p>
            <w:pPr>
              <w:spacing w:after="0"/>
              <w:rPr>
                <w:sz w:val="7"/>
                <w:szCs w:val="7"/>
                <w:color w:val="auto"/>
              </w:rPr>
            </w:pPr>
          </w:p>
        </w:tc>
        <w:tc>
          <w:tcPr>
            <w:tcW w:w="1480" w:type="dxa"/>
            <w:vAlign w:val="bottom"/>
            <w:gridSpan w:val="2"/>
          </w:tcPr>
          <w:p>
            <w:pPr>
              <w:jc w:val="right"/>
              <w:ind w:right="920"/>
              <w:spacing w:after="0" w:line="90" w:lineRule="exact"/>
              <w:rPr>
                <w:sz w:val="20"/>
                <w:szCs w:val="20"/>
                <w:color w:val="auto"/>
              </w:rPr>
            </w:pPr>
            <w:r>
              <w:rPr>
                <w:rFonts w:ascii="Arial" w:cs="Arial" w:eastAsia="Arial" w:hAnsi="Arial"/>
                <w:sz w:val="8"/>
                <w:szCs w:val="8"/>
                <w:color w:val="auto"/>
              </w:rPr>
              <w:t>—</w:t>
            </w:r>
          </w:p>
        </w:tc>
        <w:tc>
          <w:tcPr>
            <w:tcW w:w="620" w:type="dxa"/>
            <w:vAlign w:val="bottom"/>
          </w:tcPr>
          <w:p>
            <w:pPr>
              <w:jc w:val="right"/>
              <w:ind w:right="158"/>
              <w:spacing w:after="0" w:line="90" w:lineRule="exact"/>
              <w:rPr>
                <w:sz w:val="20"/>
                <w:szCs w:val="20"/>
                <w:color w:val="auto"/>
              </w:rPr>
            </w:pPr>
            <w:r>
              <w:rPr>
                <w:rFonts w:ascii="Arial" w:cs="Arial" w:eastAsia="Arial" w:hAnsi="Arial"/>
                <w:sz w:val="8"/>
                <w:szCs w:val="8"/>
                <w:color w:val="auto"/>
              </w:rPr>
              <w:t>—</w:t>
            </w:r>
          </w:p>
        </w:tc>
        <w:tc>
          <w:tcPr>
            <w:tcW w:w="1440" w:type="dxa"/>
            <w:vAlign w:val="bottom"/>
            <w:gridSpan w:val="2"/>
          </w:tcPr>
          <w:p>
            <w:pPr>
              <w:jc w:val="right"/>
              <w:ind w:right="258"/>
              <w:spacing w:after="0" w:line="90" w:lineRule="exact"/>
              <w:rPr>
                <w:sz w:val="20"/>
                <w:szCs w:val="20"/>
                <w:color w:val="auto"/>
              </w:rPr>
            </w:pPr>
            <w:r>
              <w:rPr>
                <w:rFonts w:ascii="Arial" w:cs="Arial" w:eastAsia="Arial" w:hAnsi="Arial"/>
                <w:sz w:val="8"/>
                <w:szCs w:val="8"/>
                <w:color w:val="auto"/>
              </w:rPr>
              <w:t>14,820</w:t>
            </w:r>
          </w:p>
        </w:tc>
        <w:tc>
          <w:tcPr>
            <w:tcW w:w="0" w:type="dxa"/>
            <w:vAlign w:val="bottom"/>
          </w:tcPr>
          <w:p>
            <w:pPr>
              <w:spacing w:after="0"/>
              <w:rPr>
                <w:sz w:val="1"/>
                <w:szCs w:val="1"/>
                <w:color w:val="auto"/>
              </w:rPr>
            </w:pPr>
          </w:p>
        </w:tc>
      </w:tr>
      <w:tr>
        <w:trPr>
          <w:trHeight w:val="90"/>
        </w:trPr>
        <w:tc>
          <w:tcPr>
            <w:tcW w:w="1160" w:type="dxa"/>
            <w:vAlign w:val="bottom"/>
          </w:tcPr>
          <w:p>
            <w:pPr>
              <w:spacing w:after="0" w:line="90" w:lineRule="exact"/>
              <w:rPr>
                <w:sz w:val="20"/>
                <w:szCs w:val="20"/>
                <w:color w:val="auto"/>
              </w:rPr>
            </w:pPr>
            <w:r>
              <w:rPr>
                <w:rFonts w:ascii="Arial" w:cs="Arial" w:eastAsia="Arial" w:hAnsi="Arial"/>
                <w:sz w:val="8"/>
                <w:szCs w:val="8"/>
                <w:color w:val="auto"/>
              </w:rPr>
              <w:t>03/16/2011</w:t>
            </w:r>
          </w:p>
        </w:tc>
        <w:tc>
          <w:tcPr>
            <w:tcW w:w="1960" w:type="dxa"/>
            <w:vAlign w:val="bottom"/>
            <w:gridSpan w:val="2"/>
          </w:tcPr>
          <w:p>
            <w:pPr>
              <w:ind w:left="720"/>
              <w:spacing w:after="0" w:line="90" w:lineRule="exact"/>
              <w:rPr>
                <w:sz w:val="20"/>
                <w:szCs w:val="20"/>
                <w:color w:val="auto"/>
              </w:rPr>
            </w:pPr>
            <w:r>
              <w:rPr>
                <w:rFonts w:ascii="Arial" w:cs="Arial" w:eastAsia="Arial" w:hAnsi="Arial"/>
                <w:sz w:val="8"/>
                <w:szCs w:val="8"/>
                <w:color w:val="auto"/>
              </w:rPr>
              <w:t>Performance RSU</w:t>
            </w:r>
          </w:p>
        </w:tc>
        <w:tc>
          <w:tcPr>
            <w:tcW w:w="1240" w:type="dxa"/>
            <w:vAlign w:val="bottom"/>
            <w:gridSpan w:val="2"/>
          </w:tcPr>
          <w:p>
            <w:pPr>
              <w:jc w:val="right"/>
              <w:ind w:right="138"/>
              <w:spacing w:after="0" w:line="90" w:lineRule="exact"/>
              <w:rPr>
                <w:sz w:val="20"/>
                <w:szCs w:val="20"/>
                <w:color w:val="auto"/>
              </w:rPr>
            </w:pPr>
            <w:r>
              <w:rPr>
                <w:rFonts w:ascii="Arial" w:cs="Arial" w:eastAsia="Arial" w:hAnsi="Arial"/>
                <w:sz w:val="8"/>
                <w:szCs w:val="8"/>
                <w:color w:val="auto"/>
              </w:rPr>
              <w:t>31,230</w:t>
            </w:r>
          </w:p>
        </w:tc>
        <w:tc>
          <w:tcPr>
            <w:tcW w:w="620" w:type="dxa"/>
            <w:vAlign w:val="bottom"/>
          </w:tcPr>
          <w:p>
            <w:pPr>
              <w:spacing w:after="0"/>
              <w:rPr>
                <w:sz w:val="7"/>
                <w:szCs w:val="7"/>
                <w:color w:val="auto"/>
              </w:rPr>
            </w:pPr>
          </w:p>
        </w:tc>
        <w:tc>
          <w:tcPr>
            <w:tcW w:w="860" w:type="dxa"/>
            <w:vAlign w:val="bottom"/>
          </w:tcPr>
          <w:p>
            <w:pPr>
              <w:jc w:val="right"/>
              <w:ind w:right="258"/>
              <w:spacing w:after="0" w:line="90" w:lineRule="exact"/>
              <w:rPr>
                <w:sz w:val="20"/>
                <w:szCs w:val="20"/>
                <w:color w:val="auto"/>
              </w:rPr>
            </w:pPr>
            <w:r>
              <w:rPr>
                <w:rFonts w:ascii="Arial" w:cs="Arial" w:eastAsia="Arial" w:hAnsi="Arial"/>
                <w:sz w:val="8"/>
                <w:szCs w:val="8"/>
                <w:color w:val="auto"/>
              </w:rPr>
              <w:t>—</w:t>
            </w:r>
          </w:p>
        </w:tc>
        <w:tc>
          <w:tcPr>
            <w:tcW w:w="1480" w:type="dxa"/>
            <w:vAlign w:val="bottom"/>
            <w:gridSpan w:val="2"/>
          </w:tcPr>
          <w:p>
            <w:pPr>
              <w:jc w:val="right"/>
              <w:ind w:right="258"/>
              <w:spacing w:after="0" w:line="90" w:lineRule="exact"/>
              <w:rPr>
                <w:sz w:val="20"/>
                <w:szCs w:val="20"/>
                <w:color w:val="auto"/>
              </w:rPr>
            </w:pPr>
            <w:r>
              <w:rPr>
                <w:rFonts w:ascii="Arial" w:cs="Arial" w:eastAsia="Arial" w:hAnsi="Arial"/>
                <w:sz w:val="8"/>
                <w:szCs w:val="8"/>
                <w:color w:val="auto"/>
              </w:rPr>
              <w:t>24,984</w:t>
            </w:r>
          </w:p>
        </w:tc>
        <w:tc>
          <w:tcPr>
            <w:tcW w:w="620" w:type="dxa"/>
            <w:vAlign w:val="bottom"/>
          </w:tcPr>
          <w:p>
            <w:pPr>
              <w:spacing w:after="0"/>
              <w:rPr>
                <w:sz w:val="7"/>
                <w:szCs w:val="7"/>
                <w:color w:val="auto"/>
              </w:rPr>
            </w:pPr>
          </w:p>
        </w:tc>
        <w:tc>
          <w:tcPr>
            <w:tcW w:w="620" w:type="dxa"/>
            <w:vAlign w:val="bottom"/>
          </w:tcPr>
          <w:p>
            <w:pPr>
              <w:jc w:val="right"/>
              <w:ind w:right="158"/>
              <w:spacing w:after="0" w:line="90" w:lineRule="exact"/>
              <w:rPr>
                <w:sz w:val="20"/>
                <w:szCs w:val="20"/>
                <w:color w:val="auto"/>
              </w:rPr>
            </w:pPr>
            <w:r>
              <w:rPr>
                <w:rFonts w:ascii="Arial" w:cs="Arial" w:eastAsia="Arial" w:hAnsi="Arial"/>
                <w:sz w:val="8"/>
                <w:szCs w:val="8"/>
                <w:color w:val="auto"/>
              </w:rPr>
              <w:t>14,550</w:t>
            </w:r>
          </w:p>
        </w:tc>
        <w:tc>
          <w:tcPr>
            <w:tcW w:w="620" w:type="dxa"/>
            <w:vAlign w:val="bottom"/>
          </w:tcPr>
          <w:p>
            <w:pPr>
              <w:spacing w:after="0"/>
              <w:rPr>
                <w:sz w:val="7"/>
                <w:szCs w:val="7"/>
                <w:color w:val="auto"/>
              </w:rPr>
            </w:pPr>
          </w:p>
        </w:tc>
        <w:tc>
          <w:tcPr>
            <w:tcW w:w="820" w:type="dxa"/>
            <w:vAlign w:val="bottom"/>
          </w:tcPr>
          <w:p>
            <w:pPr>
              <w:jc w:val="right"/>
              <w:ind w:right="258"/>
              <w:spacing w:after="0" w:line="90"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90"/>
        </w:trPr>
        <w:tc>
          <w:tcPr>
            <w:tcW w:w="1160" w:type="dxa"/>
            <w:vAlign w:val="bottom"/>
          </w:tcPr>
          <w:p>
            <w:pPr>
              <w:spacing w:after="0" w:line="90" w:lineRule="exact"/>
              <w:rPr>
                <w:sz w:val="20"/>
                <w:szCs w:val="20"/>
                <w:color w:val="auto"/>
              </w:rPr>
            </w:pPr>
            <w:r>
              <w:rPr>
                <w:rFonts w:ascii="Arial" w:cs="Arial" w:eastAsia="Arial" w:hAnsi="Arial"/>
                <w:sz w:val="8"/>
                <w:szCs w:val="8"/>
                <w:color w:val="auto"/>
              </w:rPr>
              <w:t>03/16/2011</w:t>
            </w:r>
          </w:p>
        </w:tc>
        <w:tc>
          <w:tcPr>
            <w:tcW w:w="1960" w:type="dxa"/>
            <w:vAlign w:val="bottom"/>
            <w:gridSpan w:val="2"/>
          </w:tcPr>
          <w:p>
            <w:pPr>
              <w:ind w:left="720"/>
              <w:spacing w:after="0" w:line="90" w:lineRule="exact"/>
              <w:rPr>
                <w:sz w:val="20"/>
                <w:szCs w:val="20"/>
                <w:color w:val="auto"/>
              </w:rPr>
            </w:pPr>
            <w:r>
              <w:rPr>
                <w:rFonts w:ascii="Arial" w:cs="Arial" w:eastAsia="Arial" w:hAnsi="Arial"/>
                <w:sz w:val="8"/>
                <w:szCs w:val="8"/>
                <w:color w:val="auto"/>
              </w:rPr>
              <w:t>RSU</w:t>
            </w:r>
          </w:p>
        </w:tc>
        <w:tc>
          <w:tcPr>
            <w:tcW w:w="600" w:type="dxa"/>
            <w:vAlign w:val="bottom"/>
          </w:tcPr>
          <w:p>
            <w:pPr>
              <w:spacing w:after="0"/>
              <w:rPr>
                <w:sz w:val="7"/>
                <w:szCs w:val="7"/>
                <w:color w:val="auto"/>
              </w:rPr>
            </w:pPr>
          </w:p>
        </w:tc>
        <w:tc>
          <w:tcPr>
            <w:tcW w:w="640" w:type="dxa"/>
            <w:vAlign w:val="bottom"/>
          </w:tcPr>
          <w:p>
            <w:pPr>
              <w:jc w:val="right"/>
              <w:ind w:right="138"/>
              <w:spacing w:after="0" w:line="90" w:lineRule="exact"/>
              <w:rPr>
                <w:sz w:val="20"/>
                <w:szCs w:val="20"/>
                <w:color w:val="auto"/>
              </w:rPr>
            </w:pPr>
            <w:r>
              <w:rPr>
                <w:rFonts w:ascii="Arial" w:cs="Arial" w:eastAsia="Arial" w:hAnsi="Arial"/>
                <w:sz w:val="8"/>
                <w:szCs w:val="8"/>
                <w:color w:val="auto"/>
              </w:rPr>
              <w:t>—</w:t>
            </w:r>
          </w:p>
        </w:tc>
        <w:tc>
          <w:tcPr>
            <w:tcW w:w="620" w:type="dxa"/>
            <w:vAlign w:val="bottom"/>
          </w:tcPr>
          <w:p>
            <w:pPr>
              <w:spacing w:after="0"/>
              <w:rPr>
                <w:sz w:val="7"/>
                <w:szCs w:val="7"/>
                <w:color w:val="auto"/>
              </w:rPr>
            </w:pPr>
          </w:p>
        </w:tc>
        <w:tc>
          <w:tcPr>
            <w:tcW w:w="860" w:type="dxa"/>
            <w:vAlign w:val="bottom"/>
          </w:tcPr>
          <w:p>
            <w:pPr>
              <w:jc w:val="right"/>
              <w:ind w:right="258"/>
              <w:spacing w:after="0" w:line="90" w:lineRule="exact"/>
              <w:rPr>
                <w:sz w:val="20"/>
                <w:szCs w:val="20"/>
                <w:color w:val="auto"/>
              </w:rPr>
            </w:pPr>
            <w:r>
              <w:rPr>
                <w:rFonts w:ascii="Arial" w:cs="Arial" w:eastAsia="Arial" w:hAnsi="Arial"/>
                <w:sz w:val="8"/>
                <w:szCs w:val="8"/>
                <w:color w:val="auto"/>
              </w:rPr>
              <w:t>—</w:t>
            </w:r>
          </w:p>
        </w:tc>
        <w:tc>
          <w:tcPr>
            <w:tcW w:w="620" w:type="dxa"/>
            <w:vAlign w:val="bottom"/>
          </w:tcPr>
          <w:p>
            <w:pPr>
              <w:spacing w:after="0"/>
              <w:rPr>
                <w:sz w:val="7"/>
                <w:szCs w:val="7"/>
                <w:color w:val="auto"/>
              </w:rPr>
            </w:pPr>
          </w:p>
        </w:tc>
        <w:tc>
          <w:tcPr>
            <w:tcW w:w="1480" w:type="dxa"/>
            <w:vAlign w:val="bottom"/>
            <w:gridSpan w:val="2"/>
          </w:tcPr>
          <w:p>
            <w:pPr>
              <w:jc w:val="right"/>
              <w:ind w:right="920"/>
              <w:spacing w:after="0" w:line="90" w:lineRule="exact"/>
              <w:rPr>
                <w:sz w:val="20"/>
                <w:szCs w:val="20"/>
                <w:color w:val="auto"/>
              </w:rPr>
            </w:pPr>
            <w:r>
              <w:rPr>
                <w:rFonts w:ascii="Arial" w:cs="Arial" w:eastAsia="Arial" w:hAnsi="Arial"/>
                <w:sz w:val="8"/>
                <w:szCs w:val="8"/>
                <w:color w:val="auto"/>
              </w:rPr>
              <w:t>—</w:t>
            </w:r>
          </w:p>
        </w:tc>
        <w:tc>
          <w:tcPr>
            <w:tcW w:w="620" w:type="dxa"/>
            <w:vAlign w:val="bottom"/>
          </w:tcPr>
          <w:p>
            <w:pPr>
              <w:jc w:val="right"/>
              <w:ind w:right="158"/>
              <w:spacing w:after="0" w:line="90" w:lineRule="exact"/>
              <w:rPr>
                <w:sz w:val="20"/>
                <w:szCs w:val="20"/>
                <w:color w:val="auto"/>
              </w:rPr>
            </w:pPr>
            <w:r>
              <w:rPr>
                <w:rFonts w:ascii="Arial" w:cs="Arial" w:eastAsia="Arial" w:hAnsi="Arial"/>
                <w:sz w:val="8"/>
                <w:szCs w:val="8"/>
                <w:color w:val="auto"/>
              </w:rPr>
              <w:t>—</w:t>
            </w:r>
          </w:p>
        </w:tc>
        <w:tc>
          <w:tcPr>
            <w:tcW w:w="1440" w:type="dxa"/>
            <w:vAlign w:val="bottom"/>
            <w:gridSpan w:val="2"/>
          </w:tcPr>
          <w:p>
            <w:pPr>
              <w:jc w:val="right"/>
              <w:ind w:right="258"/>
              <w:spacing w:after="0" w:line="90" w:lineRule="exact"/>
              <w:rPr>
                <w:sz w:val="20"/>
                <w:szCs w:val="20"/>
                <w:color w:val="auto"/>
              </w:rPr>
            </w:pPr>
            <w:r>
              <w:rPr>
                <w:rFonts w:ascii="Arial" w:cs="Arial" w:eastAsia="Arial" w:hAnsi="Arial"/>
                <w:sz w:val="8"/>
                <w:szCs w:val="8"/>
                <w:color w:val="auto"/>
              </w:rPr>
              <w:t>3,840</w:t>
            </w:r>
          </w:p>
        </w:tc>
        <w:tc>
          <w:tcPr>
            <w:tcW w:w="0" w:type="dxa"/>
            <w:vAlign w:val="bottom"/>
          </w:tcPr>
          <w:p>
            <w:pPr>
              <w:spacing w:after="0"/>
              <w:rPr>
                <w:sz w:val="1"/>
                <w:szCs w:val="1"/>
                <w:color w:val="auto"/>
              </w:rPr>
            </w:pPr>
          </w:p>
        </w:tc>
      </w:tr>
      <w:tr>
        <w:trPr>
          <w:trHeight w:val="90"/>
        </w:trPr>
        <w:tc>
          <w:tcPr>
            <w:tcW w:w="1160" w:type="dxa"/>
            <w:vAlign w:val="bottom"/>
          </w:tcPr>
          <w:p>
            <w:pPr>
              <w:spacing w:after="0" w:line="90" w:lineRule="exact"/>
              <w:rPr>
                <w:sz w:val="20"/>
                <w:szCs w:val="20"/>
                <w:color w:val="auto"/>
              </w:rPr>
            </w:pPr>
            <w:r>
              <w:rPr>
                <w:rFonts w:ascii="Arial" w:cs="Arial" w:eastAsia="Arial" w:hAnsi="Arial"/>
                <w:sz w:val="8"/>
                <w:szCs w:val="8"/>
                <w:color w:val="auto"/>
              </w:rPr>
              <w:t>03/20/2011</w:t>
            </w:r>
          </w:p>
        </w:tc>
        <w:tc>
          <w:tcPr>
            <w:tcW w:w="1960" w:type="dxa"/>
            <w:vAlign w:val="bottom"/>
            <w:gridSpan w:val="2"/>
          </w:tcPr>
          <w:p>
            <w:pPr>
              <w:ind w:left="720"/>
              <w:spacing w:after="0" w:line="90" w:lineRule="exact"/>
              <w:rPr>
                <w:sz w:val="20"/>
                <w:szCs w:val="20"/>
                <w:color w:val="auto"/>
              </w:rPr>
            </w:pPr>
            <w:r>
              <w:rPr>
                <w:rFonts w:ascii="Arial" w:cs="Arial" w:eastAsia="Arial" w:hAnsi="Arial"/>
                <w:sz w:val="8"/>
                <w:szCs w:val="8"/>
                <w:color w:val="auto"/>
              </w:rPr>
              <w:t>Performance RSU</w:t>
            </w:r>
          </w:p>
        </w:tc>
        <w:tc>
          <w:tcPr>
            <w:tcW w:w="600" w:type="dxa"/>
            <w:vAlign w:val="bottom"/>
          </w:tcPr>
          <w:p>
            <w:pPr>
              <w:spacing w:after="0"/>
              <w:rPr>
                <w:sz w:val="7"/>
                <w:szCs w:val="7"/>
                <w:color w:val="auto"/>
              </w:rPr>
            </w:pPr>
          </w:p>
        </w:tc>
        <w:tc>
          <w:tcPr>
            <w:tcW w:w="640" w:type="dxa"/>
            <w:vAlign w:val="bottom"/>
          </w:tcPr>
          <w:p>
            <w:pPr>
              <w:jc w:val="right"/>
              <w:ind w:right="138"/>
              <w:spacing w:after="0" w:line="90" w:lineRule="exact"/>
              <w:rPr>
                <w:sz w:val="20"/>
                <w:szCs w:val="20"/>
                <w:color w:val="auto"/>
              </w:rPr>
            </w:pPr>
            <w:r>
              <w:rPr>
                <w:rFonts w:ascii="Arial" w:cs="Arial" w:eastAsia="Arial" w:hAnsi="Arial"/>
                <w:sz w:val="8"/>
                <w:szCs w:val="8"/>
                <w:color w:val="auto"/>
              </w:rPr>
              <w:t>—</w:t>
            </w:r>
          </w:p>
        </w:tc>
        <w:tc>
          <w:tcPr>
            <w:tcW w:w="620" w:type="dxa"/>
            <w:vAlign w:val="bottom"/>
          </w:tcPr>
          <w:p>
            <w:pPr>
              <w:spacing w:after="0"/>
              <w:rPr>
                <w:sz w:val="7"/>
                <w:szCs w:val="7"/>
                <w:color w:val="auto"/>
              </w:rPr>
            </w:pPr>
          </w:p>
        </w:tc>
        <w:tc>
          <w:tcPr>
            <w:tcW w:w="860" w:type="dxa"/>
            <w:vAlign w:val="bottom"/>
          </w:tcPr>
          <w:p>
            <w:pPr>
              <w:jc w:val="right"/>
              <w:ind w:right="258"/>
              <w:spacing w:after="0" w:line="90" w:lineRule="exact"/>
              <w:rPr>
                <w:sz w:val="20"/>
                <w:szCs w:val="20"/>
                <w:color w:val="auto"/>
              </w:rPr>
            </w:pPr>
            <w:r>
              <w:rPr>
                <w:rFonts w:ascii="Arial" w:cs="Arial" w:eastAsia="Arial" w:hAnsi="Arial"/>
                <w:sz w:val="8"/>
                <w:szCs w:val="8"/>
                <w:color w:val="auto"/>
              </w:rPr>
              <w:t>—</w:t>
            </w:r>
          </w:p>
        </w:tc>
        <w:tc>
          <w:tcPr>
            <w:tcW w:w="620" w:type="dxa"/>
            <w:vAlign w:val="bottom"/>
          </w:tcPr>
          <w:p>
            <w:pPr>
              <w:spacing w:after="0"/>
              <w:rPr>
                <w:sz w:val="7"/>
                <w:szCs w:val="7"/>
                <w:color w:val="auto"/>
              </w:rPr>
            </w:pPr>
          </w:p>
        </w:tc>
        <w:tc>
          <w:tcPr>
            <w:tcW w:w="1480" w:type="dxa"/>
            <w:vAlign w:val="bottom"/>
            <w:gridSpan w:val="2"/>
          </w:tcPr>
          <w:p>
            <w:pPr>
              <w:jc w:val="right"/>
              <w:ind w:right="920"/>
              <w:spacing w:after="0" w:line="90" w:lineRule="exact"/>
              <w:rPr>
                <w:sz w:val="20"/>
                <w:szCs w:val="20"/>
                <w:color w:val="auto"/>
              </w:rPr>
            </w:pPr>
            <w:r>
              <w:rPr>
                <w:rFonts w:ascii="Arial" w:cs="Arial" w:eastAsia="Arial" w:hAnsi="Arial"/>
                <w:sz w:val="8"/>
                <w:szCs w:val="8"/>
                <w:color w:val="auto"/>
              </w:rPr>
              <w:t>—</w:t>
            </w:r>
          </w:p>
        </w:tc>
        <w:tc>
          <w:tcPr>
            <w:tcW w:w="620" w:type="dxa"/>
            <w:vAlign w:val="bottom"/>
          </w:tcPr>
          <w:p>
            <w:pPr>
              <w:jc w:val="right"/>
              <w:ind w:right="158"/>
              <w:spacing w:after="0" w:line="90" w:lineRule="exact"/>
              <w:rPr>
                <w:sz w:val="20"/>
                <w:szCs w:val="20"/>
                <w:color w:val="auto"/>
              </w:rPr>
            </w:pPr>
            <w:r>
              <w:rPr>
                <w:rFonts w:ascii="Arial" w:cs="Arial" w:eastAsia="Arial" w:hAnsi="Arial"/>
                <w:sz w:val="8"/>
                <w:szCs w:val="8"/>
                <w:color w:val="auto"/>
              </w:rPr>
              <w:t>—</w:t>
            </w:r>
          </w:p>
        </w:tc>
        <w:tc>
          <w:tcPr>
            <w:tcW w:w="1440" w:type="dxa"/>
            <w:vAlign w:val="bottom"/>
            <w:gridSpan w:val="2"/>
          </w:tcPr>
          <w:p>
            <w:pPr>
              <w:jc w:val="right"/>
              <w:ind w:right="258"/>
              <w:spacing w:after="0" w:line="90" w:lineRule="exact"/>
              <w:rPr>
                <w:sz w:val="20"/>
                <w:szCs w:val="20"/>
                <w:color w:val="auto"/>
              </w:rPr>
            </w:pPr>
            <w:r>
              <w:rPr>
                <w:rFonts w:ascii="Arial" w:cs="Arial" w:eastAsia="Arial" w:hAnsi="Arial"/>
                <w:sz w:val="8"/>
                <w:szCs w:val="8"/>
                <w:color w:val="auto"/>
              </w:rPr>
              <w:t>3,540</w:t>
            </w:r>
          </w:p>
        </w:tc>
        <w:tc>
          <w:tcPr>
            <w:tcW w:w="0" w:type="dxa"/>
            <w:vAlign w:val="bottom"/>
          </w:tcPr>
          <w:p>
            <w:pPr>
              <w:spacing w:after="0"/>
              <w:rPr>
                <w:sz w:val="1"/>
                <w:szCs w:val="1"/>
                <w:color w:val="auto"/>
              </w:rPr>
            </w:pPr>
          </w:p>
        </w:tc>
      </w:tr>
      <w:tr>
        <w:trPr>
          <w:trHeight w:val="90"/>
        </w:trPr>
        <w:tc>
          <w:tcPr>
            <w:tcW w:w="1160" w:type="dxa"/>
            <w:vAlign w:val="bottom"/>
          </w:tcPr>
          <w:p>
            <w:pPr>
              <w:spacing w:after="0" w:line="90" w:lineRule="exact"/>
              <w:rPr>
                <w:sz w:val="20"/>
                <w:szCs w:val="20"/>
                <w:color w:val="auto"/>
              </w:rPr>
            </w:pPr>
            <w:r>
              <w:rPr>
                <w:rFonts w:ascii="Arial" w:cs="Arial" w:eastAsia="Arial" w:hAnsi="Arial"/>
                <w:sz w:val="8"/>
                <w:szCs w:val="8"/>
                <w:color w:val="auto"/>
              </w:rPr>
              <w:t>03/27/2011</w:t>
            </w:r>
          </w:p>
        </w:tc>
        <w:tc>
          <w:tcPr>
            <w:tcW w:w="1960" w:type="dxa"/>
            <w:vAlign w:val="bottom"/>
            <w:gridSpan w:val="2"/>
          </w:tcPr>
          <w:p>
            <w:pPr>
              <w:ind w:left="720"/>
              <w:spacing w:after="0" w:line="90" w:lineRule="exact"/>
              <w:rPr>
                <w:sz w:val="20"/>
                <w:szCs w:val="20"/>
                <w:color w:val="auto"/>
              </w:rPr>
            </w:pPr>
            <w:r>
              <w:rPr>
                <w:rFonts w:ascii="Arial" w:cs="Arial" w:eastAsia="Arial" w:hAnsi="Arial"/>
                <w:sz w:val="8"/>
                <w:szCs w:val="8"/>
                <w:color w:val="auto"/>
              </w:rPr>
              <w:t>Performance RSU</w:t>
            </w:r>
          </w:p>
        </w:tc>
        <w:tc>
          <w:tcPr>
            <w:tcW w:w="1240" w:type="dxa"/>
            <w:vAlign w:val="bottom"/>
            <w:gridSpan w:val="2"/>
          </w:tcPr>
          <w:p>
            <w:pPr>
              <w:jc w:val="right"/>
              <w:ind w:right="138"/>
              <w:spacing w:after="0" w:line="90" w:lineRule="exact"/>
              <w:rPr>
                <w:sz w:val="20"/>
                <w:szCs w:val="20"/>
                <w:color w:val="auto"/>
              </w:rPr>
            </w:pPr>
            <w:r>
              <w:rPr>
                <w:rFonts w:ascii="Arial" w:cs="Arial" w:eastAsia="Arial" w:hAnsi="Arial"/>
                <w:sz w:val="8"/>
                <w:szCs w:val="8"/>
                <w:color w:val="auto"/>
              </w:rPr>
              <w:t>58,500</w:t>
            </w:r>
          </w:p>
        </w:tc>
        <w:tc>
          <w:tcPr>
            <w:tcW w:w="1480" w:type="dxa"/>
            <w:vAlign w:val="bottom"/>
            <w:gridSpan w:val="2"/>
          </w:tcPr>
          <w:p>
            <w:pPr>
              <w:jc w:val="right"/>
              <w:ind w:right="258"/>
              <w:spacing w:after="0" w:line="90" w:lineRule="exact"/>
              <w:rPr>
                <w:sz w:val="20"/>
                <w:szCs w:val="20"/>
                <w:color w:val="auto"/>
              </w:rPr>
            </w:pPr>
            <w:r>
              <w:rPr>
                <w:rFonts w:ascii="Arial" w:cs="Arial" w:eastAsia="Arial" w:hAnsi="Arial"/>
                <w:sz w:val="8"/>
                <w:szCs w:val="8"/>
                <w:color w:val="auto"/>
              </w:rPr>
              <w:t>36,000</w:t>
            </w:r>
          </w:p>
        </w:tc>
        <w:tc>
          <w:tcPr>
            <w:tcW w:w="1480" w:type="dxa"/>
            <w:vAlign w:val="bottom"/>
            <w:gridSpan w:val="2"/>
          </w:tcPr>
          <w:p>
            <w:pPr>
              <w:jc w:val="right"/>
              <w:ind w:right="258"/>
              <w:spacing w:after="0" w:line="90" w:lineRule="exact"/>
              <w:rPr>
                <w:sz w:val="20"/>
                <w:szCs w:val="20"/>
                <w:color w:val="auto"/>
              </w:rPr>
            </w:pPr>
            <w:r>
              <w:rPr>
                <w:rFonts w:ascii="Arial" w:cs="Arial" w:eastAsia="Arial" w:hAnsi="Arial"/>
                <w:sz w:val="8"/>
                <w:szCs w:val="8"/>
                <w:color w:val="auto"/>
              </w:rPr>
              <w:t>47,250</w:t>
            </w:r>
          </w:p>
        </w:tc>
        <w:tc>
          <w:tcPr>
            <w:tcW w:w="620" w:type="dxa"/>
            <w:vAlign w:val="bottom"/>
          </w:tcPr>
          <w:p>
            <w:pPr>
              <w:spacing w:after="0"/>
              <w:rPr>
                <w:sz w:val="7"/>
                <w:szCs w:val="7"/>
                <w:color w:val="auto"/>
              </w:rPr>
            </w:pPr>
          </w:p>
        </w:tc>
        <w:tc>
          <w:tcPr>
            <w:tcW w:w="620" w:type="dxa"/>
            <w:vAlign w:val="bottom"/>
          </w:tcPr>
          <w:p>
            <w:pPr>
              <w:jc w:val="right"/>
              <w:ind w:right="158"/>
              <w:spacing w:after="0" w:line="90" w:lineRule="exact"/>
              <w:rPr>
                <w:sz w:val="20"/>
                <w:szCs w:val="20"/>
                <w:color w:val="auto"/>
              </w:rPr>
            </w:pPr>
            <w:r>
              <w:rPr>
                <w:rFonts w:ascii="Arial" w:cs="Arial" w:eastAsia="Arial" w:hAnsi="Arial"/>
                <w:sz w:val="8"/>
                <w:szCs w:val="8"/>
                <w:color w:val="auto"/>
              </w:rPr>
              <w:t>27,750</w:t>
            </w:r>
          </w:p>
        </w:tc>
        <w:tc>
          <w:tcPr>
            <w:tcW w:w="1440" w:type="dxa"/>
            <w:vAlign w:val="bottom"/>
            <w:gridSpan w:val="2"/>
          </w:tcPr>
          <w:p>
            <w:pPr>
              <w:jc w:val="right"/>
              <w:ind w:right="258"/>
              <w:spacing w:after="0" w:line="90" w:lineRule="exact"/>
              <w:rPr>
                <w:sz w:val="20"/>
                <w:szCs w:val="20"/>
                <w:color w:val="auto"/>
              </w:rPr>
            </w:pPr>
            <w:r>
              <w:rPr>
                <w:rFonts w:ascii="Arial" w:cs="Arial" w:eastAsia="Arial" w:hAnsi="Arial"/>
                <w:sz w:val="8"/>
                <w:szCs w:val="8"/>
                <w:color w:val="auto"/>
              </w:rPr>
              <w:t>7,110</w:t>
            </w:r>
          </w:p>
        </w:tc>
        <w:tc>
          <w:tcPr>
            <w:tcW w:w="0" w:type="dxa"/>
            <w:vAlign w:val="bottom"/>
          </w:tcPr>
          <w:p>
            <w:pPr>
              <w:spacing w:after="0"/>
              <w:rPr>
                <w:sz w:val="1"/>
                <w:szCs w:val="1"/>
                <w:color w:val="auto"/>
              </w:rPr>
            </w:pPr>
          </w:p>
        </w:tc>
      </w:tr>
      <w:tr>
        <w:trPr>
          <w:trHeight w:val="90"/>
        </w:trPr>
        <w:tc>
          <w:tcPr>
            <w:tcW w:w="1160" w:type="dxa"/>
            <w:vAlign w:val="bottom"/>
          </w:tcPr>
          <w:p>
            <w:pPr>
              <w:spacing w:after="0" w:line="90" w:lineRule="exact"/>
              <w:rPr>
                <w:sz w:val="20"/>
                <w:szCs w:val="20"/>
                <w:color w:val="auto"/>
              </w:rPr>
            </w:pPr>
            <w:r>
              <w:rPr>
                <w:rFonts w:ascii="Arial" w:cs="Arial" w:eastAsia="Arial" w:hAnsi="Arial"/>
                <w:sz w:val="8"/>
                <w:szCs w:val="8"/>
                <w:color w:val="auto"/>
              </w:rPr>
              <w:t>03/28/2011</w:t>
            </w:r>
          </w:p>
        </w:tc>
        <w:tc>
          <w:tcPr>
            <w:tcW w:w="1960" w:type="dxa"/>
            <w:vAlign w:val="bottom"/>
            <w:gridSpan w:val="2"/>
          </w:tcPr>
          <w:p>
            <w:pPr>
              <w:ind w:left="720"/>
              <w:spacing w:after="0" w:line="90" w:lineRule="exact"/>
              <w:rPr>
                <w:sz w:val="20"/>
                <w:szCs w:val="20"/>
                <w:color w:val="auto"/>
              </w:rPr>
            </w:pPr>
            <w:r>
              <w:rPr>
                <w:rFonts w:ascii="Arial" w:cs="Arial" w:eastAsia="Arial" w:hAnsi="Arial"/>
                <w:sz w:val="8"/>
                <w:szCs w:val="8"/>
                <w:color w:val="auto"/>
              </w:rPr>
              <w:t>Performance RSU</w:t>
            </w:r>
          </w:p>
        </w:tc>
        <w:tc>
          <w:tcPr>
            <w:tcW w:w="1240" w:type="dxa"/>
            <w:vAlign w:val="bottom"/>
            <w:gridSpan w:val="2"/>
          </w:tcPr>
          <w:p>
            <w:pPr>
              <w:jc w:val="right"/>
              <w:ind w:right="138"/>
              <w:spacing w:after="0" w:line="90" w:lineRule="exact"/>
              <w:rPr>
                <w:sz w:val="20"/>
                <w:szCs w:val="20"/>
                <w:color w:val="auto"/>
              </w:rPr>
            </w:pPr>
            <w:r>
              <w:rPr>
                <w:rFonts w:ascii="Arial" w:cs="Arial" w:eastAsia="Arial" w:hAnsi="Arial"/>
                <w:sz w:val="8"/>
                <w:szCs w:val="8"/>
                <w:color w:val="auto"/>
              </w:rPr>
              <w:t>41,400</w:t>
            </w:r>
          </w:p>
        </w:tc>
        <w:tc>
          <w:tcPr>
            <w:tcW w:w="1480" w:type="dxa"/>
            <w:vAlign w:val="bottom"/>
            <w:gridSpan w:val="2"/>
          </w:tcPr>
          <w:p>
            <w:pPr>
              <w:jc w:val="right"/>
              <w:ind w:right="258"/>
              <w:spacing w:after="0" w:line="90" w:lineRule="exact"/>
              <w:rPr>
                <w:sz w:val="20"/>
                <w:szCs w:val="20"/>
                <w:color w:val="auto"/>
              </w:rPr>
            </w:pPr>
            <w:r>
              <w:rPr>
                <w:rFonts w:ascii="Arial" w:cs="Arial" w:eastAsia="Arial" w:hAnsi="Arial"/>
                <w:sz w:val="8"/>
                <w:szCs w:val="8"/>
                <w:color w:val="auto"/>
              </w:rPr>
              <w:t>24,840</w:t>
            </w:r>
          </w:p>
        </w:tc>
        <w:tc>
          <w:tcPr>
            <w:tcW w:w="1480" w:type="dxa"/>
            <w:vAlign w:val="bottom"/>
            <w:gridSpan w:val="2"/>
          </w:tcPr>
          <w:p>
            <w:pPr>
              <w:jc w:val="right"/>
              <w:ind w:right="258"/>
              <w:spacing w:after="0" w:line="90" w:lineRule="exact"/>
              <w:rPr>
                <w:sz w:val="20"/>
                <w:szCs w:val="20"/>
                <w:color w:val="auto"/>
              </w:rPr>
            </w:pPr>
            <w:r>
              <w:rPr>
                <w:rFonts w:ascii="Arial" w:cs="Arial" w:eastAsia="Arial" w:hAnsi="Arial"/>
                <w:sz w:val="8"/>
                <w:szCs w:val="8"/>
                <w:color w:val="auto"/>
              </w:rPr>
              <w:t>33,120</w:t>
            </w:r>
          </w:p>
        </w:tc>
        <w:tc>
          <w:tcPr>
            <w:tcW w:w="620" w:type="dxa"/>
            <w:vAlign w:val="bottom"/>
          </w:tcPr>
          <w:p>
            <w:pPr>
              <w:spacing w:after="0"/>
              <w:rPr>
                <w:sz w:val="7"/>
                <w:szCs w:val="7"/>
                <w:color w:val="auto"/>
              </w:rPr>
            </w:pPr>
          </w:p>
        </w:tc>
        <w:tc>
          <w:tcPr>
            <w:tcW w:w="620" w:type="dxa"/>
            <w:vAlign w:val="bottom"/>
          </w:tcPr>
          <w:p>
            <w:pPr>
              <w:jc w:val="right"/>
              <w:ind w:right="158"/>
              <w:spacing w:after="0" w:line="90" w:lineRule="exact"/>
              <w:rPr>
                <w:sz w:val="20"/>
                <w:szCs w:val="20"/>
                <w:color w:val="auto"/>
              </w:rPr>
            </w:pPr>
            <w:r>
              <w:rPr>
                <w:rFonts w:ascii="Arial" w:cs="Arial" w:eastAsia="Arial" w:hAnsi="Arial"/>
                <w:sz w:val="8"/>
                <w:szCs w:val="8"/>
                <w:color w:val="auto"/>
              </w:rPr>
              <w:t>19,290</w:t>
            </w:r>
          </w:p>
        </w:tc>
        <w:tc>
          <w:tcPr>
            <w:tcW w:w="620" w:type="dxa"/>
            <w:vAlign w:val="bottom"/>
          </w:tcPr>
          <w:p>
            <w:pPr>
              <w:spacing w:after="0"/>
              <w:rPr>
                <w:sz w:val="7"/>
                <w:szCs w:val="7"/>
                <w:color w:val="auto"/>
              </w:rPr>
            </w:pPr>
          </w:p>
        </w:tc>
        <w:tc>
          <w:tcPr>
            <w:tcW w:w="820" w:type="dxa"/>
            <w:vAlign w:val="bottom"/>
          </w:tcPr>
          <w:p>
            <w:pPr>
              <w:jc w:val="right"/>
              <w:ind w:right="258"/>
              <w:spacing w:after="0" w:line="90"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90"/>
        </w:trPr>
        <w:tc>
          <w:tcPr>
            <w:tcW w:w="1160" w:type="dxa"/>
            <w:vAlign w:val="bottom"/>
          </w:tcPr>
          <w:p>
            <w:pPr>
              <w:spacing w:after="0" w:line="90" w:lineRule="exact"/>
              <w:rPr>
                <w:sz w:val="20"/>
                <w:szCs w:val="20"/>
                <w:color w:val="auto"/>
              </w:rPr>
            </w:pPr>
            <w:r>
              <w:rPr>
                <w:rFonts w:ascii="Arial" w:cs="Arial" w:eastAsia="Arial" w:hAnsi="Arial"/>
                <w:sz w:val="8"/>
                <w:szCs w:val="8"/>
                <w:color w:val="auto"/>
              </w:rPr>
              <w:t>03/28/2011</w:t>
            </w:r>
          </w:p>
        </w:tc>
        <w:tc>
          <w:tcPr>
            <w:tcW w:w="1960" w:type="dxa"/>
            <w:vAlign w:val="bottom"/>
            <w:gridSpan w:val="2"/>
          </w:tcPr>
          <w:p>
            <w:pPr>
              <w:ind w:left="720"/>
              <w:spacing w:after="0" w:line="90" w:lineRule="exact"/>
              <w:rPr>
                <w:sz w:val="20"/>
                <w:szCs w:val="20"/>
                <w:color w:val="auto"/>
              </w:rPr>
            </w:pPr>
            <w:r>
              <w:rPr>
                <w:rFonts w:ascii="Arial" w:cs="Arial" w:eastAsia="Arial" w:hAnsi="Arial"/>
                <w:sz w:val="8"/>
                <w:szCs w:val="8"/>
                <w:color w:val="auto"/>
              </w:rPr>
              <w:t>RSU</w:t>
            </w:r>
          </w:p>
        </w:tc>
        <w:tc>
          <w:tcPr>
            <w:tcW w:w="600" w:type="dxa"/>
            <w:vAlign w:val="bottom"/>
          </w:tcPr>
          <w:p>
            <w:pPr>
              <w:spacing w:after="0"/>
              <w:rPr>
                <w:sz w:val="7"/>
                <w:szCs w:val="7"/>
                <w:color w:val="auto"/>
              </w:rPr>
            </w:pPr>
          </w:p>
        </w:tc>
        <w:tc>
          <w:tcPr>
            <w:tcW w:w="640" w:type="dxa"/>
            <w:vAlign w:val="bottom"/>
          </w:tcPr>
          <w:p>
            <w:pPr>
              <w:jc w:val="right"/>
              <w:ind w:right="138"/>
              <w:spacing w:after="0" w:line="90" w:lineRule="exact"/>
              <w:rPr>
                <w:sz w:val="20"/>
                <w:szCs w:val="20"/>
                <w:color w:val="auto"/>
              </w:rPr>
            </w:pPr>
            <w:r>
              <w:rPr>
                <w:rFonts w:ascii="Arial" w:cs="Arial" w:eastAsia="Arial" w:hAnsi="Arial"/>
                <w:sz w:val="8"/>
                <w:szCs w:val="8"/>
                <w:color w:val="auto"/>
              </w:rPr>
              <w:t>—</w:t>
            </w:r>
          </w:p>
        </w:tc>
        <w:tc>
          <w:tcPr>
            <w:tcW w:w="620" w:type="dxa"/>
            <w:vAlign w:val="bottom"/>
          </w:tcPr>
          <w:p>
            <w:pPr>
              <w:spacing w:after="0"/>
              <w:rPr>
                <w:sz w:val="7"/>
                <w:szCs w:val="7"/>
                <w:color w:val="auto"/>
              </w:rPr>
            </w:pPr>
          </w:p>
        </w:tc>
        <w:tc>
          <w:tcPr>
            <w:tcW w:w="860" w:type="dxa"/>
            <w:vAlign w:val="bottom"/>
          </w:tcPr>
          <w:p>
            <w:pPr>
              <w:jc w:val="right"/>
              <w:ind w:right="258"/>
              <w:spacing w:after="0" w:line="90" w:lineRule="exact"/>
              <w:rPr>
                <w:sz w:val="20"/>
                <w:szCs w:val="20"/>
                <w:color w:val="auto"/>
              </w:rPr>
            </w:pPr>
            <w:r>
              <w:rPr>
                <w:rFonts w:ascii="Arial" w:cs="Arial" w:eastAsia="Arial" w:hAnsi="Arial"/>
                <w:sz w:val="8"/>
                <w:szCs w:val="8"/>
                <w:color w:val="auto"/>
              </w:rPr>
              <w:t>—</w:t>
            </w:r>
          </w:p>
        </w:tc>
        <w:tc>
          <w:tcPr>
            <w:tcW w:w="620" w:type="dxa"/>
            <w:vAlign w:val="bottom"/>
          </w:tcPr>
          <w:p>
            <w:pPr>
              <w:spacing w:after="0"/>
              <w:rPr>
                <w:sz w:val="7"/>
                <w:szCs w:val="7"/>
                <w:color w:val="auto"/>
              </w:rPr>
            </w:pPr>
          </w:p>
        </w:tc>
        <w:tc>
          <w:tcPr>
            <w:tcW w:w="1480" w:type="dxa"/>
            <w:vAlign w:val="bottom"/>
            <w:gridSpan w:val="2"/>
          </w:tcPr>
          <w:p>
            <w:pPr>
              <w:jc w:val="right"/>
              <w:ind w:right="920"/>
              <w:spacing w:after="0" w:line="90" w:lineRule="exact"/>
              <w:rPr>
                <w:sz w:val="20"/>
                <w:szCs w:val="20"/>
                <w:color w:val="auto"/>
              </w:rPr>
            </w:pPr>
            <w:r>
              <w:rPr>
                <w:rFonts w:ascii="Arial" w:cs="Arial" w:eastAsia="Arial" w:hAnsi="Arial"/>
                <w:sz w:val="8"/>
                <w:szCs w:val="8"/>
                <w:color w:val="auto"/>
              </w:rPr>
              <w:t>—</w:t>
            </w:r>
          </w:p>
        </w:tc>
        <w:tc>
          <w:tcPr>
            <w:tcW w:w="620" w:type="dxa"/>
            <w:vAlign w:val="bottom"/>
          </w:tcPr>
          <w:p>
            <w:pPr>
              <w:jc w:val="right"/>
              <w:ind w:right="158"/>
              <w:spacing w:after="0" w:line="90" w:lineRule="exact"/>
              <w:rPr>
                <w:sz w:val="20"/>
                <w:szCs w:val="20"/>
                <w:color w:val="auto"/>
              </w:rPr>
            </w:pPr>
            <w:r>
              <w:rPr>
                <w:rFonts w:ascii="Arial" w:cs="Arial" w:eastAsia="Arial" w:hAnsi="Arial"/>
                <w:sz w:val="8"/>
                <w:szCs w:val="8"/>
                <w:color w:val="auto"/>
              </w:rPr>
              <w:t>—</w:t>
            </w:r>
          </w:p>
        </w:tc>
        <w:tc>
          <w:tcPr>
            <w:tcW w:w="1440" w:type="dxa"/>
            <w:vAlign w:val="bottom"/>
            <w:gridSpan w:val="2"/>
          </w:tcPr>
          <w:p>
            <w:pPr>
              <w:jc w:val="right"/>
              <w:ind w:right="258"/>
              <w:spacing w:after="0" w:line="90" w:lineRule="exact"/>
              <w:rPr>
                <w:sz w:val="20"/>
                <w:szCs w:val="20"/>
                <w:color w:val="auto"/>
              </w:rPr>
            </w:pPr>
            <w:r>
              <w:rPr>
                <w:rFonts w:ascii="Arial" w:cs="Arial" w:eastAsia="Arial" w:hAnsi="Arial"/>
                <w:sz w:val="8"/>
                <w:szCs w:val="8"/>
                <w:color w:val="auto"/>
              </w:rPr>
              <w:t>5,085</w:t>
            </w:r>
          </w:p>
        </w:tc>
        <w:tc>
          <w:tcPr>
            <w:tcW w:w="0" w:type="dxa"/>
            <w:vAlign w:val="bottom"/>
          </w:tcPr>
          <w:p>
            <w:pPr>
              <w:spacing w:after="0"/>
              <w:rPr>
                <w:sz w:val="1"/>
                <w:szCs w:val="1"/>
                <w:color w:val="auto"/>
              </w:rPr>
            </w:pPr>
          </w:p>
        </w:tc>
      </w:tr>
      <w:tr>
        <w:trPr>
          <w:trHeight w:val="99"/>
        </w:trPr>
        <w:tc>
          <w:tcPr>
            <w:tcW w:w="1160" w:type="dxa"/>
            <w:vAlign w:val="bottom"/>
          </w:tcPr>
          <w:p>
            <w:pPr>
              <w:spacing w:after="0"/>
              <w:rPr>
                <w:sz w:val="20"/>
                <w:szCs w:val="20"/>
                <w:color w:val="auto"/>
              </w:rPr>
            </w:pPr>
            <w:r>
              <w:rPr>
                <w:rFonts w:ascii="Arial" w:cs="Arial" w:eastAsia="Arial" w:hAnsi="Arial"/>
                <w:sz w:val="8"/>
                <w:szCs w:val="8"/>
                <w:color w:val="auto"/>
              </w:rPr>
              <w:t>03/30/2011</w:t>
            </w:r>
          </w:p>
        </w:tc>
        <w:tc>
          <w:tcPr>
            <w:tcW w:w="1960" w:type="dxa"/>
            <w:vAlign w:val="bottom"/>
            <w:gridSpan w:val="2"/>
          </w:tcPr>
          <w:p>
            <w:pPr>
              <w:ind w:left="720"/>
              <w:spacing w:after="0"/>
              <w:rPr>
                <w:sz w:val="20"/>
                <w:szCs w:val="20"/>
                <w:color w:val="auto"/>
              </w:rPr>
            </w:pPr>
            <w:r>
              <w:rPr>
                <w:rFonts w:ascii="Arial" w:cs="Arial" w:eastAsia="Arial" w:hAnsi="Arial"/>
                <w:sz w:val="8"/>
                <w:szCs w:val="8"/>
                <w:color w:val="auto"/>
              </w:rPr>
              <w:t>Performance RSU</w:t>
            </w:r>
          </w:p>
        </w:tc>
        <w:tc>
          <w:tcPr>
            <w:tcW w:w="600" w:type="dxa"/>
            <w:vAlign w:val="bottom"/>
          </w:tcPr>
          <w:p>
            <w:pPr>
              <w:spacing w:after="0"/>
              <w:rPr>
                <w:sz w:val="8"/>
                <w:szCs w:val="8"/>
                <w:color w:val="auto"/>
              </w:rPr>
            </w:pPr>
          </w:p>
        </w:tc>
        <w:tc>
          <w:tcPr>
            <w:tcW w:w="640" w:type="dxa"/>
            <w:vAlign w:val="bottom"/>
          </w:tcPr>
          <w:p>
            <w:pPr>
              <w:jc w:val="right"/>
              <w:ind w:right="138"/>
              <w:spacing w:after="0"/>
              <w:rPr>
                <w:sz w:val="20"/>
                <w:szCs w:val="20"/>
                <w:color w:val="auto"/>
              </w:rPr>
            </w:pPr>
            <w:r>
              <w:rPr>
                <w:rFonts w:ascii="Arial" w:cs="Arial" w:eastAsia="Arial" w:hAnsi="Arial"/>
                <w:sz w:val="8"/>
                <w:szCs w:val="8"/>
                <w:color w:val="auto"/>
              </w:rPr>
              <w:t>—</w:t>
            </w:r>
          </w:p>
        </w:tc>
        <w:tc>
          <w:tcPr>
            <w:tcW w:w="1480" w:type="dxa"/>
            <w:vAlign w:val="bottom"/>
            <w:gridSpan w:val="2"/>
          </w:tcPr>
          <w:p>
            <w:pPr>
              <w:jc w:val="right"/>
              <w:ind w:right="258"/>
              <w:spacing w:after="0"/>
              <w:rPr>
                <w:sz w:val="20"/>
                <w:szCs w:val="20"/>
                <w:color w:val="auto"/>
              </w:rPr>
            </w:pPr>
            <w:r>
              <w:rPr>
                <w:rFonts w:ascii="Arial" w:cs="Arial" w:eastAsia="Arial" w:hAnsi="Arial"/>
                <w:sz w:val="8"/>
                <w:szCs w:val="8"/>
                <w:color w:val="auto"/>
              </w:rPr>
              <w:t>14,121</w:t>
            </w:r>
          </w:p>
        </w:tc>
        <w:tc>
          <w:tcPr>
            <w:tcW w:w="620" w:type="dxa"/>
            <w:vAlign w:val="bottom"/>
          </w:tcPr>
          <w:p>
            <w:pPr>
              <w:spacing w:after="0"/>
              <w:rPr>
                <w:sz w:val="8"/>
                <w:szCs w:val="8"/>
                <w:color w:val="auto"/>
              </w:rPr>
            </w:pPr>
          </w:p>
        </w:tc>
        <w:tc>
          <w:tcPr>
            <w:tcW w:w="1480" w:type="dxa"/>
            <w:vAlign w:val="bottom"/>
            <w:gridSpan w:val="2"/>
          </w:tcPr>
          <w:p>
            <w:pPr>
              <w:jc w:val="right"/>
              <w:ind w:right="920"/>
              <w:spacing w:after="0"/>
              <w:rPr>
                <w:sz w:val="20"/>
                <w:szCs w:val="20"/>
                <w:color w:val="auto"/>
              </w:rPr>
            </w:pPr>
            <w:r>
              <w:rPr>
                <w:rFonts w:ascii="Arial" w:cs="Arial" w:eastAsia="Arial" w:hAnsi="Arial"/>
                <w:sz w:val="8"/>
                <w:szCs w:val="8"/>
                <w:color w:val="auto"/>
              </w:rPr>
              <w:t>—</w:t>
            </w:r>
          </w:p>
        </w:tc>
        <w:tc>
          <w:tcPr>
            <w:tcW w:w="620" w:type="dxa"/>
            <w:vAlign w:val="bottom"/>
          </w:tcPr>
          <w:p>
            <w:pPr>
              <w:jc w:val="right"/>
              <w:ind w:right="158"/>
              <w:spacing w:after="0"/>
              <w:rPr>
                <w:sz w:val="20"/>
                <w:szCs w:val="20"/>
                <w:color w:val="auto"/>
              </w:rPr>
            </w:pPr>
            <w:r>
              <w:rPr>
                <w:rFonts w:ascii="Arial" w:cs="Arial" w:eastAsia="Arial" w:hAnsi="Arial"/>
                <w:sz w:val="8"/>
                <w:szCs w:val="8"/>
                <w:color w:val="auto"/>
              </w:rPr>
              <w:t>—</w:t>
            </w:r>
          </w:p>
        </w:tc>
        <w:tc>
          <w:tcPr>
            <w:tcW w:w="620" w:type="dxa"/>
            <w:vAlign w:val="bottom"/>
          </w:tcPr>
          <w:p>
            <w:pPr>
              <w:spacing w:after="0"/>
              <w:rPr>
                <w:sz w:val="8"/>
                <w:szCs w:val="8"/>
                <w:color w:val="auto"/>
              </w:rPr>
            </w:pPr>
          </w:p>
        </w:tc>
        <w:tc>
          <w:tcPr>
            <w:tcW w:w="820" w:type="dxa"/>
            <w:vAlign w:val="bottom"/>
          </w:tcPr>
          <w:p>
            <w:pPr>
              <w:jc w:val="right"/>
              <w:ind w:right="258"/>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1"/>
        </w:trPr>
        <w:tc>
          <w:tcPr>
            <w:tcW w:w="1160" w:type="dxa"/>
            <w:vAlign w:val="bottom"/>
            <w:shd w:val="clear" w:color="auto" w:fill="CCEEFF"/>
          </w:tcPr>
          <w:p>
            <w:pPr>
              <w:spacing w:after="0" w:line="81" w:lineRule="exact"/>
              <w:rPr>
                <w:sz w:val="20"/>
                <w:szCs w:val="20"/>
                <w:color w:val="auto"/>
              </w:rPr>
            </w:pPr>
            <w:r>
              <w:rPr>
                <w:rFonts w:ascii="Arial" w:cs="Arial" w:eastAsia="Arial" w:hAnsi="Arial"/>
                <w:sz w:val="8"/>
                <w:szCs w:val="8"/>
                <w:b w:val="1"/>
                <w:bCs w:val="1"/>
                <w:color w:val="auto"/>
              </w:rPr>
              <w:t>2012</w:t>
            </w:r>
          </w:p>
        </w:tc>
        <w:tc>
          <w:tcPr>
            <w:tcW w:w="72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16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01/18/2012</w:t>
            </w:r>
          </w:p>
        </w:tc>
        <w:tc>
          <w:tcPr>
            <w:tcW w:w="1960" w:type="dxa"/>
            <w:vAlign w:val="bottom"/>
            <w:gridSpan w:val="2"/>
            <w:shd w:val="clear" w:color="auto" w:fill="CCEEFF"/>
          </w:tcPr>
          <w:p>
            <w:pPr>
              <w:ind w:left="720"/>
              <w:spacing w:after="0" w:line="90" w:lineRule="exact"/>
              <w:rPr>
                <w:sz w:val="20"/>
                <w:szCs w:val="20"/>
                <w:color w:val="auto"/>
              </w:rPr>
            </w:pPr>
            <w:r>
              <w:rPr>
                <w:rFonts w:ascii="Arial" w:cs="Arial" w:eastAsia="Arial" w:hAnsi="Arial"/>
                <w:sz w:val="8"/>
                <w:szCs w:val="8"/>
                <w:color w:val="auto"/>
              </w:rPr>
              <w:t>Performance RSU</w:t>
            </w:r>
          </w:p>
        </w:tc>
        <w:tc>
          <w:tcPr>
            <w:tcW w:w="600" w:type="dxa"/>
            <w:vAlign w:val="bottom"/>
            <w:shd w:val="clear" w:color="auto" w:fill="CCEEFF"/>
          </w:tcPr>
          <w:p>
            <w:pPr>
              <w:spacing w:after="0"/>
              <w:rPr>
                <w:sz w:val="7"/>
                <w:szCs w:val="7"/>
                <w:color w:val="auto"/>
              </w:rPr>
            </w:pP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spacing w:after="0"/>
              <w:rPr>
                <w:sz w:val="7"/>
                <w:szCs w:val="7"/>
                <w:color w:val="auto"/>
              </w:rPr>
            </w:pPr>
          </w:p>
        </w:tc>
        <w:tc>
          <w:tcPr>
            <w:tcW w:w="860" w:type="dxa"/>
            <w:vAlign w:val="bottom"/>
            <w:shd w:val="clear" w:color="auto" w:fill="CCEEFF"/>
          </w:tcPr>
          <w:p>
            <w:pPr>
              <w:jc w:val="right"/>
              <w:ind w:right="258"/>
              <w:spacing w:after="0" w:line="90" w:lineRule="exact"/>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spacing w:after="0"/>
              <w:rPr>
                <w:sz w:val="7"/>
                <w:szCs w:val="7"/>
                <w:color w:val="auto"/>
              </w:rPr>
            </w:pPr>
          </w:p>
        </w:tc>
        <w:tc>
          <w:tcPr>
            <w:tcW w:w="1480" w:type="dxa"/>
            <w:vAlign w:val="bottom"/>
            <w:gridSpan w:val="2"/>
            <w:shd w:val="clear" w:color="auto" w:fill="CCEEFF"/>
          </w:tcPr>
          <w:p>
            <w:pPr>
              <w:jc w:val="right"/>
              <w:ind w:right="920"/>
              <w:spacing w:after="0" w:line="90" w:lineRule="exact"/>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jc w:val="right"/>
              <w:ind w:right="158"/>
              <w:spacing w:after="0" w:line="90" w:lineRule="exact"/>
              <w:rPr>
                <w:sz w:val="20"/>
                <w:szCs w:val="20"/>
                <w:color w:val="auto"/>
              </w:rPr>
            </w:pPr>
            <w:r>
              <w:rPr>
                <w:rFonts w:ascii="Arial" w:cs="Arial" w:eastAsia="Arial" w:hAnsi="Arial"/>
                <w:sz w:val="8"/>
                <w:szCs w:val="8"/>
                <w:color w:val="auto"/>
              </w:rPr>
              <w:t>—</w:t>
            </w:r>
          </w:p>
        </w:tc>
        <w:tc>
          <w:tcPr>
            <w:tcW w:w="1440" w:type="dxa"/>
            <w:vAlign w:val="bottom"/>
            <w:gridSpan w:val="2"/>
            <w:shd w:val="clear" w:color="auto" w:fill="CCEEFF"/>
          </w:tcPr>
          <w:p>
            <w:pPr>
              <w:jc w:val="right"/>
              <w:ind w:right="258"/>
              <w:spacing w:after="0" w:line="90" w:lineRule="exact"/>
              <w:rPr>
                <w:sz w:val="20"/>
                <w:szCs w:val="20"/>
                <w:color w:val="auto"/>
              </w:rPr>
            </w:pPr>
            <w:r>
              <w:rPr>
                <w:rFonts w:ascii="Arial" w:cs="Arial" w:eastAsia="Arial" w:hAnsi="Arial"/>
                <w:sz w:val="8"/>
                <w:szCs w:val="8"/>
                <w:color w:val="auto"/>
              </w:rPr>
              <w:t>14,724</w:t>
            </w:r>
          </w:p>
        </w:tc>
        <w:tc>
          <w:tcPr>
            <w:tcW w:w="0" w:type="dxa"/>
            <w:vAlign w:val="bottom"/>
          </w:tcPr>
          <w:p>
            <w:pPr>
              <w:spacing w:after="0"/>
              <w:rPr>
                <w:sz w:val="1"/>
                <w:szCs w:val="1"/>
                <w:color w:val="auto"/>
              </w:rPr>
            </w:pPr>
          </w:p>
        </w:tc>
      </w:tr>
      <w:tr>
        <w:trPr>
          <w:trHeight w:val="90"/>
        </w:trPr>
        <w:tc>
          <w:tcPr>
            <w:tcW w:w="116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03/16/2012</w:t>
            </w:r>
          </w:p>
        </w:tc>
        <w:tc>
          <w:tcPr>
            <w:tcW w:w="1960" w:type="dxa"/>
            <w:vAlign w:val="bottom"/>
            <w:gridSpan w:val="2"/>
            <w:shd w:val="clear" w:color="auto" w:fill="CCEEFF"/>
          </w:tcPr>
          <w:p>
            <w:pPr>
              <w:ind w:left="720"/>
              <w:spacing w:after="0" w:line="90" w:lineRule="exact"/>
              <w:rPr>
                <w:sz w:val="20"/>
                <w:szCs w:val="20"/>
                <w:color w:val="auto"/>
              </w:rPr>
            </w:pPr>
            <w:r>
              <w:rPr>
                <w:rFonts w:ascii="Arial" w:cs="Arial" w:eastAsia="Arial" w:hAnsi="Arial"/>
                <w:sz w:val="8"/>
                <w:szCs w:val="8"/>
                <w:color w:val="auto"/>
              </w:rPr>
              <w:t>Performance RSU</w:t>
            </w:r>
          </w:p>
        </w:tc>
        <w:tc>
          <w:tcPr>
            <w:tcW w:w="1240" w:type="dxa"/>
            <w:vAlign w:val="bottom"/>
            <w:gridSpan w:val="2"/>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83,280</w:t>
            </w:r>
          </w:p>
        </w:tc>
        <w:tc>
          <w:tcPr>
            <w:tcW w:w="620" w:type="dxa"/>
            <w:vAlign w:val="bottom"/>
            <w:shd w:val="clear" w:color="auto" w:fill="CCEEFF"/>
          </w:tcPr>
          <w:p>
            <w:pPr>
              <w:spacing w:after="0"/>
              <w:rPr>
                <w:sz w:val="7"/>
                <w:szCs w:val="7"/>
                <w:color w:val="auto"/>
              </w:rPr>
            </w:pPr>
          </w:p>
        </w:tc>
        <w:tc>
          <w:tcPr>
            <w:tcW w:w="860" w:type="dxa"/>
            <w:vAlign w:val="bottom"/>
            <w:shd w:val="clear" w:color="auto" w:fill="CCEEFF"/>
          </w:tcPr>
          <w:p>
            <w:pPr>
              <w:jc w:val="right"/>
              <w:ind w:right="258"/>
              <w:spacing w:after="0" w:line="90" w:lineRule="exact"/>
              <w:rPr>
                <w:sz w:val="20"/>
                <w:szCs w:val="20"/>
                <w:color w:val="auto"/>
              </w:rPr>
            </w:pPr>
            <w:r>
              <w:rPr>
                <w:rFonts w:ascii="Arial" w:cs="Arial" w:eastAsia="Arial" w:hAnsi="Arial"/>
                <w:sz w:val="8"/>
                <w:szCs w:val="8"/>
                <w:color w:val="auto"/>
              </w:rPr>
              <w:t>—</w:t>
            </w:r>
          </w:p>
        </w:tc>
        <w:tc>
          <w:tcPr>
            <w:tcW w:w="1480" w:type="dxa"/>
            <w:vAlign w:val="bottom"/>
            <w:gridSpan w:val="2"/>
            <w:shd w:val="clear" w:color="auto" w:fill="CCEEFF"/>
          </w:tcPr>
          <w:p>
            <w:pPr>
              <w:jc w:val="right"/>
              <w:ind w:right="258"/>
              <w:spacing w:after="0" w:line="90" w:lineRule="exact"/>
              <w:rPr>
                <w:sz w:val="20"/>
                <w:szCs w:val="20"/>
                <w:color w:val="auto"/>
              </w:rPr>
            </w:pPr>
            <w:r>
              <w:rPr>
                <w:rFonts w:ascii="Arial" w:cs="Arial" w:eastAsia="Arial" w:hAnsi="Arial"/>
                <w:sz w:val="8"/>
                <w:szCs w:val="8"/>
                <w:color w:val="auto"/>
              </w:rPr>
              <w:t>66,624</w:t>
            </w:r>
          </w:p>
        </w:tc>
        <w:tc>
          <w:tcPr>
            <w:tcW w:w="620" w:type="dxa"/>
            <w:vAlign w:val="bottom"/>
            <w:shd w:val="clear" w:color="auto" w:fill="CCEEFF"/>
          </w:tcPr>
          <w:p>
            <w:pPr>
              <w:spacing w:after="0"/>
              <w:rPr>
                <w:sz w:val="7"/>
                <w:szCs w:val="7"/>
                <w:color w:val="auto"/>
              </w:rPr>
            </w:pPr>
          </w:p>
        </w:tc>
        <w:tc>
          <w:tcPr>
            <w:tcW w:w="620" w:type="dxa"/>
            <w:vAlign w:val="bottom"/>
            <w:shd w:val="clear" w:color="auto" w:fill="CCEEFF"/>
          </w:tcPr>
          <w:p>
            <w:pPr>
              <w:jc w:val="right"/>
              <w:ind w:right="158"/>
              <w:spacing w:after="0" w:line="90" w:lineRule="exact"/>
              <w:rPr>
                <w:sz w:val="20"/>
                <w:szCs w:val="20"/>
                <w:color w:val="auto"/>
              </w:rPr>
            </w:pPr>
            <w:r>
              <w:rPr>
                <w:rFonts w:ascii="Arial" w:cs="Arial" w:eastAsia="Arial" w:hAnsi="Arial"/>
                <w:sz w:val="8"/>
                <w:szCs w:val="8"/>
                <w:color w:val="auto"/>
              </w:rPr>
              <w:t>38,800</w:t>
            </w:r>
          </w:p>
        </w:tc>
        <w:tc>
          <w:tcPr>
            <w:tcW w:w="620" w:type="dxa"/>
            <w:vAlign w:val="bottom"/>
            <w:shd w:val="clear" w:color="auto" w:fill="CCEEFF"/>
          </w:tcPr>
          <w:p>
            <w:pPr>
              <w:spacing w:after="0"/>
              <w:rPr>
                <w:sz w:val="7"/>
                <w:szCs w:val="7"/>
                <w:color w:val="auto"/>
              </w:rPr>
            </w:pPr>
          </w:p>
        </w:tc>
        <w:tc>
          <w:tcPr>
            <w:tcW w:w="820" w:type="dxa"/>
            <w:vAlign w:val="bottom"/>
            <w:shd w:val="clear" w:color="auto" w:fill="CCEEFF"/>
          </w:tcPr>
          <w:p>
            <w:pPr>
              <w:jc w:val="right"/>
              <w:ind w:right="258"/>
              <w:spacing w:after="0" w:line="90"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90"/>
        </w:trPr>
        <w:tc>
          <w:tcPr>
            <w:tcW w:w="116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03/16/2012</w:t>
            </w:r>
          </w:p>
        </w:tc>
        <w:tc>
          <w:tcPr>
            <w:tcW w:w="1960" w:type="dxa"/>
            <w:vAlign w:val="bottom"/>
            <w:gridSpan w:val="2"/>
            <w:shd w:val="clear" w:color="auto" w:fill="CCEEFF"/>
          </w:tcPr>
          <w:p>
            <w:pPr>
              <w:ind w:left="720"/>
              <w:spacing w:after="0" w:line="90" w:lineRule="exact"/>
              <w:rPr>
                <w:sz w:val="20"/>
                <w:szCs w:val="20"/>
                <w:color w:val="auto"/>
              </w:rPr>
            </w:pPr>
            <w:r>
              <w:rPr>
                <w:rFonts w:ascii="Arial" w:cs="Arial" w:eastAsia="Arial" w:hAnsi="Arial"/>
                <w:sz w:val="8"/>
                <w:szCs w:val="8"/>
                <w:color w:val="auto"/>
              </w:rPr>
              <w:t>RSU</w:t>
            </w:r>
          </w:p>
        </w:tc>
        <w:tc>
          <w:tcPr>
            <w:tcW w:w="600" w:type="dxa"/>
            <w:vAlign w:val="bottom"/>
            <w:shd w:val="clear" w:color="auto" w:fill="CCEEFF"/>
          </w:tcPr>
          <w:p>
            <w:pPr>
              <w:spacing w:after="0"/>
              <w:rPr>
                <w:sz w:val="7"/>
                <w:szCs w:val="7"/>
                <w:color w:val="auto"/>
              </w:rPr>
            </w:pP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spacing w:after="0"/>
              <w:rPr>
                <w:sz w:val="7"/>
                <w:szCs w:val="7"/>
                <w:color w:val="auto"/>
              </w:rPr>
            </w:pPr>
          </w:p>
        </w:tc>
        <w:tc>
          <w:tcPr>
            <w:tcW w:w="860" w:type="dxa"/>
            <w:vAlign w:val="bottom"/>
            <w:shd w:val="clear" w:color="auto" w:fill="CCEEFF"/>
          </w:tcPr>
          <w:p>
            <w:pPr>
              <w:jc w:val="right"/>
              <w:ind w:right="258"/>
              <w:spacing w:after="0" w:line="90" w:lineRule="exact"/>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spacing w:after="0"/>
              <w:rPr>
                <w:sz w:val="7"/>
                <w:szCs w:val="7"/>
                <w:color w:val="auto"/>
              </w:rPr>
            </w:pPr>
          </w:p>
        </w:tc>
        <w:tc>
          <w:tcPr>
            <w:tcW w:w="1480" w:type="dxa"/>
            <w:vAlign w:val="bottom"/>
            <w:gridSpan w:val="2"/>
            <w:shd w:val="clear" w:color="auto" w:fill="CCEEFF"/>
          </w:tcPr>
          <w:p>
            <w:pPr>
              <w:jc w:val="right"/>
              <w:ind w:right="920"/>
              <w:spacing w:after="0" w:line="90" w:lineRule="exact"/>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jc w:val="right"/>
              <w:ind w:right="158"/>
              <w:spacing w:after="0" w:line="90" w:lineRule="exact"/>
              <w:rPr>
                <w:sz w:val="20"/>
                <w:szCs w:val="20"/>
                <w:color w:val="auto"/>
              </w:rPr>
            </w:pPr>
            <w:r>
              <w:rPr>
                <w:rFonts w:ascii="Arial" w:cs="Arial" w:eastAsia="Arial" w:hAnsi="Arial"/>
                <w:sz w:val="8"/>
                <w:szCs w:val="8"/>
                <w:color w:val="auto"/>
              </w:rPr>
              <w:t>—</w:t>
            </w:r>
          </w:p>
        </w:tc>
        <w:tc>
          <w:tcPr>
            <w:tcW w:w="1440" w:type="dxa"/>
            <w:vAlign w:val="bottom"/>
            <w:gridSpan w:val="2"/>
            <w:shd w:val="clear" w:color="auto" w:fill="CCEEFF"/>
          </w:tcPr>
          <w:p>
            <w:pPr>
              <w:jc w:val="right"/>
              <w:ind w:right="258"/>
              <w:spacing w:after="0" w:line="90" w:lineRule="exact"/>
              <w:rPr>
                <w:sz w:val="20"/>
                <w:szCs w:val="20"/>
                <w:color w:val="auto"/>
              </w:rPr>
            </w:pPr>
            <w:r>
              <w:rPr>
                <w:rFonts w:ascii="Arial" w:cs="Arial" w:eastAsia="Arial" w:hAnsi="Arial"/>
                <w:sz w:val="8"/>
                <w:szCs w:val="8"/>
                <w:color w:val="auto"/>
              </w:rPr>
              <w:t>10,240</w:t>
            </w:r>
          </w:p>
        </w:tc>
        <w:tc>
          <w:tcPr>
            <w:tcW w:w="0" w:type="dxa"/>
            <w:vAlign w:val="bottom"/>
          </w:tcPr>
          <w:p>
            <w:pPr>
              <w:spacing w:after="0"/>
              <w:rPr>
                <w:sz w:val="1"/>
                <w:szCs w:val="1"/>
                <w:color w:val="auto"/>
              </w:rPr>
            </w:pPr>
          </w:p>
        </w:tc>
      </w:tr>
      <w:tr>
        <w:trPr>
          <w:trHeight w:val="90"/>
        </w:trPr>
        <w:tc>
          <w:tcPr>
            <w:tcW w:w="116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03/20/2012</w:t>
            </w:r>
          </w:p>
        </w:tc>
        <w:tc>
          <w:tcPr>
            <w:tcW w:w="1960" w:type="dxa"/>
            <w:vAlign w:val="bottom"/>
            <w:gridSpan w:val="2"/>
            <w:shd w:val="clear" w:color="auto" w:fill="CCEEFF"/>
          </w:tcPr>
          <w:p>
            <w:pPr>
              <w:ind w:left="720"/>
              <w:spacing w:after="0" w:line="90" w:lineRule="exact"/>
              <w:rPr>
                <w:sz w:val="20"/>
                <w:szCs w:val="20"/>
                <w:color w:val="auto"/>
              </w:rPr>
            </w:pPr>
            <w:r>
              <w:rPr>
                <w:rFonts w:ascii="Arial" w:cs="Arial" w:eastAsia="Arial" w:hAnsi="Arial"/>
                <w:sz w:val="8"/>
                <w:szCs w:val="8"/>
                <w:color w:val="auto"/>
              </w:rPr>
              <w:t>Performance RSU</w:t>
            </w:r>
          </w:p>
        </w:tc>
        <w:tc>
          <w:tcPr>
            <w:tcW w:w="600" w:type="dxa"/>
            <w:vAlign w:val="bottom"/>
            <w:shd w:val="clear" w:color="auto" w:fill="CCEEFF"/>
          </w:tcPr>
          <w:p>
            <w:pPr>
              <w:spacing w:after="0"/>
              <w:rPr>
                <w:sz w:val="7"/>
                <w:szCs w:val="7"/>
                <w:color w:val="auto"/>
              </w:rPr>
            </w:pP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spacing w:after="0"/>
              <w:rPr>
                <w:sz w:val="7"/>
                <w:szCs w:val="7"/>
                <w:color w:val="auto"/>
              </w:rPr>
            </w:pPr>
          </w:p>
        </w:tc>
        <w:tc>
          <w:tcPr>
            <w:tcW w:w="860" w:type="dxa"/>
            <w:vAlign w:val="bottom"/>
            <w:shd w:val="clear" w:color="auto" w:fill="CCEEFF"/>
          </w:tcPr>
          <w:p>
            <w:pPr>
              <w:jc w:val="right"/>
              <w:ind w:right="258"/>
              <w:spacing w:after="0" w:line="90" w:lineRule="exact"/>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spacing w:after="0"/>
              <w:rPr>
                <w:sz w:val="7"/>
                <w:szCs w:val="7"/>
                <w:color w:val="auto"/>
              </w:rPr>
            </w:pPr>
          </w:p>
        </w:tc>
        <w:tc>
          <w:tcPr>
            <w:tcW w:w="1480" w:type="dxa"/>
            <w:vAlign w:val="bottom"/>
            <w:gridSpan w:val="2"/>
            <w:shd w:val="clear" w:color="auto" w:fill="CCEEFF"/>
          </w:tcPr>
          <w:p>
            <w:pPr>
              <w:jc w:val="right"/>
              <w:ind w:right="920"/>
              <w:spacing w:after="0" w:line="90" w:lineRule="exact"/>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jc w:val="right"/>
              <w:ind w:right="158"/>
              <w:spacing w:after="0" w:line="90" w:lineRule="exact"/>
              <w:rPr>
                <w:sz w:val="20"/>
                <w:szCs w:val="20"/>
                <w:color w:val="auto"/>
              </w:rPr>
            </w:pPr>
            <w:r>
              <w:rPr>
                <w:rFonts w:ascii="Arial" w:cs="Arial" w:eastAsia="Arial" w:hAnsi="Arial"/>
                <w:sz w:val="8"/>
                <w:szCs w:val="8"/>
                <w:color w:val="auto"/>
              </w:rPr>
              <w:t>—</w:t>
            </w:r>
          </w:p>
        </w:tc>
        <w:tc>
          <w:tcPr>
            <w:tcW w:w="1440" w:type="dxa"/>
            <w:vAlign w:val="bottom"/>
            <w:gridSpan w:val="2"/>
            <w:shd w:val="clear" w:color="auto" w:fill="CCEEFF"/>
          </w:tcPr>
          <w:p>
            <w:pPr>
              <w:jc w:val="right"/>
              <w:ind w:right="258"/>
              <w:spacing w:after="0" w:line="90" w:lineRule="exact"/>
              <w:rPr>
                <w:sz w:val="20"/>
                <w:szCs w:val="20"/>
                <w:color w:val="auto"/>
              </w:rPr>
            </w:pPr>
            <w:r>
              <w:rPr>
                <w:rFonts w:ascii="Arial" w:cs="Arial" w:eastAsia="Arial" w:hAnsi="Arial"/>
                <w:sz w:val="8"/>
                <w:szCs w:val="8"/>
                <w:color w:val="auto"/>
              </w:rPr>
              <w:t>3,540</w:t>
            </w:r>
          </w:p>
        </w:tc>
        <w:tc>
          <w:tcPr>
            <w:tcW w:w="0" w:type="dxa"/>
            <w:vAlign w:val="bottom"/>
          </w:tcPr>
          <w:p>
            <w:pPr>
              <w:spacing w:after="0"/>
              <w:rPr>
                <w:sz w:val="1"/>
                <w:szCs w:val="1"/>
                <w:color w:val="auto"/>
              </w:rPr>
            </w:pPr>
          </w:p>
        </w:tc>
      </w:tr>
      <w:tr>
        <w:trPr>
          <w:trHeight w:val="90"/>
        </w:trPr>
        <w:tc>
          <w:tcPr>
            <w:tcW w:w="116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03/27/2012</w:t>
            </w:r>
          </w:p>
        </w:tc>
        <w:tc>
          <w:tcPr>
            <w:tcW w:w="1960" w:type="dxa"/>
            <w:vAlign w:val="bottom"/>
            <w:gridSpan w:val="2"/>
            <w:shd w:val="clear" w:color="auto" w:fill="CCEEFF"/>
          </w:tcPr>
          <w:p>
            <w:pPr>
              <w:ind w:left="720"/>
              <w:spacing w:after="0" w:line="90" w:lineRule="exact"/>
              <w:rPr>
                <w:sz w:val="20"/>
                <w:szCs w:val="20"/>
                <w:color w:val="auto"/>
              </w:rPr>
            </w:pPr>
            <w:r>
              <w:rPr>
                <w:rFonts w:ascii="Arial" w:cs="Arial" w:eastAsia="Arial" w:hAnsi="Arial"/>
                <w:sz w:val="8"/>
                <w:szCs w:val="8"/>
                <w:color w:val="auto"/>
              </w:rPr>
              <w:t>Performance RSU</w:t>
            </w:r>
          </w:p>
        </w:tc>
        <w:tc>
          <w:tcPr>
            <w:tcW w:w="1240" w:type="dxa"/>
            <w:vAlign w:val="bottom"/>
            <w:gridSpan w:val="2"/>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58,500</w:t>
            </w:r>
          </w:p>
        </w:tc>
        <w:tc>
          <w:tcPr>
            <w:tcW w:w="1480" w:type="dxa"/>
            <w:vAlign w:val="bottom"/>
            <w:gridSpan w:val="2"/>
            <w:shd w:val="clear" w:color="auto" w:fill="CCEEFF"/>
          </w:tcPr>
          <w:p>
            <w:pPr>
              <w:jc w:val="right"/>
              <w:ind w:right="258"/>
              <w:spacing w:after="0" w:line="90" w:lineRule="exact"/>
              <w:rPr>
                <w:sz w:val="20"/>
                <w:szCs w:val="20"/>
                <w:color w:val="auto"/>
              </w:rPr>
            </w:pPr>
            <w:r>
              <w:rPr>
                <w:rFonts w:ascii="Arial" w:cs="Arial" w:eastAsia="Arial" w:hAnsi="Arial"/>
                <w:sz w:val="8"/>
                <w:szCs w:val="8"/>
                <w:color w:val="auto"/>
              </w:rPr>
              <w:t>36,000</w:t>
            </w:r>
          </w:p>
        </w:tc>
        <w:tc>
          <w:tcPr>
            <w:tcW w:w="1480" w:type="dxa"/>
            <w:vAlign w:val="bottom"/>
            <w:gridSpan w:val="2"/>
            <w:shd w:val="clear" w:color="auto" w:fill="CCEEFF"/>
          </w:tcPr>
          <w:p>
            <w:pPr>
              <w:jc w:val="right"/>
              <w:ind w:right="258"/>
              <w:spacing w:after="0" w:line="90" w:lineRule="exact"/>
              <w:rPr>
                <w:sz w:val="20"/>
                <w:szCs w:val="20"/>
                <w:color w:val="auto"/>
              </w:rPr>
            </w:pPr>
            <w:r>
              <w:rPr>
                <w:rFonts w:ascii="Arial" w:cs="Arial" w:eastAsia="Arial" w:hAnsi="Arial"/>
                <w:sz w:val="8"/>
                <w:szCs w:val="8"/>
                <w:color w:val="auto"/>
              </w:rPr>
              <w:t>47,250</w:t>
            </w:r>
          </w:p>
        </w:tc>
        <w:tc>
          <w:tcPr>
            <w:tcW w:w="620" w:type="dxa"/>
            <w:vAlign w:val="bottom"/>
            <w:shd w:val="clear" w:color="auto" w:fill="CCEEFF"/>
          </w:tcPr>
          <w:p>
            <w:pPr>
              <w:spacing w:after="0"/>
              <w:rPr>
                <w:sz w:val="7"/>
                <w:szCs w:val="7"/>
                <w:color w:val="auto"/>
              </w:rPr>
            </w:pPr>
          </w:p>
        </w:tc>
        <w:tc>
          <w:tcPr>
            <w:tcW w:w="620" w:type="dxa"/>
            <w:vAlign w:val="bottom"/>
            <w:shd w:val="clear" w:color="auto" w:fill="CCEEFF"/>
          </w:tcPr>
          <w:p>
            <w:pPr>
              <w:jc w:val="right"/>
              <w:ind w:right="158"/>
              <w:spacing w:after="0" w:line="90" w:lineRule="exact"/>
              <w:rPr>
                <w:sz w:val="20"/>
                <w:szCs w:val="20"/>
                <w:color w:val="auto"/>
              </w:rPr>
            </w:pPr>
            <w:r>
              <w:rPr>
                <w:rFonts w:ascii="Arial" w:cs="Arial" w:eastAsia="Arial" w:hAnsi="Arial"/>
                <w:sz w:val="8"/>
                <w:szCs w:val="8"/>
                <w:color w:val="auto"/>
              </w:rPr>
              <w:t>27,750</w:t>
            </w:r>
          </w:p>
        </w:tc>
        <w:tc>
          <w:tcPr>
            <w:tcW w:w="1440" w:type="dxa"/>
            <w:vAlign w:val="bottom"/>
            <w:gridSpan w:val="2"/>
            <w:shd w:val="clear" w:color="auto" w:fill="CCEEFF"/>
          </w:tcPr>
          <w:p>
            <w:pPr>
              <w:jc w:val="right"/>
              <w:ind w:right="258"/>
              <w:spacing w:after="0" w:line="90" w:lineRule="exact"/>
              <w:rPr>
                <w:sz w:val="20"/>
                <w:szCs w:val="20"/>
                <w:color w:val="auto"/>
              </w:rPr>
            </w:pPr>
            <w:r>
              <w:rPr>
                <w:rFonts w:ascii="Arial" w:cs="Arial" w:eastAsia="Arial" w:hAnsi="Arial"/>
                <w:sz w:val="8"/>
                <w:szCs w:val="8"/>
                <w:color w:val="auto"/>
              </w:rPr>
              <w:t>7,110</w:t>
            </w:r>
          </w:p>
        </w:tc>
        <w:tc>
          <w:tcPr>
            <w:tcW w:w="0" w:type="dxa"/>
            <w:vAlign w:val="bottom"/>
          </w:tcPr>
          <w:p>
            <w:pPr>
              <w:spacing w:after="0"/>
              <w:rPr>
                <w:sz w:val="1"/>
                <w:szCs w:val="1"/>
                <w:color w:val="auto"/>
              </w:rPr>
            </w:pPr>
          </w:p>
        </w:tc>
      </w:tr>
      <w:tr>
        <w:trPr>
          <w:trHeight w:val="90"/>
        </w:trPr>
        <w:tc>
          <w:tcPr>
            <w:tcW w:w="116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03/28/2012</w:t>
            </w:r>
          </w:p>
        </w:tc>
        <w:tc>
          <w:tcPr>
            <w:tcW w:w="1960" w:type="dxa"/>
            <w:vAlign w:val="bottom"/>
            <w:gridSpan w:val="2"/>
            <w:shd w:val="clear" w:color="auto" w:fill="CCEEFF"/>
          </w:tcPr>
          <w:p>
            <w:pPr>
              <w:ind w:left="720"/>
              <w:spacing w:after="0" w:line="90" w:lineRule="exact"/>
              <w:rPr>
                <w:sz w:val="20"/>
                <w:szCs w:val="20"/>
                <w:color w:val="auto"/>
              </w:rPr>
            </w:pPr>
            <w:r>
              <w:rPr>
                <w:rFonts w:ascii="Arial" w:cs="Arial" w:eastAsia="Arial" w:hAnsi="Arial"/>
                <w:sz w:val="8"/>
                <w:szCs w:val="8"/>
                <w:color w:val="auto"/>
              </w:rPr>
              <w:t>Performance RSU</w:t>
            </w:r>
          </w:p>
        </w:tc>
        <w:tc>
          <w:tcPr>
            <w:tcW w:w="1240" w:type="dxa"/>
            <w:vAlign w:val="bottom"/>
            <w:gridSpan w:val="2"/>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41,400</w:t>
            </w:r>
          </w:p>
        </w:tc>
        <w:tc>
          <w:tcPr>
            <w:tcW w:w="1480" w:type="dxa"/>
            <w:vAlign w:val="bottom"/>
            <w:gridSpan w:val="2"/>
            <w:shd w:val="clear" w:color="auto" w:fill="CCEEFF"/>
          </w:tcPr>
          <w:p>
            <w:pPr>
              <w:jc w:val="right"/>
              <w:ind w:right="258"/>
              <w:spacing w:after="0" w:line="90" w:lineRule="exact"/>
              <w:rPr>
                <w:sz w:val="20"/>
                <w:szCs w:val="20"/>
                <w:color w:val="auto"/>
              </w:rPr>
            </w:pPr>
            <w:r>
              <w:rPr>
                <w:rFonts w:ascii="Arial" w:cs="Arial" w:eastAsia="Arial" w:hAnsi="Arial"/>
                <w:sz w:val="8"/>
                <w:szCs w:val="8"/>
                <w:color w:val="auto"/>
              </w:rPr>
              <w:t>24,840</w:t>
            </w:r>
          </w:p>
        </w:tc>
        <w:tc>
          <w:tcPr>
            <w:tcW w:w="1480" w:type="dxa"/>
            <w:vAlign w:val="bottom"/>
            <w:gridSpan w:val="2"/>
            <w:shd w:val="clear" w:color="auto" w:fill="CCEEFF"/>
          </w:tcPr>
          <w:p>
            <w:pPr>
              <w:jc w:val="right"/>
              <w:ind w:right="258"/>
              <w:spacing w:after="0" w:line="90" w:lineRule="exact"/>
              <w:rPr>
                <w:sz w:val="20"/>
                <w:szCs w:val="20"/>
                <w:color w:val="auto"/>
              </w:rPr>
            </w:pPr>
            <w:r>
              <w:rPr>
                <w:rFonts w:ascii="Arial" w:cs="Arial" w:eastAsia="Arial" w:hAnsi="Arial"/>
                <w:sz w:val="8"/>
                <w:szCs w:val="8"/>
                <w:color w:val="auto"/>
              </w:rPr>
              <w:t>33,120</w:t>
            </w:r>
          </w:p>
        </w:tc>
        <w:tc>
          <w:tcPr>
            <w:tcW w:w="620" w:type="dxa"/>
            <w:vAlign w:val="bottom"/>
            <w:shd w:val="clear" w:color="auto" w:fill="CCEEFF"/>
          </w:tcPr>
          <w:p>
            <w:pPr>
              <w:spacing w:after="0"/>
              <w:rPr>
                <w:sz w:val="7"/>
                <w:szCs w:val="7"/>
                <w:color w:val="auto"/>
              </w:rPr>
            </w:pPr>
          </w:p>
        </w:tc>
        <w:tc>
          <w:tcPr>
            <w:tcW w:w="620" w:type="dxa"/>
            <w:vAlign w:val="bottom"/>
            <w:shd w:val="clear" w:color="auto" w:fill="CCEEFF"/>
          </w:tcPr>
          <w:p>
            <w:pPr>
              <w:jc w:val="right"/>
              <w:ind w:right="158"/>
              <w:spacing w:after="0" w:line="90" w:lineRule="exact"/>
              <w:rPr>
                <w:sz w:val="20"/>
                <w:szCs w:val="20"/>
                <w:color w:val="auto"/>
              </w:rPr>
            </w:pPr>
            <w:r>
              <w:rPr>
                <w:rFonts w:ascii="Arial" w:cs="Arial" w:eastAsia="Arial" w:hAnsi="Arial"/>
                <w:sz w:val="8"/>
                <w:szCs w:val="8"/>
                <w:color w:val="auto"/>
              </w:rPr>
              <w:t>19,290</w:t>
            </w:r>
          </w:p>
        </w:tc>
        <w:tc>
          <w:tcPr>
            <w:tcW w:w="620" w:type="dxa"/>
            <w:vAlign w:val="bottom"/>
            <w:shd w:val="clear" w:color="auto" w:fill="CCEEFF"/>
          </w:tcPr>
          <w:p>
            <w:pPr>
              <w:spacing w:after="0"/>
              <w:rPr>
                <w:sz w:val="7"/>
                <w:szCs w:val="7"/>
                <w:color w:val="auto"/>
              </w:rPr>
            </w:pPr>
          </w:p>
        </w:tc>
        <w:tc>
          <w:tcPr>
            <w:tcW w:w="820" w:type="dxa"/>
            <w:vAlign w:val="bottom"/>
            <w:shd w:val="clear" w:color="auto" w:fill="CCEEFF"/>
          </w:tcPr>
          <w:p>
            <w:pPr>
              <w:jc w:val="right"/>
              <w:ind w:right="258"/>
              <w:spacing w:after="0" w:line="90"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90"/>
        </w:trPr>
        <w:tc>
          <w:tcPr>
            <w:tcW w:w="116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03/28/2012</w:t>
            </w:r>
          </w:p>
        </w:tc>
        <w:tc>
          <w:tcPr>
            <w:tcW w:w="1960" w:type="dxa"/>
            <w:vAlign w:val="bottom"/>
            <w:gridSpan w:val="2"/>
            <w:shd w:val="clear" w:color="auto" w:fill="CCEEFF"/>
          </w:tcPr>
          <w:p>
            <w:pPr>
              <w:ind w:left="720"/>
              <w:spacing w:after="0" w:line="90" w:lineRule="exact"/>
              <w:rPr>
                <w:sz w:val="20"/>
                <w:szCs w:val="20"/>
                <w:color w:val="auto"/>
              </w:rPr>
            </w:pPr>
            <w:r>
              <w:rPr>
                <w:rFonts w:ascii="Arial" w:cs="Arial" w:eastAsia="Arial" w:hAnsi="Arial"/>
                <w:sz w:val="8"/>
                <w:szCs w:val="8"/>
                <w:color w:val="auto"/>
              </w:rPr>
              <w:t>RSU</w:t>
            </w:r>
          </w:p>
        </w:tc>
        <w:tc>
          <w:tcPr>
            <w:tcW w:w="600" w:type="dxa"/>
            <w:vAlign w:val="bottom"/>
            <w:shd w:val="clear" w:color="auto" w:fill="CCEEFF"/>
          </w:tcPr>
          <w:p>
            <w:pPr>
              <w:spacing w:after="0"/>
              <w:rPr>
                <w:sz w:val="7"/>
                <w:szCs w:val="7"/>
                <w:color w:val="auto"/>
              </w:rPr>
            </w:pP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spacing w:after="0"/>
              <w:rPr>
                <w:sz w:val="7"/>
                <w:szCs w:val="7"/>
                <w:color w:val="auto"/>
              </w:rPr>
            </w:pPr>
          </w:p>
        </w:tc>
        <w:tc>
          <w:tcPr>
            <w:tcW w:w="860" w:type="dxa"/>
            <w:vAlign w:val="bottom"/>
            <w:shd w:val="clear" w:color="auto" w:fill="CCEEFF"/>
          </w:tcPr>
          <w:p>
            <w:pPr>
              <w:jc w:val="right"/>
              <w:ind w:right="258"/>
              <w:spacing w:after="0" w:line="90" w:lineRule="exact"/>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spacing w:after="0"/>
              <w:rPr>
                <w:sz w:val="7"/>
                <w:szCs w:val="7"/>
                <w:color w:val="auto"/>
              </w:rPr>
            </w:pPr>
          </w:p>
        </w:tc>
        <w:tc>
          <w:tcPr>
            <w:tcW w:w="1480" w:type="dxa"/>
            <w:vAlign w:val="bottom"/>
            <w:gridSpan w:val="2"/>
            <w:shd w:val="clear" w:color="auto" w:fill="CCEEFF"/>
          </w:tcPr>
          <w:p>
            <w:pPr>
              <w:jc w:val="right"/>
              <w:ind w:right="920"/>
              <w:spacing w:after="0" w:line="90" w:lineRule="exact"/>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jc w:val="right"/>
              <w:ind w:right="158"/>
              <w:spacing w:after="0" w:line="90" w:lineRule="exact"/>
              <w:rPr>
                <w:sz w:val="20"/>
                <w:szCs w:val="20"/>
                <w:color w:val="auto"/>
              </w:rPr>
            </w:pPr>
            <w:r>
              <w:rPr>
                <w:rFonts w:ascii="Arial" w:cs="Arial" w:eastAsia="Arial" w:hAnsi="Arial"/>
                <w:sz w:val="8"/>
                <w:szCs w:val="8"/>
                <w:color w:val="auto"/>
              </w:rPr>
              <w:t>—</w:t>
            </w:r>
          </w:p>
        </w:tc>
        <w:tc>
          <w:tcPr>
            <w:tcW w:w="1440" w:type="dxa"/>
            <w:vAlign w:val="bottom"/>
            <w:gridSpan w:val="2"/>
            <w:shd w:val="clear" w:color="auto" w:fill="CCEEFF"/>
          </w:tcPr>
          <w:p>
            <w:pPr>
              <w:jc w:val="right"/>
              <w:ind w:right="258"/>
              <w:spacing w:after="0" w:line="90" w:lineRule="exact"/>
              <w:rPr>
                <w:sz w:val="20"/>
                <w:szCs w:val="20"/>
                <w:color w:val="auto"/>
              </w:rPr>
            </w:pPr>
            <w:r>
              <w:rPr>
                <w:rFonts w:ascii="Arial" w:cs="Arial" w:eastAsia="Arial" w:hAnsi="Arial"/>
                <w:sz w:val="8"/>
                <w:szCs w:val="8"/>
                <w:color w:val="auto"/>
              </w:rPr>
              <w:t>5,085</w:t>
            </w:r>
          </w:p>
        </w:tc>
        <w:tc>
          <w:tcPr>
            <w:tcW w:w="0" w:type="dxa"/>
            <w:vAlign w:val="bottom"/>
          </w:tcPr>
          <w:p>
            <w:pPr>
              <w:spacing w:after="0"/>
              <w:rPr>
                <w:sz w:val="1"/>
                <w:szCs w:val="1"/>
                <w:color w:val="auto"/>
              </w:rPr>
            </w:pPr>
          </w:p>
        </w:tc>
      </w:tr>
      <w:tr>
        <w:trPr>
          <w:trHeight w:val="99"/>
        </w:trPr>
        <w:tc>
          <w:tcPr>
            <w:tcW w:w="1160" w:type="dxa"/>
            <w:vAlign w:val="bottom"/>
            <w:shd w:val="clear" w:color="auto" w:fill="CCEEFF"/>
          </w:tcPr>
          <w:p>
            <w:pPr>
              <w:spacing w:after="0"/>
              <w:rPr>
                <w:sz w:val="20"/>
                <w:szCs w:val="20"/>
                <w:color w:val="auto"/>
              </w:rPr>
            </w:pPr>
            <w:r>
              <w:rPr>
                <w:rFonts w:ascii="Arial" w:cs="Arial" w:eastAsia="Arial" w:hAnsi="Arial"/>
                <w:sz w:val="8"/>
                <w:szCs w:val="8"/>
                <w:color w:val="auto"/>
              </w:rPr>
              <w:t>03/30/2012</w:t>
            </w:r>
          </w:p>
        </w:tc>
        <w:tc>
          <w:tcPr>
            <w:tcW w:w="1960" w:type="dxa"/>
            <w:vAlign w:val="bottom"/>
            <w:gridSpan w:val="2"/>
            <w:shd w:val="clear" w:color="auto" w:fill="CCEEFF"/>
          </w:tcPr>
          <w:p>
            <w:pPr>
              <w:ind w:left="720"/>
              <w:spacing w:after="0"/>
              <w:rPr>
                <w:sz w:val="20"/>
                <w:szCs w:val="20"/>
                <w:color w:val="auto"/>
              </w:rPr>
            </w:pPr>
            <w:r>
              <w:rPr>
                <w:rFonts w:ascii="Arial" w:cs="Arial" w:eastAsia="Arial" w:hAnsi="Arial"/>
                <w:sz w:val="8"/>
                <w:szCs w:val="8"/>
                <w:color w:val="auto"/>
              </w:rPr>
              <w:t>Performance RSU</w:t>
            </w:r>
          </w:p>
        </w:tc>
        <w:tc>
          <w:tcPr>
            <w:tcW w:w="600" w:type="dxa"/>
            <w:vAlign w:val="bottom"/>
            <w:shd w:val="clear" w:color="auto" w:fill="CCEEFF"/>
          </w:tcPr>
          <w:p>
            <w:pPr>
              <w:spacing w:after="0"/>
              <w:rPr>
                <w:sz w:val="8"/>
                <w:szCs w:val="8"/>
                <w:color w:val="auto"/>
              </w:rPr>
            </w:pPr>
          </w:p>
        </w:tc>
        <w:tc>
          <w:tcPr>
            <w:tcW w:w="640" w:type="dxa"/>
            <w:vAlign w:val="bottom"/>
            <w:shd w:val="clear" w:color="auto" w:fill="CCEEFF"/>
          </w:tcPr>
          <w:p>
            <w:pPr>
              <w:jc w:val="right"/>
              <w:ind w:right="138"/>
              <w:spacing w:after="0"/>
              <w:rPr>
                <w:sz w:val="20"/>
                <w:szCs w:val="20"/>
                <w:color w:val="auto"/>
              </w:rPr>
            </w:pPr>
            <w:r>
              <w:rPr>
                <w:rFonts w:ascii="Arial" w:cs="Arial" w:eastAsia="Arial" w:hAnsi="Arial"/>
                <w:sz w:val="8"/>
                <w:szCs w:val="8"/>
                <w:color w:val="auto"/>
              </w:rPr>
              <w:t>—</w:t>
            </w:r>
          </w:p>
        </w:tc>
        <w:tc>
          <w:tcPr>
            <w:tcW w:w="1480" w:type="dxa"/>
            <w:vAlign w:val="bottom"/>
            <w:gridSpan w:val="2"/>
            <w:shd w:val="clear" w:color="auto" w:fill="CCEEFF"/>
          </w:tcPr>
          <w:p>
            <w:pPr>
              <w:jc w:val="right"/>
              <w:ind w:right="258"/>
              <w:spacing w:after="0"/>
              <w:rPr>
                <w:sz w:val="20"/>
                <w:szCs w:val="20"/>
                <w:color w:val="auto"/>
              </w:rPr>
            </w:pPr>
            <w:r>
              <w:rPr>
                <w:rFonts w:ascii="Arial" w:cs="Arial" w:eastAsia="Arial" w:hAnsi="Arial"/>
                <w:sz w:val="8"/>
                <w:szCs w:val="8"/>
                <w:color w:val="auto"/>
              </w:rPr>
              <w:t>37,656</w:t>
            </w:r>
          </w:p>
        </w:tc>
        <w:tc>
          <w:tcPr>
            <w:tcW w:w="620" w:type="dxa"/>
            <w:vAlign w:val="bottom"/>
            <w:shd w:val="clear" w:color="auto" w:fill="CCEEFF"/>
          </w:tcPr>
          <w:p>
            <w:pPr>
              <w:spacing w:after="0"/>
              <w:rPr>
                <w:sz w:val="8"/>
                <w:szCs w:val="8"/>
                <w:color w:val="auto"/>
              </w:rPr>
            </w:pPr>
          </w:p>
        </w:tc>
        <w:tc>
          <w:tcPr>
            <w:tcW w:w="1480" w:type="dxa"/>
            <w:vAlign w:val="bottom"/>
            <w:gridSpan w:val="2"/>
            <w:shd w:val="clear" w:color="auto" w:fill="CCEEFF"/>
          </w:tcPr>
          <w:p>
            <w:pPr>
              <w:jc w:val="right"/>
              <w:ind w:right="920"/>
              <w:spacing w:after="0"/>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jc w:val="right"/>
              <w:ind w:right="158"/>
              <w:spacing w:after="0"/>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spacing w:after="0"/>
              <w:rPr>
                <w:sz w:val="8"/>
                <w:szCs w:val="8"/>
                <w:color w:val="auto"/>
              </w:rPr>
            </w:pPr>
          </w:p>
        </w:tc>
        <w:tc>
          <w:tcPr>
            <w:tcW w:w="820" w:type="dxa"/>
            <w:vAlign w:val="bottom"/>
            <w:shd w:val="clear" w:color="auto" w:fill="CCEEFF"/>
          </w:tcPr>
          <w:p>
            <w:pPr>
              <w:jc w:val="right"/>
              <w:ind w:right="258"/>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1"/>
        </w:trPr>
        <w:tc>
          <w:tcPr>
            <w:tcW w:w="1160" w:type="dxa"/>
            <w:vAlign w:val="bottom"/>
          </w:tcPr>
          <w:p>
            <w:pPr>
              <w:spacing w:after="0" w:line="81" w:lineRule="exact"/>
              <w:rPr>
                <w:sz w:val="20"/>
                <w:szCs w:val="20"/>
                <w:color w:val="auto"/>
              </w:rPr>
            </w:pPr>
            <w:r>
              <w:rPr>
                <w:rFonts w:ascii="Arial" w:cs="Arial" w:eastAsia="Arial" w:hAnsi="Arial"/>
                <w:sz w:val="8"/>
                <w:szCs w:val="8"/>
                <w:b w:val="1"/>
                <w:bCs w:val="1"/>
                <w:color w:val="auto"/>
              </w:rPr>
              <w:t>2013</w:t>
            </w:r>
          </w:p>
        </w:tc>
        <w:tc>
          <w:tcPr>
            <w:tcW w:w="7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160" w:type="dxa"/>
            <w:vAlign w:val="bottom"/>
          </w:tcPr>
          <w:p>
            <w:pPr>
              <w:spacing w:after="0" w:line="90" w:lineRule="exact"/>
              <w:rPr>
                <w:sz w:val="20"/>
                <w:szCs w:val="20"/>
                <w:color w:val="auto"/>
              </w:rPr>
            </w:pPr>
            <w:r>
              <w:rPr>
                <w:rFonts w:ascii="Arial" w:cs="Arial" w:eastAsia="Arial" w:hAnsi="Arial"/>
                <w:sz w:val="8"/>
                <w:szCs w:val="8"/>
                <w:color w:val="auto"/>
              </w:rPr>
              <w:t>01/18/2013</w:t>
            </w:r>
          </w:p>
        </w:tc>
        <w:tc>
          <w:tcPr>
            <w:tcW w:w="1960" w:type="dxa"/>
            <w:vAlign w:val="bottom"/>
            <w:gridSpan w:val="2"/>
          </w:tcPr>
          <w:p>
            <w:pPr>
              <w:ind w:left="720"/>
              <w:spacing w:after="0" w:line="90" w:lineRule="exact"/>
              <w:rPr>
                <w:sz w:val="20"/>
                <w:szCs w:val="20"/>
                <w:color w:val="auto"/>
              </w:rPr>
            </w:pPr>
            <w:r>
              <w:rPr>
                <w:rFonts w:ascii="Arial" w:cs="Arial" w:eastAsia="Arial" w:hAnsi="Arial"/>
                <w:sz w:val="8"/>
                <w:szCs w:val="8"/>
                <w:color w:val="auto"/>
              </w:rPr>
              <w:t>Performance RSU</w:t>
            </w:r>
          </w:p>
        </w:tc>
        <w:tc>
          <w:tcPr>
            <w:tcW w:w="600" w:type="dxa"/>
            <w:vAlign w:val="bottom"/>
          </w:tcPr>
          <w:p>
            <w:pPr>
              <w:spacing w:after="0"/>
              <w:rPr>
                <w:sz w:val="7"/>
                <w:szCs w:val="7"/>
                <w:color w:val="auto"/>
              </w:rPr>
            </w:pPr>
          </w:p>
        </w:tc>
        <w:tc>
          <w:tcPr>
            <w:tcW w:w="640" w:type="dxa"/>
            <w:vAlign w:val="bottom"/>
          </w:tcPr>
          <w:p>
            <w:pPr>
              <w:jc w:val="right"/>
              <w:ind w:right="138"/>
              <w:spacing w:after="0" w:line="90" w:lineRule="exact"/>
              <w:rPr>
                <w:sz w:val="20"/>
                <w:szCs w:val="20"/>
                <w:color w:val="auto"/>
              </w:rPr>
            </w:pPr>
            <w:r>
              <w:rPr>
                <w:rFonts w:ascii="Arial" w:cs="Arial" w:eastAsia="Arial" w:hAnsi="Arial"/>
                <w:sz w:val="8"/>
                <w:szCs w:val="8"/>
                <w:color w:val="auto"/>
              </w:rPr>
              <w:t>—</w:t>
            </w:r>
          </w:p>
        </w:tc>
        <w:tc>
          <w:tcPr>
            <w:tcW w:w="620" w:type="dxa"/>
            <w:vAlign w:val="bottom"/>
          </w:tcPr>
          <w:p>
            <w:pPr>
              <w:spacing w:after="0"/>
              <w:rPr>
                <w:sz w:val="7"/>
                <w:szCs w:val="7"/>
                <w:color w:val="auto"/>
              </w:rPr>
            </w:pPr>
          </w:p>
        </w:tc>
        <w:tc>
          <w:tcPr>
            <w:tcW w:w="860" w:type="dxa"/>
            <w:vAlign w:val="bottom"/>
          </w:tcPr>
          <w:p>
            <w:pPr>
              <w:jc w:val="right"/>
              <w:ind w:right="258"/>
              <w:spacing w:after="0" w:line="90" w:lineRule="exact"/>
              <w:rPr>
                <w:sz w:val="20"/>
                <w:szCs w:val="20"/>
                <w:color w:val="auto"/>
              </w:rPr>
            </w:pPr>
            <w:r>
              <w:rPr>
                <w:rFonts w:ascii="Arial" w:cs="Arial" w:eastAsia="Arial" w:hAnsi="Arial"/>
                <w:sz w:val="8"/>
                <w:szCs w:val="8"/>
                <w:color w:val="auto"/>
              </w:rPr>
              <w:t>—</w:t>
            </w:r>
          </w:p>
        </w:tc>
        <w:tc>
          <w:tcPr>
            <w:tcW w:w="620" w:type="dxa"/>
            <w:vAlign w:val="bottom"/>
          </w:tcPr>
          <w:p>
            <w:pPr>
              <w:spacing w:after="0"/>
              <w:rPr>
                <w:sz w:val="7"/>
                <w:szCs w:val="7"/>
                <w:color w:val="auto"/>
              </w:rPr>
            </w:pPr>
          </w:p>
        </w:tc>
        <w:tc>
          <w:tcPr>
            <w:tcW w:w="1480" w:type="dxa"/>
            <w:vAlign w:val="bottom"/>
            <w:gridSpan w:val="2"/>
          </w:tcPr>
          <w:p>
            <w:pPr>
              <w:jc w:val="right"/>
              <w:ind w:right="920"/>
              <w:spacing w:after="0" w:line="90" w:lineRule="exact"/>
              <w:rPr>
                <w:sz w:val="20"/>
                <w:szCs w:val="20"/>
                <w:color w:val="auto"/>
              </w:rPr>
            </w:pPr>
            <w:r>
              <w:rPr>
                <w:rFonts w:ascii="Arial" w:cs="Arial" w:eastAsia="Arial" w:hAnsi="Arial"/>
                <w:sz w:val="8"/>
                <w:szCs w:val="8"/>
                <w:color w:val="auto"/>
              </w:rPr>
              <w:t>—</w:t>
            </w:r>
          </w:p>
        </w:tc>
        <w:tc>
          <w:tcPr>
            <w:tcW w:w="620" w:type="dxa"/>
            <w:vAlign w:val="bottom"/>
          </w:tcPr>
          <w:p>
            <w:pPr>
              <w:jc w:val="right"/>
              <w:ind w:right="158"/>
              <w:spacing w:after="0" w:line="90" w:lineRule="exact"/>
              <w:rPr>
                <w:sz w:val="20"/>
                <w:szCs w:val="20"/>
                <w:color w:val="auto"/>
              </w:rPr>
            </w:pPr>
            <w:r>
              <w:rPr>
                <w:rFonts w:ascii="Arial" w:cs="Arial" w:eastAsia="Arial" w:hAnsi="Arial"/>
                <w:sz w:val="8"/>
                <w:szCs w:val="8"/>
                <w:color w:val="auto"/>
              </w:rPr>
              <w:t>—</w:t>
            </w:r>
          </w:p>
        </w:tc>
        <w:tc>
          <w:tcPr>
            <w:tcW w:w="1440" w:type="dxa"/>
            <w:vAlign w:val="bottom"/>
            <w:gridSpan w:val="2"/>
          </w:tcPr>
          <w:p>
            <w:pPr>
              <w:jc w:val="right"/>
              <w:ind w:right="258"/>
              <w:spacing w:after="0" w:line="90" w:lineRule="exact"/>
              <w:rPr>
                <w:sz w:val="20"/>
                <w:szCs w:val="20"/>
                <w:color w:val="auto"/>
              </w:rPr>
            </w:pPr>
            <w:r>
              <w:rPr>
                <w:rFonts w:ascii="Arial" w:cs="Arial" w:eastAsia="Arial" w:hAnsi="Arial"/>
                <w:sz w:val="8"/>
                <w:szCs w:val="8"/>
                <w:color w:val="auto"/>
              </w:rPr>
              <w:t>14,724</w:t>
            </w:r>
          </w:p>
        </w:tc>
        <w:tc>
          <w:tcPr>
            <w:tcW w:w="0" w:type="dxa"/>
            <w:vAlign w:val="bottom"/>
          </w:tcPr>
          <w:p>
            <w:pPr>
              <w:spacing w:after="0"/>
              <w:rPr>
                <w:sz w:val="1"/>
                <w:szCs w:val="1"/>
                <w:color w:val="auto"/>
              </w:rPr>
            </w:pPr>
          </w:p>
        </w:tc>
      </w:tr>
      <w:tr>
        <w:trPr>
          <w:trHeight w:val="90"/>
        </w:trPr>
        <w:tc>
          <w:tcPr>
            <w:tcW w:w="1160" w:type="dxa"/>
            <w:vAlign w:val="bottom"/>
          </w:tcPr>
          <w:p>
            <w:pPr>
              <w:spacing w:after="0" w:line="90" w:lineRule="exact"/>
              <w:rPr>
                <w:sz w:val="20"/>
                <w:szCs w:val="20"/>
                <w:color w:val="auto"/>
              </w:rPr>
            </w:pPr>
            <w:r>
              <w:rPr>
                <w:rFonts w:ascii="Arial" w:cs="Arial" w:eastAsia="Arial" w:hAnsi="Arial"/>
                <w:sz w:val="8"/>
                <w:szCs w:val="8"/>
                <w:color w:val="auto"/>
              </w:rPr>
              <w:t>03/20/2013</w:t>
            </w:r>
          </w:p>
        </w:tc>
        <w:tc>
          <w:tcPr>
            <w:tcW w:w="1960" w:type="dxa"/>
            <w:vAlign w:val="bottom"/>
            <w:gridSpan w:val="2"/>
          </w:tcPr>
          <w:p>
            <w:pPr>
              <w:ind w:left="720"/>
              <w:spacing w:after="0" w:line="90" w:lineRule="exact"/>
              <w:rPr>
                <w:sz w:val="20"/>
                <w:szCs w:val="20"/>
                <w:color w:val="auto"/>
              </w:rPr>
            </w:pPr>
            <w:r>
              <w:rPr>
                <w:rFonts w:ascii="Arial" w:cs="Arial" w:eastAsia="Arial" w:hAnsi="Arial"/>
                <w:sz w:val="8"/>
                <w:szCs w:val="8"/>
                <w:color w:val="auto"/>
              </w:rPr>
              <w:t>Performance RSU</w:t>
            </w:r>
          </w:p>
        </w:tc>
        <w:tc>
          <w:tcPr>
            <w:tcW w:w="600" w:type="dxa"/>
            <w:vAlign w:val="bottom"/>
          </w:tcPr>
          <w:p>
            <w:pPr>
              <w:spacing w:after="0"/>
              <w:rPr>
                <w:sz w:val="7"/>
                <w:szCs w:val="7"/>
                <w:color w:val="auto"/>
              </w:rPr>
            </w:pPr>
          </w:p>
        </w:tc>
        <w:tc>
          <w:tcPr>
            <w:tcW w:w="640" w:type="dxa"/>
            <w:vAlign w:val="bottom"/>
          </w:tcPr>
          <w:p>
            <w:pPr>
              <w:jc w:val="right"/>
              <w:ind w:right="138"/>
              <w:spacing w:after="0" w:line="90" w:lineRule="exact"/>
              <w:rPr>
                <w:sz w:val="20"/>
                <w:szCs w:val="20"/>
                <w:color w:val="auto"/>
              </w:rPr>
            </w:pPr>
            <w:r>
              <w:rPr>
                <w:rFonts w:ascii="Arial" w:cs="Arial" w:eastAsia="Arial" w:hAnsi="Arial"/>
                <w:sz w:val="8"/>
                <w:szCs w:val="8"/>
                <w:color w:val="auto"/>
              </w:rPr>
              <w:t>—</w:t>
            </w:r>
          </w:p>
        </w:tc>
        <w:tc>
          <w:tcPr>
            <w:tcW w:w="620" w:type="dxa"/>
            <w:vAlign w:val="bottom"/>
          </w:tcPr>
          <w:p>
            <w:pPr>
              <w:spacing w:after="0"/>
              <w:rPr>
                <w:sz w:val="7"/>
                <w:szCs w:val="7"/>
                <w:color w:val="auto"/>
              </w:rPr>
            </w:pPr>
          </w:p>
        </w:tc>
        <w:tc>
          <w:tcPr>
            <w:tcW w:w="860" w:type="dxa"/>
            <w:vAlign w:val="bottom"/>
          </w:tcPr>
          <w:p>
            <w:pPr>
              <w:jc w:val="right"/>
              <w:ind w:right="258"/>
              <w:spacing w:after="0" w:line="90" w:lineRule="exact"/>
              <w:rPr>
                <w:sz w:val="20"/>
                <w:szCs w:val="20"/>
                <w:color w:val="auto"/>
              </w:rPr>
            </w:pPr>
            <w:r>
              <w:rPr>
                <w:rFonts w:ascii="Arial" w:cs="Arial" w:eastAsia="Arial" w:hAnsi="Arial"/>
                <w:sz w:val="8"/>
                <w:szCs w:val="8"/>
                <w:color w:val="auto"/>
              </w:rPr>
              <w:t>—</w:t>
            </w:r>
          </w:p>
        </w:tc>
        <w:tc>
          <w:tcPr>
            <w:tcW w:w="620" w:type="dxa"/>
            <w:vAlign w:val="bottom"/>
          </w:tcPr>
          <w:p>
            <w:pPr>
              <w:spacing w:after="0"/>
              <w:rPr>
                <w:sz w:val="7"/>
                <w:szCs w:val="7"/>
                <w:color w:val="auto"/>
              </w:rPr>
            </w:pPr>
          </w:p>
        </w:tc>
        <w:tc>
          <w:tcPr>
            <w:tcW w:w="1480" w:type="dxa"/>
            <w:vAlign w:val="bottom"/>
            <w:gridSpan w:val="2"/>
          </w:tcPr>
          <w:p>
            <w:pPr>
              <w:jc w:val="right"/>
              <w:ind w:right="920"/>
              <w:spacing w:after="0" w:line="90" w:lineRule="exact"/>
              <w:rPr>
                <w:sz w:val="20"/>
                <w:szCs w:val="20"/>
                <w:color w:val="auto"/>
              </w:rPr>
            </w:pPr>
            <w:r>
              <w:rPr>
                <w:rFonts w:ascii="Arial" w:cs="Arial" w:eastAsia="Arial" w:hAnsi="Arial"/>
                <w:sz w:val="8"/>
                <w:szCs w:val="8"/>
                <w:color w:val="auto"/>
              </w:rPr>
              <w:t>—</w:t>
            </w:r>
          </w:p>
        </w:tc>
        <w:tc>
          <w:tcPr>
            <w:tcW w:w="620" w:type="dxa"/>
            <w:vAlign w:val="bottom"/>
          </w:tcPr>
          <w:p>
            <w:pPr>
              <w:jc w:val="right"/>
              <w:ind w:right="158"/>
              <w:spacing w:after="0" w:line="90" w:lineRule="exact"/>
              <w:rPr>
                <w:sz w:val="20"/>
                <w:szCs w:val="20"/>
                <w:color w:val="auto"/>
              </w:rPr>
            </w:pPr>
            <w:r>
              <w:rPr>
                <w:rFonts w:ascii="Arial" w:cs="Arial" w:eastAsia="Arial" w:hAnsi="Arial"/>
                <w:sz w:val="8"/>
                <w:szCs w:val="8"/>
                <w:color w:val="auto"/>
              </w:rPr>
              <w:t>—</w:t>
            </w:r>
          </w:p>
        </w:tc>
        <w:tc>
          <w:tcPr>
            <w:tcW w:w="1440" w:type="dxa"/>
            <w:vAlign w:val="bottom"/>
            <w:gridSpan w:val="2"/>
          </w:tcPr>
          <w:p>
            <w:pPr>
              <w:jc w:val="right"/>
              <w:ind w:right="258"/>
              <w:spacing w:after="0" w:line="90" w:lineRule="exact"/>
              <w:rPr>
                <w:sz w:val="20"/>
                <w:szCs w:val="20"/>
                <w:color w:val="auto"/>
              </w:rPr>
            </w:pPr>
            <w:r>
              <w:rPr>
                <w:rFonts w:ascii="Arial" w:cs="Arial" w:eastAsia="Arial" w:hAnsi="Arial"/>
                <w:sz w:val="8"/>
                <w:szCs w:val="8"/>
                <w:color w:val="auto"/>
              </w:rPr>
              <w:t>3,540</w:t>
            </w:r>
          </w:p>
        </w:tc>
        <w:tc>
          <w:tcPr>
            <w:tcW w:w="0" w:type="dxa"/>
            <w:vAlign w:val="bottom"/>
          </w:tcPr>
          <w:p>
            <w:pPr>
              <w:spacing w:after="0"/>
              <w:rPr>
                <w:sz w:val="1"/>
                <w:szCs w:val="1"/>
                <w:color w:val="auto"/>
              </w:rPr>
            </w:pPr>
          </w:p>
        </w:tc>
      </w:tr>
      <w:tr>
        <w:trPr>
          <w:trHeight w:val="90"/>
        </w:trPr>
        <w:tc>
          <w:tcPr>
            <w:tcW w:w="1160" w:type="dxa"/>
            <w:vAlign w:val="bottom"/>
          </w:tcPr>
          <w:p>
            <w:pPr>
              <w:spacing w:after="0" w:line="90" w:lineRule="exact"/>
              <w:rPr>
                <w:sz w:val="20"/>
                <w:szCs w:val="20"/>
                <w:color w:val="auto"/>
              </w:rPr>
            </w:pPr>
            <w:r>
              <w:rPr>
                <w:rFonts w:ascii="Arial" w:cs="Arial" w:eastAsia="Arial" w:hAnsi="Arial"/>
                <w:sz w:val="8"/>
                <w:szCs w:val="8"/>
                <w:color w:val="auto"/>
              </w:rPr>
              <w:t>03/27/2013</w:t>
            </w:r>
          </w:p>
        </w:tc>
        <w:tc>
          <w:tcPr>
            <w:tcW w:w="1960" w:type="dxa"/>
            <w:vAlign w:val="bottom"/>
            <w:gridSpan w:val="2"/>
          </w:tcPr>
          <w:p>
            <w:pPr>
              <w:ind w:left="720"/>
              <w:spacing w:after="0" w:line="90" w:lineRule="exact"/>
              <w:rPr>
                <w:sz w:val="20"/>
                <w:szCs w:val="20"/>
                <w:color w:val="auto"/>
              </w:rPr>
            </w:pPr>
            <w:r>
              <w:rPr>
                <w:rFonts w:ascii="Arial" w:cs="Arial" w:eastAsia="Arial" w:hAnsi="Arial"/>
                <w:sz w:val="8"/>
                <w:szCs w:val="8"/>
                <w:color w:val="auto"/>
              </w:rPr>
              <w:t>Performance RSU</w:t>
            </w:r>
          </w:p>
        </w:tc>
        <w:tc>
          <w:tcPr>
            <w:tcW w:w="1240" w:type="dxa"/>
            <w:vAlign w:val="bottom"/>
            <w:gridSpan w:val="2"/>
          </w:tcPr>
          <w:p>
            <w:pPr>
              <w:jc w:val="right"/>
              <w:ind w:right="138"/>
              <w:spacing w:after="0" w:line="90" w:lineRule="exact"/>
              <w:rPr>
                <w:sz w:val="20"/>
                <w:szCs w:val="20"/>
                <w:color w:val="auto"/>
              </w:rPr>
            </w:pPr>
            <w:r>
              <w:rPr>
                <w:rFonts w:ascii="Arial" w:cs="Arial" w:eastAsia="Arial" w:hAnsi="Arial"/>
                <w:sz w:val="8"/>
                <w:szCs w:val="8"/>
                <w:color w:val="auto"/>
              </w:rPr>
              <w:t>58,500</w:t>
            </w:r>
          </w:p>
        </w:tc>
        <w:tc>
          <w:tcPr>
            <w:tcW w:w="1480" w:type="dxa"/>
            <w:vAlign w:val="bottom"/>
            <w:gridSpan w:val="2"/>
          </w:tcPr>
          <w:p>
            <w:pPr>
              <w:jc w:val="right"/>
              <w:ind w:right="258"/>
              <w:spacing w:after="0" w:line="90" w:lineRule="exact"/>
              <w:rPr>
                <w:sz w:val="20"/>
                <w:szCs w:val="20"/>
                <w:color w:val="auto"/>
              </w:rPr>
            </w:pPr>
            <w:r>
              <w:rPr>
                <w:rFonts w:ascii="Arial" w:cs="Arial" w:eastAsia="Arial" w:hAnsi="Arial"/>
                <w:sz w:val="8"/>
                <w:szCs w:val="8"/>
                <w:color w:val="auto"/>
              </w:rPr>
              <w:t>36,000</w:t>
            </w:r>
          </w:p>
        </w:tc>
        <w:tc>
          <w:tcPr>
            <w:tcW w:w="1480" w:type="dxa"/>
            <w:vAlign w:val="bottom"/>
            <w:gridSpan w:val="2"/>
          </w:tcPr>
          <w:p>
            <w:pPr>
              <w:jc w:val="right"/>
              <w:ind w:right="258"/>
              <w:spacing w:after="0" w:line="90" w:lineRule="exact"/>
              <w:rPr>
                <w:sz w:val="20"/>
                <w:szCs w:val="20"/>
                <w:color w:val="auto"/>
              </w:rPr>
            </w:pPr>
            <w:r>
              <w:rPr>
                <w:rFonts w:ascii="Arial" w:cs="Arial" w:eastAsia="Arial" w:hAnsi="Arial"/>
                <w:sz w:val="8"/>
                <w:szCs w:val="8"/>
                <w:color w:val="auto"/>
              </w:rPr>
              <w:t>47,250</w:t>
            </w:r>
          </w:p>
        </w:tc>
        <w:tc>
          <w:tcPr>
            <w:tcW w:w="620" w:type="dxa"/>
            <w:vAlign w:val="bottom"/>
          </w:tcPr>
          <w:p>
            <w:pPr>
              <w:spacing w:after="0"/>
              <w:rPr>
                <w:sz w:val="7"/>
                <w:szCs w:val="7"/>
                <w:color w:val="auto"/>
              </w:rPr>
            </w:pPr>
          </w:p>
        </w:tc>
        <w:tc>
          <w:tcPr>
            <w:tcW w:w="620" w:type="dxa"/>
            <w:vAlign w:val="bottom"/>
          </w:tcPr>
          <w:p>
            <w:pPr>
              <w:jc w:val="right"/>
              <w:ind w:right="158"/>
              <w:spacing w:after="0" w:line="90" w:lineRule="exact"/>
              <w:rPr>
                <w:sz w:val="20"/>
                <w:szCs w:val="20"/>
                <w:color w:val="auto"/>
              </w:rPr>
            </w:pPr>
            <w:r>
              <w:rPr>
                <w:rFonts w:ascii="Arial" w:cs="Arial" w:eastAsia="Arial" w:hAnsi="Arial"/>
                <w:sz w:val="8"/>
                <w:szCs w:val="8"/>
                <w:color w:val="auto"/>
              </w:rPr>
              <w:t>27,750</w:t>
            </w:r>
          </w:p>
        </w:tc>
        <w:tc>
          <w:tcPr>
            <w:tcW w:w="1440" w:type="dxa"/>
            <w:vAlign w:val="bottom"/>
            <w:gridSpan w:val="2"/>
          </w:tcPr>
          <w:p>
            <w:pPr>
              <w:jc w:val="right"/>
              <w:ind w:right="258"/>
              <w:spacing w:after="0" w:line="90" w:lineRule="exact"/>
              <w:rPr>
                <w:sz w:val="20"/>
                <w:szCs w:val="20"/>
                <w:color w:val="auto"/>
              </w:rPr>
            </w:pPr>
            <w:r>
              <w:rPr>
                <w:rFonts w:ascii="Arial" w:cs="Arial" w:eastAsia="Arial" w:hAnsi="Arial"/>
                <w:sz w:val="8"/>
                <w:szCs w:val="8"/>
                <w:color w:val="auto"/>
              </w:rPr>
              <w:t>7,110</w:t>
            </w:r>
          </w:p>
        </w:tc>
        <w:tc>
          <w:tcPr>
            <w:tcW w:w="0" w:type="dxa"/>
            <w:vAlign w:val="bottom"/>
          </w:tcPr>
          <w:p>
            <w:pPr>
              <w:spacing w:after="0"/>
              <w:rPr>
                <w:sz w:val="1"/>
                <w:szCs w:val="1"/>
                <w:color w:val="auto"/>
              </w:rPr>
            </w:pPr>
          </w:p>
        </w:tc>
      </w:tr>
      <w:tr>
        <w:trPr>
          <w:trHeight w:val="90"/>
        </w:trPr>
        <w:tc>
          <w:tcPr>
            <w:tcW w:w="1160" w:type="dxa"/>
            <w:vAlign w:val="bottom"/>
          </w:tcPr>
          <w:p>
            <w:pPr>
              <w:spacing w:after="0" w:line="90" w:lineRule="exact"/>
              <w:rPr>
                <w:sz w:val="20"/>
                <w:szCs w:val="20"/>
                <w:color w:val="auto"/>
              </w:rPr>
            </w:pPr>
            <w:r>
              <w:rPr>
                <w:rFonts w:ascii="Arial" w:cs="Arial" w:eastAsia="Arial" w:hAnsi="Arial"/>
                <w:sz w:val="8"/>
                <w:szCs w:val="8"/>
                <w:color w:val="auto"/>
              </w:rPr>
              <w:t>03/28/2013</w:t>
            </w:r>
          </w:p>
        </w:tc>
        <w:tc>
          <w:tcPr>
            <w:tcW w:w="1960" w:type="dxa"/>
            <w:vAlign w:val="bottom"/>
            <w:gridSpan w:val="2"/>
          </w:tcPr>
          <w:p>
            <w:pPr>
              <w:ind w:left="720"/>
              <w:spacing w:after="0" w:line="90" w:lineRule="exact"/>
              <w:rPr>
                <w:sz w:val="20"/>
                <w:szCs w:val="20"/>
                <w:color w:val="auto"/>
              </w:rPr>
            </w:pPr>
            <w:r>
              <w:rPr>
                <w:rFonts w:ascii="Arial" w:cs="Arial" w:eastAsia="Arial" w:hAnsi="Arial"/>
                <w:sz w:val="8"/>
                <w:szCs w:val="8"/>
                <w:color w:val="auto"/>
              </w:rPr>
              <w:t>Performance RSU</w:t>
            </w:r>
          </w:p>
        </w:tc>
        <w:tc>
          <w:tcPr>
            <w:tcW w:w="1240" w:type="dxa"/>
            <w:vAlign w:val="bottom"/>
            <w:gridSpan w:val="2"/>
          </w:tcPr>
          <w:p>
            <w:pPr>
              <w:jc w:val="right"/>
              <w:ind w:right="138"/>
              <w:spacing w:after="0" w:line="90" w:lineRule="exact"/>
              <w:rPr>
                <w:sz w:val="20"/>
                <w:szCs w:val="20"/>
                <w:color w:val="auto"/>
              </w:rPr>
            </w:pPr>
            <w:r>
              <w:rPr>
                <w:rFonts w:ascii="Arial" w:cs="Arial" w:eastAsia="Arial" w:hAnsi="Arial"/>
                <w:sz w:val="8"/>
                <w:szCs w:val="8"/>
                <w:color w:val="auto"/>
              </w:rPr>
              <w:t>110,400</w:t>
            </w:r>
          </w:p>
        </w:tc>
        <w:tc>
          <w:tcPr>
            <w:tcW w:w="1480" w:type="dxa"/>
            <w:vAlign w:val="bottom"/>
            <w:gridSpan w:val="2"/>
          </w:tcPr>
          <w:p>
            <w:pPr>
              <w:jc w:val="right"/>
              <w:ind w:right="258"/>
              <w:spacing w:after="0" w:line="90" w:lineRule="exact"/>
              <w:rPr>
                <w:sz w:val="20"/>
                <w:szCs w:val="20"/>
                <w:color w:val="auto"/>
              </w:rPr>
            </w:pPr>
            <w:r>
              <w:rPr>
                <w:rFonts w:ascii="Arial" w:cs="Arial" w:eastAsia="Arial" w:hAnsi="Arial"/>
                <w:sz w:val="8"/>
                <w:szCs w:val="8"/>
                <w:color w:val="auto"/>
              </w:rPr>
              <w:t>66,240</w:t>
            </w:r>
          </w:p>
        </w:tc>
        <w:tc>
          <w:tcPr>
            <w:tcW w:w="1480" w:type="dxa"/>
            <w:vAlign w:val="bottom"/>
            <w:gridSpan w:val="2"/>
          </w:tcPr>
          <w:p>
            <w:pPr>
              <w:jc w:val="right"/>
              <w:ind w:right="258"/>
              <w:spacing w:after="0" w:line="90" w:lineRule="exact"/>
              <w:rPr>
                <w:sz w:val="20"/>
                <w:szCs w:val="20"/>
                <w:color w:val="auto"/>
              </w:rPr>
            </w:pPr>
            <w:r>
              <w:rPr>
                <w:rFonts w:ascii="Arial" w:cs="Arial" w:eastAsia="Arial" w:hAnsi="Arial"/>
                <w:sz w:val="8"/>
                <w:szCs w:val="8"/>
                <w:color w:val="auto"/>
              </w:rPr>
              <w:t>88,320</w:t>
            </w:r>
          </w:p>
        </w:tc>
        <w:tc>
          <w:tcPr>
            <w:tcW w:w="620" w:type="dxa"/>
            <w:vAlign w:val="bottom"/>
          </w:tcPr>
          <w:p>
            <w:pPr>
              <w:spacing w:after="0"/>
              <w:rPr>
                <w:sz w:val="7"/>
                <w:szCs w:val="7"/>
                <w:color w:val="auto"/>
              </w:rPr>
            </w:pPr>
          </w:p>
        </w:tc>
        <w:tc>
          <w:tcPr>
            <w:tcW w:w="620" w:type="dxa"/>
            <w:vAlign w:val="bottom"/>
          </w:tcPr>
          <w:p>
            <w:pPr>
              <w:jc w:val="right"/>
              <w:ind w:right="158"/>
              <w:spacing w:after="0" w:line="90" w:lineRule="exact"/>
              <w:rPr>
                <w:sz w:val="20"/>
                <w:szCs w:val="20"/>
                <w:color w:val="auto"/>
              </w:rPr>
            </w:pPr>
            <w:r>
              <w:rPr>
                <w:rFonts w:ascii="Arial" w:cs="Arial" w:eastAsia="Arial" w:hAnsi="Arial"/>
                <w:sz w:val="8"/>
                <w:szCs w:val="8"/>
                <w:color w:val="auto"/>
              </w:rPr>
              <w:t>51,440</w:t>
            </w:r>
          </w:p>
        </w:tc>
        <w:tc>
          <w:tcPr>
            <w:tcW w:w="620" w:type="dxa"/>
            <w:vAlign w:val="bottom"/>
          </w:tcPr>
          <w:p>
            <w:pPr>
              <w:spacing w:after="0"/>
              <w:rPr>
                <w:sz w:val="7"/>
                <w:szCs w:val="7"/>
                <w:color w:val="auto"/>
              </w:rPr>
            </w:pPr>
          </w:p>
        </w:tc>
        <w:tc>
          <w:tcPr>
            <w:tcW w:w="820" w:type="dxa"/>
            <w:vAlign w:val="bottom"/>
          </w:tcPr>
          <w:p>
            <w:pPr>
              <w:jc w:val="right"/>
              <w:ind w:right="258"/>
              <w:spacing w:after="0" w:line="90"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99"/>
        </w:trPr>
        <w:tc>
          <w:tcPr>
            <w:tcW w:w="1160" w:type="dxa"/>
            <w:vAlign w:val="bottom"/>
          </w:tcPr>
          <w:p>
            <w:pPr>
              <w:spacing w:after="0"/>
              <w:rPr>
                <w:sz w:val="20"/>
                <w:szCs w:val="20"/>
                <w:color w:val="auto"/>
              </w:rPr>
            </w:pPr>
            <w:r>
              <w:rPr>
                <w:rFonts w:ascii="Arial" w:cs="Arial" w:eastAsia="Arial" w:hAnsi="Arial"/>
                <w:sz w:val="8"/>
                <w:szCs w:val="8"/>
                <w:color w:val="auto"/>
              </w:rPr>
              <w:t>03/28/2013</w:t>
            </w:r>
          </w:p>
        </w:tc>
        <w:tc>
          <w:tcPr>
            <w:tcW w:w="1960" w:type="dxa"/>
            <w:vAlign w:val="bottom"/>
            <w:gridSpan w:val="2"/>
          </w:tcPr>
          <w:p>
            <w:pPr>
              <w:ind w:left="720"/>
              <w:spacing w:after="0"/>
              <w:rPr>
                <w:sz w:val="20"/>
                <w:szCs w:val="20"/>
                <w:color w:val="auto"/>
              </w:rPr>
            </w:pPr>
            <w:r>
              <w:rPr>
                <w:rFonts w:ascii="Arial" w:cs="Arial" w:eastAsia="Arial" w:hAnsi="Arial"/>
                <w:sz w:val="8"/>
                <w:szCs w:val="8"/>
                <w:color w:val="auto"/>
              </w:rPr>
              <w:t>RSU</w:t>
            </w:r>
          </w:p>
        </w:tc>
        <w:tc>
          <w:tcPr>
            <w:tcW w:w="600" w:type="dxa"/>
            <w:vAlign w:val="bottom"/>
          </w:tcPr>
          <w:p>
            <w:pPr>
              <w:spacing w:after="0"/>
              <w:rPr>
                <w:sz w:val="8"/>
                <w:szCs w:val="8"/>
                <w:color w:val="auto"/>
              </w:rPr>
            </w:pPr>
          </w:p>
        </w:tc>
        <w:tc>
          <w:tcPr>
            <w:tcW w:w="640" w:type="dxa"/>
            <w:vAlign w:val="bottom"/>
          </w:tcPr>
          <w:p>
            <w:pPr>
              <w:jc w:val="right"/>
              <w:ind w:right="138"/>
              <w:spacing w:after="0"/>
              <w:rPr>
                <w:sz w:val="20"/>
                <w:szCs w:val="20"/>
                <w:color w:val="auto"/>
              </w:rPr>
            </w:pPr>
            <w:r>
              <w:rPr>
                <w:rFonts w:ascii="Arial" w:cs="Arial" w:eastAsia="Arial" w:hAnsi="Arial"/>
                <w:sz w:val="8"/>
                <w:szCs w:val="8"/>
                <w:color w:val="auto"/>
              </w:rPr>
              <w:t>—</w:t>
            </w:r>
          </w:p>
        </w:tc>
        <w:tc>
          <w:tcPr>
            <w:tcW w:w="620" w:type="dxa"/>
            <w:vAlign w:val="bottom"/>
          </w:tcPr>
          <w:p>
            <w:pPr>
              <w:spacing w:after="0"/>
              <w:rPr>
                <w:sz w:val="8"/>
                <w:szCs w:val="8"/>
                <w:color w:val="auto"/>
              </w:rPr>
            </w:pPr>
          </w:p>
        </w:tc>
        <w:tc>
          <w:tcPr>
            <w:tcW w:w="860" w:type="dxa"/>
            <w:vAlign w:val="bottom"/>
          </w:tcPr>
          <w:p>
            <w:pPr>
              <w:jc w:val="right"/>
              <w:ind w:right="258"/>
              <w:spacing w:after="0"/>
              <w:rPr>
                <w:sz w:val="20"/>
                <w:szCs w:val="20"/>
                <w:color w:val="auto"/>
              </w:rPr>
            </w:pPr>
            <w:r>
              <w:rPr>
                <w:rFonts w:ascii="Arial" w:cs="Arial" w:eastAsia="Arial" w:hAnsi="Arial"/>
                <w:sz w:val="8"/>
                <w:szCs w:val="8"/>
                <w:color w:val="auto"/>
              </w:rPr>
              <w:t>—</w:t>
            </w:r>
          </w:p>
        </w:tc>
        <w:tc>
          <w:tcPr>
            <w:tcW w:w="620" w:type="dxa"/>
            <w:vAlign w:val="bottom"/>
          </w:tcPr>
          <w:p>
            <w:pPr>
              <w:spacing w:after="0"/>
              <w:rPr>
                <w:sz w:val="8"/>
                <w:szCs w:val="8"/>
                <w:color w:val="auto"/>
              </w:rPr>
            </w:pPr>
          </w:p>
        </w:tc>
        <w:tc>
          <w:tcPr>
            <w:tcW w:w="1480" w:type="dxa"/>
            <w:vAlign w:val="bottom"/>
            <w:gridSpan w:val="2"/>
          </w:tcPr>
          <w:p>
            <w:pPr>
              <w:jc w:val="right"/>
              <w:ind w:right="920"/>
              <w:spacing w:after="0"/>
              <w:rPr>
                <w:sz w:val="20"/>
                <w:szCs w:val="20"/>
                <w:color w:val="auto"/>
              </w:rPr>
            </w:pPr>
            <w:r>
              <w:rPr>
                <w:rFonts w:ascii="Arial" w:cs="Arial" w:eastAsia="Arial" w:hAnsi="Arial"/>
                <w:sz w:val="8"/>
                <w:szCs w:val="8"/>
                <w:color w:val="auto"/>
              </w:rPr>
              <w:t>—</w:t>
            </w:r>
          </w:p>
        </w:tc>
        <w:tc>
          <w:tcPr>
            <w:tcW w:w="620" w:type="dxa"/>
            <w:vAlign w:val="bottom"/>
          </w:tcPr>
          <w:p>
            <w:pPr>
              <w:jc w:val="right"/>
              <w:ind w:right="158"/>
              <w:spacing w:after="0"/>
              <w:rPr>
                <w:sz w:val="20"/>
                <w:szCs w:val="20"/>
                <w:color w:val="auto"/>
              </w:rPr>
            </w:pPr>
            <w:r>
              <w:rPr>
                <w:rFonts w:ascii="Arial" w:cs="Arial" w:eastAsia="Arial" w:hAnsi="Arial"/>
                <w:sz w:val="8"/>
                <w:szCs w:val="8"/>
                <w:color w:val="auto"/>
              </w:rPr>
              <w:t>—</w:t>
            </w:r>
          </w:p>
        </w:tc>
        <w:tc>
          <w:tcPr>
            <w:tcW w:w="1440" w:type="dxa"/>
            <w:vAlign w:val="bottom"/>
            <w:gridSpan w:val="2"/>
          </w:tcPr>
          <w:p>
            <w:pPr>
              <w:jc w:val="right"/>
              <w:ind w:right="258"/>
              <w:spacing w:after="0"/>
              <w:rPr>
                <w:sz w:val="20"/>
                <w:szCs w:val="20"/>
                <w:color w:val="auto"/>
              </w:rPr>
            </w:pPr>
            <w:r>
              <w:rPr>
                <w:rFonts w:ascii="Arial" w:cs="Arial" w:eastAsia="Arial" w:hAnsi="Arial"/>
                <w:sz w:val="8"/>
                <w:szCs w:val="8"/>
                <w:color w:val="auto"/>
              </w:rPr>
              <w:t>13,560</w:t>
            </w:r>
          </w:p>
        </w:tc>
        <w:tc>
          <w:tcPr>
            <w:tcW w:w="0" w:type="dxa"/>
            <w:vAlign w:val="bottom"/>
          </w:tcPr>
          <w:p>
            <w:pPr>
              <w:spacing w:after="0"/>
              <w:rPr>
                <w:sz w:val="1"/>
                <w:szCs w:val="1"/>
                <w:color w:val="auto"/>
              </w:rPr>
            </w:pPr>
          </w:p>
        </w:tc>
      </w:tr>
      <w:tr>
        <w:trPr>
          <w:trHeight w:val="81"/>
        </w:trPr>
        <w:tc>
          <w:tcPr>
            <w:tcW w:w="1160" w:type="dxa"/>
            <w:vAlign w:val="bottom"/>
            <w:shd w:val="clear" w:color="auto" w:fill="CCEEFF"/>
          </w:tcPr>
          <w:p>
            <w:pPr>
              <w:spacing w:after="0" w:line="81" w:lineRule="exact"/>
              <w:rPr>
                <w:sz w:val="20"/>
                <w:szCs w:val="20"/>
                <w:color w:val="auto"/>
              </w:rPr>
            </w:pPr>
            <w:r>
              <w:rPr>
                <w:rFonts w:ascii="Arial" w:cs="Arial" w:eastAsia="Arial" w:hAnsi="Arial"/>
                <w:sz w:val="8"/>
                <w:szCs w:val="8"/>
                <w:b w:val="1"/>
                <w:bCs w:val="1"/>
                <w:color w:val="auto"/>
              </w:rPr>
              <w:t>2014</w:t>
            </w:r>
          </w:p>
        </w:tc>
        <w:tc>
          <w:tcPr>
            <w:tcW w:w="72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16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01/18/2014</w:t>
            </w:r>
          </w:p>
        </w:tc>
        <w:tc>
          <w:tcPr>
            <w:tcW w:w="1960" w:type="dxa"/>
            <w:vAlign w:val="bottom"/>
            <w:gridSpan w:val="2"/>
            <w:shd w:val="clear" w:color="auto" w:fill="CCEEFF"/>
          </w:tcPr>
          <w:p>
            <w:pPr>
              <w:ind w:left="720"/>
              <w:spacing w:after="0" w:line="90" w:lineRule="exact"/>
              <w:rPr>
                <w:sz w:val="20"/>
                <w:szCs w:val="20"/>
                <w:color w:val="auto"/>
              </w:rPr>
            </w:pPr>
            <w:r>
              <w:rPr>
                <w:rFonts w:ascii="Arial" w:cs="Arial" w:eastAsia="Arial" w:hAnsi="Arial"/>
                <w:sz w:val="8"/>
                <w:szCs w:val="8"/>
                <w:color w:val="auto"/>
              </w:rPr>
              <w:t>Performance RSU</w:t>
            </w:r>
          </w:p>
        </w:tc>
        <w:tc>
          <w:tcPr>
            <w:tcW w:w="600" w:type="dxa"/>
            <w:vAlign w:val="bottom"/>
            <w:shd w:val="clear" w:color="auto" w:fill="CCEEFF"/>
          </w:tcPr>
          <w:p>
            <w:pPr>
              <w:spacing w:after="0"/>
              <w:rPr>
                <w:sz w:val="7"/>
                <w:szCs w:val="7"/>
                <w:color w:val="auto"/>
              </w:rPr>
            </w:pP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spacing w:after="0"/>
              <w:rPr>
                <w:sz w:val="7"/>
                <w:szCs w:val="7"/>
                <w:color w:val="auto"/>
              </w:rPr>
            </w:pPr>
          </w:p>
        </w:tc>
        <w:tc>
          <w:tcPr>
            <w:tcW w:w="860" w:type="dxa"/>
            <w:vAlign w:val="bottom"/>
            <w:shd w:val="clear" w:color="auto" w:fill="CCEEFF"/>
          </w:tcPr>
          <w:p>
            <w:pPr>
              <w:jc w:val="right"/>
              <w:ind w:right="258"/>
              <w:spacing w:after="0" w:line="90" w:lineRule="exact"/>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spacing w:after="0"/>
              <w:rPr>
                <w:sz w:val="7"/>
                <w:szCs w:val="7"/>
                <w:color w:val="auto"/>
              </w:rPr>
            </w:pPr>
          </w:p>
        </w:tc>
        <w:tc>
          <w:tcPr>
            <w:tcW w:w="1480" w:type="dxa"/>
            <w:vAlign w:val="bottom"/>
            <w:gridSpan w:val="2"/>
            <w:shd w:val="clear" w:color="auto" w:fill="CCEEFF"/>
          </w:tcPr>
          <w:p>
            <w:pPr>
              <w:jc w:val="right"/>
              <w:ind w:right="920"/>
              <w:spacing w:after="0" w:line="90" w:lineRule="exact"/>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jc w:val="right"/>
              <w:ind w:right="158"/>
              <w:spacing w:after="0" w:line="90" w:lineRule="exact"/>
              <w:rPr>
                <w:sz w:val="20"/>
                <w:szCs w:val="20"/>
                <w:color w:val="auto"/>
              </w:rPr>
            </w:pPr>
            <w:r>
              <w:rPr>
                <w:rFonts w:ascii="Arial" w:cs="Arial" w:eastAsia="Arial" w:hAnsi="Arial"/>
                <w:sz w:val="8"/>
                <w:szCs w:val="8"/>
                <w:color w:val="auto"/>
              </w:rPr>
              <w:t>—</w:t>
            </w:r>
          </w:p>
        </w:tc>
        <w:tc>
          <w:tcPr>
            <w:tcW w:w="1440" w:type="dxa"/>
            <w:vAlign w:val="bottom"/>
            <w:gridSpan w:val="2"/>
            <w:shd w:val="clear" w:color="auto" w:fill="CCEEFF"/>
          </w:tcPr>
          <w:p>
            <w:pPr>
              <w:jc w:val="right"/>
              <w:ind w:right="258"/>
              <w:spacing w:after="0" w:line="90" w:lineRule="exact"/>
              <w:rPr>
                <w:sz w:val="20"/>
                <w:szCs w:val="20"/>
                <w:color w:val="auto"/>
              </w:rPr>
            </w:pPr>
            <w:r>
              <w:rPr>
                <w:rFonts w:ascii="Arial" w:cs="Arial" w:eastAsia="Arial" w:hAnsi="Arial"/>
                <w:sz w:val="8"/>
                <w:szCs w:val="8"/>
                <w:color w:val="auto"/>
              </w:rPr>
              <w:t>14,724</w:t>
            </w:r>
          </w:p>
        </w:tc>
        <w:tc>
          <w:tcPr>
            <w:tcW w:w="0" w:type="dxa"/>
            <w:vAlign w:val="bottom"/>
          </w:tcPr>
          <w:p>
            <w:pPr>
              <w:spacing w:after="0"/>
              <w:rPr>
                <w:sz w:val="1"/>
                <w:szCs w:val="1"/>
                <w:color w:val="auto"/>
              </w:rPr>
            </w:pPr>
          </w:p>
        </w:tc>
      </w:tr>
      <w:tr>
        <w:trPr>
          <w:trHeight w:val="90"/>
        </w:trPr>
        <w:tc>
          <w:tcPr>
            <w:tcW w:w="116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03/20/2014</w:t>
            </w:r>
          </w:p>
        </w:tc>
        <w:tc>
          <w:tcPr>
            <w:tcW w:w="1960" w:type="dxa"/>
            <w:vAlign w:val="bottom"/>
            <w:gridSpan w:val="2"/>
            <w:shd w:val="clear" w:color="auto" w:fill="CCEEFF"/>
          </w:tcPr>
          <w:p>
            <w:pPr>
              <w:ind w:left="720"/>
              <w:spacing w:after="0" w:line="90" w:lineRule="exact"/>
              <w:rPr>
                <w:sz w:val="20"/>
                <w:szCs w:val="20"/>
                <w:color w:val="auto"/>
              </w:rPr>
            </w:pPr>
            <w:r>
              <w:rPr>
                <w:rFonts w:ascii="Arial" w:cs="Arial" w:eastAsia="Arial" w:hAnsi="Arial"/>
                <w:sz w:val="8"/>
                <w:szCs w:val="8"/>
                <w:color w:val="auto"/>
              </w:rPr>
              <w:t>Performance RSU</w:t>
            </w:r>
          </w:p>
        </w:tc>
        <w:tc>
          <w:tcPr>
            <w:tcW w:w="600" w:type="dxa"/>
            <w:vAlign w:val="bottom"/>
            <w:shd w:val="clear" w:color="auto" w:fill="CCEEFF"/>
          </w:tcPr>
          <w:p>
            <w:pPr>
              <w:spacing w:after="0"/>
              <w:rPr>
                <w:sz w:val="7"/>
                <w:szCs w:val="7"/>
                <w:color w:val="auto"/>
              </w:rPr>
            </w:pPr>
          </w:p>
        </w:tc>
        <w:tc>
          <w:tcPr>
            <w:tcW w:w="640" w:type="dxa"/>
            <w:vAlign w:val="bottom"/>
            <w:shd w:val="clear" w:color="auto" w:fill="CCEEFF"/>
          </w:tcPr>
          <w:p>
            <w:pPr>
              <w:jc w:val="right"/>
              <w:ind w:right="138"/>
              <w:spacing w:after="0" w:line="90" w:lineRule="exact"/>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spacing w:after="0"/>
              <w:rPr>
                <w:sz w:val="7"/>
                <w:szCs w:val="7"/>
                <w:color w:val="auto"/>
              </w:rPr>
            </w:pPr>
          </w:p>
        </w:tc>
        <w:tc>
          <w:tcPr>
            <w:tcW w:w="860" w:type="dxa"/>
            <w:vAlign w:val="bottom"/>
            <w:shd w:val="clear" w:color="auto" w:fill="CCEEFF"/>
          </w:tcPr>
          <w:p>
            <w:pPr>
              <w:jc w:val="right"/>
              <w:ind w:right="258"/>
              <w:spacing w:after="0" w:line="90" w:lineRule="exact"/>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spacing w:after="0"/>
              <w:rPr>
                <w:sz w:val="7"/>
                <w:szCs w:val="7"/>
                <w:color w:val="auto"/>
              </w:rPr>
            </w:pPr>
          </w:p>
        </w:tc>
        <w:tc>
          <w:tcPr>
            <w:tcW w:w="1480" w:type="dxa"/>
            <w:vAlign w:val="bottom"/>
            <w:gridSpan w:val="2"/>
            <w:shd w:val="clear" w:color="auto" w:fill="CCEEFF"/>
          </w:tcPr>
          <w:p>
            <w:pPr>
              <w:jc w:val="right"/>
              <w:ind w:right="920"/>
              <w:spacing w:after="0" w:line="90" w:lineRule="exact"/>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jc w:val="right"/>
              <w:ind w:right="158"/>
              <w:spacing w:after="0" w:line="90" w:lineRule="exact"/>
              <w:rPr>
                <w:sz w:val="20"/>
                <w:szCs w:val="20"/>
                <w:color w:val="auto"/>
              </w:rPr>
            </w:pPr>
            <w:r>
              <w:rPr>
                <w:rFonts w:ascii="Arial" w:cs="Arial" w:eastAsia="Arial" w:hAnsi="Arial"/>
                <w:sz w:val="8"/>
                <w:szCs w:val="8"/>
                <w:color w:val="auto"/>
              </w:rPr>
              <w:t>—</w:t>
            </w:r>
          </w:p>
        </w:tc>
        <w:tc>
          <w:tcPr>
            <w:tcW w:w="1440" w:type="dxa"/>
            <w:vAlign w:val="bottom"/>
            <w:gridSpan w:val="2"/>
            <w:shd w:val="clear" w:color="auto" w:fill="CCEEFF"/>
          </w:tcPr>
          <w:p>
            <w:pPr>
              <w:jc w:val="right"/>
              <w:ind w:right="258"/>
              <w:spacing w:after="0" w:line="90" w:lineRule="exact"/>
              <w:rPr>
                <w:sz w:val="20"/>
                <w:szCs w:val="20"/>
                <w:color w:val="auto"/>
              </w:rPr>
            </w:pPr>
            <w:r>
              <w:rPr>
                <w:rFonts w:ascii="Arial" w:cs="Arial" w:eastAsia="Arial" w:hAnsi="Arial"/>
                <w:sz w:val="8"/>
                <w:szCs w:val="8"/>
                <w:color w:val="auto"/>
              </w:rPr>
              <w:t>9,440</w:t>
            </w:r>
          </w:p>
        </w:tc>
        <w:tc>
          <w:tcPr>
            <w:tcW w:w="0" w:type="dxa"/>
            <w:vAlign w:val="bottom"/>
          </w:tcPr>
          <w:p>
            <w:pPr>
              <w:spacing w:after="0"/>
              <w:rPr>
                <w:sz w:val="1"/>
                <w:szCs w:val="1"/>
                <w:color w:val="auto"/>
              </w:rPr>
            </w:pPr>
          </w:p>
        </w:tc>
      </w:tr>
      <w:tr>
        <w:trPr>
          <w:trHeight w:val="99"/>
        </w:trPr>
        <w:tc>
          <w:tcPr>
            <w:tcW w:w="1160" w:type="dxa"/>
            <w:vAlign w:val="bottom"/>
            <w:shd w:val="clear" w:color="auto" w:fill="CCEEFF"/>
          </w:tcPr>
          <w:p>
            <w:pPr>
              <w:spacing w:after="0"/>
              <w:rPr>
                <w:sz w:val="20"/>
                <w:szCs w:val="20"/>
                <w:color w:val="auto"/>
              </w:rPr>
            </w:pPr>
            <w:r>
              <w:rPr>
                <w:rFonts w:ascii="Arial" w:cs="Arial" w:eastAsia="Arial" w:hAnsi="Arial"/>
                <w:sz w:val="8"/>
                <w:szCs w:val="8"/>
                <w:color w:val="auto"/>
              </w:rPr>
              <w:t>03/27/2014</w:t>
            </w:r>
          </w:p>
        </w:tc>
        <w:tc>
          <w:tcPr>
            <w:tcW w:w="1960" w:type="dxa"/>
            <w:vAlign w:val="bottom"/>
            <w:gridSpan w:val="2"/>
            <w:shd w:val="clear" w:color="auto" w:fill="CCEEFF"/>
          </w:tcPr>
          <w:p>
            <w:pPr>
              <w:ind w:left="720"/>
              <w:spacing w:after="0"/>
              <w:rPr>
                <w:sz w:val="20"/>
                <w:szCs w:val="20"/>
                <w:color w:val="auto"/>
              </w:rPr>
            </w:pPr>
            <w:r>
              <w:rPr>
                <w:rFonts w:ascii="Arial" w:cs="Arial" w:eastAsia="Arial" w:hAnsi="Arial"/>
                <w:sz w:val="8"/>
                <w:szCs w:val="8"/>
                <w:color w:val="auto"/>
              </w:rPr>
              <w:t>Performance RSU</w:t>
            </w:r>
          </w:p>
        </w:tc>
        <w:tc>
          <w:tcPr>
            <w:tcW w:w="1240" w:type="dxa"/>
            <w:vAlign w:val="bottom"/>
            <w:gridSpan w:val="2"/>
            <w:shd w:val="clear" w:color="auto" w:fill="CCEEFF"/>
          </w:tcPr>
          <w:p>
            <w:pPr>
              <w:jc w:val="right"/>
              <w:ind w:right="138"/>
              <w:spacing w:after="0"/>
              <w:rPr>
                <w:sz w:val="20"/>
                <w:szCs w:val="20"/>
                <w:color w:val="auto"/>
              </w:rPr>
            </w:pPr>
            <w:r>
              <w:rPr>
                <w:rFonts w:ascii="Arial" w:cs="Arial" w:eastAsia="Arial" w:hAnsi="Arial"/>
                <w:sz w:val="8"/>
                <w:szCs w:val="8"/>
                <w:color w:val="auto"/>
              </w:rPr>
              <w:t>156,000</w:t>
            </w:r>
          </w:p>
        </w:tc>
        <w:tc>
          <w:tcPr>
            <w:tcW w:w="1480" w:type="dxa"/>
            <w:vAlign w:val="bottom"/>
            <w:gridSpan w:val="2"/>
            <w:shd w:val="clear" w:color="auto" w:fill="CCEEFF"/>
          </w:tcPr>
          <w:p>
            <w:pPr>
              <w:jc w:val="right"/>
              <w:ind w:right="258"/>
              <w:spacing w:after="0"/>
              <w:rPr>
                <w:sz w:val="20"/>
                <w:szCs w:val="20"/>
                <w:color w:val="auto"/>
              </w:rPr>
            </w:pPr>
            <w:r>
              <w:rPr>
                <w:rFonts w:ascii="Arial" w:cs="Arial" w:eastAsia="Arial" w:hAnsi="Arial"/>
                <w:sz w:val="8"/>
                <w:szCs w:val="8"/>
                <w:color w:val="auto"/>
              </w:rPr>
              <w:t>96,000</w:t>
            </w:r>
          </w:p>
        </w:tc>
        <w:tc>
          <w:tcPr>
            <w:tcW w:w="1480" w:type="dxa"/>
            <w:vAlign w:val="bottom"/>
            <w:gridSpan w:val="2"/>
            <w:shd w:val="clear" w:color="auto" w:fill="CCEEFF"/>
          </w:tcPr>
          <w:p>
            <w:pPr>
              <w:jc w:val="right"/>
              <w:ind w:right="258"/>
              <w:spacing w:after="0"/>
              <w:rPr>
                <w:sz w:val="20"/>
                <w:szCs w:val="20"/>
                <w:color w:val="auto"/>
              </w:rPr>
            </w:pPr>
            <w:r>
              <w:rPr>
                <w:rFonts w:ascii="Arial" w:cs="Arial" w:eastAsia="Arial" w:hAnsi="Arial"/>
                <w:sz w:val="8"/>
                <w:szCs w:val="8"/>
                <w:color w:val="auto"/>
              </w:rPr>
              <w:t>126,000</w:t>
            </w:r>
          </w:p>
        </w:tc>
        <w:tc>
          <w:tcPr>
            <w:tcW w:w="620" w:type="dxa"/>
            <w:vAlign w:val="bottom"/>
            <w:shd w:val="clear" w:color="auto" w:fill="CCEEFF"/>
          </w:tcPr>
          <w:p>
            <w:pPr>
              <w:spacing w:after="0"/>
              <w:rPr>
                <w:sz w:val="8"/>
                <w:szCs w:val="8"/>
                <w:color w:val="auto"/>
              </w:rPr>
            </w:pPr>
          </w:p>
        </w:tc>
        <w:tc>
          <w:tcPr>
            <w:tcW w:w="620" w:type="dxa"/>
            <w:vAlign w:val="bottom"/>
            <w:shd w:val="clear" w:color="auto" w:fill="CCEEFF"/>
          </w:tcPr>
          <w:p>
            <w:pPr>
              <w:jc w:val="right"/>
              <w:ind w:right="158"/>
              <w:spacing w:after="0"/>
              <w:rPr>
                <w:sz w:val="20"/>
                <w:szCs w:val="20"/>
                <w:color w:val="auto"/>
              </w:rPr>
            </w:pPr>
            <w:r>
              <w:rPr>
                <w:rFonts w:ascii="Arial" w:cs="Arial" w:eastAsia="Arial" w:hAnsi="Arial"/>
                <w:sz w:val="8"/>
                <w:szCs w:val="8"/>
                <w:color w:val="auto"/>
              </w:rPr>
              <w:t>74,000</w:t>
            </w:r>
          </w:p>
        </w:tc>
        <w:tc>
          <w:tcPr>
            <w:tcW w:w="1440" w:type="dxa"/>
            <w:vAlign w:val="bottom"/>
            <w:gridSpan w:val="2"/>
            <w:shd w:val="clear" w:color="auto" w:fill="CCEEFF"/>
          </w:tcPr>
          <w:p>
            <w:pPr>
              <w:jc w:val="right"/>
              <w:ind w:right="258"/>
              <w:spacing w:after="0"/>
              <w:rPr>
                <w:sz w:val="20"/>
                <w:szCs w:val="20"/>
                <w:color w:val="auto"/>
              </w:rPr>
            </w:pPr>
            <w:r>
              <w:rPr>
                <w:rFonts w:ascii="Arial" w:cs="Arial" w:eastAsia="Arial" w:hAnsi="Arial"/>
                <w:sz w:val="8"/>
                <w:szCs w:val="8"/>
                <w:color w:val="auto"/>
              </w:rPr>
              <w:t>18,960</w:t>
            </w:r>
          </w:p>
        </w:tc>
        <w:tc>
          <w:tcPr>
            <w:tcW w:w="0" w:type="dxa"/>
            <w:vAlign w:val="bottom"/>
          </w:tcPr>
          <w:p>
            <w:pPr>
              <w:spacing w:after="0"/>
              <w:rPr>
                <w:sz w:val="1"/>
                <w:szCs w:val="1"/>
                <w:color w:val="auto"/>
              </w:rPr>
            </w:pPr>
          </w:p>
        </w:tc>
      </w:tr>
      <w:tr>
        <w:trPr>
          <w:trHeight w:val="81"/>
        </w:trPr>
        <w:tc>
          <w:tcPr>
            <w:tcW w:w="1160" w:type="dxa"/>
            <w:vAlign w:val="bottom"/>
          </w:tcPr>
          <w:p>
            <w:pPr>
              <w:spacing w:after="0" w:line="81" w:lineRule="exact"/>
              <w:rPr>
                <w:sz w:val="20"/>
                <w:szCs w:val="20"/>
                <w:color w:val="auto"/>
              </w:rPr>
            </w:pPr>
            <w:r>
              <w:rPr>
                <w:rFonts w:ascii="Arial" w:cs="Arial" w:eastAsia="Arial" w:hAnsi="Arial"/>
                <w:sz w:val="8"/>
                <w:szCs w:val="8"/>
                <w:b w:val="1"/>
                <w:bCs w:val="1"/>
                <w:color w:val="auto"/>
              </w:rPr>
              <w:t>2015</w:t>
            </w:r>
          </w:p>
        </w:tc>
        <w:tc>
          <w:tcPr>
            <w:tcW w:w="7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160" w:type="dxa"/>
            <w:vAlign w:val="bottom"/>
          </w:tcPr>
          <w:p>
            <w:pPr>
              <w:spacing w:after="0"/>
              <w:rPr>
                <w:sz w:val="20"/>
                <w:szCs w:val="20"/>
                <w:color w:val="auto"/>
              </w:rPr>
            </w:pPr>
            <w:r>
              <w:rPr>
                <w:rFonts w:ascii="Arial" w:cs="Arial" w:eastAsia="Arial" w:hAnsi="Arial"/>
                <w:sz w:val="8"/>
                <w:szCs w:val="8"/>
                <w:color w:val="auto"/>
              </w:rPr>
              <w:t>01/18/2015</w:t>
            </w:r>
          </w:p>
        </w:tc>
        <w:tc>
          <w:tcPr>
            <w:tcW w:w="1960" w:type="dxa"/>
            <w:vAlign w:val="bottom"/>
            <w:gridSpan w:val="2"/>
          </w:tcPr>
          <w:p>
            <w:pPr>
              <w:ind w:left="720"/>
              <w:spacing w:after="0"/>
              <w:rPr>
                <w:sz w:val="20"/>
                <w:szCs w:val="20"/>
                <w:color w:val="auto"/>
              </w:rPr>
            </w:pPr>
            <w:r>
              <w:rPr>
                <w:rFonts w:ascii="Arial" w:cs="Arial" w:eastAsia="Arial" w:hAnsi="Arial"/>
                <w:sz w:val="8"/>
                <w:szCs w:val="8"/>
                <w:color w:val="auto"/>
              </w:rPr>
              <w:t>Performance RSU</w:t>
            </w:r>
          </w:p>
        </w:tc>
        <w:tc>
          <w:tcPr>
            <w:tcW w:w="600" w:type="dxa"/>
            <w:vAlign w:val="bottom"/>
          </w:tcPr>
          <w:p>
            <w:pPr>
              <w:spacing w:after="0"/>
              <w:rPr>
                <w:sz w:val="9"/>
                <w:szCs w:val="9"/>
                <w:color w:val="auto"/>
              </w:rPr>
            </w:pPr>
          </w:p>
        </w:tc>
        <w:tc>
          <w:tcPr>
            <w:tcW w:w="640" w:type="dxa"/>
            <w:vAlign w:val="bottom"/>
          </w:tcPr>
          <w:p>
            <w:pPr>
              <w:jc w:val="right"/>
              <w:ind w:right="138"/>
              <w:spacing w:after="0"/>
              <w:rPr>
                <w:sz w:val="20"/>
                <w:szCs w:val="20"/>
                <w:color w:val="auto"/>
              </w:rPr>
            </w:pPr>
            <w:r>
              <w:rPr>
                <w:rFonts w:ascii="Arial" w:cs="Arial" w:eastAsia="Arial" w:hAnsi="Arial"/>
                <w:sz w:val="8"/>
                <w:szCs w:val="8"/>
                <w:color w:val="auto"/>
              </w:rPr>
              <w:t>—</w:t>
            </w:r>
          </w:p>
        </w:tc>
        <w:tc>
          <w:tcPr>
            <w:tcW w:w="620" w:type="dxa"/>
            <w:vAlign w:val="bottom"/>
          </w:tcPr>
          <w:p>
            <w:pPr>
              <w:spacing w:after="0"/>
              <w:rPr>
                <w:sz w:val="9"/>
                <w:szCs w:val="9"/>
                <w:color w:val="auto"/>
              </w:rPr>
            </w:pPr>
          </w:p>
        </w:tc>
        <w:tc>
          <w:tcPr>
            <w:tcW w:w="860" w:type="dxa"/>
            <w:vAlign w:val="bottom"/>
          </w:tcPr>
          <w:p>
            <w:pPr>
              <w:jc w:val="right"/>
              <w:ind w:right="258"/>
              <w:spacing w:after="0"/>
              <w:rPr>
                <w:sz w:val="20"/>
                <w:szCs w:val="20"/>
                <w:color w:val="auto"/>
              </w:rPr>
            </w:pPr>
            <w:r>
              <w:rPr>
                <w:rFonts w:ascii="Arial" w:cs="Arial" w:eastAsia="Arial" w:hAnsi="Arial"/>
                <w:sz w:val="8"/>
                <w:szCs w:val="8"/>
                <w:color w:val="auto"/>
              </w:rPr>
              <w:t>—</w:t>
            </w:r>
          </w:p>
        </w:tc>
        <w:tc>
          <w:tcPr>
            <w:tcW w:w="620" w:type="dxa"/>
            <w:vAlign w:val="bottom"/>
          </w:tcPr>
          <w:p>
            <w:pPr>
              <w:spacing w:after="0"/>
              <w:rPr>
                <w:sz w:val="9"/>
                <w:szCs w:val="9"/>
                <w:color w:val="auto"/>
              </w:rPr>
            </w:pPr>
          </w:p>
        </w:tc>
        <w:tc>
          <w:tcPr>
            <w:tcW w:w="1480" w:type="dxa"/>
            <w:vAlign w:val="bottom"/>
            <w:gridSpan w:val="2"/>
          </w:tcPr>
          <w:p>
            <w:pPr>
              <w:jc w:val="right"/>
              <w:ind w:right="920"/>
              <w:spacing w:after="0"/>
              <w:rPr>
                <w:sz w:val="20"/>
                <w:szCs w:val="20"/>
                <w:color w:val="auto"/>
              </w:rPr>
            </w:pPr>
            <w:r>
              <w:rPr>
                <w:rFonts w:ascii="Arial" w:cs="Arial" w:eastAsia="Arial" w:hAnsi="Arial"/>
                <w:sz w:val="8"/>
                <w:szCs w:val="8"/>
                <w:color w:val="auto"/>
              </w:rPr>
              <w:t>—</w:t>
            </w:r>
          </w:p>
        </w:tc>
        <w:tc>
          <w:tcPr>
            <w:tcW w:w="620" w:type="dxa"/>
            <w:vAlign w:val="bottom"/>
          </w:tcPr>
          <w:p>
            <w:pPr>
              <w:jc w:val="right"/>
              <w:ind w:right="158"/>
              <w:spacing w:after="0"/>
              <w:rPr>
                <w:sz w:val="20"/>
                <w:szCs w:val="20"/>
                <w:color w:val="auto"/>
              </w:rPr>
            </w:pPr>
            <w:r>
              <w:rPr>
                <w:rFonts w:ascii="Arial" w:cs="Arial" w:eastAsia="Arial" w:hAnsi="Arial"/>
                <w:sz w:val="8"/>
                <w:szCs w:val="8"/>
                <w:color w:val="auto"/>
              </w:rPr>
              <w:t>—</w:t>
            </w:r>
          </w:p>
        </w:tc>
        <w:tc>
          <w:tcPr>
            <w:tcW w:w="1440" w:type="dxa"/>
            <w:vAlign w:val="bottom"/>
            <w:gridSpan w:val="2"/>
          </w:tcPr>
          <w:p>
            <w:pPr>
              <w:jc w:val="right"/>
              <w:ind w:right="258"/>
              <w:spacing w:after="0"/>
              <w:rPr>
                <w:sz w:val="20"/>
                <w:szCs w:val="20"/>
                <w:color w:val="auto"/>
              </w:rPr>
            </w:pPr>
            <w:r>
              <w:rPr>
                <w:rFonts w:ascii="Arial" w:cs="Arial" w:eastAsia="Arial" w:hAnsi="Arial"/>
                <w:sz w:val="8"/>
                <w:szCs w:val="8"/>
                <w:color w:val="auto"/>
              </w:rPr>
              <w:t>39,264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-2605405</wp:posOffset>
            </wp:positionV>
            <wp:extent cx="5715"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561340</wp:posOffset>
            </wp:positionH>
            <wp:positionV relativeFrom="paragraph">
              <wp:posOffset>30480</wp:posOffset>
            </wp:positionV>
            <wp:extent cx="823595"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23595" cy="5715"/>
                    </a:xfrm>
                    <a:prstGeom prst="rect">
                      <a:avLst/>
                    </a:prstGeom>
                    <a:noFill/>
                  </pic:spPr>
                </pic:pic>
              </a:graphicData>
            </a:graphic>
          </wp:anchor>
        </w:drawing>
      </w:r>
    </w:p>
    <w:p>
      <w:pPr>
        <w:spacing w:after="0" w:line="73" w:lineRule="exact"/>
        <w:rPr>
          <w:sz w:val="20"/>
          <w:szCs w:val="20"/>
          <w:color w:val="auto"/>
        </w:rPr>
      </w:pPr>
    </w:p>
    <w:p>
      <w:pPr>
        <w:ind w:left="1180" w:right="40" w:hanging="227"/>
        <w:spacing w:after="0" w:line="276" w:lineRule="auto"/>
        <w:tabs>
          <w:tab w:leader="none" w:pos="1180" w:val="left"/>
        </w:tabs>
        <w:numPr>
          <w:ilvl w:val="1"/>
          <w:numId w:val="23"/>
        </w:numPr>
        <w:rPr>
          <w:rFonts w:ascii="Arial" w:cs="Arial" w:eastAsia="Arial" w:hAnsi="Arial"/>
          <w:sz w:val="12"/>
          <w:szCs w:val="12"/>
          <w:color w:val="auto"/>
        </w:rPr>
      </w:pPr>
      <w:r>
        <w:rPr>
          <w:rFonts w:ascii="Arial" w:cs="Arial" w:eastAsia="Arial" w:hAnsi="Arial"/>
          <w:sz w:val="12"/>
          <w:szCs w:val="12"/>
          <w:color w:val="auto"/>
        </w:rPr>
        <w:t>The performance conditions applicable to these RSUs, which were granted in 2006 and 2007, were not achieved in 2009. Accordingly, these RSUs will not vest in 2010. These RSUs will be carried forward as unvested RSUs and may vest in a subsequent year if performance goals are met in such year.</w:t>
      </w:r>
    </w:p>
    <w:p>
      <w:pPr>
        <w:spacing w:after="0" w:line="15" w:lineRule="exact"/>
        <w:rPr>
          <w:rFonts w:ascii="Arial" w:cs="Arial" w:eastAsia="Arial" w:hAnsi="Arial"/>
          <w:sz w:val="12"/>
          <w:szCs w:val="12"/>
          <w:color w:val="auto"/>
        </w:rPr>
      </w:pPr>
    </w:p>
    <w:p>
      <w:pPr>
        <w:ind w:left="980" w:right="400" w:hanging="232"/>
        <w:spacing w:after="0" w:line="323" w:lineRule="auto"/>
        <w:tabs>
          <w:tab w:leader="none" w:pos="980" w:val="left"/>
        </w:tabs>
        <w:numPr>
          <w:ilvl w:val="0"/>
          <w:numId w:val="24"/>
        </w:numPr>
        <w:rPr>
          <w:rFonts w:ascii="Arial" w:cs="Arial" w:eastAsia="Arial" w:hAnsi="Arial"/>
          <w:sz w:val="11"/>
          <w:szCs w:val="11"/>
          <w:color w:val="auto"/>
        </w:rPr>
      </w:pPr>
      <w:r>
        <w:rPr>
          <w:rFonts w:ascii="Arial" w:cs="Arial" w:eastAsia="Arial" w:hAnsi="Arial"/>
          <w:sz w:val="11"/>
          <w:szCs w:val="11"/>
          <w:color w:val="auto"/>
        </w:rPr>
        <w:t>The performance conditions applicable to the following unvested performance-based RSUs granted in 2005 were not achieved in 2009: Mr. Roberts (99,000), Mr. Burke (54,000) and Mr. Cohen (97,800). Accordingly, as of December 31, 2009, these RSUs would not vest in 2010, were permanently forfeited and are not included as outstanding awards in this table.</w:t>
      </w:r>
    </w:p>
    <w:p>
      <w:pPr>
        <w:spacing w:after="0" w:line="209"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97790</wp:posOffset>
            </wp:positionV>
            <wp:extent cx="7299325" cy="184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680"/>
          </w:cols>
          <w:pgMar w:left="220" w:top="327" w:right="999" w:bottom="1440" w:gutter="0" w:footer="0" w:header="0"/>
        </w:sectPr>
      </w:pPr>
    </w:p>
    <w:bookmarkStart w:id="53" w:name="page54"/>
    <w:bookmarkEnd w:id="53"/>
    <w:p>
      <w:pPr>
        <w:spacing w:after="0"/>
        <w:rPr>
          <w:rFonts w:ascii="Arial" w:cs="Arial" w:eastAsia="Arial" w:hAnsi="Arial"/>
          <w:sz w:val="12"/>
          <w:szCs w:val="12"/>
          <w:b w:val="1"/>
          <w:bCs w:val="1"/>
          <w:u w:val="single" w:color="auto"/>
          <w:color w:val="0000EE"/>
        </w:rPr>
      </w:pPr>
      <w:hyperlink w:anchor="page4">
        <w:r>
          <w:rPr>
            <w:rFonts w:ascii="Arial" w:cs="Arial" w:eastAsia="Arial" w:hAnsi="Arial"/>
            <w:sz w:val="12"/>
            <w:szCs w:val="12"/>
            <w:b w:val="1"/>
            <w:bCs w:val="1"/>
            <w:u w:val="single" w:color="auto"/>
            <w:color w:val="0000EE"/>
          </w:rPr>
          <w:t>Table of Contents</w:t>
        </w:r>
      </w:hyperlink>
    </w:p>
    <w:p>
      <w:pPr>
        <w:spacing w:after="0" w:line="211" w:lineRule="exact"/>
        <w:rPr>
          <w:sz w:val="20"/>
          <w:szCs w:val="20"/>
          <w:color w:val="auto"/>
        </w:rPr>
      </w:pPr>
    </w:p>
    <w:p>
      <w:pPr>
        <w:ind w:left="680"/>
        <w:spacing w:after="0"/>
        <w:rPr>
          <w:sz w:val="20"/>
          <w:szCs w:val="20"/>
          <w:color w:val="auto"/>
        </w:rPr>
      </w:pPr>
      <w:r>
        <w:rPr>
          <w:rFonts w:ascii="Arial" w:cs="Arial" w:eastAsia="Arial" w:hAnsi="Arial"/>
          <w:sz w:val="12"/>
          <w:szCs w:val="12"/>
          <w:b w:val="1"/>
          <w:bCs w:val="1"/>
          <w:color w:val="auto"/>
        </w:rPr>
        <w:t>Option Exercises and Stock Vested in 2009</w:t>
      </w:r>
    </w:p>
    <w:p>
      <w:pPr>
        <w:spacing w:after="0" w:line="91" w:lineRule="exact"/>
        <w:rPr>
          <w:sz w:val="20"/>
          <w:szCs w:val="20"/>
          <w:color w:val="auto"/>
        </w:rPr>
      </w:pPr>
    </w:p>
    <w:p>
      <w:pPr>
        <w:ind w:left="680" w:right="80" w:firstLine="400"/>
        <w:spacing w:after="0" w:line="276" w:lineRule="auto"/>
        <w:rPr>
          <w:sz w:val="20"/>
          <w:szCs w:val="20"/>
          <w:color w:val="auto"/>
        </w:rPr>
      </w:pPr>
      <w:r>
        <w:rPr>
          <w:rFonts w:ascii="Arial" w:cs="Arial" w:eastAsia="Arial" w:hAnsi="Arial"/>
          <w:sz w:val="12"/>
          <w:szCs w:val="12"/>
          <w:color w:val="auto"/>
        </w:rPr>
        <w:t>The following table provides information, for each of our named executive officers, on the number of shares of Class A common stock resulting from the vesting of stock awards in the form of RSUs and the value realized before payment of any applicable withholding tax. None of our named executive officers exercised any stock options during 2009.</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3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60" w:type="dxa"/>
            <w:vAlign w:val="bottom"/>
            <w:tcBorders>
              <w:bottom w:val="single" w:sz="8" w:color="auto"/>
            </w:tcBorders>
            <w:gridSpan w:val="3"/>
          </w:tcPr>
          <w:p>
            <w:pPr>
              <w:ind w:left="1220"/>
              <w:spacing w:after="0"/>
              <w:rPr>
                <w:sz w:val="20"/>
                <w:szCs w:val="20"/>
                <w:color w:val="auto"/>
              </w:rPr>
            </w:pPr>
            <w:r>
              <w:rPr>
                <w:rFonts w:ascii="Arial" w:cs="Arial" w:eastAsia="Arial" w:hAnsi="Arial"/>
                <w:sz w:val="10"/>
                <w:szCs w:val="10"/>
                <w:b w:val="1"/>
                <w:bCs w:val="1"/>
                <w:color w:val="auto"/>
              </w:rPr>
              <w:t>Option Awards</w:t>
            </w:r>
          </w:p>
        </w:tc>
        <w:tc>
          <w:tcPr>
            <w:tcW w:w="112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2140" w:type="dxa"/>
            <w:vAlign w:val="bottom"/>
            <w:tcBorders>
              <w:bottom w:val="single" w:sz="8" w:color="auto"/>
            </w:tcBorders>
            <w:gridSpan w:val="3"/>
          </w:tcPr>
          <w:p>
            <w:pPr>
              <w:jc w:val="right"/>
              <w:ind w:right="1475"/>
              <w:spacing w:after="0"/>
              <w:rPr>
                <w:sz w:val="20"/>
                <w:szCs w:val="20"/>
                <w:color w:val="auto"/>
              </w:rPr>
            </w:pPr>
            <w:r>
              <w:rPr>
                <w:rFonts w:ascii="Arial" w:cs="Arial" w:eastAsia="Arial" w:hAnsi="Arial"/>
                <w:sz w:val="10"/>
                <w:szCs w:val="10"/>
                <w:b w:val="1"/>
                <w:bCs w:val="1"/>
                <w:color w:val="auto"/>
                <w:w w:val="90"/>
              </w:rPr>
              <w:t>Stock Awards</w:t>
            </w:r>
          </w:p>
        </w:tc>
      </w:tr>
      <w:tr>
        <w:trPr>
          <w:trHeight w:val="74"/>
        </w:trPr>
        <w:tc>
          <w:tcPr>
            <w:tcW w:w="3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60" w:type="dxa"/>
            <w:vAlign w:val="bottom"/>
            <w:gridSpan w:val="3"/>
          </w:tcPr>
          <w:p>
            <w:pPr>
              <w:jc w:val="center"/>
              <w:ind w:right="340"/>
              <w:spacing w:after="0" w:line="74" w:lineRule="exact"/>
              <w:rPr>
                <w:sz w:val="20"/>
                <w:szCs w:val="20"/>
                <w:color w:val="auto"/>
              </w:rPr>
            </w:pPr>
            <w:r>
              <w:rPr>
                <w:rFonts w:ascii="Arial" w:cs="Arial" w:eastAsia="Arial" w:hAnsi="Arial"/>
                <w:sz w:val="8"/>
                <w:szCs w:val="8"/>
                <w:b w:val="1"/>
                <w:bCs w:val="1"/>
                <w:color w:val="auto"/>
              </w:rPr>
              <w:t>Number of Shares</w:t>
            </w:r>
          </w:p>
        </w:tc>
        <w:tc>
          <w:tcPr>
            <w:tcW w:w="1120" w:type="dxa"/>
            <w:vAlign w:val="bottom"/>
          </w:tcPr>
          <w:p>
            <w:pPr>
              <w:jc w:val="center"/>
              <w:ind w:right="93"/>
              <w:spacing w:after="0" w:line="74" w:lineRule="exact"/>
              <w:rPr>
                <w:sz w:val="20"/>
                <w:szCs w:val="20"/>
                <w:color w:val="auto"/>
              </w:rPr>
            </w:pPr>
            <w:r>
              <w:rPr>
                <w:rFonts w:ascii="Arial" w:cs="Arial" w:eastAsia="Arial" w:hAnsi="Arial"/>
                <w:sz w:val="8"/>
                <w:szCs w:val="8"/>
                <w:b w:val="1"/>
                <w:bCs w:val="1"/>
                <w:color w:val="auto"/>
              </w:rPr>
              <w:t>Value Realized on</w:t>
            </w:r>
          </w:p>
        </w:tc>
        <w:tc>
          <w:tcPr>
            <w:tcW w:w="180" w:type="dxa"/>
            <w:vAlign w:val="bottom"/>
          </w:tcPr>
          <w:p>
            <w:pPr>
              <w:spacing w:after="0"/>
              <w:rPr>
                <w:sz w:val="6"/>
                <w:szCs w:val="6"/>
                <w:color w:val="auto"/>
              </w:rPr>
            </w:pPr>
          </w:p>
        </w:tc>
        <w:tc>
          <w:tcPr>
            <w:tcW w:w="1460" w:type="dxa"/>
            <w:vAlign w:val="bottom"/>
          </w:tcPr>
          <w:p>
            <w:pPr>
              <w:jc w:val="right"/>
              <w:ind w:right="115"/>
              <w:spacing w:after="0" w:line="74" w:lineRule="exact"/>
              <w:rPr>
                <w:sz w:val="20"/>
                <w:szCs w:val="20"/>
                <w:color w:val="auto"/>
              </w:rPr>
            </w:pPr>
            <w:r>
              <w:rPr>
                <w:rFonts w:ascii="Arial" w:cs="Arial" w:eastAsia="Arial" w:hAnsi="Arial"/>
                <w:sz w:val="8"/>
                <w:szCs w:val="8"/>
                <w:b w:val="1"/>
                <w:bCs w:val="1"/>
                <w:color w:val="auto"/>
              </w:rPr>
              <w:t>Number of Shares</w:t>
            </w:r>
          </w:p>
        </w:tc>
        <w:tc>
          <w:tcPr>
            <w:tcW w:w="4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540" w:type="dxa"/>
            <w:vAlign w:val="bottom"/>
          </w:tcPr>
          <w:p>
            <w:pPr>
              <w:jc w:val="right"/>
              <w:ind w:right="375"/>
              <w:spacing w:after="0" w:line="74" w:lineRule="exact"/>
              <w:rPr>
                <w:sz w:val="20"/>
                <w:szCs w:val="20"/>
                <w:color w:val="auto"/>
              </w:rPr>
            </w:pPr>
            <w:r>
              <w:rPr>
                <w:rFonts w:ascii="Arial" w:cs="Arial" w:eastAsia="Arial" w:hAnsi="Arial"/>
                <w:sz w:val="8"/>
                <w:szCs w:val="8"/>
                <w:b w:val="1"/>
                <w:bCs w:val="1"/>
                <w:color w:val="auto"/>
              </w:rPr>
              <w:t>Value Realized on</w:t>
            </w:r>
          </w:p>
        </w:tc>
      </w:tr>
      <w:tr>
        <w:trPr>
          <w:trHeight w:val="114"/>
        </w:trPr>
        <w:tc>
          <w:tcPr>
            <w:tcW w:w="3140" w:type="dxa"/>
            <w:vAlign w:val="bottom"/>
            <w:gridSpan w:val="2"/>
          </w:tcPr>
          <w:p>
            <w:pPr>
              <w:spacing w:after="0" w:line="114" w:lineRule="exact"/>
              <w:rPr>
                <w:sz w:val="20"/>
                <w:szCs w:val="20"/>
                <w:color w:val="auto"/>
              </w:rPr>
            </w:pPr>
            <w:r>
              <w:rPr>
                <w:rFonts w:ascii="Arial" w:cs="Arial" w:eastAsia="Arial" w:hAnsi="Arial"/>
                <w:sz w:val="10"/>
                <w:szCs w:val="10"/>
                <w:b w:val="1"/>
                <w:bCs w:val="1"/>
                <w:color w:val="auto"/>
              </w:rPr>
              <w:t>Name</w:t>
            </w:r>
          </w:p>
        </w:tc>
        <w:tc>
          <w:tcPr>
            <w:tcW w:w="1960" w:type="dxa"/>
            <w:vAlign w:val="bottom"/>
            <w:gridSpan w:val="3"/>
          </w:tcPr>
          <w:p>
            <w:pPr>
              <w:jc w:val="center"/>
              <w:ind w:right="320"/>
              <w:spacing w:after="0" w:line="114" w:lineRule="exact"/>
              <w:rPr>
                <w:sz w:val="20"/>
                <w:szCs w:val="20"/>
                <w:color w:val="auto"/>
              </w:rPr>
            </w:pPr>
            <w:r>
              <w:rPr>
                <w:rFonts w:ascii="Arial" w:cs="Arial" w:eastAsia="Arial" w:hAnsi="Arial"/>
                <w:sz w:val="10"/>
                <w:szCs w:val="10"/>
                <w:b w:val="1"/>
                <w:bCs w:val="1"/>
                <w:color w:val="auto"/>
                <w:w w:val="85"/>
              </w:rPr>
              <w:t>Acquired on Exercise (#)</w:t>
            </w:r>
          </w:p>
        </w:tc>
        <w:tc>
          <w:tcPr>
            <w:tcW w:w="1120" w:type="dxa"/>
            <w:vAlign w:val="bottom"/>
          </w:tcPr>
          <w:p>
            <w:pPr>
              <w:jc w:val="center"/>
              <w:ind w:right="73"/>
              <w:spacing w:after="0" w:line="114" w:lineRule="exact"/>
              <w:rPr>
                <w:sz w:val="20"/>
                <w:szCs w:val="20"/>
                <w:color w:val="auto"/>
              </w:rPr>
            </w:pPr>
            <w:r>
              <w:rPr>
                <w:rFonts w:ascii="Arial" w:cs="Arial" w:eastAsia="Arial" w:hAnsi="Arial"/>
                <w:sz w:val="10"/>
                <w:szCs w:val="10"/>
                <w:b w:val="1"/>
                <w:bCs w:val="1"/>
                <w:color w:val="auto"/>
                <w:w w:val="85"/>
              </w:rPr>
              <w:t>Exercise ($)</w:t>
            </w:r>
          </w:p>
        </w:tc>
        <w:tc>
          <w:tcPr>
            <w:tcW w:w="180" w:type="dxa"/>
            <w:vAlign w:val="bottom"/>
          </w:tcPr>
          <w:p>
            <w:pPr>
              <w:spacing w:after="0"/>
              <w:rPr>
                <w:sz w:val="9"/>
                <w:szCs w:val="9"/>
                <w:color w:val="auto"/>
              </w:rPr>
            </w:pPr>
          </w:p>
        </w:tc>
        <w:tc>
          <w:tcPr>
            <w:tcW w:w="1460" w:type="dxa"/>
            <w:vAlign w:val="bottom"/>
          </w:tcPr>
          <w:p>
            <w:pPr>
              <w:jc w:val="right"/>
              <w:spacing w:after="0" w:line="114" w:lineRule="exact"/>
              <w:rPr>
                <w:sz w:val="20"/>
                <w:szCs w:val="20"/>
                <w:color w:val="auto"/>
              </w:rPr>
            </w:pPr>
            <w:r>
              <w:rPr>
                <w:rFonts w:ascii="Arial" w:cs="Arial" w:eastAsia="Arial" w:hAnsi="Arial"/>
                <w:sz w:val="10"/>
                <w:szCs w:val="10"/>
                <w:b w:val="1"/>
                <w:bCs w:val="1"/>
                <w:color w:val="auto"/>
              </w:rPr>
              <w:t>Acquired on Vesting (#)</w:t>
            </w: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40" w:type="dxa"/>
            <w:vAlign w:val="bottom"/>
          </w:tcPr>
          <w:p>
            <w:pPr>
              <w:jc w:val="right"/>
              <w:ind w:right="515"/>
              <w:spacing w:after="0" w:line="114" w:lineRule="exact"/>
              <w:rPr>
                <w:sz w:val="20"/>
                <w:szCs w:val="20"/>
                <w:color w:val="auto"/>
              </w:rPr>
            </w:pPr>
            <w:r>
              <w:rPr>
                <w:rFonts w:ascii="Arial" w:cs="Arial" w:eastAsia="Arial" w:hAnsi="Arial"/>
                <w:sz w:val="10"/>
                <w:szCs w:val="10"/>
                <w:b w:val="1"/>
                <w:bCs w:val="1"/>
                <w:color w:val="auto"/>
              </w:rPr>
              <w:t>Vesting ($)</w:t>
            </w:r>
          </w:p>
        </w:tc>
      </w:tr>
      <w:tr>
        <w:trPr>
          <w:trHeight w:val="25"/>
        </w:trPr>
        <w:tc>
          <w:tcPr>
            <w:tcW w:w="30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Borders>
              <w:top w:val="single" w:sz="8" w:color="auto"/>
            </w:tcBorders>
          </w:tcPr>
          <w:p>
            <w:pPr>
              <w:spacing w:after="0"/>
              <w:rPr>
                <w:sz w:val="2"/>
                <w:szCs w:val="2"/>
                <w:color w:val="auto"/>
              </w:rPr>
            </w:pPr>
          </w:p>
        </w:tc>
      </w:tr>
      <w:tr>
        <w:trPr>
          <w:trHeight w:val="99"/>
        </w:trPr>
        <w:tc>
          <w:tcPr>
            <w:tcW w:w="3140" w:type="dxa"/>
            <w:vAlign w:val="bottom"/>
            <w:gridSpan w:val="2"/>
            <w:shd w:val="clear" w:color="auto" w:fill="CCEEFF"/>
          </w:tcPr>
          <w:p>
            <w:pPr>
              <w:spacing w:after="0" w:line="99" w:lineRule="exact"/>
              <w:rPr>
                <w:sz w:val="20"/>
                <w:szCs w:val="20"/>
                <w:color w:val="auto"/>
              </w:rPr>
            </w:pPr>
            <w:r>
              <w:rPr>
                <w:rFonts w:ascii="Arial" w:cs="Arial" w:eastAsia="Arial" w:hAnsi="Arial"/>
                <w:sz w:val="10"/>
                <w:szCs w:val="10"/>
                <w:color w:val="auto"/>
              </w:rPr>
              <w:t>Brian L. Roberts</w:t>
            </w:r>
          </w:p>
        </w:tc>
        <w:tc>
          <w:tcPr>
            <w:tcW w:w="1960" w:type="dxa"/>
            <w:vAlign w:val="bottom"/>
            <w:gridSpan w:val="3"/>
            <w:shd w:val="clear" w:color="auto" w:fill="CCEEFF"/>
          </w:tcPr>
          <w:p>
            <w:pPr>
              <w:jc w:val="center"/>
              <w:ind w:right="340"/>
              <w:spacing w:after="0" w:line="99" w:lineRule="exact"/>
              <w:rPr>
                <w:sz w:val="20"/>
                <w:szCs w:val="20"/>
                <w:color w:val="auto"/>
              </w:rPr>
            </w:pPr>
            <w:r>
              <w:rPr>
                <w:rFonts w:ascii="Arial" w:cs="Arial" w:eastAsia="Arial" w:hAnsi="Arial"/>
                <w:sz w:val="10"/>
                <w:szCs w:val="10"/>
                <w:color w:val="auto"/>
                <w:w w:val="99"/>
              </w:rPr>
              <w:t>—</w:t>
            </w:r>
          </w:p>
        </w:tc>
        <w:tc>
          <w:tcPr>
            <w:tcW w:w="1120" w:type="dxa"/>
            <w:vAlign w:val="bottom"/>
            <w:shd w:val="clear" w:color="auto" w:fill="CCEEFF"/>
          </w:tcPr>
          <w:p>
            <w:pPr>
              <w:jc w:val="center"/>
              <w:ind w:right="93"/>
              <w:spacing w:after="0" w:line="99" w:lineRule="exact"/>
              <w:rPr>
                <w:sz w:val="20"/>
                <w:szCs w:val="20"/>
                <w:color w:val="auto"/>
              </w:rPr>
            </w:pPr>
            <w:r>
              <w:rPr>
                <w:rFonts w:ascii="Arial" w:cs="Arial" w:eastAsia="Arial" w:hAnsi="Arial"/>
                <w:sz w:val="10"/>
                <w:szCs w:val="10"/>
                <w:color w:val="auto"/>
                <w:w w:val="99"/>
              </w:rPr>
              <w:t>—</w:t>
            </w:r>
          </w:p>
        </w:tc>
        <w:tc>
          <w:tcPr>
            <w:tcW w:w="1640" w:type="dxa"/>
            <w:vAlign w:val="bottom"/>
            <w:gridSpan w:val="2"/>
            <w:shd w:val="clear" w:color="auto" w:fill="CCEEFF"/>
          </w:tcPr>
          <w:p>
            <w:pPr>
              <w:jc w:val="right"/>
              <w:ind w:right="335"/>
              <w:spacing w:after="0" w:line="99" w:lineRule="exact"/>
              <w:rPr>
                <w:sz w:val="20"/>
                <w:szCs w:val="20"/>
                <w:color w:val="auto"/>
              </w:rPr>
            </w:pPr>
            <w:r>
              <w:rPr>
                <w:rFonts w:ascii="Arial" w:cs="Arial" w:eastAsia="Arial" w:hAnsi="Arial"/>
                <w:sz w:val="10"/>
                <w:szCs w:val="10"/>
                <w:color w:val="auto"/>
              </w:rPr>
              <w:t>220,980</w:t>
            </w:r>
          </w:p>
        </w:tc>
        <w:tc>
          <w:tcPr>
            <w:tcW w:w="2140" w:type="dxa"/>
            <w:vAlign w:val="bottom"/>
            <w:gridSpan w:val="3"/>
            <w:shd w:val="clear" w:color="auto" w:fill="CCEEFF"/>
          </w:tcPr>
          <w:p>
            <w:pPr>
              <w:jc w:val="right"/>
              <w:ind w:right="535"/>
              <w:spacing w:after="0" w:line="99" w:lineRule="exact"/>
              <w:rPr>
                <w:sz w:val="20"/>
                <w:szCs w:val="20"/>
                <w:color w:val="auto"/>
              </w:rPr>
            </w:pPr>
            <w:r>
              <w:rPr>
                <w:rFonts w:ascii="Arial" w:cs="Arial" w:eastAsia="Arial" w:hAnsi="Arial"/>
                <w:sz w:val="10"/>
                <w:szCs w:val="10"/>
                <w:color w:val="auto"/>
              </w:rPr>
              <w:t>$2,756,483</w:t>
            </w:r>
          </w:p>
        </w:tc>
      </w:tr>
      <w:tr>
        <w:trPr>
          <w:trHeight w:val="99"/>
        </w:trPr>
        <w:tc>
          <w:tcPr>
            <w:tcW w:w="3140" w:type="dxa"/>
            <w:vAlign w:val="bottom"/>
            <w:gridSpan w:val="2"/>
          </w:tcPr>
          <w:p>
            <w:pPr>
              <w:spacing w:after="0" w:line="99" w:lineRule="exact"/>
              <w:rPr>
                <w:sz w:val="20"/>
                <w:szCs w:val="20"/>
                <w:color w:val="auto"/>
              </w:rPr>
            </w:pPr>
            <w:r>
              <w:rPr>
                <w:rFonts w:ascii="Arial" w:cs="Arial" w:eastAsia="Arial" w:hAnsi="Arial"/>
                <w:sz w:val="10"/>
                <w:szCs w:val="10"/>
                <w:color w:val="auto"/>
              </w:rPr>
              <w:t>Michael J. Angelakis</w:t>
            </w:r>
          </w:p>
        </w:tc>
        <w:tc>
          <w:tcPr>
            <w:tcW w:w="1960" w:type="dxa"/>
            <w:vAlign w:val="bottom"/>
            <w:gridSpan w:val="3"/>
          </w:tcPr>
          <w:p>
            <w:pPr>
              <w:jc w:val="center"/>
              <w:ind w:right="340"/>
              <w:spacing w:after="0" w:line="99" w:lineRule="exact"/>
              <w:rPr>
                <w:sz w:val="20"/>
                <w:szCs w:val="20"/>
                <w:color w:val="auto"/>
              </w:rPr>
            </w:pPr>
            <w:r>
              <w:rPr>
                <w:rFonts w:ascii="Arial" w:cs="Arial" w:eastAsia="Arial" w:hAnsi="Arial"/>
                <w:sz w:val="10"/>
                <w:szCs w:val="10"/>
                <w:color w:val="auto"/>
                <w:w w:val="99"/>
              </w:rPr>
              <w:t>—</w:t>
            </w:r>
          </w:p>
        </w:tc>
        <w:tc>
          <w:tcPr>
            <w:tcW w:w="1120" w:type="dxa"/>
            <w:vAlign w:val="bottom"/>
          </w:tcPr>
          <w:p>
            <w:pPr>
              <w:jc w:val="center"/>
              <w:ind w:right="93"/>
              <w:spacing w:after="0" w:line="99" w:lineRule="exact"/>
              <w:rPr>
                <w:sz w:val="20"/>
                <w:szCs w:val="20"/>
                <w:color w:val="auto"/>
              </w:rPr>
            </w:pPr>
            <w:r>
              <w:rPr>
                <w:rFonts w:ascii="Arial" w:cs="Arial" w:eastAsia="Arial" w:hAnsi="Arial"/>
                <w:sz w:val="10"/>
                <w:szCs w:val="10"/>
                <w:color w:val="auto"/>
                <w:w w:val="99"/>
              </w:rPr>
              <w:t>—</w:t>
            </w:r>
          </w:p>
        </w:tc>
        <w:tc>
          <w:tcPr>
            <w:tcW w:w="1640" w:type="dxa"/>
            <w:vAlign w:val="bottom"/>
            <w:gridSpan w:val="2"/>
          </w:tcPr>
          <w:p>
            <w:pPr>
              <w:jc w:val="right"/>
              <w:ind w:right="335"/>
              <w:spacing w:after="0" w:line="99" w:lineRule="exact"/>
              <w:rPr>
                <w:sz w:val="20"/>
                <w:szCs w:val="20"/>
                <w:color w:val="auto"/>
              </w:rPr>
            </w:pPr>
            <w:r>
              <w:rPr>
                <w:rFonts w:ascii="Arial" w:cs="Arial" w:eastAsia="Arial" w:hAnsi="Arial"/>
                <w:sz w:val="10"/>
                <w:szCs w:val="10"/>
                <w:color w:val="auto"/>
              </w:rPr>
              <w:t>38,961</w:t>
            </w:r>
          </w:p>
        </w:tc>
        <w:tc>
          <w:tcPr>
            <w:tcW w:w="2140" w:type="dxa"/>
            <w:vAlign w:val="bottom"/>
            <w:gridSpan w:val="3"/>
          </w:tcPr>
          <w:p>
            <w:pPr>
              <w:jc w:val="right"/>
              <w:ind w:right="535"/>
              <w:spacing w:after="0" w:line="99" w:lineRule="exact"/>
              <w:rPr>
                <w:sz w:val="20"/>
                <w:szCs w:val="20"/>
                <w:color w:val="auto"/>
              </w:rPr>
            </w:pPr>
            <w:r>
              <w:rPr>
                <w:rFonts w:ascii="Arial" w:cs="Arial" w:eastAsia="Arial" w:hAnsi="Arial"/>
                <w:sz w:val="10"/>
                <w:szCs w:val="10"/>
                <w:color w:val="auto"/>
              </w:rPr>
              <w:t>545,231</w:t>
            </w:r>
          </w:p>
        </w:tc>
      </w:tr>
      <w:tr>
        <w:trPr>
          <w:trHeight w:val="99"/>
        </w:trPr>
        <w:tc>
          <w:tcPr>
            <w:tcW w:w="3140" w:type="dxa"/>
            <w:vAlign w:val="bottom"/>
            <w:gridSpan w:val="2"/>
            <w:shd w:val="clear" w:color="auto" w:fill="CCEEFF"/>
          </w:tcPr>
          <w:p>
            <w:pPr>
              <w:spacing w:after="0" w:line="99" w:lineRule="exact"/>
              <w:rPr>
                <w:sz w:val="20"/>
                <w:szCs w:val="20"/>
                <w:color w:val="auto"/>
              </w:rPr>
            </w:pPr>
            <w:r>
              <w:rPr>
                <w:rFonts w:ascii="Arial" w:cs="Arial" w:eastAsia="Arial" w:hAnsi="Arial"/>
                <w:sz w:val="10"/>
                <w:szCs w:val="10"/>
                <w:color w:val="auto"/>
              </w:rPr>
              <w:t>Stephen B. Burke</w:t>
            </w:r>
          </w:p>
        </w:tc>
        <w:tc>
          <w:tcPr>
            <w:tcW w:w="1960" w:type="dxa"/>
            <w:vAlign w:val="bottom"/>
            <w:gridSpan w:val="3"/>
            <w:shd w:val="clear" w:color="auto" w:fill="CCEEFF"/>
          </w:tcPr>
          <w:p>
            <w:pPr>
              <w:jc w:val="center"/>
              <w:ind w:right="340"/>
              <w:spacing w:after="0" w:line="99" w:lineRule="exact"/>
              <w:rPr>
                <w:sz w:val="20"/>
                <w:szCs w:val="20"/>
                <w:color w:val="auto"/>
              </w:rPr>
            </w:pPr>
            <w:r>
              <w:rPr>
                <w:rFonts w:ascii="Arial" w:cs="Arial" w:eastAsia="Arial" w:hAnsi="Arial"/>
                <w:sz w:val="10"/>
                <w:szCs w:val="10"/>
                <w:color w:val="auto"/>
                <w:w w:val="99"/>
              </w:rPr>
              <w:t>—</w:t>
            </w:r>
          </w:p>
        </w:tc>
        <w:tc>
          <w:tcPr>
            <w:tcW w:w="1120" w:type="dxa"/>
            <w:vAlign w:val="bottom"/>
            <w:shd w:val="clear" w:color="auto" w:fill="CCEEFF"/>
          </w:tcPr>
          <w:p>
            <w:pPr>
              <w:jc w:val="center"/>
              <w:ind w:right="93"/>
              <w:spacing w:after="0" w:line="99" w:lineRule="exact"/>
              <w:rPr>
                <w:sz w:val="20"/>
                <w:szCs w:val="20"/>
                <w:color w:val="auto"/>
              </w:rPr>
            </w:pPr>
            <w:r>
              <w:rPr>
                <w:rFonts w:ascii="Arial" w:cs="Arial" w:eastAsia="Arial" w:hAnsi="Arial"/>
                <w:sz w:val="10"/>
                <w:szCs w:val="10"/>
                <w:color w:val="auto"/>
                <w:w w:val="99"/>
              </w:rPr>
              <w:t>—</w:t>
            </w:r>
          </w:p>
        </w:tc>
        <w:tc>
          <w:tcPr>
            <w:tcW w:w="1640" w:type="dxa"/>
            <w:vAlign w:val="bottom"/>
            <w:gridSpan w:val="2"/>
            <w:shd w:val="clear" w:color="auto" w:fill="CCEEFF"/>
          </w:tcPr>
          <w:p>
            <w:pPr>
              <w:jc w:val="right"/>
              <w:ind w:right="335"/>
              <w:spacing w:after="0" w:line="99" w:lineRule="exact"/>
              <w:rPr>
                <w:sz w:val="20"/>
                <w:szCs w:val="20"/>
                <w:color w:val="auto"/>
              </w:rPr>
            </w:pPr>
            <w:r>
              <w:rPr>
                <w:rFonts w:ascii="Arial" w:cs="Arial" w:eastAsia="Arial" w:hAnsi="Arial"/>
                <w:sz w:val="10"/>
                <w:szCs w:val="10"/>
                <w:color w:val="auto"/>
              </w:rPr>
              <w:t>189,534</w:t>
            </w:r>
          </w:p>
        </w:tc>
        <w:tc>
          <w:tcPr>
            <w:tcW w:w="2140" w:type="dxa"/>
            <w:vAlign w:val="bottom"/>
            <w:gridSpan w:val="3"/>
            <w:shd w:val="clear" w:color="auto" w:fill="CCEEFF"/>
          </w:tcPr>
          <w:p>
            <w:pPr>
              <w:jc w:val="right"/>
              <w:ind w:right="535"/>
              <w:spacing w:after="0" w:line="99" w:lineRule="exact"/>
              <w:rPr>
                <w:sz w:val="20"/>
                <w:szCs w:val="20"/>
                <w:color w:val="auto"/>
              </w:rPr>
            </w:pPr>
            <w:r>
              <w:rPr>
                <w:rFonts w:ascii="Arial" w:cs="Arial" w:eastAsia="Arial" w:hAnsi="Arial"/>
                <w:sz w:val="10"/>
                <w:szCs w:val="10"/>
                <w:color w:val="auto"/>
              </w:rPr>
              <w:t>2,838,887</w:t>
            </w:r>
          </w:p>
        </w:tc>
      </w:tr>
      <w:tr>
        <w:trPr>
          <w:trHeight w:val="99"/>
        </w:trPr>
        <w:tc>
          <w:tcPr>
            <w:tcW w:w="3140" w:type="dxa"/>
            <w:vAlign w:val="bottom"/>
            <w:gridSpan w:val="2"/>
          </w:tcPr>
          <w:p>
            <w:pPr>
              <w:spacing w:after="0" w:line="99" w:lineRule="exact"/>
              <w:rPr>
                <w:sz w:val="20"/>
                <w:szCs w:val="20"/>
                <w:color w:val="auto"/>
              </w:rPr>
            </w:pPr>
            <w:r>
              <w:rPr>
                <w:rFonts w:ascii="Arial" w:cs="Arial" w:eastAsia="Arial" w:hAnsi="Arial"/>
                <w:sz w:val="10"/>
                <w:szCs w:val="10"/>
                <w:color w:val="auto"/>
              </w:rPr>
              <w:t>David L. Cohen</w:t>
            </w:r>
          </w:p>
        </w:tc>
        <w:tc>
          <w:tcPr>
            <w:tcW w:w="1960" w:type="dxa"/>
            <w:vAlign w:val="bottom"/>
            <w:gridSpan w:val="3"/>
          </w:tcPr>
          <w:p>
            <w:pPr>
              <w:jc w:val="center"/>
              <w:ind w:right="340"/>
              <w:spacing w:after="0" w:line="99" w:lineRule="exact"/>
              <w:rPr>
                <w:sz w:val="20"/>
                <w:szCs w:val="20"/>
                <w:color w:val="auto"/>
              </w:rPr>
            </w:pPr>
            <w:r>
              <w:rPr>
                <w:rFonts w:ascii="Arial" w:cs="Arial" w:eastAsia="Arial" w:hAnsi="Arial"/>
                <w:sz w:val="10"/>
                <w:szCs w:val="10"/>
                <w:color w:val="auto"/>
                <w:w w:val="99"/>
              </w:rPr>
              <w:t>—</w:t>
            </w:r>
          </w:p>
        </w:tc>
        <w:tc>
          <w:tcPr>
            <w:tcW w:w="1120" w:type="dxa"/>
            <w:vAlign w:val="bottom"/>
          </w:tcPr>
          <w:p>
            <w:pPr>
              <w:jc w:val="center"/>
              <w:ind w:right="93"/>
              <w:spacing w:after="0" w:line="99" w:lineRule="exact"/>
              <w:rPr>
                <w:sz w:val="20"/>
                <w:szCs w:val="20"/>
                <w:color w:val="auto"/>
              </w:rPr>
            </w:pPr>
            <w:r>
              <w:rPr>
                <w:rFonts w:ascii="Arial" w:cs="Arial" w:eastAsia="Arial" w:hAnsi="Arial"/>
                <w:sz w:val="10"/>
                <w:szCs w:val="10"/>
                <w:color w:val="auto"/>
                <w:w w:val="99"/>
              </w:rPr>
              <w:t>—</w:t>
            </w:r>
          </w:p>
        </w:tc>
        <w:tc>
          <w:tcPr>
            <w:tcW w:w="1640" w:type="dxa"/>
            <w:vAlign w:val="bottom"/>
            <w:gridSpan w:val="2"/>
          </w:tcPr>
          <w:p>
            <w:pPr>
              <w:jc w:val="right"/>
              <w:ind w:right="335"/>
              <w:spacing w:after="0" w:line="99" w:lineRule="exact"/>
              <w:rPr>
                <w:sz w:val="20"/>
                <w:szCs w:val="20"/>
                <w:color w:val="auto"/>
              </w:rPr>
            </w:pPr>
            <w:r>
              <w:rPr>
                <w:rFonts w:ascii="Arial" w:cs="Arial" w:eastAsia="Arial" w:hAnsi="Arial"/>
                <w:sz w:val="10"/>
                <w:szCs w:val="10"/>
                <w:color w:val="auto"/>
              </w:rPr>
              <w:t>151,552</w:t>
            </w:r>
          </w:p>
        </w:tc>
        <w:tc>
          <w:tcPr>
            <w:tcW w:w="2140" w:type="dxa"/>
            <w:vAlign w:val="bottom"/>
            <w:gridSpan w:val="3"/>
          </w:tcPr>
          <w:p>
            <w:pPr>
              <w:jc w:val="right"/>
              <w:ind w:right="535"/>
              <w:spacing w:after="0" w:line="99" w:lineRule="exact"/>
              <w:rPr>
                <w:sz w:val="20"/>
                <w:szCs w:val="20"/>
                <w:color w:val="auto"/>
              </w:rPr>
            </w:pPr>
            <w:r>
              <w:rPr>
                <w:rFonts w:ascii="Arial" w:cs="Arial" w:eastAsia="Arial" w:hAnsi="Arial"/>
                <w:sz w:val="10"/>
                <w:szCs w:val="10"/>
                <w:color w:val="auto"/>
              </w:rPr>
              <w:t>1,905,076</w:t>
            </w:r>
          </w:p>
        </w:tc>
      </w:tr>
      <w:tr>
        <w:trPr>
          <w:trHeight w:val="99"/>
        </w:trPr>
        <w:tc>
          <w:tcPr>
            <w:tcW w:w="3140" w:type="dxa"/>
            <w:vAlign w:val="bottom"/>
            <w:gridSpan w:val="2"/>
            <w:shd w:val="clear" w:color="auto" w:fill="CCEEFF"/>
          </w:tcPr>
          <w:p>
            <w:pPr>
              <w:spacing w:after="0" w:line="99" w:lineRule="exact"/>
              <w:rPr>
                <w:sz w:val="20"/>
                <w:szCs w:val="20"/>
                <w:color w:val="auto"/>
              </w:rPr>
            </w:pPr>
            <w:r>
              <w:rPr>
                <w:rFonts w:ascii="Arial" w:cs="Arial" w:eastAsia="Arial" w:hAnsi="Arial"/>
                <w:sz w:val="10"/>
                <w:szCs w:val="10"/>
                <w:color w:val="auto"/>
              </w:rPr>
              <w:t>Arthur R. Block</w:t>
            </w:r>
          </w:p>
        </w:tc>
        <w:tc>
          <w:tcPr>
            <w:tcW w:w="1960" w:type="dxa"/>
            <w:vAlign w:val="bottom"/>
            <w:gridSpan w:val="3"/>
            <w:shd w:val="clear" w:color="auto" w:fill="CCEEFF"/>
          </w:tcPr>
          <w:p>
            <w:pPr>
              <w:jc w:val="center"/>
              <w:ind w:right="340"/>
              <w:spacing w:after="0" w:line="99" w:lineRule="exact"/>
              <w:rPr>
                <w:sz w:val="20"/>
                <w:szCs w:val="20"/>
                <w:color w:val="auto"/>
              </w:rPr>
            </w:pPr>
            <w:r>
              <w:rPr>
                <w:rFonts w:ascii="Arial" w:cs="Arial" w:eastAsia="Arial" w:hAnsi="Arial"/>
                <w:sz w:val="10"/>
                <w:szCs w:val="10"/>
                <w:color w:val="auto"/>
                <w:w w:val="99"/>
              </w:rPr>
              <w:t>—</w:t>
            </w:r>
          </w:p>
        </w:tc>
        <w:tc>
          <w:tcPr>
            <w:tcW w:w="1120" w:type="dxa"/>
            <w:vAlign w:val="bottom"/>
            <w:shd w:val="clear" w:color="auto" w:fill="CCEEFF"/>
          </w:tcPr>
          <w:p>
            <w:pPr>
              <w:jc w:val="center"/>
              <w:ind w:right="93"/>
              <w:spacing w:after="0" w:line="99" w:lineRule="exact"/>
              <w:rPr>
                <w:sz w:val="20"/>
                <w:szCs w:val="20"/>
                <w:color w:val="auto"/>
              </w:rPr>
            </w:pPr>
            <w:r>
              <w:rPr>
                <w:rFonts w:ascii="Arial" w:cs="Arial" w:eastAsia="Arial" w:hAnsi="Arial"/>
                <w:sz w:val="10"/>
                <w:szCs w:val="10"/>
                <w:color w:val="auto"/>
                <w:w w:val="99"/>
              </w:rPr>
              <w:t>—</w:t>
            </w:r>
          </w:p>
        </w:tc>
        <w:tc>
          <w:tcPr>
            <w:tcW w:w="1640" w:type="dxa"/>
            <w:vAlign w:val="bottom"/>
            <w:gridSpan w:val="2"/>
            <w:shd w:val="clear" w:color="auto" w:fill="CCEEFF"/>
          </w:tcPr>
          <w:p>
            <w:pPr>
              <w:jc w:val="right"/>
              <w:ind w:right="335"/>
              <w:spacing w:after="0" w:line="99" w:lineRule="exact"/>
              <w:rPr>
                <w:sz w:val="20"/>
                <w:szCs w:val="20"/>
                <w:color w:val="auto"/>
              </w:rPr>
            </w:pPr>
            <w:r>
              <w:rPr>
                <w:rFonts w:ascii="Arial" w:cs="Arial" w:eastAsia="Arial" w:hAnsi="Arial"/>
                <w:sz w:val="10"/>
                <w:szCs w:val="10"/>
                <w:color w:val="auto"/>
              </w:rPr>
              <w:t>28,807</w:t>
            </w:r>
          </w:p>
        </w:tc>
        <w:tc>
          <w:tcPr>
            <w:tcW w:w="2140" w:type="dxa"/>
            <w:vAlign w:val="bottom"/>
            <w:gridSpan w:val="3"/>
            <w:shd w:val="clear" w:color="auto" w:fill="CCEEFF"/>
          </w:tcPr>
          <w:p>
            <w:pPr>
              <w:jc w:val="right"/>
              <w:ind w:right="535"/>
              <w:spacing w:after="0" w:line="99" w:lineRule="exact"/>
              <w:rPr>
                <w:sz w:val="20"/>
                <w:szCs w:val="20"/>
                <w:color w:val="auto"/>
              </w:rPr>
            </w:pPr>
            <w:r>
              <w:rPr>
                <w:rFonts w:ascii="Arial" w:cs="Arial" w:eastAsia="Arial" w:hAnsi="Arial"/>
                <w:sz w:val="10"/>
                <w:szCs w:val="10"/>
                <w:color w:val="auto"/>
              </w:rPr>
              <w:t>367,968</w:t>
            </w:r>
          </w:p>
        </w:tc>
      </w:tr>
    </w:tbl>
    <w:p>
      <w:pPr>
        <w:spacing w:after="0" w:line="140" w:lineRule="exact"/>
        <w:rPr>
          <w:sz w:val="20"/>
          <w:szCs w:val="20"/>
          <w:color w:val="auto"/>
        </w:rPr>
      </w:pPr>
    </w:p>
    <w:p>
      <w:pPr>
        <w:ind w:left="680"/>
        <w:spacing w:after="0"/>
        <w:rPr>
          <w:sz w:val="20"/>
          <w:szCs w:val="20"/>
          <w:color w:val="auto"/>
        </w:rPr>
      </w:pPr>
      <w:r>
        <w:rPr>
          <w:rFonts w:ascii="Arial" w:cs="Arial" w:eastAsia="Arial" w:hAnsi="Arial"/>
          <w:sz w:val="12"/>
          <w:szCs w:val="12"/>
          <w:b w:val="1"/>
          <w:bCs w:val="1"/>
          <w:color w:val="auto"/>
        </w:rPr>
        <w:t>Pension Benefits at 2009 Fiscal Year-End</w:t>
      </w:r>
    </w:p>
    <w:p>
      <w:pPr>
        <w:spacing w:after="0" w:line="91"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None of our named executive officers participated in a defined benefit pension plan during 2009.</w:t>
      </w:r>
    </w:p>
    <w:p>
      <w:pPr>
        <w:spacing w:after="0" w:line="155" w:lineRule="exact"/>
        <w:rPr>
          <w:sz w:val="20"/>
          <w:szCs w:val="20"/>
          <w:color w:val="auto"/>
        </w:rPr>
      </w:pPr>
    </w:p>
    <w:p>
      <w:pPr>
        <w:ind w:left="680"/>
        <w:spacing w:after="0"/>
        <w:rPr>
          <w:sz w:val="20"/>
          <w:szCs w:val="20"/>
          <w:color w:val="auto"/>
        </w:rPr>
      </w:pPr>
      <w:r>
        <w:rPr>
          <w:rFonts w:ascii="Arial" w:cs="Arial" w:eastAsia="Arial" w:hAnsi="Arial"/>
          <w:sz w:val="12"/>
          <w:szCs w:val="12"/>
          <w:b w:val="1"/>
          <w:bCs w:val="1"/>
          <w:color w:val="auto"/>
        </w:rPr>
        <w:t>Nonqualified Deferred Compensation in and as of 2009 Fiscal Year-End</w:t>
      </w:r>
    </w:p>
    <w:p>
      <w:pPr>
        <w:spacing w:after="0" w:line="91"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table below provides information on the nonqualified deferred compensation of our named executive officers in and as of the end of 2009.</w:t>
      </w:r>
      <w:r>
        <w:rPr>
          <w:rFonts w:ascii="Arial" w:cs="Arial" w:eastAsia="Arial" w:hAnsi="Arial"/>
          <w:sz w:val="10"/>
          <w:szCs w:val="10"/>
          <w:color w:val="auto"/>
        </w:rPr>
        <w:t>1</w:t>
      </w:r>
    </w:p>
    <w:p>
      <w:pPr>
        <w:spacing w:after="0" w:line="7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jc w:val="center"/>
              <w:spacing w:after="0"/>
              <w:rPr>
                <w:sz w:val="20"/>
                <w:szCs w:val="20"/>
                <w:color w:val="auto"/>
              </w:rPr>
            </w:pPr>
            <w:r>
              <w:rPr>
                <w:rFonts w:ascii="Arial" w:cs="Arial" w:eastAsia="Arial" w:hAnsi="Arial"/>
                <w:sz w:val="10"/>
                <w:szCs w:val="10"/>
                <w:b w:val="1"/>
                <w:bCs w:val="1"/>
                <w:color w:val="auto"/>
                <w:w w:val="85"/>
              </w:rPr>
              <w:t>Executive</w:t>
            </w:r>
          </w:p>
        </w:tc>
        <w:tc>
          <w:tcPr>
            <w:tcW w:w="80" w:type="dxa"/>
            <w:vAlign w:val="bottom"/>
          </w:tcPr>
          <w:p>
            <w:pPr>
              <w:spacing w:after="0"/>
              <w:rPr>
                <w:sz w:val="10"/>
                <w:szCs w:val="10"/>
                <w:color w:val="auto"/>
              </w:rPr>
            </w:pPr>
          </w:p>
        </w:tc>
        <w:tc>
          <w:tcPr>
            <w:tcW w:w="1280" w:type="dxa"/>
            <w:vAlign w:val="bottom"/>
          </w:tcPr>
          <w:p>
            <w:pPr>
              <w:jc w:val="center"/>
              <w:spacing w:after="0"/>
              <w:rPr>
                <w:sz w:val="20"/>
                <w:szCs w:val="20"/>
                <w:color w:val="auto"/>
              </w:rPr>
            </w:pPr>
            <w:r>
              <w:rPr>
                <w:rFonts w:ascii="Arial" w:cs="Arial" w:eastAsia="Arial" w:hAnsi="Arial"/>
                <w:sz w:val="10"/>
                <w:szCs w:val="10"/>
                <w:b w:val="1"/>
                <w:bCs w:val="1"/>
                <w:color w:val="auto"/>
                <w:w w:val="88"/>
              </w:rPr>
              <w:t>Registrant</w:t>
            </w:r>
          </w:p>
        </w:tc>
        <w:tc>
          <w:tcPr>
            <w:tcW w:w="80" w:type="dxa"/>
            <w:vAlign w:val="bottom"/>
          </w:tcPr>
          <w:p>
            <w:pPr>
              <w:spacing w:after="0"/>
              <w:rPr>
                <w:sz w:val="10"/>
                <w:szCs w:val="10"/>
                <w:color w:val="auto"/>
              </w:rPr>
            </w:pPr>
          </w:p>
        </w:tc>
        <w:tc>
          <w:tcPr>
            <w:tcW w:w="1320" w:type="dxa"/>
            <w:vAlign w:val="bottom"/>
          </w:tcPr>
          <w:p>
            <w:pPr>
              <w:jc w:val="center"/>
              <w:spacing w:after="0"/>
              <w:rPr>
                <w:sz w:val="20"/>
                <w:szCs w:val="20"/>
                <w:color w:val="auto"/>
              </w:rPr>
            </w:pPr>
            <w:r>
              <w:rPr>
                <w:rFonts w:ascii="Arial" w:cs="Arial" w:eastAsia="Arial" w:hAnsi="Arial"/>
                <w:sz w:val="10"/>
                <w:szCs w:val="10"/>
                <w:b w:val="1"/>
                <w:bCs w:val="1"/>
                <w:color w:val="auto"/>
                <w:w w:val="84"/>
              </w:rPr>
              <w:t>Aggregate</w:t>
            </w:r>
          </w:p>
        </w:tc>
        <w:tc>
          <w:tcPr>
            <w:tcW w:w="80" w:type="dxa"/>
            <w:vAlign w:val="bottom"/>
          </w:tcPr>
          <w:p>
            <w:pPr>
              <w:spacing w:after="0"/>
              <w:rPr>
                <w:sz w:val="10"/>
                <w:szCs w:val="10"/>
                <w:color w:val="auto"/>
              </w:rPr>
            </w:pPr>
          </w:p>
        </w:tc>
        <w:tc>
          <w:tcPr>
            <w:tcW w:w="1560" w:type="dxa"/>
            <w:vAlign w:val="bottom"/>
          </w:tcPr>
          <w:p>
            <w:pPr>
              <w:jc w:val="center"/>
              <w:spacing w:after="0"/>
              <w:rPr>
                <w:sz w:val="20"/>
                <w:szCs w:val="20"/>
                <w:color w:val="auto"/>
              </w:rPr>
            </w:pPr>
            <w:r>
              <w:rPr>
                <w:rFonts w:ascii="Arial" w:cs="Arial" w:eastAsia="Arial" w:hAnsi="Arial"/>
                <w:sz w:val="10"/>
                <w:szCs w:val="10"/>
                <w:b w:val="1"/>
                <w:bCs w:val="1"/>
                <w:color w:val="auto"/>
                <w:w w:val="84"/>
              </w:rPr>
              <w:t>Aggregate</w:t>
            </w:r>
          </w:p>
        </w:tc>
        <w:tc>
          <w:tcPr>
            <w:tcW w:w="80" w:type="dxa"/>
            <w:vAlign w:val="bottom"/>
          </w:tcPr>
          <w:p>
            <w:pPr>
              <w:spacing w:after="0"/>
              <w:rPr>
                <w:sz w:val="10"/>
                <w:szCs w:val="10"/>
                <w:color w:val="auto"/>
              </w:rPr>
            </w:pPr>
          </w:p>
        </w:tc>
        <w:tc>
          <w:tcPr>
            <w:tcW w:w="1360" w:type="dxa"/>
            <w:vAlign w:val="bottom"/>
          </w:tcPr>
          <w:p>
            <w:pPr>
              <w:jc w:val="center"/>
              <w:spacing w:after="0"/>
              <w:rPr>
                <w:sz w:val="20"/>
                <w:szCs w:val="20"/>
                <w:color w:val="auto"/>
              </w:rPr>
            </w:pPr>
            <w:r>
              <w:rPr>
                <w:rFonts w:ascii="Arial" w:cs="Arial" w:eastAsia="Arial" w:hAnsi="Arial"/>
                <w:sz w:val="10"/>
                <w:szCs w:val="10"/>
                <w:b w:val="1"/>
                <w:bCs w:val="1"/>
                <w:color w:val="auto"/>
                <w:w w:val="84"/>
              </w:rPr>
              <w:t>Aggregate</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7"/>
              </w:rPr>
              <w:t>Contributions in</w:t>
            </w:r>
          </w:p>
        </w:tc>
        <w:tc>
          <w:tcPr>
            <w:tcW w:w="80" w:type="dxa"/>
            <w:vAlign w:val="bottom"/>
          </w:tcPr>
          <w:p>
            <w:pPr>
              <w:spacing w:after="0"/>
              <w:rPr>
                <w:sz w:val="8"/>
                <w:szCs w:val="8"/>
                <w:color w:val="auto"/>
              </w:rPr>
            </w:pPr>
          </w:p>
        </w:tc>
        <w:tc>
          <w:tcPr>
            <w:tcW w:w="128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7"/>
              </w:rPr>
              <w:t>Contributions in</w:t>
            </w:r>
          </w:p>
        </w:tc>
        <w:tc>
          <w:tcPr>
            <w:tcW w:w="80" w:type="dxa"/>
            <w:vAlign w:val="bottom"/>
          </w:tcPr>
          <w:p>
            <w:pPr>
              <w:spacing w:after="0"/>
              <w:rPr>
                <w:sz w:val="8"/>
                <w:szCs w:val="8"/>
                <w:color w:val="auto"/>
              </w:rPr>
            </w:pPr>
          </w:p>
        </w:tc>
        <w:tc>
          <w:tcPr>
            <w:tcW w:w="132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7"/>
              </w:rPr>
              <w:t>Earnings in Last</w:t>
            </w:r>
          </w:p>
        </w:tc>
        <w:tc>
          <w:tcPr>
            <w:tcW w:w="80" w:type="dxa"/>
            <w:vAlign w:val="bottom"/>
          </w:tcPr>
          <w:p>
            <w:pPr>
              <w:spacing w:after="0"/>
              <w:rPr>
                <w:sz w:val="8"/>
                <w:szCs w:val="8"/>
                <w:color w:val="auto"/>
              </w:rPr>
            </w:pPr>
          </w:p>
        </w:tc>
        <w:tc>
          <w:tcPr>
            <w:tcW w:w="156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90"/>
              </w:rPr>
              <w:t>Withdrawals/</w:t>
            </w:r>
          </w:p>
        </w:tc>
        <w:tc>
          <w:tcPr>
            <w:tcW w:w="80" w:type="dxa"/>
            <w:vAlign w:val="bottom"/>
          </w:tcPr>
          <w:p>
            <w:pPr>
              <w:spacing w:after="0"/>
              <w:rPr>
                <w:sz w:val="8"/>
                <w:szCs w:val="8"/>
                <w:color w:val="auto"/>
              </w:rPr>
            </w:pPr>
          </w:p>
        </w:tc>
        <w:tc>
          <w:tcPr>
            <w:tcW w:w="136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7"/>
              </w:rPr>
              <w:t>Balance at Last</w:t>
            </w:r>
          </w:p>
        </w:tc>
        <w:tc>
          <w:tcPr>
            <w:tcW w:w="0" w:type="dxa"/>
            <w:vAlign w:val="bottom"/>
          </w:tcPr>
          <w:p>
            <w:pPr>
              <w:spacing w:after="0"/>
              <w:rPr>
                <w:sz w:val="1"/>
                <w:szCs w:val="1"/>
                <w:color w:val="auto"/>
              </w:rPr>
            </w:pPr>
          </w:p>
        </w:tc>
      </w:tr>
      <w:tr>
        <w:trPr>
          <w:trHeight w:val="114"/>
        </w:trPr>
        <w:tc>
          <w:tcPr>
            <w:tcW w:w="2820" w:type="dxa"/>
            <w:vAlign w:val="bottom"/>
            <w:gridSpan w:val="3"/>
          </w:tcPr>
          <w:p>
            <w:pPr>
              <w:spacing w:after="0" w:line="114" w:lineRule="exact"/>
              <w:rPr>
                <w:sz w:val="20"/>
                <w:szCs w:val="20"/>
                <w:color w:val="auto"/>
              </w:rPr>
            </w:pPr>
            <w:r>
              <w:rPr>
                <w:rFonts w:ascii="Arial" w:cs="Arial" w:eastAsia="Arial" w:hAnsi="Arial"/>
                <w:sz w:val="10"/>
                <w:szCs w:val="10"/>
                <w:b w:val="1"/>
                <w:bCs w:val="1"/>
                <w:color w:val="auto"/>
              </w:rPr>
              <w:t>Name</w:t>
            </w:r>
          </w:p>
        </w:tc>
        <w:tc>
          <w:tcPr>
            <w:tcW w:w="80" w:type="dxa"/>
            <w:vAlign w:val="bottom"/>
          </w:tcPr>
          <w:p>
            <w:pPr>
              <w:spacing w:after="0"/>
              <w:rPr>
                <w:sz w:val="9"/>
                <w:szCs w:val="9"/>
                <w:color w:val="auto"/>
              </w:rPr>
            </w:pPr>
          </w:p>
        </w:tc>
        <w:tc>
          <w:tcPr>
            <w:tcW w:w="126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91"/>
              </w:rPr>
              <w:t>Last FY ($)</w:t>
            </w:r>
            <w:r>
              <w:rPr>
                <w:rFonts w:ascii="Arial" w:cs="Arial" w:eastAsia="Arial" w:hAnsi="Arial"/>
                <w:sz w:val="8"/>
                <w:szCs w:val="8"/>
                <w:b w:val="1"/>
                <w:bCs w:val="1"/>
                <w:color w:val="auto"/>
                <w:w w:val="91"/>
              </w:rPr>
              <w:t>(2)</w:t>
            </w:r>
          </w:p>
        </w:tc>
        <w:tc>
          <w:tcPr>
            <w:tcW w:w="80" w:type="dxa"/>
            <w:vAlign w:val="bottom"/>
          </w:tcPr>
          <w:p>
            <w:pPr>
              <w:spacing w:after="0"/>
              <w:rPr>
                <w:sz w:val="9"/>
                <w:szCs w:val="9"/>
                <w:color w:val="auto"/>
              </w:rPr>
            </w:pPr>
          </w:p>
        </w:tc>
        <w:tc>
          <w:tcPr>
            <w:tcW w:w="128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91"/>
              </w:rPr>
              <w:t>Last FY ($)</w:t>
            </w:r>
            <w:r>
              <w:rPr>
                <w:rFonts w:ascii="Arial" w:cs="Arial" w:eastAsia="Arial" w:hAnsi="Arial"/>
                <w:sz w:val="8"/>
                <w:szCs w:val="8"/>
                <w:b w:val="1"/>
                <w:bCs w:val="1"/>
                <w:color w:val="auto"/>
                <w:w w:val="91"/>
              </w:rPr>
              <w:t>(3)</w:t>
            </w:r>
          </w:p>
        </w:tc>
        <w:tc>
          <w:tcPr>
            <w:tcW w:w="80" w:type="dxa"/>
            <w:vAlign w:val="bottom"/>
          </w:tcPr>
          <w:p>
            <w:pPr>
              <w:spacing w:after="0"/>
              <w:rPr>
                <w:sz w:val="9"/>
                <w:szCs w:val="9"/>
                <w:color w:val="auto"/>
              </w:rPr>
            </w:pPr>
          </w:p>
        </w:tc>
        <w:tc>
          <w:tcPr>
            <w:tcW w:w="132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95"/>
              </w:rPr>
              <w:t>FY ($)</w:t>
            </w:r>
            <w:r>
              <w:rPr>
                <w:rFonts w:ascii="Arial" w:cs="Arial" w:eastAsia="Arial" w:hAnsi="Arial"/>
                <w:sz w:val="8"/>
                <w:szCs w:val="8"/>
                <w:b w:val="1"/>
                <w:bCs w:val="1"/>
                <w:color w:val="auto"/>
                <w:w w:val="95"/>
              </w:rPr>
              <w:t>(4)</w:t>
            </w:r>
          </w:p>
        </w:tc>
        <w:tc>
          <w:tcPr>
            <w:tcW w:w="80" w:type="dxa"/>
            <w:vAlign w:val="bottom"/>
          </w:tcPr>
          <w:p>
            <w:pPr>
              <w:spacing w:after="0"/>
              <w:rPr>
                <w:sz w:val="9"/>
                <w:szCs w:val="9"/>
                <w:color w:val="auto"/>
              </w:rPr>
            </w:pPr>
          </w:p>
        </w:tc>
        <w:tc>
          <w:tcPr>
            <w:tcW w:w="156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87"/>
              </w:rPr>
              <w:t>Distributions ($)</w:t>
            </w:r>
            <w:r>
              <w:rPr>
                <w:rFonts w:ascii="Arial" w:cs="Arial" w:eastAsia="Arial" w:hAnsi="Arial"/>
                <w:sz w:val="8"/>
                <w:szCs w:val="8"/>
                <w:b w:val="1"/>
                <w:bCs w:val="1"/>
                <w:color w:val="auto"/>
                <w:w w:val="87"/>
              </w:rPr>
              <w:t>(5)</w:t>
            </w:r>
          </w:p>
        </w:tc>
        <w:tc>
          <w:tcPr>
            <w:tcW w:w="80" w:type="dxa"/>
            <w:vAlign w:val="bottom"/>
          </w:tcPr>
          <w:p>
            <w:pPr>
              <w:spacing w:after="0"/>
              <w:rPr>
                <w:sz w:val="9"/>
                <w:szCs w:val="9"/>
                <w:color w:val="auto"/>
              </w:rPr>
            </w:pPr>
          </w:p>
        </w:tc>
        <w:tc>
          <w:tcPr>
            <w:tcW w:w="136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94"/>
              </w:rPr>
              <w:t>FYE ($)</w:t>
            </w:r>
            <w:r>
              <w:rPr>
                <w:rFonts w:ascii="Arial" w:cs="Arial" w:eastAsia="Arial" w:hAnsi="Arial"/>
                <w:sz w:val="8"/>
                <w:szCs w:val="8"/>
                <w:b w:val="1"/>
                <w:bCs w:val="1"/>
                <w:color w:val="auto"/>
                <w:w w:val="94"/>
              </w:rPr>
              <w:t>(6)</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15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Brian L. Roberts</w:t>
            </w:r>
          </w:p>
        </w:tc>
        <w:tc>
          <w:tcPr>
            <w:tcW w:w="1340" w:type="dxa"/>
            <w:vAlign w:val="bottom"/>
            <w:gridSpan w:val="2"/>
            <w:shd w:val="clear" w:color="auto" w:fill="CCEEFF"/>
          </w:tcPr>
          <w:p>
            <w:pPr>
              <w:jc w:val="right"/>
              <w:ind w:right="370"/>
              <w:spacing w:after="0"/>
              <w:rPr>
                <w:sz w:val="20"/>
                <w:szCs w:val="20"/>
                <w:color w:val="auto"/>
              </w:rPr>
            </w:pPr>
            <w:r>
              <w:rPr>
                <w:rFonts w:ascii="Arial" w:cs="Arial" w:eastAsia="Arial" w:hAnsi="Arial"/>
                <w:sz w:val="11"/>
                <w:szCs w:val="11"/>
                <w:color w:val="auto"/>
              </w:rPr>
              <w:t>$5,545,653</w:t>
            </w:r>
          </w:p>
        </w:tc>
        <w:tc>
          <w:tcPr>
            <w:tcW w:w="1360" w:type="dxa"/>
            <w:vAlign w:val="bottom"/>
            <w:gridSpan w:val="2"/>
            <w:shd w:val="clear" w:color="auto" w:fill="CCEEFF"/>
          </w:tcPr>
          <w:p>
            <w:pPr>
              <w:jc w:val="right"/>
              <w:ind w:right="370"/>
              <w:spacing w:after="0"/>
              <w:rPr>
                <w:sz w:val="20"/>
                <w:szCs w:val="20"/>
                <w:color w:val="auto"/>
              </w:rPr>
            </w:pPr>
            <w:r>
              <w:rPr>
                <w:rFonts w:ascii="Arial" w:cs="Arial" w:eastAsia="Arial" w:hAnsi="Arial"/>
                <w:sz w:val="11"/>
                <w:szCs w:val="11"/>
                <w:color w:val="auto"/>
              </w:rPr>
              <w:t>$2,431,012</w:t>
            </w:r>
          </w:p>
        </w:tc>
        <w:tc>
          <w:tcPr>
            <w:tcW w:w="1400" w:type="dxa"/>
            <w:vAlign w:val="bottom"/>
            <w:gridSpan w:val="2"/>
            <w:shd w:val="clear" w:color="auto" w:fill="CCEEFF"/>
          </w:tcPr>
          <w:p>
            <w:pPr>
              <w:jc w:val="right"/>
              <w:ind w:right="412"/>
              <w:spacing w:after="0"/>
              <w:rPr>
                <w:sz w:val="20"/>
                <w:szCs w:val="20"/>
                <w:color w:val="auto"/>
              </w:rPr>
            </w:pPr>
            <w:r>
              <w:rPr>
                <w:rFonts w:ascii="Arial" w:cs="Arial" w:eastAsia="Arial" w:hAnsi="Arial"/>
                <w:sz w:val="11"/>
                <w:szCs w:val="11"/>
                <w:color w:val="auto"/>
              </w:rPr>
              <w:t>$3,680,797</w:t>
            </w:r>
          </w:p>
        </w:tc>
        <w:tc>
          <w:tcPr>
            <w:tcW w:w="1640" w:type="dxa"/>
            <w:vAlign w:val="bottom"/>
            <w:gridSpan w:val="2"/>
            <w:shd w:val="clear" w:color="auto" w:fill="CCEEFF"/>
          </w:tcPr>
          <w:p>
            <w:pPr>
              <w:jc w:val="right"/>
              <w:ind w:right="430"/>
              <w:spacing w:after="0"/>
              <w:rPr>
                <w:sz w:val="20"/>
                <w:szCs w:val="20"/>
                <w:color w:val="auto"/>
              </w:rPr>
            </w:pPr>
            <w:r>
              <w:rPr>
                <w:rFonts w:ascii="Arial" w:cs="Arial" w:eastAsia="Arial" w:hAnsi="Arial"/>
                <w:sz w:val="11"/>
                <w:szCs w:val="11"/>
                <w:color w:val="auto"/>
              </w:rPr>
              <w:t>$ (5,000,000)</w:t>
            </w:r>
          </w:p>
        </w:tc>
        <w:tc>
          <w:tcPr>
            <w:tcW w:w="1440" w:type="dxa"/>
            <w:vAlign w:val="bottom"/>
            <w:gridSpan w:val="2"/>
            <w:shd w:val="clear" w:color="auto" w:fill="CCEEFF"/>
          </w:tcPr>
          <w:p>
            <w:pPr>
              <w:jc w:val="right"/>
              <w:ind w:right="392"/>
              <w:spacing w:after="0"/>
              <w:rPr>
                <w:sz w:val="20"/>
                <w:szCs w:val="20"/>
                <w:color w:val="auto"/>
              </w:rPr>
            </w:pPr>
            <w:r>
              <w:rPr>
                <w:rFonts w:ascii="Arial" w:cs="Arial" w:eastAsia="Arial" w:hAnsi="Arial"/>
                <w:sz w:val="11"/>
                <w:szCs w:val="11"/>
                <w:color w:val="auto"/>
              </w:rPr>
              <w:t>$33,592,982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00" w:type="dxa"/>
            <w:vAlign w:val="bottom"/>
            <w:gridSpan w:val="2"/>
          </w:tcPr>
          <w:p>
            <w:pPr>
              <w:spacing w:after="0"/>
              <w:rPr>
                <w:sz w:val="20"/>
                <w:szCs w:val="20"/>
                <w:color w:val="auto"/>
              </w:rPr>
            </w:pPr>
            <w:r>
              <w:rPr>
                <w:rFonts w:ascii="Arial" w:cs="Arial" w:eastAsia="Arial" w:hAnsi="Arial"/>
                <w:sz w:val="11"/>
                <w:szCs w:val="11"/>
                <w:color w:val="auto"/>
              </w:rPr>
              <w:t>Michael J. Angelakis</w:t>
            </w:r>
          </w:p>
        </w:tc>
        <w:tc>
          <w:tcPr>
            <w:tcW w:w="1340" w:type="dxa"/>
            <w:vAlign w:val="bottom"/>
            <w:gridSpan w:val="2"/>
          </w:tcPr>
          <w:p>
            <w:pPr>
              <w:jc w:val="right"/>
              <w:ind w:right="370"/>
              <w:spacing w:after="0"/>
              <w:rPr>
                <w:sz w:val="20"/>
                <w:szCs w:val="20"/>
                <w:color w:val="auto"/>
              </w:rPr>
            </w:pPr>
            <w:r>
              <w:rPr>
                <w:rFonts w:ascii="Arial" w:cs="Arial" w:eastAsia="Arial" w:hAnsi="Arial"/>
                <w:sz w:val="11"/>
                <w:szCs w:val="11"/>
                <w:color w:val="auto"/>
              </w:rPr>
              <w:t>2,220,889</w:t>
            </w:r>
          </w:p>
        </w:tc>
        <w:tc>
          <w:tcPr>
            <w:tcW w:w="1360" w:type="dxa"/>
            <w:vAlign w:val="bottom"/>
            <w:gridSpan w:val="2"/>
          </w:tcPr>
          <w:p>
            <w:pPr>
              <w:jc w:val="right"/>
              <w:ind w:right="370"/>
              <w:spacing w:after="0"/>
              <w:rPr>
                <w:sz w:val="20"/>
                <w:szCs w:val="20"/>
                <w:color w:val="auto"/>
              </w:rPr>
            </w:pPr>
            <w:r>
              <w:rPr>
                <w:rFonts w:ascii="Arial" w:cs="Arial" w:eastAsia="Arial" w:hAnsi="Arial"/>
                <w:sz w:val="11"/>
                <w:szCs w:val="11"/>
                <w:color w:val="auto"/>
              </w:rPr>
              <w:t>2,458,600</w:t>
            </w:r>
          </w:p>
        </w:tc>
        <w:tc>
          <w:tcPr>
            <w:tcW w:w="1400" w:type="dxa"/>
            <w:vAlign w:val="bottom"/>
            <w:gridSpan w:val="2"/>
          </w:tcPr>
          <w:p>
            <w:pPr>
              <w:jc w:val="right"/>
              <w:ind w:right="412"/>
              <w:spacing w:after="0"/>
              <w:rPr>
                <w:sz w:val="20"/>
                <w:szCs w:val="20"/>
                <w:color w:val="auto"/>
              </w:rPr>
            </w:pPr>
            <w:r>
              <w:rPr>
                <w:rFonts w:ascii="Arial" w:cs="Arial" w:eastAsia="Arial" w:hAnsi="Arial"/>
                <w:sz w:val="11"/>
                <w:szCs w:val="11"/>
                <w:color w:val="auto"/>
              </w:rPr>
              <w:t>2,008,812</w:t>
            </w:r>
          </w:p>
        </w:tc>
        <w:tc>
          <w:tcPr>
            <w:tcW w:w="80" w:type="dxa"/>
            <w:vAlign w:val="bottom"/>
          </w:tcPr>
          <w:p>
            <w:pPr>
              <w:spacing w:after="0"/>
              <w:rPr>
                <w:sz w:val="11"/>
                <w:szCs w:val="11"/>
                <w:color w:val="auto"/>
              </w:rPr>
            </w:pPr>
          </w:p>
        </w:tc>
        <w:tc>
          <w:tcPr>
            <w:tcW w:w="1560" w:type="dxa"/>
            <w:vAlign w:val="bottom"/>
          </w:tcPr>
          <w:p>
            <w:pPr>
              <w:jc w:val="right"/>
              <w:ind w:right="470"/>
              <w:spacing w:after="0"/>
              <w:rPr>
                <w:sz w:val="20"/>
                <w:szCs w:val="20"/>
                <w:color w:val="auto"/>
              </w:rPr>
            </w:pPr>
            <w:r>
              <w:rPr>
                <w:rFonts w:ascii="Arial" w:cs="Arial" w:eastAsia="Arial" w:hAnsi="Arial"/>
                <w:sz w:val="11"/>
                <w:szCs w:val="11"/>
                <w:color w:val="auto"/>
              </w:rPr>
              <w:t>—</w:t>
            </w:r>
          </w:p>
        </w:tc>
        <w:tc>
          <w:tcPr>
            <w:tcW w:w="1440" w:type="dxa"/>
            <w:vAlign w:val="bottom"/>
            <w:gridSpan w:val="2"/>
          </w:tcPr>
          <w:p>
            <w:pPr>
              <w:jc w:val="right"/>
              <w:ind w:right="392"/>
              <w:spacing w:after="0"/>
              <w:rPr>
                <w:sz w:val="20"/>
                <w:szCs w:val="20"/>
                <w:color w:val="auto"/>
              </w:rPr>
            </w:pPr>
            <w:r>
              <w:rPr>
                <w:rFonts w:ascii="Arial" w:cs="Arial" w:eastAsia="Arial" w:hAnsi="Arial"/>
                <w:sz w:val="11"/>
                <w:szCs w:val="11"/>
                <w:color w:val="auto"/>
              </w:rPr>
              <w:t>20,139,687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Stephen B. Burke</w:t>
            </w:r>
          </w:p>
        </w:tc>
        <w:tc>
          <w:tcPr>
            <w:tcW w:w="80" w:type="dxa"/>
            <w:vAlign w:val="bottom"/>
            <w:shd w:val="clear" w:color="auto" w:fill="CCEEFF"/>
          </w:tcPr>
          <w:p>
            <w:pPr>
              <w:spacing w:after="0"/>
              <w:rPr>
                <w:sz w:val="11"/>
                <w:szCs w:val="11"/>
                <w:color w:val="auto"/>
              </w:rPr>
            </w:pPr>
          </w:p>
        </w:tc>
        <w:tc>
          <w:tcPr>
            <w:tcW w:w="1260" w:type="dxa"/>
            <w:vAlign w:val="bottom"/>
            <w:shd w:val="clear" w:color="auto" w:fill="CCEEFF"/>
          </w:tcPr>
          <w:p>
            <w:pPr>
              <w:jc w:val="right"/>
              <w:ind w:right="370"/>
              <w:spacing w:after="0"/>
              <w:rPr>
                <w:sz w:val="20"/>
                <w:szCs w:val="20"/>
                <w:color w:val="auto"/>
              </w:rPr>
            </w:pPr>
            <w:r>
              <w:rPr>
                <w:rFonts w:ascii="Arial" w:cs="Arial" w:eastAsia="Arial" w:hAnsi="Arial"/>
                <w:sz w:val="11"/>
                <w:szCs w:val="11"/>
                <w:color w:val="auto"/>
              </w:rPr>
              <w:t>—</w:t>
            </w:r>
          </w:p>
        </w:tc>
        <w:tc>
          <w:tcPr>
            <w:tcW w:w="1360" w:type="dxa"/>
            <w:vAlign w:val="bottom"/>
            <w:gridSpan w:val="2"/>
            <w:shd w:val="clear" w:color="auto" w:fill="CCEEFF"/>
          </w:tcPr>
          <w:p>
            <w:pPr>
              <w:jc w:val="right"/>
              <w:ind w:right="370"/>
              <w:spacing w:after="0"/>
              <w:rPr>
                <w:sz w:val="20"/>
                <w:szCs w:val="20"/>
                <w:color w:val="auto"/>
              </w:rPr>
            </w:pPr>
            <w:r>
              <w:rPr>
                <w:rFonts w:ascii="Arial" w:cs="Arial" w:eastAsia="Arial" w:hAnsi="Arial"/>
                <w:sz w:val="11"/>
                <w:szCs w:val="11"/>
                <w:color w:val="auto"/>
              </w:rPr>
              <w:t>3,944,800</w:t>
            </w:r>
          </w:p>
        </w:tc>
        <w:tc>
          <w:tcPr>
            <w:tcW w:w="1400" w:type="dxa"/>
            <w:vAlign w:val="bottom"/>
            <w:gridSpan w:val="2"/>
            <w:shd w:val="clear" w:color="auto" w:fill="CCEEFF"/>
          </w:tcPr>
          <w:p>
            <w:pPr>
              <w:jc w:val="right"/>
              <w:ind w:right="412"/>
              <w:spacing w:after="0"/>
              <w:rPr>
                <w:sz w:val="20"/>
                <w:szCs w:val="20"/>
                <w:color w:val="auto"/>
              </w:rPr>
            </w:pPr>
            <w:r>
              <w:rPr>
                <w:rFonts w:ascii="Arial" w:cs="Arial" w:eastAsia="Arial" w:hAnsi="Arial"/>
                <w:sz w:val="11"/>
                <w:szCs w:val="11"/>
                <w:color w:val="auto"/>
              </w:rPr>
              <w:t>4,942,757</w:t>
            </w:r>
          </w:p>
        </w:tc>
        <w:tc>
          <w:tcPr>
            <w:tcW w:w="1640" w:type="dxa"/>
            <w:vAlign w:val="bottom"/>
            <w:gridSpan w:val="2"/>
            <w:shd w:val="clear" w:color="auto" w:fill="CCEEFF"/>
          </w:tcPr>
          <w:p>
            <w:pPr>
              <w:jc w:val="right"/>
              <w:ind w:right="430"/>
              <w:spacing w:after="0"/>
              <w:rPr>
                <w:sz w:val="20"/>
                <w:szCs w:val="20"/>
                <w:color w:val="auto"/>
              </w:rPr>
            </w:pPr>
            <w:r>
              <w:rPr>
                <w:rFonts w:ascii="Arial" w:cs="Arial" w:eastAsia="Arial" w:hAnsi="Arial"/>
                <w:sz w:val="11"/>
                <w:szCs w:val="11"/>
                <w:color w:val="auto"/>
              </w:rPr>
              <w:t>(31,847,833)</w:t>
            </w:r>
          </w:p>
        </w:tc>
        <w:tc>
          <w:tcPr>
            <w:tcW w:w="1440" w:type="dxa"/>
            <w:vAlign w:val="bottom"/>
            <w:gridSpan w:val="2"/>
            <w:shd w:val="clear" w:color="auto" w:fill="CCEEFF"/>
          </w:tcPr>
          <w:p>
            <w:pPr>
              <w:jc w:val="right"/>
              <w:ind w:right="392"/>
              <w:spacing w:after="0"/>
              <w:rPr>
                <w:sz w:val="20"/>
                <w:szCs w:val="20"/>
                <w:color w:val="auto"/>
              </w:rPr>
            </w:pPr>
            <w:r>
              <w:rPr>
                <w:rFonts w:ascii="Arial" w:cs="Arial" w:eastAsia="Arial" w:hAnsi="Arial"/>
                <w:sz w:val="11"/>
                <w:szCs w:val="11"/>
                <w:color w:val="auto"/>
              </w:rPr>
              <w:t>47,719,131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00" w:type="dxa"/>
            <w:vAlign w:val="bottom"/>
            <w:gridSpan w:val="2"/>
          </w:tcPr>
          <w:p>
            <w:pPr>
              <w:spacing w:after="0"/>
              <w:rPr>
                <w:sz w:val="20"/>
                <w:szCs w:val="20"/>
                <w:color w:val="auto"/>
              </w:rPr>
            </w:pPr>
            <w:r>
              <w:rPr>
                <w:rFonts w:ascii="Arial" w:cs="Arial" w:eastAsia="Arial" w:hAnsi="Arial"/>
                <w:sz w:val="11"/>
                <w:szCs w:val="11"/>
                <w:color w:val="auto"/>
              </w:rPr>
              <w:t>David L. Cohen</w:t>
            </w:r>
          </w:p>
        </w:tc>
        <w:tc>
          <w:tcPr>
            <w:tcW w:w="1340" w:type="dxa"/>
            <w:vAlign w:val="bottom"/>
            <w:gridSpan w:val="2"/>
          </w:tcPr>
          <w:p>
            <w:pPr>
              <w:jc w:val="right"/>
              <w:ind w:right="370"/>
              <w:spacing w:after="0"/>
              <w:rPr>
                <w:sz w:val="20"/>
                <w:szCs w:val="20"/>
                <w:color w:val="auto"/>
              </w:rPr>
            </w:pPr>
            <w:r>
              <w:rPr>
                <w:rFonts w:ascii="Arial" w:cs="Arial" w:eastAsia="Arial" w:hAnsi="Arial"/>
                <w:sz w:val="11"/>
                <w:szCs w:val="11"/>
                <w:color w:val="auto"/>
              </w:rPr>
              <w:t>735,916</w:t>
            </w:r>
          </w:p>
        </w:tc>
        <w:tc>
          <w:tcPr>
            <w:tcW w:w="1360" w:type="dxa"/>
            <w:vAlign w:val="bottom"/>
            <w:gridSpan w:val="2"/>
          </w:tcPr>
          <w:p>
            <w:pPr>
              <w:jc w:val="right"/>
              <w:ind w:right="370"/>
              <w:spacing w:after="0"/>
              <w:rPr>
                <w:sz w:val="20"/>
                <w:szCs w:val="20"/>
                <w:color w:val="auto"/>
              </w:rPr>
            </w:pPr>
            <w:r>
              <w:rPr>
                <w:rFonts w:ascii="Arial" w:cs="Arial" w:eastAsia="Arial" w:hAnsi="Arial"/>
                <w:sz w:val="11"/>
                <w:szCs w:val="11"/>
                <w:color w:val="auto"/>
              </w:rPr>
              <w:t>868,219</w:t>
            </w:r>
          </w:p>
        </w:tc>
        <w:tc>
          <w:tcPr>
            <w:tcW w:w="1400" w:type="dxa"/>
            <w:vAlign w:val="bottom"/>
            <w:gridSpan w:val="2"/>
          </w:tcPr>
          <w:p>
            <w:pPr>
              <w:jc w:val="right"/>
              <w:ind w:right="412"/>
              <w:spacing w:after="0"/>
              <w:rPr>
                <w:sz w:val="20"/>
                <w:szCs w:val="20"/>
                <w:color w:val="auto"/>
              </w:rPr>
            </w:pPr>
            <w:r>
              <w:rPr>
                <w:rFonts w:ascii="Arial" w:cs="Arial" w:eastAsia="Arial" w:hAnsi="Arial"/>
                <w:sz w:val="11"/>
                <w:szCs w:val="11"/>
                <w:color w:val="auto"/>
              </w:rPr>
              <w:t>1,074,656</w:t>
            </w:r>
          </w:p>
        </w:tc>
        <w:tc>
          <w:tcPr>
            <w:tcW w:w="1640" w:type="dxa"/>
            <w:vAlign w:val="bottom"/>
            <w:gridSpan w:val="2"/>
          </w:tcPr>
          <w:p>
            <w:pPr>
              <w:jc w:val="right"/>
              <w:ind w:right="430"/>
              <w:spacing w:after="0"/>
              <w:rPr>
                <w:sz w:val="20"/>
                <w:szCs w:val="20"/>
                <w:color w:val="auto"/>
              </w:rPr>
            </w:pPr>
            <w:r>
              <w:rPr>
                <w:rFonts w:ascii="Arial" w:cs="Arial" w:eastAsia="Arial" w:hAnsi="Arial"/>
                <w:sz w:val="11"/>
                <w:szCs w:val="11"/>
                <w:color w:val="auto"/>
              </w:rPr>
              <w:t>(1,600,000)</w:t>
            </w:r>
          </w:p>
        </w:tc>
        <w:tc>
          <w:tcPr>
            <w:tcW w:w="1440" w:type="dxa"/>
            <w:vAlign w:val="bottom"/>
            <w:gridSpan w:val="2"/>
          </w:tcPr>
          <w:p>
            <w:pPr>
              <w:jc w:val="right"/>
              <w:ind w:right="392"/>
              <w:spacing w:after="0"/>
              <w:rPr>
                <w:sz w:val="20"/>
                <w:szCs w:val="20"/>
                <w:color w:val="auto"/>
              </w:rPr>
            </w:pPr>
            <w:r>
              <w:rPr>
                <w:rFonts w:ascii="Arial" w:cs="Arial" w:eastAsia="Arial" w:hAnsi="Arial"/>
                <w:sz w:val="11"/>
                <w:szCs w:val="11"/>
                <w:color w:val="auto"/>
              </w:rPr>
              <w:t>10,158,252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Arthur R. Block</w:t>
            </w:r>
          </w:p>
        </w:tc>
        <w:tc>
          <w:tcPr>
            <w:tcW w:w="1340" w:type="dxa"/>
            <w:vAlign w:val="bottom"/>
            <w:gridSpan w:val="2"/>
            <w:shd w:val="clear" w:color="auto" w:fill="CCEEFF"/>
          </w:tcPr>
          <w:p>
            <w:pPr>
              <w:jc w:val="right"/>
              <w:ind w:right="370"/>
              <w:spacing w:after="0"/>
              <w:rPr>
                <w:sz w:val="20"/>
                <w:szCs w:val="20"/>
                <w:color w:val="auto"/>
              </w:rPr>
            </w:pPr>
            <w:r>
              <w:rPr>
                <w:rFonts w:ascii="Arial" w:cs="Arial" w:eastAsia="Arial" w:hAnsi="Arial"/>
                <w:sz w:val="11"/>
                <w:szCs w:val="11"/>
                <w:color w:val="auto"/>
              </w:rPr>
              <w:t>786,875</w:t>
            </w:r>
          </w:p>
        </w:tc>
        <w:tc>
          <w:tcPr>
            <w:tcW w:w="80" w:type="dxa"/>
            <w:vAlign w:val="bottom"/>
            <w:shd w:val="clear" w:color="auto" w:fill="CCEEFF"/>
          </w:tcPr>
          <w:p>
            <w:pPr>
              <w:spacing w:after="0"/>
              <w:rPr>
                <w:sz w:val="11"/>
                <w:szCs w:val="11"/>
                <w:color w:val="auto"/>
              </w:rPr>
            </w:pPr>
          </w:p>
        </w:tc>
        <w:tc>
          <w:tcPr>
            <w:tcW w:w="1280" w:type="dxa"/>
            <w:vAlign w:val="bottom"/>
            <w:shd w:val="clear" w:color="auto" w:fill="CCEEFF"/>
          </w:tcPr>
          <w:p>
            <w:pPr>
              <w:jc w:val="right"/>
              <w:ind w:right="370"/>
              <w:spacing w:after="0"/>
              <w:rPr>
                <w:sz w:val="20"/>
                <w:szCs w:val="20"/>
                <w:color w:val="auto"/>
              </w:rPr>
            </w:pPr>
            <w:r>
              <w:rPr>
                <w:rFonts w:ascii="Arial" w:cs="Arial" w:eastAsia="Arial" w:hAnsi="Arial"/>
                <w:sz w:val="11"/>
                <w:szCs w:val="11"/>
                <w:color w:val="auto"/>
              </w:rPr>
              <w:t>—</w:t>
            </w:r>
          </w:p>
        </w:tc>
        <w:tc>
          <w:tcPr>
            <w:tcW w:w="1400" w:type="dxa"/>
            <w:vAlign w:val="bottom"/>
            <w:gridSpan w:val="2"/>
            <w:shd w:val="clear" w:color="auto" w:fill="CCEEFF"/>
          </w:tcPr>
          <w:p>
            <w:pPr>
              <w:jc w:val="right"/>
              <w:ind w:right="412"/>
              <w:spacing w:after="0"/>
              <w:rPr>
                <w:sz w:val="20"/>
                <w:szCs w:val="20"/>
                <w:color w:val="auto"/>
              </w:rPr>
            </w:pPr>
            <w:r>
              <w:rPr>
                <w:rFonts w:ascii="Arial" w:cs="Arial" w:eastAsia="Arial" w:hAnsi="Arial"/>
                <w:sz w:val="11"/>
                <w:szCs w:val="11"/>
                <w:color w:val="auto"/>
              </w:rPr>
              <w:t>1,062,319</w:t>
            </w:r>
          </w:p>
        </w:tc>
        <w:tc>
          <w:tcPr>
            <w:tcW w:w="80" w:type="dxa"/>
            <w:vAlign w:val="bottom"/>
            <w:shd w:val="clear" w:color="auto" w:fill="CCEEFF"/>
          </w:tcPr>
          <w:p>
            <w:pPr>
              <w:spacing w:after="0"/>
              <w:rPr>
                <w:sz w:val="11"/>
                <w:szCs w:val="11"/>
                <w:color w:val="auto"/>
              </w:rPr>
            </w:pPr>
          </w:p>
        </w:tc>
        <w:tc>
          <w:tcPr>
            <w:tcW w:w="1560" w:type="dxa"/>
            <w:vAlign w:val="bottom"/>
            <w:shd w:val="clear" w:color="auto" w:fill="CCEEFF"/>
          </w:tcPr>
          <w:p>
            <w:pPr>
              <w:jc w:val="right"/>
              <w:ind w:right="470"/>
              <w:spacing w:after="0"/>
              <w:rPr>
                <w:sz w:val="20"/>
                <w:szCs w:val="20"/>
                <w:color w:val="auto"/>
              </w:rPr>
            </w:pPr>
            <w:r>
              <w:rPr>
                <w:rFonts w:ascii="Arial" w:cs="Arial" w:eastAsia="Arial" w:hAnsi="Arial"/>
                <w:sz w:val="11"/>
                <w:szCs w:val="11"/>
                <w:color w:val="auto"/>
              </w:rPr>
              <w:t>—</w:t>
            </w:r>
          </w:p>
        </w:tc>
        <w:tc>
          <w:tcPr>
            <w:tcW w:w="1440" w:type="dxa"/>
            <w:vAlign w:val="bottom"/>
            <w:gridSpan w:val="2"/>
            <w:shd w:val="clear" w:color="auto" w:fill="CCEEFF"/>
          </w:tcPr>
          <w:p>
            <w:pPr>
              <w:jc w:val="right"/>
              <w:ind w:right="392"/>
              <w:spacing w:after="0"/>
              <w:rPr>
                <w:sz w:val="20"/>
                <w:szCs w:val="20"/>
                <w:color w:val="auto"/>
              </w:rPr>
            </w:pPr>
            <w:r>
              <w:rPr>
                <w:rFonts w:ascii="Arial" w:cs="Arial" w:eastAsia="Arial" w:hAnsi="Arial"/>
                <w:sz w:val="11"/>
                <w:szCs w:val="11"/>
                <w:color w:val="auto"/>
              </w:rPr>
              <w:t>10,091,821</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1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320" w:type="dxa"/>
            <w:vAlign w:val="bottom"/>
          </w:tcPr>
          <w:p>
            <w:pPr>
              <w:spacing w:after="0"/>
              <w:rPr>
                <w:sz w:val="7"/>
                <w:szCs w:val="7"/>
                <w:color w:val="auto"/>
              </w:rPr>
            </w:pPr>
          </w:p>
        </w:tc>
        <w:tc>
          <w:tcPr>
            <w:tcW w:w="80" w:type="dxa"/>
            <w:vAlign w:val="bottom"/>
          </w:tcPr>
          <w:p>
            <w:pPr>
              <w:spacing w:after="0"/>
              <w:rPr>
                <w:sz w:val="7"/>
                <w:szCs w:val="7"/>
                <w:color w:val="auto"/>
              </w:rPr>
            </w:pPr>
          </w:p>
        </w:tc>
        <w:tc>
          <w:tcPr>
            <w:tcW w:w="1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980" w:right="20" w:hanging="232"/>
        <w:spacing w:after="0" w:line="280" w:lineRule="auto"/>
        <w:tabs>
          <w:tab w:leader="none" w:pos="980" w:val="left"/>
        </w:tabs>
        <w:numPr>
          <w:ilvl w:val="0"/>
          <w:numId w:val="25"/>
        </w:numPr>
        <w:rPr>
          <w:rFonts w:ascii="Arial" w:cs="Arial" w:eastAsia="Arial" w:hAnsi="Arial"/>
          <w:sz w:val="11"/>
          <w:szCs w:val="11"/>
          <w:color w:val="auto"/>
        </w:rPr>
      </w:pPr>
      <w:r>
        <w:rPr>
          <w:rFonts w:ascii="Arial" w:cs="Arial" w:eastAsia="Arial" w:hAnsi="Arial"/>
          <w:sz w:val="11"/>
          <w:szCs w:val="11"/>
          <w:color w:val="auto"/>
        </w:rPr>
        <w:t>Amounts in this table have been deferred under our deferred compensation plans. Eligible employees and directors may elect to participate in these plans. Employees may defer any cash compensation they receive, other than sales commissions or other similar payments, and nonemployee directors may defer any compensation they receive for services as a director, whether paid in stock or in cash. Amounts credited to each participant’s account will generally be deemed invested in an income fund, which is credited at the annual rate applicable at the time of the participant’s deferral (which is currently 12%) for so long as the individual is employed by, or is providing services to, us. Following such time, any amounts remaining deferred in the income fund are credited with interest at the prime rate plus 1%, unless the Compensation Committee provides for a different rate. Nonemployee directors who have elected to defer the receipt of shares as described in the “Director Compensation for 2009” table on page 58 will have these amounts initially deemed invested in our stock fund. Compensation earned on or before December 31, 2004 was required to be deferred for a minimum of one year, with any redeferral required to be for a minimum of two years. Compensation earned on or after January 1, 2005 is required to be deferred for a minimum of two years, with any redeferral required to be for a minimum of five years. In either case, the maximum deferral of the commencement of distributions associated with any individual election is ten years.</w:t>
      </w:r>
    </w:p>
    <w:p>
      <w:pPr>
        <w:spacing w:after="0" w:line="44" w:lineRule="exact"/>
        <w:rPr>
          <w:rFonts w:ascii="Arial" w:cs="Arial" w:eastAsia="Arial" w:hAnsi="Arial"/>
          <w:sz w:val="11"/>
          <w:szCs w:val="11"/>
          <w:color w:val="auto"/>
        </w:rPr>
      </w:pPr>
    </w:p>
    <w:p>
      <w:pPr>
        <w:ind w:left="980" w:hanging="232"/>
        <w:spacing w:after="0"/>
        <w:tabs>
          <w:tab w:leader="none" w:pos="980" w:val="left"/>
        </w:tabs>
        <w:numPr>
          <w:ilvl w:val="0"/>
          <w:numId w:val="25"/>
        </w:numPr>
        <w:rPr>
          <w:rFonts w:ascii="Arial" w:cs="Arial" w:eastAsia="Arial" w:hAnsi="Arial"/>
          <w:sz w:val="11"/>
          <w:szCs w:val="11"/>
          <w:color w:val="auto"/>
        </w:rPr>
      </w:pPr>
      <w:r>
        <w:rPr>
          <w:rFonts w:ascii="Arial" w:cs="Arial" w:eastAsia="Arial" w:hAnsi="Arial"/>
          <w:sz w:val="11"/>
          <w:szCs w:val="11"/>
          <w:color w:val="auto"/>
        </w:rPr>
        <w:t>These amounts are reported as compensation in the “Summary Compensation Table for 2009” on page 40 under the columns “Salary,” “Bonus” and/or “Non-Equity Incentive Plan Compensation.”</w:t>
      </w:r>
    </w:p>
    <w:p>
      <w:pPr>
        <w:spacing w:after="0" w:line="53" w:lineRule="exact"/>
        <w:rPr>
          <w:rFonts w:ascii="Arial" w:cs="Arial" w:eastAsia="Arial" w:hAnsi="Arial"/>
          <w:sz w:val="11"/>
          <w:szCs w:val="11"/>
          <w:color w:val="auto"/>
        </w:rPr>
      </w:pPr>
    </w:p>
    <w:p>
      <w:pPr>
        <w:ind w:left="980" w:hanging="232"/>
        <w:spacing w:after="0"/>
        <w:tabs>
          <w:tab w:leader="none" w:pos="9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These amounts are reported as compensation in the “Summary Compensation Table for 2009” on page 40 under the column “All Other Compensation.”</w:t>
      </w:r>
    </w:p>
    <w:p>
      <w:pPr>
        <w:spacing w:after="0" w:line="267"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97790</wp:posOffset>
            </wp:positionV>
            <wp:extent cx="7299325" cy="184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680"/>
          </w:cols>
          <w:pgMar w:left="220" w:top="327" w:right="999" w:bottom="1440" w:gutter="0" w:footer="0" w:header="0"/>
        </w:sectPr>
      </w:pPr>
    </w:p>
    <w:bookmarkStart w:id="54" w:name="page55"/>
    <w:bookmarkEnd w:id="54"/>
    <w:p>
      <w:pPr>
        <w:spacing w:after="0"/>
        <w:rPr>
          <w:rFonts w:ascii="Arial" w:cs="Arial" w:eastAsia="Arial" w:hAnsi="Arial"/>
          <w:sz w:val="12"/>
          <w:szCs w:val="12"/>
          <w:b w:val="1"/>
          <w:bCs w:val="1"/>
          <w:u w:val="single" w:color="auto"/>
          <w:color w:val="0000EE"/>
        </w:rPr>
      </w:pPr>
      <w:hyperlink w:anchor="page4">
        <w:r>
          <w:rPr>
            <w:rFonts w:ascii="Arial" w:cs="Arial" w:eastAsia="Arial" w:hAnsi="Arial"/>
            <w:sz w:val="12"/>
            <w:szCs w:val="12"/>
            <w:b w:val="1"/>
            <w:bCs w:val="1"/>
            <w:u w:val="single" w:color="auto"/>
            <w:color w:val="0000EE"/>
          </w:rPr>
          <w:t>Table of Contents</w:t>
        </w:r>
      </w:hyperlink>
    </w:p>
    <w:p>
      <w:pPr>
        <w:spacing w:after="0" w:line="215" w:lineRule="exact"/>
        <w:rPr>
          <w:sz w:val="20"/>
          <w:szCs w:val="20"/>
          <w:color w:val="auto"/>
        </w:rPr>
      </w:pPr>
    </w:p>
    <w:p>
      <w:pPr>
        <w:ind w:left="980" w:right="120" w:hanging="232"/>
        <w:spacing w:after="0" w:line="276" w:lineRule="auto"/>
        <w:tabs>
          <w:tab w:leader="none" w:pos="980"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portion of these amounts that represents interest earned in excess of 120% of the long-term applicable federal rate is reported as compensation in the “Summary Compensation Table for 2009” on page 40 under the column “Change in Pension Value and Nonqualified Deferred Compensation Earnings.”</w:t>
      </w:r>
    </w:p>
    <w:p>
      <w:pPr>
        <w:spacing w:after="0" w:line="6" w:lineRule="exact"/>
        <w:rPr>
          <w:rFonts w:ascii="Arial" w:cs="Arial" w:eastAsia="Arial" w:hAnsi="Arial"/>
          <w:sz w:val="12"/>
          <w:szCs w:val="12"/>
          <w:color w:val="auto"/>
        </w:rPr>
      </w:pPr>
    </w:p>
    <w:p>
      <w:pPr>
        <w:ind w:left="980" w:hanging="232"/>
        <w:spacing w:after="0"/>
        <w:tabs>
          <w:tab w:leader="none" w:pos="980"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These amounts are distributions made pursuant to deferral elections made under the applicable deferred compensation plan.</w:t>
      </w:r>
    </w:p>
    <w:p>
      <w:pPr>
        <w:spacing w:after="0" w:line="42" w:lineRule="exact"/>
        <w:rPr>
          <w:rFonts w:ascii="Arial" w:cs="Arial" w:eastAsia="Arial" w:hAnsi="Arial"/>
          <w:sz w:val="12"/>
          <w:szCs w:val="12"/>
          <w:color w:val="auto"/>
        </w:rPr>
      </w:pPr>
    </w:p>
    <w:p>
      <w:pPr>
        <w:ind w:left="980" w:right="160" w:hanging="232"/>
        <w:spacing w:after="0" w:line="276" w:lineRule="auto"/>
        <w:tabs>
          <w:tab w:leader="none" w:pos="980" w:val="left"/>
        </w:tabs>
        <w:numPr>
          <w:ilvl w:val="0"/>
          <w:numId w:val="26"/>
        </w:numPr>
        <w:rPr>
          <w:rFonts w:ascii="Arial" w:cs="Arial" w:eastAsia="Arial" w:hAnsi="Arial"/>
          <w:sz w:val="12"/>
          <w:szCs w:val="12"/>
          <w:color w:val="auto"/>
        </w:rPr>
      </w:pPr>
      <w:r>
        <w:rPr>
          <w:rFonts w:ascii="Arial" w:cs="Arial" w:eastAsia="Arial" w:hAnsi="Arial"/>
          <w:sz w:val="12"/>
          <w:szCs w:val="12"/>
          <w:color w:val="auto"/>
        </w:rPr>
        <w:t>All amounts contributed by a named executive officer and by us in prior years have been reported in the Summary Compensation Tables in our previously filed proxy statements in the year earned to the extent he was a named executive officer for purposes of the SEC’s executive compensation disclosure.</w:t>
      </w:r>
    </w:p>
    <w:p>
      <w:pPr>
        <w:spacing w:after="0" w:line="120" w:lineRule="exact"/>
        <w:rPr>
          <w:sz w:val="20"/>
          <w:szCs w:val="20"/>
          <w:color w:val="auto"/>
        </w:rPr>
      </w:pPr>
    </w:p>
    <w:p>
      <w:pPr>
        <w:ind w:left="680"/>
        <w:spacing w:after="0"/>
        <w:rPr>
          <w:sz w:val="20"/>
          <w:szCs w:val="20"/>
          <w:color w:val="auto"/>
        </w:rPr>
      </w:pPr>
      <w:r>
        <w:rPr>
          <w:rFonts w:ascii="Arial" w:cs="Arial" w:eastAsia="Arial" w:hAnsi="Arial"/>
          <w:sz w:val="12"/>
          <w:szCs w:val="12"/>
          <w:b w:val="1"/>
          <w:bCs w:val="1"/>
          <w:color w:val="auto"/>
        </w:rPr>
        <w:t>Agreements with Our Named Executive Officers</w:t>
      </w:r>
    </w:p>
    <w:p>
      <w:pPr>
        <w:spacing w:after="0" w:line="91" w:lineRule="exact"/>
        <w:rPr>
          <w:sz w:val="20"/>
          <w:szCs w:val="20"/>
          <w:color w:val="auto"/>
        </w:rPr>
      </w:pPr>
    </w:p>
    <w:p>
      <w:pPr>
        <w:ind w:left="680" w:right="60" w:firstLine="400"/>
        <w:spacing w:after="0" w:line="276" w:lineRule="auto"/>
        <w:rPr>
          <w:sz w:val="20"/>
          <w:szCs w:val="20"/>
          <w:color w:val="auto"/>
        </w:rPr>
      </w:pPr>
      <w:r>
        <w:rPr>
          <w:rFonts w:ascii="Arial" w:cs="Arial" w:eastAsia="Arial" w:hAnsi="Arial"/>
          <w:sz w:val="12"/>
          <w:szCs w:val="12"/>
          <w:color w:val="auto"/>
        </w:rPr>
        <w:t>The following is a description of selected terms of the agreements that we have entered into with our named executive officers, as such terms relate to the compensation reported and described in this proxy statement.</w:t>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2"/>
          <w:szCs w:val="12"/>
          <w:i w:val="1"/>
          <w:iCs w:val="1"/>
          <w:color w:val="auto"/>
        </w:rPr>
        <w:t>Employment Agreement with Mr. Roberts</w:t>
      </w:r>
    </w:p>
    <w:p>
      <w:pPr>
        <w:spacing w:after="0" w:line="87" w:lineRule="exact"/>
        <w:rPr>
          <w:sz w:val="20"/>
          <w:szCs w:val="20"/>
          <w:color w:val="auto"/>
        </w:rPr>
      </w:pPr>
    </w:p>
    <w:p>
      <w:pPr>
        <w:ind w:left="680" w:right="20" w:firstLine="400"/>
        <w:spacing w:after="0" w:line="286" w:lineRule="auto"/>
        <w:rPr>
          <w:sz w:val="20"/>
          <w:szCs w:val="20"/>
          <w:color w:val="auto"/>
        </w:rPr>
      </w:pPr>
      <w:r>
        <w:rPr>
          <w:rFonts w:ascii="Arial" w:cs="Arial" w:eastAsia="Arial" w:hAnsi="Arial"/>
          <w:sz w:val="11"/>
          <w:szCs w:val="11"/>
          <w:color w:val="auto"/>
        </w:rPr>
        <w:t>On February 13, 2009 and December 31, 2009, we entered into amendments to Mr. Roberts’ employment agreement. The February 13, 2009 amendment extended the term of his employment agreement to June 30, 2010, and Mr. Roberts relinquished his right to base salary and annual cash bonus continuation for up to five years following his death. On the same date, Mr. Roberts also terminated certain agreements that had obligated us to pay premiums and additional compensation to him with respect to his term life insurance policies and waived his right to receive additional compensation associated with his split-dollar life insurance policy. The December 31, 2009 amendment specified the amount of our contribution to our deferred compensation plans on Mr. Roberts’ behalf for 2010. Each of the amendments became effective as of their respective dates. The following describes Mr. Roberts’ employment agreement as so amended.</w:t>
      </w:r>
    </w:p>
    <w:p>
      <w:pPr>
        <w:spacing w:after="0" w:line="48" w:lineRule="exact"/>
        <w:rPr>
          <w:sz w:val="20"/>
          <w:szCs w:val="20"/>
          <w:color w:val="auto"/>
        </w:rPr>
      </w:pPr>
    </w:p>
    <w:p>
      <w:pPr>
        <w:ind w:left="680" w:right="20" w:firstLine="400"/>
        <w:spacing w:after="0" w:line="298" w:lineRule="auto"/>
        <w:rPr>
          <w:sz w:val="20"/>
          <w:szCs w:val="20"/>
          <w:color w:val="auto"/>
        </w:rPr>
      </w:pPr>
      <w:r>
        <w:rPr>
          <w:rFonts w:ascii="Arial" w:cs="Arial" w:eastAsia="Arial" w:hAnsi="Arial"/>
          <w:sz w:val="11"/>
          <w:szCs w:val="11"/>
          <w:i w:val="1"/>
          <w:iCs w:val="1"/>
          <w:color w:val="auto"/>
        </w:rPr>
        <w:t xml:space="preserve">Base Salary. </w:t>
      </w:r>
      <w:r>
        <w:rPr>
          <w:rFonts w:ascii="Arial" w:cs="Arial" w:eastAsia="Arial" w:hAnsi="Arial"/>
          <w:sz w:val="11"/>
          <w:szCs w:val="11"/>
          <w:color w:val="auto"/>
        </w:rPr>
        <w:t>The agreement provides for an annual base salary of $2,500,000 from the inception of the agreement through December 31, 2005. This amount is reviewed annually to determine</w:t>
      </w:r>
      <w:r>
        <w:rPr>
          <w:rFonts w:ascii="Arial" w:cs="Arial" w:eastAsia="Arial" w:hAnsi="Arial"/>
          <w:sz w:val="11"/>
          <w:szCs w:val="11"/>
          <w:i w:val="1"/>
          <w:iCs w:val="1"/>
          <w:color w:val="auto"/>
        </w:rPr>
        <w:t xml:space="preserve"> </w:t>
      </w:r>
      <w:r>
        <w:rPr>
          <w:rFonts w:ascii="Arial" w:cs="Arial" w:eastAsia="Arial" w:hAnsi="Arial"/>
          <w:sz w:val="11"/>
          <w:szCs w:val="11"/>
          <w:color w:val="auto"/>
        </w:rPr>
        <w:t>whether an increase is appropriate for the subsequent calendar year in the term of the agreement. If increased, Mr. Roberts’ salary may not be reduced, except under an overall plan to reduce the compensation of all our senior executive officers. Notwithstanding the foregoing, Mr. Roberts has agreed not to receive an increase in base salary from January 1, 2009 through February 28, 2011.</w:t>
      </w:r>
    </w:p>
    <w:p>
      <w:pPr>
        <w:spacing w:after="0" w:line="42" w:lineRule="exact"/>
        <w:rPr>
          <w:sz w:val="20"/>
          <w:szCs w:val="20"/>
          <w:color w:val="auto"/>
        </w:rPr>
      </w:pPr>
    </w:p>
    <w:p>
      <w:pPr>
        <w:ind w:left="1080"/>
        <w:spacing w:after="0"/>
        <w:rPr>
          <w:sz w:val="20"/>
          <w:szCs w:val="20"/>
          <w:color w:val="auto"/>
        </w:rPr>
      </w:pPr>
      <w:r>
        <w:rPr>
          <w:rFonts w:ascii="Arial" w:cs="Arial" w:eastAsia="Arial" w:hAnsi="Arial"/>
          <w:sz w:val="11"/>
          <w:szCs w:val="11"/>
          <w:i w:val="1"/>
          <w:iCs w:val="1"/>
          <w:color w:val="auto"/>
        </w:rPr>
        <w:t xml:space="preserve">Annual Bonus. </w:t>
      </w:r>
      <w:r>
        <w:rPr>
          <w:rFonts w:ascii="Arial" w:cs="Arial" w:eastAsia="Arial" w:hAnsi="Arial"/>
          <w:sz w:val="11"/>
          <w:szCs w:val="11"/>
          <w:color w:val="auto"/>
        </w:rPr>
        <w:t>Mr. Roberts is eligible to receive an annual performance bonus, payable in cash, of a percentage of his base salary for the applicable year. During the term of the agreement,</w:t>
      </w:r>
    </w:p>
    <w:p>
      <w:pPr>
        <w:spacing w:after="0" w:line="26" w:lineRule="exact"/>
        <w:rPr>
          <w:sz w:val="20"/>
          <w:szCs w:val="20"/>
          <w:color w:val="auto"/>
        </w:rPr>
      </w:pPr>
    </w:p>
    <w:p>
      <w:pPr>
        <w:ind w:left="680"/>
        <w:spacing w:after="0" w:line="261" w:lineRule="auto"/>
        <w:rPr>
          <w:sz w:val="20"/>
          <w:szCs w:val="20"/>
          <w:color w:val="auto"/>
        </w:rPr>
      </w:pPr>
      <w:r>
        <w:rPr>
          <w:rFonts w:ascii="Arial" w:cs="Arial" w:eastAsia="Arial" w:hAnsi="Arial"/>
          <w:sz w:val="12"/>
          <w:szCs w:val="12"/>
          <w:color w:val="auto"/>
        </w:rPr>
        <w:t>Mr. Roberts’ bonus opportunity, expressed as a percentage of base salary, will be established by the Compensation Committee; however, the applicable target bonus percentage will not be less than 300% if all performance targets are achieved.</w:t>
      </w:r>
    </w:p>
    <w:p>
      <w:pPr>
        <w:spacing w:after="0" w:line="60" w:lineRule="exact"/>
        <w:rPr>
          <w:sz w:val="20"/>
          <w:szCs w:val="20"/>
          <w:color w:val="auto"/>
        </w:rPr>
      </w:pPr>
    </w:p>
    <w:p>
      <w:pPr>
        <w:ind w:left="1080"/>
        <w:spacing w:after="0"/>
        <w:rPr>
          <w:sz w:val="20"/>
          <w:szCs w:val="20"/>
          <w:color w:val="auto"/>
        </w:rPr>
      </w:pPr>
      <w:r>
        <w:rPr>
          <w:rFonts w:ascii="Arial" w:cs="Arial" w:eastAsia="Arial" w:hAnsi="Arial"/>
          <w:sz w:val="10"/>
          <w:szCs w:val="10"/>
          <w:i w:val="1"/>
          <w:iCs w:val="1"/>
          <w:color w:val="auto"/>
        </w:rPr>
        <w:t xml:space="preserve">Deferred Compensation. </w:t>
      </w:r>
      <w:r>
        <w:rPr>
          <w:rFonts w:ascii="Arial" w:cs="Arial" w:eastAsia="Arial" w:hAnsi="Arial"/>
          <w:sz w:val="10"/>
          <w:szCs w:val="10"/>
          <w:color w:val="auto"/>
        </w:rPr>
        <w:t>The agreement entitles Mr. Roberts to an annual Company contribution to our deferred compensation plans for each of the calendar years during the term of the agreement.</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The amounts include $2,431,012 for 2009 and $3,000,000 for 2010.</w:t>
      </w:r>
    </w:p>
    <w:p>
      <w:pPr>
        <w:spacing w:after="0" w:line="78" w:lineRule="exact"/>
        <w:rPr>
          <w:sz w:val="20"/>
          <w:szCs w:val="20"/>
          <w:color w:val="auto"/>
        </w:rPr>
      </w:pPr>
    </w:p>
    <w:p>
      <w:pPr>
        <w:ind w:left="680" w:right="20" w:firstLine="400"/>
        <w:spacing w:after="0" w:line="276" w:lineRule="auto"/>
        <w:rPr>
          <w:sz w:val="20"/>
          <w:szCs w:val="20"/>
          <w:color w:val="auto"/>
        </w:rPr>
      </w:pPr>
      <w:r>
        <w:rPr>
          <w:rFonts w:ascii="Arial" w:cs="Arial" w:eastAsia="Arial" w:hAnsi="Arial"/>
          <w:sz w:val="12"/>
          <w:szCs w:val="12"/>
          <w:i w:val="1"/>
          <w:iCs w:val="1"/>
          <w:color w:val="auto"/>
        </w:rPr>
        <w:t xml:space="preserve">Perquisites. </w:t>
      </w:r>
      <w:r>
        <w:rPr>
          <w:rFonts w:ascii="Arial" w:cs="Arial" w:eastAsia="Arial" w:hAnsi="Arial"/>
          <w:sz w:val="12"/>
          <w:szCs w:val="12"/>
          <w:color w:val="auto"/>
        </w:rPr>
        <w:t>The agreement provides for Mr. Roberts to continue to receive those perquisites and fringe benefits in effect at the time of the agreement under our current plans and policies. Since 2006,</w:t>
      </w:r>
      <w:r>
        <w:rPr>
          <w:rFonts w:ascii="Arial" w:cs="Arial" w:eastAsia="Arial" w:hAnsi="Arial"/>
          <w:sz w:val="12"/>
          <w:szCs w:val="12"/>
          <w:i w:val="1"/>
          <w:iCs w:val="1"/>
          <w:color w:val="auto"/>
        </w:rPr>
        <w:t xml:space="preserve"> </w:t>
      </w:r>
      <w:r>
        <w:rPr>
          <w:rFonts w:ascii="Arial" w:cs="Arial" w:eastAsia="Arial" w:hAnsi="Arial"/>
          <w:sz w:val="12"/>
          <w:szCs w:val="12"/>
          <w:color w:val="auto"/>
        </w:rPr>
        <w:t>our named executive officers have been required to pay us for any benefits that would otherwise be considered perquisites.</w:t>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2"/>
          <w:szCs w:val="12"/>
          <w:i w:val="1"/>
          <w:iCs w:val="1"/>
          <w:color w:val="auto"/>
        </w:rPr>
        <w:t>Employment Agreement with Mr. Angelakis</w:t>
      </w:r>
    </w:p>
    <w:p>
      <w:pPr>
        <w:spacing w:after="0" w:line="87" w:lineRule="exact"/>
        <w:rPr>
          <w:sz w:val="20"/>
          <w:szCs w:val="20"/>
          <w:color w:val="auto"/>
        </w:rPr>
      </w:pPr>
    </w:p>
    <w:p>
      <w:pPr>
        <w:ind w:left="680" w:right="80" w:firstLine="400"/>
        <w:spacing w:after="0" w:line="263" w:lineRule="auto"/>
        <w:rPr>
          <w:sz w:val="20"/>
          <w:szCs w:val="20"/>
          <w:color w:val="auto"/>
        </w:rPr>
      </w:pPr>
      <w:r>
        <w:rPr>
          <w:rFonts w:ascii="Arial" w:cs="Arial" w:eastAsia="Arial" w:hAnsi="Arial"/>
          <w:sz w:val="12"/>
          <w:szCs w:val="12"/>
          <w:color w:val="auto"/>
        </w:rPr>
        <w:t>On December 18, 2009, we entered into a new employment agreement with Mr. Angelakis, effective as of December 16, 2009. The agreement secures Mr. Angelakis’ employment with our company through December 31, 2012, and acknowledges his substantially increased responsibilities, as Mr. Angelakis (i) will assist Mr. Burke in the transition planning and post-closing integration efforts for the NBCU Joint Venture, (ii) will be responsible for managing the financing activities related to the closing of the NBCU Transaction,</w:t>
      </w:r>
    </w:p>
    <w:p>
      <w:pPr>
        <w:spacing w:after="0" w:line="249"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97790</wp:posOffset>
            </wp:positionV>
            <wp:extent cx="7299325" cy="184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660"/>
          </w:cols>
          <w:pgMar w:left="220" w:top="327" w:right="1019" w:bottom="1440" w:gutter="0" w:footer="0" w:header="0"/>
        </w:sectPr>
      </w:pPr>
    </w:p>
    <w:bookmarkStart w:id="55" w:name="page56"/>
    <w:bookmarkEnd w:id="55"/>
    <w:p>
      <w:pPr>
        <w:spacing w:after="0"/>
        <w:rPr>
          <w:rFonts w:ascii="Arial" w:cs="Arial" w:eastAsia="Arial" w:hAnsi="Arial"/>
          <w:sz w:val="12"/>
          <w:szCs w:val="12"/>
          <w:b w:val="1"/>
          <w:bCs w:val="1"/>
          <w:u w:val="single" w:color="auto"/>
          <w:color w:val="0000EE"/>
        </w:rPr>
      </w:pP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and (iii) will be the Chief Financial Officer of a larger and more complex company following the closing of the NBCU Transaction.</w:t>
      </w:r>
    </w:p>
    <w:p>
      <w:pPr>
        <w:spacing w:after="0" w:line="87" w:lineRule="exact"/>
        <w:rPr>
          <w:sz w:val="20"/>
          <w:szCs w:val="20"/>
          <w:color w:val="auto"/>
        </w:rPr>
      </w:pPr>
    </w:p>
    <w:p>
      <w:pPr>
        <w:ind w:left="680" w:right="160" w:firstLine="400"/>
        <w:spacing w:after="0" w:line="310" w:lineRule="auto"/>
        <w:rPr>
          <w:sz w:val="20"/>
          <w:szCs w:val="20"/>
          <w:color w:val="auto"/>
        </w:rPr>
      </w:pPr>
      <w:r>
        <w:rPr>
          <w:rFonts w:ascii="Arial" w:cs="Arial" w:eastAsia="Arial" w:hAnsi="Arial"/>
          <w:sz w:val="10"/>
          <w:szCs w:val="10"/>
          <w:i w:val="1"/>
          <w:iCs w:val="1"/>
          <w:color w:val="auto"/>
        </w:rPr>
        <w:t xml:space="preserve">Base Salary. </w:t>
      </w:r>
      <w:r>
        <w:rPr>
          <w:rFonts w:ascii="Arial" w:cs="Arial" w:eastAsia="Arial" w:hAnsi="Arial"/>
          <w:sz w:val="10"/>
          <w:szCs w:val="10"/>
          <w:color w:val="auto"/>
        </w:rPr>
        <w:t>The agreement provides for Mr. Angelakis’ base salary to remain at its current annual rate of $1,500,000 from the inception of the agreement through February 28, 2010. This amount</w:t>
      </w:r>
      <w:r>
        <w:rPr>
          <w:rFonts w:ascii="Arial" w:cs="Arial" w:eastAsia="Arial" w:hAnsi="Arial"/>
          <w:sz w:val="10"/>
          <w:szCs w:val="10"/>
          <w:i w:val="1"/>
          <w:iCs w:val="1"/>
          <w:color w:val="auto"/>
        </w:rPr>
        <w:t xml:space="preserve"> </w:t>
      </w:r>
      <w:r>
        <w:rPr>
          <w:rFonts w:ascii="Arial" w:cs="Arial" w:eastAsia="Arial" w:hAnsi="Arial"/>
          <w:sz w:val="10"/>
          <w:szCs w:val="10"/>
          <w:color w:val="auto"/>
        </w:rPr>
        <w:t>may be increased in connection with any salary increase program offered by us during the term of the agreement, on a basis consistent with that applicable to other employees at Mr. Angelakis’ level.</w:t>
      </w:r>
    </w:p>
    <w:p>
      <w:pPr>
        <w:ind w:left="680" w:right="220"/>
        <w:spacing w:after="0" w:line="306" w:lineRule="auto"/>
        <w:rPr>
          <w:sz w:val="20"/>
          <w:szCs w:val="20"/>
          <w:color w:val="auto"/>
        </w:rPr>
      </w:pPr>
      <w:r>
        <w:rPr>
          <w:rFonts w:ascii="Arial" w:cs="Arial" w:eastAsia="Arial" w:hAnsi="Arial"/>
          <w:sz w:val="11"/>
          <w:szCs w:val="11"/>
          <w:color w:val="auto"/>
        </w:rPr>
        <w:t>Mr. Angelakis’ salary may not be reduced, other than as part of a salary reduction program effected by us during the term of the agreement, on a basis consistent with that applicable to other employees at Mr. Angelakis’ level. Notwithstanding the foregoing, Mr. Angelakis has agreed not to receive an increase in base salary from January 1, 2009 through February 28, 2011.</w:t>
      </w:r>
    </w:p>
    <w:p>
      <w:pPr>
        <w:spacing w:after="0" w:line="38" w:lineRule="exact"/>
        <w:rPr>
          <w:sz w:val="20"/>
          <w:szCs w:val="20"/>
          <w:color w:val="auto"/>
        </w:rPr>
      </w:pPr>
    </w:p>
    <w:p>
      <w:pPr>
        <w:ind w:left="680" w:right="420" w:firstLine="400"/>
        <w:spacing w:after="0" w:line="276" w:lineRule="auto"/>
        <w:rPr>
          <w:sz w:val="20"/>
          <w:szCs w:val="20"/>
          <w:color w:val="auto"/>
        </w:rPr>
      </w:pPr>
      <w:r>
        <w:rPr>
          <w:rFonts w:ascii="Arial" w:cs="Arial" w:eastAsia="Arial" w:hAnsi="Arial"/>
          <w:sz w:val="12"/>
          <w:szCs w:val="12"/>
          <w:i w:val="1"/>
          <w:iCs w:val="1"/>
          <w:color w:val="auto"/>
        </w:rPr>
        <w:t xml:space="preserve">Annual Bonus. </w:t>
      </w:r>
      <w:r>
        <w:rPr>
          <w:rFonts w:ascii="Arial" w:cs="Arial" w:eastAsia="Arial" w:hAnsi="Arial"/>
          <w:sz w:val="12"/>
          <w:szCs w:val="12"/>
          <w:color w:val="auto"/>
        </w:rPr>
        <w:t>Mr. Angelakis is eligible to receive an annual performance bonus, payable in cash, of a percentage of his base salary for the applicable year. During the term of the agreement,</w:t>
      </w:r>
      <w:r>
        <w:rPr>
          <w:rFonts w:ascii="Arial" w:cs="Arial" w:eastAsia="Arial" w:hAnsi="Arial"/>
          <w:sz w:val="12"/>
          <w:szCs w:val="12"/>
          <w:i w:val="1"/>
          <w:iCs w:val="1"/>
          <w:color w:val="auto"/>
        </w:rPr>
        <w:t xml:space="preserve"> </w:t>
      </w:r>
      <w:r>
        <w:rPr>
          <w:rFonts w:ascii="Arial" w:cs="Arial" w:eastAsia="Arial" w:hAnsi="Arial"/>
          <w:sz w:val="12"/>
          <w:szCs w:val="12"/>
          <w:color w:val="auto"/>
        </w:rPr>
        <w:t>Mr. Angelakis’ applicable target bonus percentage will not be less than 300% if all performance targets are achieved.</w:t>
      </w:r>
    </w:p>
    <w:p>
      <w:pPr>
        <w:spacing w:after="0" w:line="52" w:lineRule="exact"/>
        <w:rPr>
          <w:sz w:val="20"/>
          <w:szCs w:val="20"/>
          <w:color w:val="auto"/>
        </w:rPr>
      </w:pPr>
    </w:p>
    <w:p>
      <w:pPr>
        <w:ind w:left="680" w:right="80" w:firstLine="400"/>
        <w:spacing w:after="0" w:line="283" w:lineRule="auto"/>
        <w:rPr>
          <w:sz w:val="20"/>
          <w:szCs w:val="20"/>
          <w:color w:val="auto"/>
        </w:rPr>
      </w:pPr>
      <w:r>
        <w:rPr>
          <w:rFonts w:ascii="Arial" w:cs="Arial" w:eastAsia="Arial" w:hAnsi="Arial"/>
          <w:sz w:val="11"/>
          <w:szCs w:val="11"/>
          <w:i w:val="1"/>
          <w:iCs w:val="1"/>
          <w:color w:val="auto"/>
        </w:rPr>
        <w:t xml:space="preserve">Other Bonuses. </w:t>
      </w:r>
      <w:r>
        <w:rPr>
          <w:rFonts w:ascii="Arial" w:cs="Arial" w:eastAsia="Arial" w:hAnsi="Arial"/>
          <w:sz w:val="11"/>
          <w:szCs w:val="11"/>
          <w:color w:val="auto"/>
        </w:rPr>
        <w:t>Mr. Angelakis is eligible to receive two cash bonuses, each of $1,500,000, and two restricted stock unit grants, each having a value of approximately $3,000,000. Vesting under each</w:t>
      </w:r>
      <w:r>
        <w:rPr>
          <w:rFonts w:ascii="Arial" w:cs="Arial" w:eastAsia="Arial" w:hAnsi="Arial"/>
          <w:sz w:val="11"/>
          <w:szCs w:val="11"/>
          <w:i w:val="1"/>
          <w:iCs w:val="1"/>
          <w:color w:val="auto"/>
        </w:rPr>
        <w:t xml:space="preserve"> </w:t>
      </w:r>
      <w:r>
        <w:rPr>
          <w:rFonts w:ascii="Arial" w:cs="Arial" w:eastAsia="Arial" w:hAnsi="Arial"/>
          <w:sz w:val="11"/>
          <w:szCs w:val="11"/>
          <w:color w:val="auto"/>
        </w:rPr>
        <w:t>restricted stock unit grant will occur on the 13th month anniversary of the date of grant, subject generally to continued employment and a performance condition of a year-over-year increase in our free cash flow. One cash bonus and restricted stock unit grant was made following the effective date of the agreement and the other cash bonus and restricted stock unit grant will be made on the earlier of (i) the closing of the NBCU Transaction or (ii) June 30, 2010 in the case of the cash bonus and June 1, 2010 in the case of the restricted stock unit grant. If Mr. Angelakis terminates his employment without good reason or we terminate his employment with cause during the first six months following the grant date of each cash bonus, he must reimburse us for the amount of such bonus, and, if such a termination occurs after six months but before one year from the grant date of each cash bonus, he must reimburse us for 50% of the amount of such bonus.</w:t>
      </w:r>
    </w:p>
    <w:p>
      <w:pPr>
        <w:spacing w:after="0" w:line="51" w:lineRule="exact"/>
        <w:rPr>
          <w:sz w:val="20"/>
          <w:szCs w:val="20"/>
          <w:color w:val="auto"/>
        </w:rPr>
      </w:pPr>
    </w:p>
    <w:p>
      <w:pPr>
        <w:ind w:left="680" w:right="60" w:firstLine="400"/>
        <w:spacing w:after="0" w:line="259" w:lineRule="auto"/>
        <w:rPr>
          <w:sz w:val="20"/>
          <w:szCs w:val="20"/>
          <w:color w:val="auto"/>
        </w:rPr>
      </w:pPr>
      <w:r>
        <w:rPr>
          <w:rFonts w:ascii="Arial" w:cs="Arial" w:eastAsia="Arial" w:hAnsi="Arial"/>
          <w:sz w:val="12"/>
          <w:szCs w:val="12"/>
          <w:i w:val="1"/>
          <w:iCs w:val="1"/>
          <w:color w:val="auto"/>
        </w:rPr>
        <w:t xml:space="preserve">Deferred Compensation. </w:t>
      </w:r>
      <w:r>
        <w:rPr>
          <w:rFonts w:ascii="Arial" w:cs="Arial" w:eastAsia="Arial" w:hAnsi="Arial"/>
          <w:sz w:val="12"/>
          <w:szCs w:val="12"/>
          <w:color w:val="auto"/>
        </w:rPr>
        <w:t>As was the case under his prior agreement, the new agreement entitles Mr. Angelakis to an annual Company contribution to our deferred compensation plans for each of the</w:t>
      </w:r>
      <w:r>
        <w:rPr>
          <w:rFonts w:ascii="Arial" w:cs="Arial" w:eastAsia="Arial" w:hAnsi="Arial"/>
          <w:sz w:val="12"/>
          <w:szCs w:val="12"/>
          <w:i w:val="1"/>
          <w:iCs w:val="1"/>
          <w:color w:val="auto"/>
        </w:rPr>
        <w:t xml:space="preserve"> </w:t>
      </w:r>
      <w:r>
        <w:rPr>
          <w:rFonts w:ascii="Arial" w:cs="Arial" w:eastAsia="Arial" w:hAnsi="Arial"/>
          <w:sz w:val="12"/>
          <w:szCs w:val="12"/>
          <w:color w:val="auto"/>
        </w:rPr>
        <w:t>calendar years during the term of the agreement. The amounts are $1,500,000 for 2010; $1,575,000 for 2011; and $1,653,750 for 2012. In addition, the new agreement provided that a one-time Company contribution amount of $1,000,000 be made on the effective date of the agreement. Under Mr. Angelakis’ prior employment agreement, the annual Company contribution amount was $1,458,600 for 2009, and the amounts would have been $1,531,538 for 2010 and $1,608,114 for 2011.</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2"/>
          <w:szCs w:val="12"/>
          <w:i w:val="1"/>
          <w:iCs w:val="1"/>
          <w:color w:val="auto"/>
        </w:rPr>
        <w:t>Employment Agreement with Mr. Burke</w:t>
      </w:r>
    </w:p>
    <w:p>
      <w:pPr>
        <w:spacing w:after="0" w:line="87" w:lineRule="exact"/>
        <w:rPr>
          <w:sz w:val="20"/>
          <w:szCs w:val="20"/>
          <w:color w:val="auto"/>
        </w:rPr>
      </w:pPr>
    </w:p>
    <w:p>
      <w:pPr>
        <w:ind w:left="680" w:right="180" w:firstLine="400"/>
        <w:spacing w:after="0" w:line="263" w:lineRule="auto"/>
        <w:rPr>
          <w:sz w:val="20"/>
          <w:szCs w:val="20"/>
          <w:color w:val="auto"/>
        </w:rPr>
      </w:pPr>
      <w:r>
        <w:rPr>
          <w:rFonts w:ascii="Arial" w:cs="Arial" w:eastAsia="Arial" w:hAnsi="Arial"/>
          <w:sz w:val="12"/>
          <w:szCs w:val="12"/>
          <w:color w:val="auto"/>
        </w:rPr>
        <w:t>On December 16, 2009, we entered into a new employment agreement with Mr. Burke, effective as of such date. The agreement secures Mr. Burke’s employment with our company through December 31, 2014, and acknowledges his substantially increased responsibilities, as Mr. Burke (i) will be responsible for leading the transition planning and post-closing integration efforts for the NBCU Joint Venture and (ii) will supervise the NBCU Joint Venture’s Chief Executive Officer.</w:t>
      </w:r>
    </w:p>
    <w:p>
      <w:pPr>
        <w:spacing w:after="0" w:line="60" w:lineRule="exact"/>
        <w:rPr>
          <w:sz w:val="20"/>
          <w:szCs w:val="20"/>
          <w:color w:val="auto"/>
        </w:rPr>
      </w:pPr>
    </w:p>
    <w:p>
      <w:pPr>
        <w:ind w:left="680" w:right="60" w:firstLine="400"/>
        <w:spacing w:after="0" w:line="290" w:lineRule="auto"/>
        <w:rPr>
          <w:sz w:val="20"/>
          <w:szCs w:val="20"/>
          <w:color w:val="auto"/>
        </w:rPr>
      </w:pPr>
      <w:r>
        <w:rPr>
          <w:rFonts w:ascii="Arial" w:cs="Arial" w:eastAsia="Arial" w:hAnsi="Arial"/>
          <w:sz w:val="11"/>
          <w:szCs w:val="11"/>
          <w:i w:val="1"/>
          <w:iCs w:val="1"/>
          <w:color w:val="auto"/>
        </w:rPr>
        <w:t xml:space="preserve">Base Salary. </w:t>
      </w:r>
      <w:r>
        <w:rPr>
          <w:rFonts w:ascii="Arial" w:cs="Arial" w:eastAsia="Arial" w:hAnsi="Arial"/>
          <w:sz w:val="11"/>
          <w:szCs w:val="11"/>
          <w:color w:val="auto"/>
        </w:rPr>
        <w:t>The agreement provides for Mr. Burke’s base salary to remain at its current annual rate of $2,000,000 from the inception of the agreement through February 28, 2010. This amount may</w:t>
      </w:r>
      <w:r>
        <w:rPr>
          <w:rFonts w:ascii="Arial" w:cs="Arial" w:eastAsia="Arial" w:hAnsi="Arial"/>
          <w:sz w:val="11"/>
          <w:szCs w:val="11"/>
          <w:i w:val="1"/>
          <w:iCs w:val="1"/>
          <w:color w:val="auto"/>
        </w:rPr>
        <w:t xml:space="preserve"> </w:t>
      </w:r>
      <w:r>
        <w:rPr>
          <w:rFonts w:ascii="Arial" w:cs="Arial" w:eastAsia="Arial" w:hAnsi="Arial"/>
          <w:sz w:val="11"/>
          <w:szCs w:val="11"/>
          <w:color w:val="auto"/>
        </w:rPr>
        <w:t>be increased in connection with any salary increase program offered by us during the term of the agreement, on a basis consistent with that applicable to other employees at Mr. Burke’s level. Mr. Burke’s salary may not be reduced, other than as part of a salary reduction program effected by us during the term of the agreement, on a basis consistent with that applicable to other employees at Mr. Burke’s level. Notwithstanding the foregoing, Mr. Burke has agreed not to receive an increase in base salary from January 1, 2009 through February 28, 2011.</w:t>
      </w:r>
    </w:p>
    <w:p>
      <w:pPr>
        <w:spacing w:after="0" w:line="46" w:lineRule="exact"/>
        <w:rPr>
          <w:sz w:val="20"/>
          <w:szCs w:val="20"/>
          <w:color w:val="auto"/>
        </w:rPr>
      </w:pPr>
    </w:p>
    <w:p>
      <w:pPr>
        <w:ind w:left="680" w:firstLine="400"/>
        <w:spacing w:after="0" w:line="276" w:lineRule="auto"/>
        <w:rPr>
          <w:sz w:val="20"/>
          <w:szCs w:val="20"/>
          <w:color w:val="auto"/>
        </w:rPr>
      </w:pPr>
      <w:r>
        <w:rPr>
          <w:rFonts w:ascii="Arial" w:cs="Arial" w:eastAsia="Arial" w:hAnsi="Arial"/>
          <w:sz w:val="12"/>
          <w:szCs w:val="12"/>
          <w:i w:val="1"/>
          <w:iCs w:val="1"/>
          <w:color w:val="auto"/>
        </w:rPr>
        <w:t xml:space="preserve">Annual Bonus. </w:t>
      </w:r>
      <w:r>
        <w:rPr>
          <w:rFonts w:ascii="Arial" w:cs="Arial" w:eastAsia="Arial" w:hAnsi="Arial"/>
          <w:sz w:val="12"/>
          <w:szCs w:val="12"/>
          <w:color w:val="auto"/>
        </w:rPr>
        <w:t>Mr. Burke is eligible to receive an annual performance bonus, payable in cash, of a percentage of his base salary for the applicable year. During the term of the agreement, Mr. Burke’s</w:t>
      </w:r>
      <w:r>
        <w:rPr>
          <w:rFonts w:ascii="Arial" w:cs="Arial" w:eastAsia="Arial" w:hAnsi="Arial"/>
          <w:sz w:val="12"/>
          <w:szCs w:val="12"/>
          <w:i w:val="1"/>
          <w:iCs w:val="1"/>
          <w:color w:val="auto"/>
        </w:rPr>
        <w:t xml:space="preserve"> </w:t>
      </w:r>
      <w:r>
        <w:rPr>
          <w:rFonts w:ascii="Arial" w:cs="Arial" w:eastAsia="Arial" w:hAnsi="Arial"/>
          <w:sz w:val="12"/>
          <w:szCs w:val="12"/>
          <w:color w:val="auto"/>
        </w:rPr>
        <w:t>applicable target bonus percentage will not be less than 300% if all performance targets are achieved.</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97790</wp:posOffset>
            </wp:positionV>
            <wp:extent cx="7299325" cy="184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640"/>
          </w:cols>
          <w:pgMar w:left="220" w:top="327" w:right="1039" w:bottom="1440" w:gutter="0" w:footer="0" w:header="0"/>
        </w:sectPr>
      </w:pPr>
    </w:p>
    <w:bookmarkStart w:id="56" w:name="page57"/>
    <w:bookmarkEnd w:id="56"/>
    <w:p>
      <w:pPr>
        <w:spacing w:after="0"/>
        <w:rPr>
          <w:rFonts w:ascii="Arial" w:cs="Arial" w:eastAsia="Arial" w:hAnsi="Arial"/>
          <w:sz w:val="12"/>
          <w:szCs w:val="12"/>
          <w:b w:val="1"/>
          <w:bCs w:val="1"/>
          <w:u w:val="single" w:color="auto"/>
          <w:color w:val="0000EE"/>
        </w:rPr>
      </w:pP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680" w:right="20" w:firstLine="400"/>
        <w:spacing w:after="0" w:line="283" w:lineRule="auto"/>
        <w:rPr>
          <w:sz w:val="20"/>
          <w:szCs w:val="20"/>
          <w:color w:val="auto"/>
        </w:rPr>
      </w:pPr>
      <w:r>
        <w:rPr>
          <w:rFonts w:ascii="Arial" w:cs="Arial" w:eastAsia="Arial" w:hAnsi="Arial"/>
          <w:sz w:val="11"/>
          <w:szCs w:val="11"/>
          <w:i w:val="1"/>
          <w:iCs w:val="1"/>
          <w:color w:val="auto"/>
        </w:rPr>
        <w:t xml:space="preserve">Other Bonuses. </w:t>
      </w:r>
      <w:r>
        <w:rPr>
          <w:rFonts w:ascii="Arial" w:cs="Arial" w:eastAsia="Arial" w:hAnsi="Arial"/>
          <w:sz w:val="11"/>
          <w:szCs w:val="11"/>
          <w:color w:val="auto"/>
        </w:rPr>
        <w:t>Mr. Burke is eligible to receive two cash bonuses, each of $3,000,000, and two restricted stock unit grants, each having a value of approximately $6,000,000. Vesting under each</w:t>
      </w:r>
      <w:r>
        <w:rPr>
          <w:rFonts w:ascii="Arial" w:cs="Arial" w:eastAsia="Arial" w:hAnsi="Arial"/>
          <w:sz w:val="11"/>
          <w:szCs w:val="11"/>
          <w:i w:val="1"/>
          <w:iCs w:val="1"/>
          <w:color w:val="auto"/>
        </w:rPr>
        <w:t xml:space="preserve"> </w:t>
      </w:r>
      <w:r>
        <w:rPr>
          <w:rFonts w:ascii="Arial" w:cs="Arial" w:eastAsia="Arial" w:hAnsi="Arial"/>
          <w:sz w:val="11"/>
          <w:szCs w:val="11"/>
          <w:color w:val="auto"/>
        </w:rPr>
        <w:t>restricted stock unit grant will occur on the 13th month anniversary of the date of grant, subject generally to continued employment and a performance condition of a year-over-year increase in our free cash flow. One cash bonus and restricted stock unit grant was made following the effective date of the agreement and the other cash bonus and restricted stock unit grant will be made on the earlier of (i) the closing of the NBCU Transaction or (ii) June 30, 2010 in the case of the cash bonus and June 1, 2010 in the case of the restricted stock unit grant. If Mr. Burke terminates his employment without good reason or we terminate his employment with cause during the first six months following the grant date of each cash bonus, he must reimburse us for the amount of such bonus, and, if such a termination occurs after six months but before one year from the grant date of each cash bonus, he must reimburse us for 50% of the amount of such bonus.</w:t>
      </w:r>
    </w:p>
    <w:p>
      <w:pPr>
        <w:spacing w:after="0" w:line="51" w:lineRule="exact"/>
        <w:rPr>
          <w:sz w:val="20"/>
          <w:szCs w:val="20"/>
          <w:color w:val="auto"/>
        </w:rPr>
      </w:pPr>
    </w:p>
    <w:p>
      <w:pPr>
        <w:ind w:left="680" w:right="260" w:firstLine="400"/>
        <w:spacing w:after="0" w:line="259" w:lineRule="auto"/>
        <w:rPr>
          <w:sz w:val="20"/>
          <w:szCs w:val="20"/>
          <w:color w:val="auto"/>
        </w:rPr>
      </w:pPr>
      <w:r>
        <w:rPr>
          <w:rFonts w:ascii="Arial" w:cs="Arial" w:eastAsia="Arial" w:hAnsi="Arial"/>
          <w:sz w:val="12"/>
          <w:szCs w:val="12"/>
          <w:i w:val="1"/>
          <w:iCs w:val="1"/>
          <w:color w:val="auto"/>
        </w:rPr>
        <w:t xml:space="preserve">Deferred Compensation. </w:t>
      </w:r>
      <w:r>
        <w:rPr>
          <w:rFonts w:ascii="Arial" w:cs="Arial" w:eastAsia="Arial" w:hAnsi="Arial"/>
          <w:sz w:val="12"/>
          <w:szCs w:val="12"/>
          <w:color w:val="auto"/>
        </w:rPr>
        <w:t>As was the case under his prior agreement, the new agreement entitles Mr. Burke to an annual Company contribution to our deferred compensation plans for each of the</w:t>
      </w:r>
      <w:r>
        <w:rPr>
          <w:rFonts w:ascii="Arial" w:cs="Arial" w:eastAsia="Arial" w:hAnsi="Arial"/>
          <w:sz w:val="12"/>
          <w:szCs w:val="12"/>
          <w:i w:val="1"/>
          <w:iCs w:val="1"/>
          <w:color w:val="auto"/>
        </w:rPr>
        <w:t xml:space="preserve"> </w:t>
      </w:r>
      <w:r>
        <w:rPr>
          <w:rFonts w:ascii="Arial" w:cs="Arial" w:eastAsia="Arial" w:hAnsi="Arial"/>
          <w:sz w:val="12"/>
          <w:szCs w:val="12"/>
          <w:color w:val="auto"/>
        </w:rPr>
        <w:t>calendar years during the term of the agreement. The amounts are $2,000,000 for 2010; $2,100,000 for 2011; $2,205,000 for 2012; $2,315,250 for 2013; and $2,431,012 for 2014. In addition, the new agreement provided that a one-time Company contribution amount of $2,000,000 be made on the effective date of the agreement. Under Mr. Burke’s prior employment agreement, the annual Company contribution amount was $1,944,800 for 2009, and the amount would have been $2,042,050 for 2010.</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2"/>
          <w:szCs w:val="12"/>
          <w:i w:val="1"/>
          <w:iCs w:val="1"/>
          <w:color w:val="auto"/>
        </w:rPr>
        <w:t>Employment Agreement with Mr. Cohen</w:t>
      </w:r>
    </w:p>
    <w:p>
      <w:pPr>
        <w:spacing w:after="0" w:line="87" w:lineRule="exact"/>
        <w:rPr>
          <w:sz w:val="20"/>
          <w:szCs w:val="20"/>
          <w:color w:val="auto"/>
        </w:rPr>
      </w:pPr>
    </w:p>
    <w:p>
      <w:pPr>
        <w:ind w:left="680" w:right="120" w:firstLine="400"/>
        <w:spacing w:after="0" w:line="259" w:lineRule="auto"/>
        <w:rPr>
          <w:sz w:val="20"/>
          <w:szCs w:val="20"/>
          <w:color w:val="auto"/>
        </w:rPr>
      </w:pPr>
      <w:r>
        <w:rPr>
          <w:rFonts w:ascii="Arial" w:cs="Arial" w:eastAsia="Arial" w:hAnsi="Arial"/>
          <w:sz w:val="12"/>
          <w:szCs w:val="12"/>
          <w:i w:val="1"/>
          <w:iCs w:val="1"/>
          <w:color w:val="auto"/>
        </w:rPr>
        <w:t xml:space="preserve">Base Salary. </w:t>
      </w:r>
      <w:r>
        <w:rPr>
          <w:rFonts w:ascii="Arial" w:cs="Arial" w:eastAsia="Arial" w:hAnsi="Arial"/>
          <w:sz w:val="12"/>
          <w:szCs w:val="12"/>
          <w:color w:val="auto"/>
        </w:rPr>
        <w:t>The agreement provides for an annual base salary of $1,200,000 from the inception of the agreement through December 31, 2006. This amount is reviewed annually to determine</w:t>
      </w:r>
      <w:r>
        <w:rPr>
          <w:rFonts w:ascii="Arial" w:cs="Arial" w:eastAsia="Arial" w:hAnsi="Arial"/>
          <w:sz w:val="12"/>
          <w:szCs w:val="12"/>
          <w:i w:val="1"/>
          <w:iCs w:val="1"/>
          <w:color w:val="auto"/>
        </w:rPr>
        <w:t xml:space="preserve"> </w:t>
      </w:r>
      <w:r>
        <w:rPr>
          <w:rFonts w:ascii="Arial" w:cs="Arial" w:eastAsia="Arial" w:hAnsi="Arial"/>
          <w:sz w:val="12"/>
          <w:szCs w:val="12"/>
          <w:color w:val="auto"/>
        </w:rPr>
        <w:t>whether an increase is appropriate for the subsequent calendar year in the term of the agreement, which expires on December 31, 2010. If increased, Mr. Cohen’s salary may not be reduced, except under an overall plan to reduce the compensation of all our senior executive officers. Notwithstanding the foregoing, Mr. Cohen has agreed not to receive an increase in base salary from January 1, 2009 through February 28, 2011.</w:t>
      </w:r>
    </w:p>
    <w:p>
      <w:pPr>
        <w:spacing w:after="0" w:line="62" w:lineRule="exact"/>
        <w:rPr>
          <w:sz w:val="20"/>
          <w:szCs w:val="20"/>
          <w:color w:val="auto"/>
        </w:rPr>
      </w:pPr>
    </w:p>
    <w:p>
      <w:pPr>
        <w:ind w:left="680" w:right="600" w:firstLine="400"/>
        <w:spacing w:after="0" w:line="276" w:lineRule="auto"/>
        <w:rPr>
          <w:sz w:val="20"/>
          <w:szCs w:val="20"/>
          <w:color w:val="auto"/>
        </w:rPr>
      </w:pPr>
      <w:r>
        <w:rPr>
          <w:rFonts w:ascii="Arial" w:cs="Arial" w:eastAsia="Arial" w:hAnsi="Arial"/>
          <w:sz w:val="12"/>
          <w:szCs w:val="12"/>
          <w:i w:val="1"/>
          <w:iCs w:val="1"/>
          <w:color w:val="auto"/>
        </w:rPr>
        <w:t xml:space="preserve">Annual Bonus. </w:t>
      </w:r>
      <w:r>
        <w:rPr>
          <w:rFonts w:ascii="Arial" w:cs="Arial" w:eastAsia="Arial" w:hAnsi="Arial"/>
          <w:sz w:val="12"/>
          <w:szCs w:val="12"/>
          <w:color w:val="auto"/>
        </w:rPr>
        <w:t>Mr. Cohen is eligible to receive an annual performance bonus, payable in cash, of a percentage of his base salary for the applicable year. During the term of the agreement,</w:t>
      </w:r>
      <w:r>
        <w:rPr>
          <w:rFonts w:ascii="Arial" w:cs="Arial" w:eastAsia="Arial" w:hAnsi="Arial"/>
          <w:sz w:val="12"/>
          <w:szCs w:val="12"/>
          <w:i w:val="1"/>
          <w:iCs w:val="1"/>
          <w:color w:val="auto"/>
        </w:rPr>
        <w:t xml:space="preserve"> </w:t>
      </w:r>
      <w:r>
        <w:rPr>
          <w:rFonts w:ascii="Arial" w:cs="Arial" w:eastAsia="Arial" w:hAnsi="Arial"/>
          <w:sz w:val="12"/>
          <w:szCs w:val="12"/>
          <w:color w:val="auto"/>
        </w:rPr>
        <w:t>Mr. Cohen’s applicable target bonus percentage will not be less than 125% if all performance targets are achieved.</w:t>
      </w:r>
    </w:p>
    <w:p>
      <w:pPr>
        <w:spacing w:after="0" w:line="52" w:lineRule="exact"/>
        <w:rPr>
          <w:sz w:val="20"/>
          <w:szCs w:val="20"/>
          <w:color w:val="auto"/>
        </w:rPr>
      </w:pPr>
    </w:p>
    <w:p>
      <w:pPr>
        <w:ind w:left="1080"/>
        <w:spacing w:after="0"/>
        <w:rPr>
          <w:sz w:val="20"/>
          <w:szCs w:val="20"/>
          <w:color w:val="auto"/>
        </w:rPr>
      </w:pPr>
      <w:r>
        <w:rPr>
          <w:rFonts w:ascii="Arial" w:cs="Arial" w:eastAsia="Arial" w:hAnsi="Arial"/>
          <w:sz w:val="11"/>
          <w:szCs w:val="11"/>
          <w:i w:val="1"/>
          <w:iCs w:val="1"/>
          <w:color w:val="auto"/>
        </w:rPr>
        <w:t xml:space="preserve">Deferred Compensation. </w:t>
      </w:r>
      <w:r>
        <w:rPr>
          <w:rFonts w:ascii="Arial" w:cs="Arial" w:eastAsia="Arial" w:hAnsi="Arial"/>
          <w:sz w:val="11"/>
          <w:szCs w:val="11"/>
          <w:color w:val="auto"/>
        </w:rPr>
        <w:t>The agreement entitles Mr. Cohen to an annual Company contribution to our deferred compensation plans for each of the calendar years during the term of the agreement.</w:t>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2"/>
          <w:szCs w:val="12"/>
          <w:color w:val="auto"/>
        </w:rPr>
        <w:t>The amounts include $868,219 for 2009 and $911,630 for 2010.</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2"/>
          <w:szCs w:val="12"/>
          <w:i w:val="1"/>
          <w:iCs w:val="1"/>
          <w:color w:val="auto"/>
        </w:rPr>
        <w:t>Employment Agreement with Mr. Block</w:t>
      </w:r>
    </w:p>
    <w:p>
      <w:pPr>
        <w:spacing w:after="0" w:line="87" w:lineRule="exact"/>
        <w:rPr>
          <w:sz w:val="20"/>
          <w:szCs w:val="20"/>
          <w:color w:val="auto"/>
        </w:rPr>
      </w:pPr>
    </w:p>
    <w:p>
      <w:pPr>
        <w:ind w:left="680" w:right="60" w:firstLine="400"/>
        <w:spacing w:after="0" w:line="298" w:lineRule="auto"/>
        <w:rPr>
          <w:sz w:val="20"/>
          <w:szCs w:val="20"/>
          <w:color w:val="auto"/>
        </w:rPr>
      </w:pPr>
      <w:r>
        <w:rPr>
          <w:rFonts w:ascii="Arial" w:cs="Arial" w:eastAsia="Arial" w:hAnsi="Arial"/>
          <w:sz w:val="11"/>
          <w:szCs w:val="11"/>
          <w:color w:val="auto"/>
        </w:rPr>
        <w:t>On December 16, 2009, we entered into a new employment agreement with Mr. Block, which, as amended on January 26, 2010, was effective as of December 16, 2009. The agreement secures Mr. Block’s employment with our company through December 31, 2014, and acknowledges his substantially increased responsibilities, as Mr. Block (i) will assist Mr. Burke in the transition planning and post-closing integration efforts for the NBCU Joint Venture and (ii) will be responsible for managing a larger and more complex law function of our company following the closing of the NBCU Transaction.</w:t>
      </w:r>
    </w:p>
    <w:p>
      <w:pPr>
        <w:spacing w:after="0" w:line="42" w:lineRule="exact"/>
        <w:rPr>
          <w:sz w:val="20"/>
          <w:szCs w:val="20"/>
          <w:color w:val="auto"/>
        </w:rPr>
      </w:pPr>
    </w:p>
    <w:p>
      <w:pPr>
        <w:jc w:val="both"/>
        <w:ind w:left="680" w:firstLine="400"/>
        <w:spacing w:after="0" w:line="298" w:lineRule="auto"/>
        <w:rPr>
          <w:sz w:val="20"/>
          <w:szCs w:val="20"/>
          <w:color w:val="auto"/>
        </w:rPr>
      </w:pPr>
      <w:r>
        <w:rPr>
          <w:rFonts w:ascii="Arial" w:cs="Arial" w:eastAsia="Arial" w:hAnsi="Arial"/>
          <w:sz w:val="11"/>
          <w:szCs w:val="11"/>
          <w:i w:val="1"/>
          <w:iCs w:val="1"/>
          <w:color w:val="auto"/>
        </w:rPr>
        <w:t xml:space="preserve">Base Salary. </w:t>
      </w:r>
      <w:r>
        <w:rPr>
          <w:rFonts w:ascii="Arial" w:cs="Arial" w:eastAsia="Arial" w:hAnsi="Arial"/>
          <w:sz w:val="11"/>
          <w:szCs w:val="11"/>
          <w:color w:val="auto"/>
        </w:rPr>
        <w:t>The agreement provides for an annual base salary rate of $900,000 from the inception of the agreement through February 28, 2011. This amount may be increased in connection with any</w:t>
      </w:r>
      <w:r>
        <w:rPr>
          <w:rFonts w:ascii="Arial" w:cs="Arial" w:eastAsia="Arial" w:hAnsi="Arial"/>
          <w:sz w:val="11"/>
          <w:szCs w:val="11"/>
          <w:i w:val="1"/>
          <w:iCs w:val="1"/>
          <w:color w:val="auto"/>
        </w:rPr>
        <w:t xml:space="preserve"> </w:t>
      </w:r>
      <w:r>
        <w:rPr>
          <w:rFonts w:ascii="Arial" w:cs="Arial" w:eastAsia="Arial" w:hAnsi="Arial"/>
          <w:sz w:val="11"/>
          <w:szCs w:val="11"/>
          <w:color w:val="auto"/>
        </w:rPr>
        <w:t>salary increase program offered by us during the term of the agreement, on a basis consistent with that applicable to other employees at Mr. Block’s level. Mr. Block’s salary may not be reduced, other than as part of a salary reduction program effected by us during the term of the agreement, on a basis consistent with that applicable to other employees at Mr. Block’s level.</w:t>
      </w:r>
    </w:p>
    <w:p>
      <w:pPr>
        <w:spacing w:after="0" w:line="42" w:lineRule="exact"/>
        <w:rPr>
          <w:sz w:val="20"/>
          <w:szCs w:val="20"/>
          <w:color w:val="auto"/>
        </w:rPr>
      </w:pPr>
    </w:p>
    <w:p>
      <w:pPr>
        <w:ind w:left="680" w:right="40" w:firstLine="400"/>
        <w:spacing w:after="0" w:line="276" w:lineRule="auto"/>
        <w:rPr>
          <w:sz w:val="20"/>
          <w:szCs w:val="20"/>
          <w:color w:val="auto"/>
        </w:rPr>
      </w:pPr>
      <w:r>
        <w:rPr>
          <w:rFonts w:ascii="Arial" w:cs="Arial" w:eastAsia="Arial" w:hAnsi="Arial"/>
          <w:sz w:val="12"/>
          <w:szCs w:val="12"/>
          <w:i w:val="1"/>
          <w:iCs w:val="1"/>
          <w:color w:val="auto"/>
        </w:rPr>
        <w:t xml:space="preserve">Annual Bonus. </w:t>
      </w:r>
      <w:r>
        <w:rPr>
          <w:rFonts w:ascii="Arial" w:cs="Arial" w:eastAsia="Arial" w:hAnsi="Arial"/>
          <w:sz w:val="12"/>
          <w:szCs w:val="12"/>
          <w:color w:val="auto"/>
        </w:rPr>
        <w:t>Mr. Block is eligible to receive an annual performance bonus, payable in cash, of a percentage of his base salary for the applicable year. During the term of the agreement, Mr. Block’s</w:t>
      </w:r>
      <w:r>
        <w:rPr>
          <w:rFonts w:ascii="Arial" w:cs="Arial" w:eastAsia="Arial" w:hAnsi="Arial"/>
          <w:sz w:val="12"/>
          <w:szCs w:val="12"/>
          <w:i w:val="1"/>
          <w:iCs w:val="1"/>
          <w:color w:val="auto"/>
        </w:rPr>
        <w:t xml:space="preserve"> </w:t>
      </w:r>
      <w:r>
        <w:rPr>
          <w:rFonts w:ascii="Arial" w:cs="Arial" w:eastAsia="Arial" w:hAnsi="Arial"/>
          <w:sz w:val="12"/>
          <w:szCs w:val="12"/>
          <w:color w:val="auto"/>
        </w:rPr>
        <w:t>applicable target bonus percentage will not be less than 100% if all performance targets are achieved.</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97790</wp:posOffset>
            </wp:positionV>
            <wp:extent cx="7299325" cy="184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660"/>
          </w:cols>
          <w:pgMar w:left="220" w:top="327" w:right="1019" w:bottom="1440" w:gutter="0" w:footer="0" w:header="0"/>
        </w:sectPr>
      </w:pPr>
    </w:p>
    <w:bookmarkStart w:id="57" w:name="page58"/>
    <w:bookmarkEnd w:id="57"/>
    <w:p>
      <w:pPr>
        <w:spacing w:after="0"/>
        <w:rPr>
          <w:rFonts w:ascii="Arial" w:cs="Arial" w:eastAsia="Arial" w:hAnsi="Arial"/>
          <w:sz w:val="12"/>
          <w:szCs w:val="12"/>
          <w:b w:val="1"/>
          <w:bCs w:val="1"/>
          <w:u w:val="single" w:color="auto"/>
          <w:color w:val="0000EE"/>
        </w:rPr>
      </w:pP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both"/>
        <w:ind w:left="680" w:right="140" w:firstLine="400"/>
        <w:spacing w:after="0" w:line="263" w:lineRule="auto"/>
        <w:rPr>
          <w:sz w:val="20"/>
          <w:szCs w:val="20"/>
          <w:color w:val="auto"/>
        </w:rPr>
      </w:pPr>
      <w:r>
        <w:rPr>
          <w:rFonts w:ascii="Arial" w:cs="Arial" w:eastAsia="Arial" w:hAnsi="Arial"/>
          <w:sz w:val="12"/>
          <w:szCs w:val="12"/>
          <w:i w:val="1"/>
          <w:iCs w:val="1"/>
          <w:color w:val="auto"/>
        </w:rPr>
        <w:t xml:space="preserve">Other Bonus. </w:t>
      </w:r>
      <w:r>
        <w:rPr>
          <w:rFonts w:ascii="Arial" w:cs="Arial" w:eastAsia="Arial" w:hAnsi="Arial"/>
          <w:sz w:val="12"/>
          <w:szCs w:val="12"/>
          <w:color w:val="auto"/>
        </w:rPr>
        <w:t>Under the agreement, Mr. Block received a stock option grant having a value of approximately $692,163 and a restricted stock unit grant having a value of approximately $1,692,163,</w:t>
      </w:r>
      <w:r>
        <w:rPr>
          <w:rFonts w:ascii="Arial" w:cs="Arial" w:eastAsia="Arial" w:hAnsi="Arial"/>
          <w:sz w:val="12"/>
          <w:szCs w:val="12"/>
          <w:i w:val="1"/>
          <w:iCs w:val="1"/>
          <w:color w:val="auto"/>
        </w:rPr>
        <w:t xml:space="preserve"> </w:t>
      </w:r>
      <w:r>
        <w:rPr>
          <w:rFonts w:ascii="Arial" w:cs="Arial" w:eastAsia="Arial" w:hAnsi="Arial"/>
          <w:sz w:val="12"/>
          <w:szCs w:val="12"/>
          <w:color w:val="auto"/>
        </w:rPr>
        <w:t>with vesting generally subject to continued employment over a period of ten years in the case of the stock option grant and five years in the case of the restricted stock unit grant, and with vesting under the restricted stock unit grant additionally subject to a performance condition of a year-over-year increase in our free cash flow.</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2"/>
          <w:szCs w:val="12"/>
          <w:i w:val="1"/>
          <w:iCs w:val="1"/>
          <w:color w:val="auto"/>
        </w:rPr>
        <w:t>Noncompetition and Confidentiality</w:t>
      </w:r>
    </w:p>
    <w:p>
      <w:pPr>
        <w:spacing w:after="0" w:line="87" w:lineRule="exact"/>
        <w:rPr>
          <w:sz w:val="20"/>
          <w:szCs w:val="20"/>
          <w:color w:val="auto"/>
        </w:rPr>
      </w:pPr>
    </w:p>
    <w:p>
      <w:pPr>
        <w:ind w:left="680" w:right="20" w:firstLine="400"/>
        <w:spacing w:after="0" w:line="257" w:lineRule="auto"/>
        <w:rPr>
          <w:sz w:val="20"/>
          <w:szCs w:val="20"/>
          <w:color w:val="auto"/>
        </w:rPr>
      </w:pPr>
      <w:r>
        <w:rPr>
          <w:rFonts w:ascii="Arial" w:cs="Arial" w:eastAsia="Arial" w:hAnsi="Arial"/>
          <w:sz w:val="12"/>
          <w:szCs w:val="12"/>
          <w:color w:val="auto"/>
        </w:rPr>
        <w:t>Each of our named executive officers is subject to noncompetition covenants. Under the agreements, each has agreed not to compete with us during his employment and, in the event his employment terminates other than by us without cause or by him with good reason, for one year after termination of his employment. If we have not renewed the executive’s employment agreement and he terminates his employment after the end of the initial term of the agreement (other than for good reason), we may elect to have the noncompetition provisions apply in exchange for providing him with one year’s base salary and bonus. Each of our named executive officers has also agreed not to solicit our employees or customers for one year after termination of his employment. Further, as Messrs. Cohen and Block are each attorneys, each may engage in the practice of law.</w:t>
      </w:r>
    </w:p>
    <w:p>
      <w:pPr>
        <w:spacing w:after="0" w:line="63" w:lineRule="exact"/>
        <w:rPr>
          <w:sz w:val="20"/>
          <w:szCs w:val="20"/>
          <w:color w:val="auto"/>
        </w:rPr>
      </w:pPr>
    </w:p>
    <w:p>
      <w:pPr>
        <w:ind w:left="680" w:right="60" w:firstLine="400"/>
        <w:spacing w:after="0" w:line="276" w:lineRule="auto"/>
        <w:rPr>
          <w:sz w:val="20"/>
          <w:szCs w:val="20"/>
          <w:color w:val="auto"/>
        </w:rPr>
      </w:pPr>
      <w:r>
        <w:rPr>
          <w:rFonts w:ascii="Arial" w:cs="Arial" w:eastAsia="Arial" w:hAnsi="Arial"/>
          <w:sz w:val="12"/>
          <w:szCs w:val="12"/>
          <w:color w:val="auto"/>
        </w:rPr>
        <w:t>Each of our named executive officers is subject to confidentiality covenants. Each has agreed to maintain the confidentiality of our information and not to use such information, except for our benefit, at all times during and after his employment with us.</w:t>
      </w:r>
    </w:p>
    <w:p>
      <w:pPr>
        <w:spacing w:after="0" w:line="120" w:lineRule="exact"/>
        <w:rPr>
          <w:sz w:val="20"/>
          <w:szCs w:val="20"/>
          <w:color w:val="auto"/>
        </w:rPr>
      </w:pPr>
    </w:p>
    <w:p>
      <w:pPr>
        <w:ind w:left="680"/>
        <w:spacing w:after="0"/>
        <w:rPr>
          <w:sz w:val="20"/>
          <w:szCs w:val="20"/>
          <w:color w:val="auto"/>
        </w:rPr>
      </w:pPr>
      <w:r>
        <w:rPr>
          <w:rFonts w:ascii="Arial" w:cs="Arial" w:eastAsia="Arial" w:hAnsi="Arial"/>
          <w:sz w:val="12"/>
          <w:szCs w:val="12"/>
          <w:b w:val="1"/>
          <w:bCs w:val="1"/>
          <w:color w:val="auto"/>
        </w:rPr>
        <w:t>Potential Payments upon Termination or Change in Control</w:t>
      </w:r>
    </w:p>
    <w:p>
      <w:pPr>
        <w:spacing w:after="0" w:line="91" w:lineRule="exact"/>
        <w:rPr>
          <w:sz w:val="20"/>
          <w:szCs w:val="20"/>
          <w:color w:val="auto"/>
        </w:rPr>
      </w:pPr>
    </w:p>
    <w:p>
      <w:pPr>
        <w:ind w:left="680" w:right="100" w:firstLine="400"/>
        <w:spacing w:after="0" w:line="257" w:lineRule="auto"/>
        <w:rPr>
          <w:sz w:val="20"/>
          <w:szCs w:val="20"/>
          <w:color w:val="auto"/>
        </w:rPr>
      </w:pPr>
      <w:r>
        <w:rPr>
          <w:rFonts w:ascii="Arial" w:cs="Arial" w:eastAsia="Arial" w:hAnsi="Arial"/>
          <w:sz w:val="12"/>
          <w:szCs w:val="12"/>
          <w:color w:val="auto"/>
        </w:rPr>
        <w:t>The table below describes the payments and benefits to which each of our named executive officers would have been entitled (i) had his employment terminated on December 31, 2009 (a) by us without cause or by him with good reason, (b) because of his death, (c) due to his disability or (d) upon his retirement or (ii) upon a change in control. In addition to the specific payments and benefits described below for each named executive officer, our named executive officers also would have been entitled to receive any benefits due under the terms of our benefit plans and programs, including our deferred compensation plans described in further detail in the “Nonqualified Deferred Compensation in and as of 2009 Fiscal Year-End” table on page 50. All amounts are estimates only, and actual amounts will vary depending upon the facts and circumstances applicable at the time of the triggering event.</w:t>
      </w:r>
    </w:p>
    <w:p>
      <w:pPr>
        <w:spacing w:after="0" w:line="68" w:lineRule="exact"/>
        <w:rPr>
          <w:sz w:val="20"/>
          <w:szCs w:val="20"/>
          <w:color w:val="auto"/>
        </w:rPr>
      </w:pPr>
    </w:p>
    <w:tbl>
      <w:tblPr>
        <w:tblLayout w:type="fixed"/>
        <w:tblInd w:w="680" w:type="dxa"/>
        <w:tblCellMar>
          <w:top w:w="0" w:type="dxa"/>
          <w:left w:w="0" w:type="dxa"/>
          <w:bottom w:w="0" w:type="dxa"/>
          <w:right w:w="0" w:type="dxa"/>
        </w:tblCellMar>
      </w:tblPr>
      <w:tr>
        <w:trPr>
          <w:trHeight w:val="92"/>
        </w:trPr>
        <w:tc>
          <w:tcPr>
            <w:tcW w:w="20" w:type="dxa"/>
            <w:vAlign w:val="bottom"/>
          </w:tcPr>
          <w:p>
            <w:pPr>
              <w:spacing w:after="0"/>
              <w:rPr>
                <w:sz w:val="7"/>
                <w:szCs w:val="7"/>
                <w:color w:val="auto"/>
              </w:rPr>
            </w:pPr>
          </w:p>
        </w:tc>
        <w:tc>
          <w:tcPr>
            <w:tcW w:w="218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gridSpan w:val="2"/>
          </w:tcPr>
          <w:p>
            <w:pPr>
              <w:jc w:val="center"/>
              <w:spacing w:after="0"/>
              <w:rPr>
                <w:sz w:val="20"/>
                <w:szCs w:val="20"/>
                <w:color w:val="auto"/>
              </w:rPr>
            </w:pPr>
            <w:r>
              <w:rPr>
                <w:rFonts w:ascii="Arial" w:cs="Arial" w:eastAsia="Arial" w:hAnsi="Arial"/>
                <w:sz w:val="8"/>
                <w:szCs w:val="8"/>
                <w:b w:val="1"/>
                <w:bCs w:val="1"/>
                <w:color w:val="auto"/>
                <w:w w:val="95"/>
              </w:rPr>
              <w:t>Acceleration</w:t>
            </w: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18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jc w:val="center"/>
              <w:ind w:right="234"/>
              <w:spacing w:after="0" w:line="90" w:lineRule="exact"/>
              <w:rPr>
                <w:sz w:val="20"/>
                <w:szCs w:val="20"/>
                <w:color w:val="auto"/>
              </w:rPr>
            </w:pPr>
            <w:r>
              <w:rPr>
                <w:rFonts w:ascii="Arial" w:cs="Arial" w:eastAsia="Arial" w:hAnsi="Arial"/>
                <w:sz w:val="8"/>
                <w:szCs w:val="8"/>
                <w:b w:val="1"/>
                <w:bCs w:val="1"/>
                <w:color w:val="auto"/>
                <w:w w:val="98"/>
              </w:rPr>
              <w:t>and</w:t>
            </w: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18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9"/>
              </w:rPr>
              <w:t>Accrued</w:t>
            </w:r>
          </w:p>
        </w:tc>
        <w:tc>
          <w:tcPr>
            <w:tcW w:w="80" w:type="dxa"/>
            <w:vAlign w:val="bottom"/>
          </w:tcPr>
          <w:p>
            <w:pPr>
              <w:spacing w:after="0"/>
              <w:rPr>
                <w:sz w:val="7"/>
                <w:szCs w:val="7"/>
                <w:color w:val="auto"/>
              </w:rPr>
            </w:pPr>
          </w:p>
        </w:tc>
        <w:tc>
          <w:tcPr>
            <w:tcW w:w="940" w:type="dxa"/>
            <w:vAlign w:val="bottom"/>
            <w:gridSpan w:val="2"/>
          </w:tcPr>
          <w:p>
            <w:pPr>
              <w:jc w:val="center"/>
              <w:spacing w:after="0" w:line="90" w:lineRule="exact"/>
              <w:rPr>
                <w:sz w:val="20"/>
                <w:szCs w:val="20"/>
                <w:color w:val="auto"/>
              </w:rPr>
            </w:pPr>
            <w:r>
              <w:rPr>
                <w:rFonts w:ascii="Arial" w:cs="Arial" w:eastAsia="Arial" w:hAnsi="Arial"/>
                <w:sz w:val="8"/>
                <w:szCs w:val="8"/>
                <w:b w:val="1"/>
                <w:bCs w:val="1"/>
                <w:color w:val="auto"/>
                <w:w w:val="96"/>
              </w:rPr>
              <w:t>Exercisability</w:t>
            </w: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18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3"/>
              </w:rPr>
              <w:t>Annual Cash</w:t>
            </w:r>
          </w:p>
        </w:tc>
        <w:tc>
          <w:tcPr>
            <w:tcW w:w="80" w:type="dxa"/>
            <w:vAlign w:val="bottom"/>
          </w:tcPr>
          <w:p>
            <w:pPr>
              <w:spacing w:after="0"/>
              <w:rPr>
                <w:sz w:val="7"/>
                <w:szCs w:val="7"/>
                <w:color w:val="auto"/>
              </w:rPr>
            </w:pPr>
          </w:p>
        </w:tc>
        <w:tc>
          <w:tcPr>
            <w:tcW w:w="800" w:type="dxa"/>
            <w:vAlign w:val="bottom"/>
          </w:tcPr>
          <w:p>
            <w:pPr>
              <w:jc w:val="center"/>
              <w:spacing w:after="0" w:line="90" w:lineRule="exact"/>
              <w:rPr>
                <w:sz w:val="20"/>
                <w:szCs w:val="20"/>
                <w:color w:val="auto"/>
              </w:rPr>
            </w:pPr>
            <w:r>
              <w:rPr>
                <w:rFonts w:ascii="Arial" w:cs="Arial" w:eastAsia="Arial" w:hAnsi="Arial"/>
                <w:sz w:val="8"/>
                <w:szCs w:val="8"/>
                <w:b w:val="1"/>
                <w:bCs w:val="1"/>
                <w:color w:val="auto"/>
              </w:rPr>
              <w:t>Annual</w:t>
            </w:r>
          </w:p>
        </w:tc>
        <w:tc>
          <w:tcPr>
            <w:tcW w:w="80" w:type="dxa"/>
            <w:vAlign w:val="bottom"/>
          </w:tcPr>
          <w:p>
            <w:pPr>
              <w:spacing w:after="0"/>
              <w:rPr>
                <w:sz w:val="7"/>
                <w:szCs w:val="7"/>
                <w:color w:val="auto"/>
              </w:rPr>
            </w:pPr>
          </w:p>
        </w:tc>
        <w:tc>
          <w:tcPr>
            <w:tcW w:w="940" w:type="dxa"/>
            <w:vAlign w:val="bottom"/>
            <w:gridSpan w:val="2"/>
          </w:tcPr>
          <w:p>
            <w:pPr>
              <w:jc w:val="center"/>
              <w:spacing w:after="0" w:line="90" w:lineRule="exact"/>
              <w:rPr>
                <w:sz w:val="20"/>
                <w:szCs w:val="20"/>
                <w:color w:val="auto"/>
              </w:rPr>
            </w:pPr>
            <w:r>
              <w:rPr>
                <w:rFonts w:ascii="Arial" w:cs="Arial" w:eastAsia="Arial" w:hAnsi="Arial"/>
                <w:sz w:val="8"/>
                <w:szCs w:val="8"/>
                <w:b w:val="1"/>
                <w:bCs w:val="1"/>
                <w:color w:val="auto"/>
                <w:w w:val="91"/>
              </w:rPr>
              <w:t>of Unvested</w:t>
            </w:r>
          </w:p>
        </w:tc>
        <w:tc>
          <w:tcPr>
            <w:tcW w:w="80" w:type="dxa"/>
            <w:vAlign w:val="bottom"/>
          </w:tcPr>
          <w:p>
            <w:pPr>
              <w:spacing w:after="0"/>
              <w:rPr>
                <w:sz w:val="7"/>
                <w:szCs w:val="7"/>
                <w:color w:val="auto"/>
              </w:rPr>
            </w:pPr>
          </w:p>
        </w:tc>
        <w:tc>
          <w:tcPr>
            <w:tcW w:w="880" w:type="dxa"/>
            <w:vAlign w:val="bottom"/>
            <w:gridSpan w:val="2"/>
          </w:tcPr>
          <w:p>
            <w:pPr>
              <w:jc w:val="center"/>
              <w:spacing w:after="0" w:line="90" w:lineRule="exact"/>
              <w:rPr>
                <w:sz w:val="20"/>
                <w:szCs w:val="20"/>
                <w:color w:val="auto"/>
              </w:rPr>
            </w:pPr>
            <w:r>
              <w:rPr>
                <w:rFonts w:ascii="Arial" w:cs="Arial" w:eastAsia="Arial" w:hAnsi="Arial"/>
                <w:sz w:val="8"/>
                <w:szCs w:val="8"/>
                <w:b w:val="1"/>
                <w:bCs w:val="1"/>
                <w:color w:val="auto"/>
                <w:w w:val="91"/>
              </w:rPr>
              <w:t>Acceleration</w:t>
            </w:r>
          </w:p>
        </w:tc>
        <w:tc>
          <w:tcPr>
            <w:tcW w:w="100" w:type="dxa"/>
            <w:vAlign w:val="bottom"/>
          </w:tcPr>
          <w:p>
            <w:pPr>
              <w:spacing w:after="0"/>
              <w:rPr>
                <w:sz w:val="7"/>
                <w:szCs w:val="7"/>
                <w:color w:val="auto"/>
              </w:rPr>
            </w:pPr>
          </w:p>
        </w:tc>
        <w:tc>
          <w:tcPr>
            <w:tcW w:w="106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7"/>
              </w:rPr>
              <w:t>Deferred</w:t>
            </w:r>
          </w:p>
        </w:tc>
        <w:tc>
          <w:tcPr>
            <w:tcW w:w="80" w:type="dxa"/>
            <w:vAlign w:val="bottom"/>
          </w:tcPr>
          <w:p>
            <w:pPr>
              <w:spacing w:after="0"/>
              <w:rPr>
                <w:sz w:val="7"/>
                <w:szCs w:val="7"/>
                <w:color w:val="auto"/>
              </w:rPr>
            </w:pPr>
          </w:p>
        </w:tc>
        <w:tc>
          <w:tcPr>
            <w:tcW w:w="86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7"/>
              </w:rPr>
              <w:t>Health</w:t>
            </w: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18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2"/>
              </w:rPr>
              <w:t>Base Salary</w:t>
            </w:r>
          </w:p>
        </w:tc>
        <w:tc>
          <w:tcPr>
            <w:tcW w:w="80" w:type="dxa"/>
            <w:vAlign w:val="bottom"/>
          </w:tcPr>
          <w:p>
            <w:pPr>
              <w:spacing w:after="0"/>
              <w:rPr>
                <w:sz w:val="7"/>
                <w:szCs w:val="7"/>
                <w:color w:val="auto"/>
              </w:rPr>
            </w:pPr>
          </w:p>
        </w:tc>
        <w:tc>
          <w:tcPr>
            <w:tcW w:w="86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88"/>
              </w:rPr>
              <w:t>Bonus</w:t>
            </w:r>
          </w:p>
        </w:tc>
        <w:tc>
          <w:tcPr>
            <w:tcW w:w="80" w:type="dxa"/>
            <w:vAlign w:val="bottom"/>
          </w:tcPr>
          <w:p>
            <w:pPr>
              <w:spacing w:after="0"/>
              <w:rPr>
                <w:sz w:val="7"/>
                <w:szCs w:val="7"/>
                <w:color w:val="auto"/>
              </w:rPr>
            </w:pPr>
          </w:p>
        </w:tc>
        <w:tc>
          <w:tcPr>
            <w:tcW w:w="800" w:type="dxa"/>
            <w:vAlign w:val="bottom"/>
          </w:tcPr>
          <w:p>
            <w:pPr>
              <w:jc w:val="center"/>
              <w:spacing w:after="0" w:line="90" w:lineRule="exact"/>
              <w:rPr>
                <w:sz w:val="20"/>
                <w:szCs w:val="20"/>
                <w:color w:val="auto"/>
              </w:rPr>
            </w:pPr>
            <w:r>
              <w:rPr>
                <w:rFonts w:ascii="Arial" w:cs="Arial" w:eastAsia="Arial" w:hAnsi="Arial"/>
                <w:sz w:val="8"/>
                <w:szCs w:val="8"/>
                <w:b w:val="1"/>
                <w:bCs w:val="1"/>
                <w:color w:val="auto"/>
              </w:rPr>
              <w:t>Cash</w:t>
            </w: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jc w:val="center"/>
              <w:ind w:right="234"/>
              <w:spacing w:after="0" w:line="90" w:lineRule="exact"/>
              <w:rPr>
                <w:sz w:val="20"/>
                <w:szCs w:val="20"/>
                <w:color w:val="auto"/>
              </w:rPr>
            </w:pPr>
            <w:r>
              <w:rPr>
                <w:rFonts w:ascii="Arial" w:cs="Arial" w:eastAsia="Arial" w:hAnsi="Arial"/>
                <w:sz w:val="8"/>
                <w:szCs w:val="8"/>
                <w:b w:val="1"/>
                <w:bCs w:val="1"/>
                <w:color w:val="auto"/>
              </w:rPr>
              <w:t>Stock</w:t>
            </w: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jc w:val="center"/>
              <w:ind w:right="173"/>
              <w:spacing w:after="0" w:line="90" w:lineRule="exact"/>
              <w:rPr>
                <w:sz w:val="20"/>
                <w:szCs w:val="20"/>
                <w:color w:val="auto"/>
              </w:rPr>
            </w:pPr>
            <w:r>
              <w:rPr>
                <w:rFonts w:ascii="Arial" w:cs="Arial" w:eastAsia="Arial" w:hAnsi="Arial"/>
                <w:sz w:val="8"/>
                <w:szCs w:val="8"/>
                <w:b w:val="1"/>
                <w:bCs w:val="1"/>
                <w:color w:val="auto"/>
                <w:w w:val="95"/>
              </w:rPr>
              <w:t>of Unvested</w:t>
            </w:r>
          </w:p>
        </w:tc>
        <w:tc>
          <w:tcPr>
            <w:tcW w:w="100" w:type="dxa"/>
            <w:vAlign w:val="bottom"/>
          </w:tcPr>
          <w:p>
            <w:pPr>
              <w:spacing w:after="0"/>
              <w:rPr>
                <w:sz w:val="7"/>
                <w:szCs w:val="7"/>
                <w:color w:val="auto"/>
              </w:rPr>
            </w:pPr>
          </w:p>
        </w:tc>
        <w:tc>
          <w:tcPr>
            <w:tcW w:w="106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3"/>
              </w:rPr>
              <w:t>Compensation</w:t>
            </w:r>
          </w:p>
        </w:tc>
        <w:tc>
          <w:tcPr>
            <w:tcW w:w="80" w:type="dxa"/>
            <w:vAlign w:val="bottom"/>
          </w:tcPr>
          <w:p>
            <w:pPr>
              <w:spacing w:after="0"/>
              <w:rPr>
                <w:sz w:val="7"/>
                <w:szCs w:val="7"/>
                <w:color w:val="auto"/>
              </w:rPr>
            </w:pPr>
          </w:p>
        </w:tc>
        <w:tc>
          <w:tcPr>
            <w:tcW w:w="86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5"/>
              </w:rPr>
              <w:t>Benefit</w:t>
            </w: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18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3"/>
              </w:rPr>
              <w:t>Continuation</w:t>
            </w:r>
          </w:p>
        </w:tc>
        <w:tc>
          <w:tcPr>
            <w:tcW w:w="80" w:type="dxa"/>
            <w:vAlign w:val="bottom"/>
          </w:tcPr>
          <w:p>
            <w:pPr>
              <w:spacing w:after="0"/>
              <w:rPr>
                <w:sz w:val="7"/>
                <w:szCs w:val="7"/>
                <w:color w:val="auto"/>
              </w:rPr>
            </w:pPr>
          </w:p>
        </w:tc>
        <w:tc>
          <w:tcPr>
            <w:tcW w:w="86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7"/>
              </w:rPr>
              <w:t>Continuation</w:t>
            </w:r>
          </w:p>
        </w:tc>
        <w:tc>
          <w:tcPr>
            <w:tcW w:w="80" w:type="dxa"/>
            <w:vAlign w:val="bottom"/>
          </w:tcPr>
          <w:p>
            <w:pPr>
              <w:spacing w:after="0"/>
              <w:rPr>
                <w:sz w:val="7"/>
                <w:szCs w:val="7"/>
                <w:color w:val="auto"/>
              </w:rPr>
            </w:pPr>
          </w:p>
        </w:tc>
        <w:tc>
          <w:tcPr>
            <w:tcW w:w="80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6"/>
              </w:rPr>
              <w:t>Bonus</w:t>
            </w: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jc w:val="center"/>
              <w:ind w:right="234"/>
              <w:spacing w:after="0" w:line="90" w:lineRule="exact"/>
              <w:rPr>
                <w:sz w:val="20"/>
                <w:szCs w:val="20"/>
                <w:color w:val="auto"/>
              </w:rPr>
            </w:pPr>
            <w:r>
              <w:rPr>
                <w:rFonts w:ascii="Arial" w:cs="Arial" w:eastAsia="Arial" w:hAnsi="Arial"/>
                <w:sz w:val="8"/>
                <w:szCs w:val="8"/>
                <w:b w:val="1"/>
                <w:bCs w:val="1"/>
                <w:color w:val="auto"/>
                <w:w w:val="99"/>
              </w:rPr>
              <w:t>Options</w:t>
            </w: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jc w:val="center"/>
              <w:ind w:right="173"/>
              <w:spacing w:after="0" w:line="90" w:lineRule="exact"/>
              <w:rPr>
                <w:sz w:val="20"/>
                <w:szCs w:val="20"/>
                <w:color w:val="auto"/>
              </w:rPr>
            </w:pPr>
            <w:r>
              <w:rPr>
                <w:rFonts w:ascii="Arial" w:cs="Arial" w:eastAsia="Arial" w:hAnsi="Arial"/>
                <w:sz w:val="8"/>
                <w:szCs w:val="8"/>
                <w:b w:val="1"/>
                <w:bCs w:val="1"/>
                <w:color w:val="auto"/>
                <w:w w:val="93"/>
              </w:rPr>
              <w:t>RSUs</w:t>
            </w:r>
          </w:p>
        </w:tc>
        <w:tc>
          <w:tcPr>
            <w:tcW w:w="100" w:type="dxa"/>
            <w:vAlign w:val="bottom"/>
          </w:tcPr>
          <w:p>
            <w:pPr>
              <w:spacing w:after="0"/>
              <w:rPr>
                <w:sz w:val="7"/>
                <w:szCs w:val="7"/>
                <w:color w:val="auto"/>
              </w:rPr>
            </w:pPr>
          </w:p>
        </w:tc>
        <w:tc>
          <w:tcPr>
            <w:tcW w:w="106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5"/>
              </w:rPr>
              <w:t>Contributions</w:t>
            </w:r>
          </w:p>
        </w:tc>
        <w:tc>
          <w:tcPr>
            <w:tcW w:w="80" w:type="dxa"/>
            <w:vAlign w:val="bottom"/>
          </w:tcPr>
          <w:p>
            <w:pPr>
              <w:spacing w:after="0"/>
              <w:rPr>
                <w:sz w:val="7"/>
                <w:szCs w:val="7"/>
                <w:color w:val="auto"/>
              </w:rPr>
            </w:pPr>
          </w:p>
        </w:tc>
        <w:tc>
          <w:tcPr>
            <w:tcW w:w="86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3"/>
              </w:rPr>
              <w:t>Continuation</w:t>
            </w:r>
          </w:p>
        </w:tc>
        <w:tc>
          <w:tcPr>
            <w:tcW w:w="80" w:type="dxa"/>
            <w:vAlign w:val="bottom"/>
          </w:tcPr>
          <w:p>
            <w:pPr>
              <w:spacing w:after="0"/>
              <w:rPr>
                <w:sz w:val="7"/>
                <w:szCs w:val="7"/>
                <w:color w:val="auto"/>
              </w:rPr>
            </w:pPr>
          </w:p>
        </w:tc>
        <w:tc>
          <w:tcPr>
            <w:tcW w:w="880" w:type="dxa"/>
            <w:vAlign w:val="bottom"/>
          </w:tcPr>
          <w:p>
            <w:pPr>
              <w:jc w:val="right"/>
              <w:ind w:right="313"/>
              <w:spacing w:after="0" w:line="90" w:lineRule="exact"/>
              <w:rPr>
                <w:sz w:val="20"/>
                <w:szCs w:val="20"/>
                <w:color w:val="auto"/>
              </w:rPr>
            </w:pPr>
            <w:r>
              <w:rPr>
                <w:rFonts w:ascii="Arial" w:cs="Arial" w:eastAsia="Arial" w:hAnsi="Arial"/>
                <w:sz w:val="8"/>
                <w:szCs w:val="8"/>
                <w:b w:val="1"/>
                <w:bCs w:val="1"/>
                <w:color w:val="auto"/>
              </w:rPr>
              <w:t>Total</w:t>
            </w:r>
          </w:p>
        </w:tc>
        <w:tc>
          <w:tcPr>
            <w:tcW w:w="0" w:type="dxa"/>
            <w:vAlign w:val="bottom"/>
          </w:tcPr>
          <w:p>
            <w:pPr>
              <w:spacing w:after="0"/>
              <w:rPr>
                <w:sz w:val="1"/>
                <w:szCs w:val="1"/>
                <w:color w:val="auto"/>
              </w:rPr>
            </w:pPr>
          </w:p>
        </w:tc>
      </w:tr>
      <w:tr>
        <w:trPr>
          <w:trHeight w:val="101"/>
        </w:trPr>
        <w:tc>
          <w:tcPr>
            <w:tcW w:w="2200" w:type="dxa"/>
            <w:vAlign w:val="bottom"/>
            <w:gridSpan w:val="2"/>
          </w:tcPr>
          <w:p>
            <w:pPr>
              <w:spacing w:after="0"/>
              <w:rPr>
                <w:sz w:val="20"/>
                <w:szCs w:val="20"/>
                <w:color w:val="auto"/>
              </w:rPr>
            </w:pPr>
            <w:r>
              <w:rPr>
                <w:rFonts w:ascii="Arial" w:cs="Arial" w:eastAsia="Arial" w:hAnsi="Arial"/>
                <w:sz w:val="8"/>
                <w:szCs w:val="8"/>
                <w:b w:val="1"/>
                <w:bCs w:val="1"/>
                <w:color w:val="auto"/>
              </w:rPr>
              <w:t>Name</w:t>
            </w:r>
          </w:p>
        </w:tc>
        <w:tc>
          <w:tcPr>
            <w:tcW w:w="940" w:type="dxa"/>
            <w:vAlign w:val="bottom"/>
            <w:gridSpan w:val="2"/>
          </w:tcPr>
          <w:p>
            <w:pPr>
              <w:jc w:val="center"/>
              <w:ind w:left="33"/>
              <w:spacing w:after="0"/>
              <w:rPr>
                <w:sz w:val="20"/>
                <w:szCs w:val="20"/>
                <w:color w:val="auto"/>
              </w:rPr>
            </w:pPr>
            <w:r>
              <w:rPr>
                <w:rFonts w:ascii="Arial" w:cs="Arial" w:eastAsia="Arial" w:hAnsi="Arial"/>
                <w:sz w:val="8"/>
                <w:szCs w:val="8"/>
                <w:b w:val="1"/>
                <w:bCs w:val="1"/>
                <w:color w:val="auto"/>
              </w:rPr>
              <w:t>($)</w:t>
            </w:r>
          </w:p>
        </w:tc>
        <w:tc>
          <w:tcPr>
            <w:tcW w:w="940" w:type="dxa"/>
            <w:vAlign w:val="bottom"/>
            <w:gridSpan w:val="2"/>
          </w:tcPr>
          <w:p>
            <w:pPr>
              <w:jc w:val="center"/>
              <w:ind w:left="33"/>
              <w:spacing w:after="0"/>
              <w:rPr>
                <w:sz w:val="20"/>
                <w:szCs w:val="20"/>
                <w:color w:val="auto"/>
              </w:rPr>
            </w:pPr>
            <w:r>
              <w:rPr>
                <w:rFonts w:ascii="Arial" w:cs="Arial" w:eastAsia="Arial" w:hAnsi="Arial"/>
                <w:sz w:val="8"/>
                <w:szCs w:val="8"/>
                <w:b w:val="1"/>
                <w:bCs w:val="1"/>
                <w:color w:val="auto"/>
              </w:rPr>
              <w:t>($)</w:t>
            </w:r>
          </w:p>
        </w:tc>
        <w:tc>
          <w:tcPr>
            <w:tcW w:w="880" w:type="dxa"/>
            <w:vAlign w:val="bottom"/>
            <w:gridSpan w:val="2"/>
          </w:tcPr>
          <w:p>
            <w:pPr>
              <w:jc w:val="center"/>
              <w:ind w:left="33"/>
              <w:spacing w:after="0"/>
              <w:rPr>
                <w:sz w:val="20"/>
                <w:szCs w:val="20"/>
                <w:color w:val="auto"/>
              </w:rPr>
            </w:pPr>
            <w:r>
              <w:rPr>
                <w:rFonts w:ascii="Arial" w:cs="Arial" w:eastAsia="Arial" w:hAnsi="Arial"/>
                <w:sz w:val="8"/>
                <w:szCs w:val="8"/>
                <w:b w:val="1"/>
                <w:bCs w:val="1"/>
                <w:color w:val="auto"/>
                <w:w w:val="81"/>
              </w:rPr>
              <w:t>($)</w:t>
            </w: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jc w:val="center"/>
              <w:ind w:right="234"/>
              <w:spacing w:after="0"/>
              <w:rPr>
                <w:sz w:val="20"/>
                <w:szCs w:val="20"/>
                <w:color w:val="auto"/>
              </w:rPr>
            </w:pPr>
            <w:r>
              <w:rPr>
                <w:rFonts w:ascii="Arial" w:cs="Arial" w:eastAsia="Arial" w:hAnsi="Arial"/>
                <w:sz w:val="8"/>
                <w:szCs w:val="8"/>
                <w:b w:val="1"/>
                <w:bCs w:val="1"/>
                <w:color w:val="auto"/>
                <w:w w:val="97"/>
              </w:rPr>
              <w:t>($)</w:t>
            </w:r>
            <w:r>
              <w:rPr>
                <w:rFonts w:ascii="Arial" w:cs="Arial" w:eastAsia="Arial" w:hAnsi="Arial"/>
                <w:sz w:val="7"/>
                <w:szCs w:val="7"/>
                <w:b w:val="1"/>
                <w:bCs w:val="1"/>
                <w:color w:val="auto"/>
                <w:w w:val="97"/>
              </w:rPr>
              <w:t>(1)</w:t>
            </w: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jc w:val="center"/>
              <w:ind w:right="153"/>
              <w:spacing w:after="0"/>
              <w:rPr>
                <w:sz w:val="20"/>
                <w:szCs w:val="20"/>
                <w:color w:val="auto"/>
              </w:rPr>
            </w:pPr>
            <w:r>
              <w:rPr>
                <w:rFonts w:ascii="Arial" w:cs="Arial" w:eastAsia="Arial" w:hAnsi="Arial"/>
                <w:sz w:val="8"/>
                <w:szCs w:val="8"/>
                <w:b w:val="1"/>
                <w:bCs w:val="1"/>
                <w:color w:val="auto"/>
                <w:w w:val="97"/>
              </w:rPr>
              <w:t>($)</w:t>
            </w:r>
            <w:r>
              <w:rPr>
                <w:rFonts w:ascii="Arial" w:cs="Arial" w:eastAsia="Arial" w:hAnsi="Arial"/>
                <w:sz w:val="7"/>
                <w:szCs w:val="7"/>
                <w:b w:val="1"/>
                <w:bCs w:val="1"/>
                <w:color w:val="auto"/>
                <w:w w:val="97"/>
              </w:rPr>
              <w:t>(1)</w:t>
            </w:r>
          </w:p>
        </w:tc>
        <w:tc>
          <w:tcPr>
            <w:tcW w:w="1160" w:type="dxa"/>
            <w:vAlign w:val="bottom"/>
            <w:gridSpan w:val="2"/>
          </w:tcPr>
          <w:p>
            <w:pPr>
              <w:jc w:val="center"/>
              <w:ind w:left="54"/>
              <w:spacing w:after="0"/>
              <w:rPr>
                <w:sz w:val="20"/>
                <w:szCs w:val="20"/>
                <w:color w:val="auto"/>
              </w:rPr>
            </w:pPr>
            <w:r>
              <w:rPr>
                <w:rFonts w:ascii="Arial" w:cs="Arial" w:eastAsia="Arial" w:hAnsi="Arial"/>
                <w:sz w:val="8"/>
                <w:szCs w:val="8"/>
                <w:b w:val="1"/>
                <w:bCs w:val="1"/>
                <w:color w:val="auto"/>
              </w:rPr>
              <w:t>($)</w:t>
            </w:r>
          </w:p>
        </w:tc>
        <w:tc>
          <w:tcPr>
            <w:tcW w:w="940" w:type="dxa"/>
            <w:vAlign w:val="bottom"/>
            <w:gridSpan w:val="2"/>
          </w:tcPr>
          <w:p>
            <w:pPr>
              <w:jc w:val="center"/>
              <w:ind w:left="33"/>
              <w:spacing w:after="0"/>
              <w:rPr>
                <w:sz w:val="20"/>
                <w:szCs w:val="20"/>
                <w:color w:val="auto"/>
              </w:rPr>
            </w:pPr>
            <w:r>
              <w:rPr>
                <w:rFonts w:ascii="Arial" w:cs="Arial" w:eastAsia="Arial" w:hAnsi="Arial"/>
                <w:sz w:val="8"/>
                <w:szCs w:val="8"/>
                <w:b w:val="1"/>
                <w:bCs w:val="1"/>
                <w:color w:val="auto"/>
              </w:rPr>
              <w:t>($)</w:t>
            </w:r>
          </w:p>
        </w:tc>
        <w:tc>
          <w:tcPr>
            <w:tcW w:w="960" w:type="dxa"/>
            <w:vAlign w:val="bottom"/>
            <w:gridSpan w:val="2"/>
          </w:tcPr>
          <w:p>
            <w:pPr>
              <w:jc w:val="right"/>
              <w:ind w:right="353"/>
              <w:spacing w:after="0"/>
              <w:rPr>
                <w:sz w:val="20"/>
                <w:szCs w:val="20"/>
                <w:color w:val="auto"/>
              </w:rPr>
            </w:pPr>
            <w:r>
              <w:rPr>
                <w:rFonts w:ascii="Arial" w:cs="Arial" w:eastAsia="Arial" w:hAnsi="Arial"/>
                <w:sz w:val="8"/>
                <w:szCs w:val="8"/>
                <w:b w:val="1"/>
                <w:bCs w:val="1"/>
                <w:color w:val="auto"/>
              </w:rPr>
              <w:t>($)</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21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7"/>
        </w:trPr>
        <w:tc>
          <w:tcPr>
            <w:tcW w:w="20" w:type="dxa"/>
            <w:vAlign w:val="bottom"/>
            <w:vMerge w:val="continue"/>
          </w:tcPr>
          <w:p>
            <w:pPr>
              <w:spacing w:after="0"/>
              <w:rPr>
                <w:sz w:val="7"/>
                <w:szCs w:val="7"/>
                <w:color w:val="auto"/>
              </w:rPr>
            </w:pPr>
          </w:p>
        </w:tc>
        <w:tc>
          <w:tcPr>
            <w:tcW w:w="2180" w:type="dxa"/>
            <w:vAlign w:val="bottom"/>
            <w:shd w:val="clear" w:color="auto" w:fill="CCEEFF"/>
          </w:tcPr>
          <w:p>
            <w:pPr>
              <w:spacing w:after="0" w:line="87" w:lineRule="exact"/>
              <w:rPr>
                <w:sz w:val="20"/>
                <w:szCs w:val="20"/>
                <w:color w:val="auto"/>
              </w:rPr>
            </w:pPr>
            <w:r>
              <w:rPr>
                <w:rFonts w:ascii="Arial" w:cs="Arial" w:eastAsia="Arial" w:hAnsi="Arial"/>
                <w:sz w:val="10"/>
                <w:szCs w:val="10"/>
                <w:b w:val="1"/>
                <w:bCs w:val="1"/>
                <w:color w:val="auto"/>
              </w:rPr>
              <w:t>Brian L. Roberts</w:t>
            </w:r>
          </w:p>
        </w:tc>
        <w:tc>
          <w:tcPr>
            <w:tcW w:w="8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180" w:type="dxa"/>
            <w:vAlign w:val="bottom"/>
            <w:shd w:val="clear" w:color="auto" w:fill="CCEEFF"/>
          </w:tcPr>
          <w:p>
            <w:pPr>
              <w:ind w:left="80"/>
              <w:spacing w:after="0" w:line="99" w:lineRule="exact"/>
              <w:rPr>
                <w:sz w:val="20"/>
                <w:szCs w:val="20"/>
                <w:color w:val="auto"/>
              </w:rPr>
            </w:pPr>
            <w:r>
              <w:rPr>
                <w:rFonts w:ascii="Arial" w:cs="Arial" w:eastAsia="Arial" w:hAnsi="Arial"/>
                <w:sz w:val="10"/>
                <w:szCs w:val="10"/>
                <w:color w:val="auto"/>
              </w:rPr>
              <w:t>Without Cause/With Good</w:t>
            </w:r>
          </w:p>
        </w:tc>
        <w:tc>
          <w:tcPr>
            <w:tcW w:w="8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180" w:type="dxa"/>
            <w:vAlign w:val="bottom"/>
            <w:shd w:val="clear" w:color="auto" w:fill="CCEEFF"/>
          </w:tcPr>
          <w:p>
            <w:pPr>
              <w:ind w:left="80"/>
              <w:spacing w:after="0" w:line="99" w:lineRule="exact"/>
              <w:rPr>
                <w:sz w:val="20"/>
                <w:szCs w:val="20"/>
                <w:color w:val="auto"/>
              </w:rPr>
            </w:pPr>
            <w:r>
              <w:rPr>
                <w:rFonts w:ascii="Arial" w:cs="Arial" w:eastAsia="Arial" w:hAnsi="Arial"/>
                <w:sz w:val="10"/>
                <w:szCs w:val="10"/>
                <w:color w:val="auto"/>
              </w:rPr>
              <w:t>Reason</w:t>
            </w:r>
            <w:r>
              <w:rPr>
                <w:rFonts w:ascii="Arial" w:cs="Arial" w:eastAsia="Arial" w:hAnsi="Arial"/>
                <w:sz w:val="8"/>
                <w:szCs w:val="8"/>
                <w:color w:val="auto"/>
              </w:rPr>
              <w:t>(2)</w:t>
            </w:r>
          </w:p>
        </w:tc>
        <w:tc>
          <w:tcPr>
            <w:tcW w:w="80" w:type="dxa"/>
            <w:vAlign w:val="bottom"/>
            <w:shd w:val="clear" w:color="auto" w:fill="CCEEFF"/>
          </w:tcPr>
          <w:p>
            <w:pPr>
              <w:spacing w:after="0"/>
              <w:rPr>
                <w:sz w:val="8"/>
                <w:szCs w:val="8"/>
                <w:color w:val="auto"/>
              </w:rPr>
            </w:pPr>
          </w:p>
        </w:tc>
        <w:tc>
          <w:tcPr>
            <w:tcW w:w="860" w:type="dxa"/>
            <w:vAlign w:val="bottom"/>
            <w:shd w:val="clear" w:color="auto" w:fill="CCEEFF"/>
          </w:tcPr>
          <w:p>
            <w:pPr>
              <w:jc w:val="right"/>
              <w:ind w:right="173"/>
              <w:spacing w:after="0" w:line="99" w:lineRule="exact"/>
              <w:rPr>
                <w:sz w:val="20"/>
                <w:szCs w:val="20"/>
                <w:color w:val="auto"/>
              </w:rPr>
            </w:pPr>
            <w:r>
              <w:rPr>
                <w:rFonts w:ascii="Arial" w:cs="Arial" w:eastAsia="Arial" w:hAnsi="Arial"/>
                <w:sz w:val="10"/>
                <w:szCs w:val="10"/>
                <w:color w:val="auto"/>
              </w:rPr>
              <w:t>$ 5,601,522</w:t>
            </w:r>
          </w:p>
        </w:tc>
        <w:tc>
          <w:tcPr>
            <w:tcW w:w="940" w:type="dxa"/>
            <w:vAlign w:val="bottom"/>
            <w:gridSpan w:val="2"/>
            <w:shd w:val="clear" w:color="auto" w:fill="CCEEFF"/>
          </w:tcPr>
          <w:p>
            <w:pPr>
              <w:jc w:val="right"/>
              <w:ind w:right="174"/>
              <w:spacing w:after="0" w:line="99" w:lineRule="exact"/>
              <w:rPr>
                <w:sz w:val="20"/>
                <w:szCs w:val="20"/>
                <w:color w:val="auto"/>
              </w:rPr>
            </w:pPr>
            <w:r>
              <w:rPr>
                <w:rFonts w:ascii="Arial" w:cs="Arial" w:eastAsia="Arial" w:hAnsi="Arial"/>
                <w:sz w:val="10"/>
                <w:szCs w:val="10"/>
                <w:color w:val="auto"/>
              </w:rPr>
              <w:t>$ 8,402,283</w:t>
            </w:r>
          </w:p>
        </w:tc>
        <w:tc>
          <w:tcPr>
            <w:tcW w:w="880" w:type="dxa"/>
            <w:vAlign w:val="bottom"/>
            <w:gridSpan w:val="2"/>
            <w:shd w:val="clear" w:color="auto" w:fill="CCEEFF"/>
          </w:tcPr>
          <w:p>
            <w:pPr>
              <w:jc w:val="right"/>
              <w:ind w:right="155"/>
              <w:spacing w:after="0" w:line="99" w:lineRule="exact"/>
              <w:rPr>
                <w:sz w:val="20"/>
                <w:szCs w:val="20"/>
                <w:color w:val="auto"/>
              </w:rPr>
            </w:pPr>
            <w:r>
              <w:rPr>
                <w:rFonts w:ascii="Arial" w:cs="Arial" w:eastAsia="Arial" w:hAnsi="Arial"/>
                <w:sz w:val="10"/>
                <w:szCs w:val="10"/>
                <w:color w:val="auto"/>
              </w:rPr>
              <w:t>$8,402,283</w:t>
            </w:r>
          </w:p>
        </w:tc>
        <w:tc>
          <w:tcPr>
            <w:tcW w:w="360" w:type="dxa"/>
            <w:vAlign w:val="bottom"/>
            <w:gridSpan w:val="2"/>
            <w:shd w:val="clear" w:color="auto" w:fill="CCEEFF"/>
          </w:tcPr>
          <w:p>
            <w:pPr>
              <w:jc w:val="right"/>
              <w:spacing w:after="0" w:line="99" w:lineRule="exact"/>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ind w:right="234"/>
              <w:spacing w:after="0" w:line="99" w:lineRule="exact"/>
              <w:rPr>
                <w:sz w:val="20"/>
                <w:szCs w:val="20"/>
                <w:color w:val="auto"/>
              </w:rPr>
            </w:pPr>
            <w:r>
              <w:rPr>
                <w:rFonts w:ascii="Arial" w:cs="Arial" w:eastAsia="Arial" w:hAnsi="Arial"/>
                <w:sz w:val="10"/>
                <w:szCs w:val="10"/>
                <w:color w:val="auto"/>
              </w:rPr>
              <w:t>—</w:t>
            </w:r>
          </w:p>
        </w:tc>
        <w:tc>
          <w:tcPr>
            <w:tcW w:w="300" w:type="dxa"/>
            <w:vAlign w:val="bottom"/>
            <w:gridSpan w:val="2"/>
            <w:shd w:val="clear" w:color="auto" w:fill="CCEEFF"/>
          </w:tcPr>
          <w:p>
            <w:pPr>
              <w:jc w:val="right"/>
              <w:spacing w:after="0" w:line="99" w:lineRule="exact"/>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ind w:right="173"/>
              <w:spacing w:after="0" w:line="99" w:lineRule="exact"/>
              <w:rPr>
                <w:sz w:val="20"/>
                <w:szCs w:val="20"/>
                <w:color w:val="auto"/>
              </w:rPr>
            </w:pPr>
            <w:r>
              <w:rPr>
                <w:rFonts w:ascii="Arial" w:cs="Arial" w:eastAsia="Arial" w:hAnsi="Arial"/>
                <w:sz w:val="10"/>
                <w:szCs w:val="10"/>
                <w:color w:val="auto"/>
              </w:rPr>
              <w:t>—</w:t>
            </w:r>
          </w:p>
        </w:tc>
        <w:tc>
          <w:tcPr>
            <w:tcW w:w="1160" w:type="dxa"/>
            <w:vAlign w:val="bottom"/>
            <w:gridSpan w:val="2"/>
            <w:shd w:val="clear" w:color="auto" w:fill="CCEEFF"/>
          </w:tcPr>
          <w:p>
            <w:pPr>
              <w:jc w:val="right"/>
              <w:ind w:right="294"/>
              <w:spacing w:after="0" w:line="99" w:lineRule="exact"/>
              <w:rPr>
                <w:sz w:val="20"/>
                <w:szCs w:val="20"/>
                <w:color w:val="auto"/>
              </w:rPr>
            </w:pPr>
            <w:r>
              <w:rPr>
                <w:rFonts w:ascii="Arial" w:cs="Arial" w:eastAsia="Arial" w:hAnsi="Arial"/>
                <w:sz w:val="10"/>
                <w:szCs w:val="10"/>
                <w:color w:val="auto"/>
              </w:rPr>
              <w:t>$3,000,000</w:t>
            </w:r>
          </w:p>
        </w:tc>
        <w:tc>
          <w:tcPr>
            <w:tcW w:w="940" w:type="dxa"/>
            <w:vAlign w:val="bottom"/>
            <w:gridSpan w:val="2"/>
            <w:shd w:val="clear" w:color="auto" w:fill="CCEEFF"/>
          </w:tcPr>
          <w:p>
            <w:pPr>
              <w:jc w:val="right"/>
              <w:ind w:right="234"/>
              <w:spacing w:after="0" w:line="99" w:lineRule="exact"/>
              <w:rPr>
                <w:sz w:val="20"/>
                <w:szCs w:val="20"/>
                <w:color w:val="auto"/>
              </w:rPr>
            </w:pPr>
            <w:r>
              <w:rPr>
                <w:rFonts w:ascii="Arial" w:cs="Arial" w:eastAsia="Arial" w:hAnsi="Arial"/>
                <w:sz w:val="10"/>
                <w:szCs w:val="10"/>
                <w:color w:val="auto"/>
              </w:rPr>
              <w:t>$ 25,746</w:t>
            </w:r>
          </w:p>
        </w:tc>
        <w:tc>
          <w:tcPr>
            <w:tcW w:w="960" w:type="dxa"/>
            <w:vAlign w:val="bottom"/>
            <w:gridSpan w:val="2"/>
            <w:shd w:val="clear" w:color="auto" w:fill="CCEEFF"/>
          </w:tcPr>
          <w:p>
            <w:pPr>
              <w:jc w:val="right"/>
              <w:ind w:right="173"/>
              <w:spacing w:after="0" w:line="99" w:lineRule="exact"/>
              <w:rPr>
                <w:sz w:val="20"/>
                <w:szCs w:val="20"/>
                <w:color w:val="auto"/>
              </w:rPr>
            </w:pPr>
            <w:r>
              <w:rPr>
                <w:rFonts w:ascii="Arial" w:cs="Arial" w:eastAsia="Arial" w:hAnsi="Arial"/>
                <w:sz w:val="10"/>
                <w:szCs w:val="10"/>
                <w:color w:val="auto"/>
              </w:rPr>
              <w:t>$25,431,834</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180" w:type="dxa"/>
            <w:vAlign w:val="bottom"/>
            <w:shd w:val="clear" w:color="auto" w:fill="CCEEFF"/>
          </w:tcPr>
          <w:p>
            <w:pPr>
              <w:ind w:left="80"/>
              <w:spacing w:after="0" w:line="99" w:lineRule="exact"/>
              <w:rPr>
                <w:sz w:val="20"/>
                <w:szCs w:val="20"/>
                <w:color w:val="auto"/>
              </w:rPr>
            </w:pPr>
            <w:r>
              <w:rPr>
                <w:rFonts w:ascii="Arial" w:cs="Arial" w:eastAsia="Arial" w:hAnsi="Arial"/>
                <w:sz w:val="10"/>
                <w:szCs w:val="10"/>
                <w:color w:val="auto"/>
              </w:rPr>
              <w:t>Death</w:t>
            </w:r>
            <w:r>
              <w:rPr>
                <w:rFonts w:ascii="Arial" w:cs="Arial" w:eastAsia="Arial" w:hAnsi="Arial"/>
                <w:sz w:val="8"/>
                <w:szCs w:val="8"/>
                <w:color w:val="auto"/>
              </w:rPr>
              <w:t>(3)</w:t>
            </w:r>
          </w:p>
        </w:tc>
        <w:tc>
          <w:tcPr>
            <w:tcW w:w="80" w:type="dxa"/>
            <w:vAlign w:val="bottom"/>
            <w:shd w:val="clear" w:color="auto" w:fill="CCEEFF"/>
          </w:tcPr>
          <w:p>
            <w:pPr>
              <w:spacing w:after="0"/>
              <w:rPr>
                <w:sz w:val="8"/>
                <w:szCs w:val="8"/>
                <w:color w:val="auto"/>
              </w:rPr>
            </w:pPr>
          </w:p>
        </w:tc>
        <w:tc>
          <w:tcPr>
            <w:tcW w:w="860" w:type="dxa"/>
            <w:vAlign w:val="bottom"/>
            <w:shd w:val="clear" w:color="auto" w:fill="CCEEFF"/>
          </w:tcPr>
          <w:p>
            <w:pPr>
              <w:jc w:val="right"/>
              <w:ind w:right="173"/>
              <w:spacing w:after="0" w:line="99"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8"/>
                <w:szCs w:val="8"/>
                <w:color w:val="auto"/>
              </w:rPr>
            </w:pPr>
          </w:p>
        </w:tc>
        <w:tc>
          <w:tcPr>
            <w:tcW w:w="860" w:type="dxa"/>
            <w:vAlign w:val="bottom"/>
            <w:shd w:val="clear" w:color="auto" w:fill="CCEEFF"/>
          </w:tcPr>
          <w:p>
            <w:pPr>
              <w:jc w:val="right"/>
              <w:ind w:right="174"/>
              <w:spacing w:after="0" w:line="99" w:lineRule="exact"/>
              <w:rPr>
                <w:sz w:val="20"/>
                <w:szCs w:val="20"/>
                <w:color w:val="auto"/>
              </w:rPr>
            </w:pPr>
            <w:r>
              <w:rPr>
                <w:rFonts w:ascii="Arial" w:cs="Arial" w:eastAsia="Arial" w:hAnsi="Arial"/>
                <w:sz w:val="10"/>
                <w:szCs w:val="10"/>
                <w:color w:val="auto"/>
              </w:rPr>
              <w:t>—</w:t>
            </w:r>
          </w:p>
        </w:tc>
        <w:tc>
          <w:tcPr>
            <w:tcW w:w="880" w:type="dxa"/>
            <w:vAlign w:val="bottom"/>
            <w:gridSpan w:val="2"/>
            <w:shd w:val="clear" w:color="auto" w:fill="CCEEFF"/>
          </w:tcPr>
          <w:p>
            <w:pPr>
              <w:jc w:val="right"/>
              <w:ind w:right="155"/>
              <w:spacing w:after="0" w:line="99" w:lineRule="exact"/>
              <w:rPr>
                <w:sz w:val="20"/>
                <w:szCs w:val="20"/>
                <w:color w:val="auto"/>
              </w:rPr>
            </w:pPr>
            <w:r>
              <w:rPr>
                <w:rFonts w:ascii="Arial" w:cs="Arial" w:eastAsia="Arial" w:hAnsi="Arial"/>
                <w:sz w:val="10"/>
                <w:szCs w:val="10"/>
                <w:color w:val="auto"/>
              </w:rPr>
              <w:t>8,402,283</w:t>
            </w:r>
          </w:p>
        </w:tc>
        <w:tc>
          <w:tcPr>
            <w:tcW w:w="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60" w:type="dxa"/>
            <w:vAlign w:val="bottom"/>
            <w:shd w:val="clear" w:color="auto" w:fill="CCEEFF"/>
          </w:tcPr>
          <w:p>
            <w:pPr>
              <w:jc w:val="right"/>
              <w:ind w:right="234"/>
              <w:spacing w:after="0" w:line="99" w:lineRule="exact"/>
              <w:rPr>
                <w:sz w:val="20"/>
                <w:szCs w:val="20"/>
                <w:color w:val="auto"/>
              </w:rPr>
            </w:pPr>
            <w:r>
              <w:rPr>
                <w:rFonts w:ascii="Arial" w:cs="Arial" w:eastAsia="Arial" w:hAnsi="Arial"/>
                <w:sz w:val="10"/>
                <w:szCs w:val="10"/>
                <w:color w:val="auto"/>
                <w:w w:val="80"/>
              </w:rPr>
              <w:t>2,656,400</w:t>
            </w: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60" w:type="dxa"/>
            <w:vAlign w:val="bottom"/>
            <w:shd w:val="clear" w:color="auto" w:fill="CCEEFF"/>
          </w:tcPr>
          <w:p>
            <w:pPr>
              <w:jc w:val="right"/>
              <w:ind w:right="173"/>
              <w:spacing w:after="0" w:line="99" w:lineRule="exact"/>
              <w:rPr>
                <w:sz w:val="20"/>
                <w:szCs w:val="20"/>
                <w:color w:val="auto"/>
              </w:rPr>
            </w:pPr>
            <w:r>
              <w:rPr>
                <w:rFonts w:ascii="Arial" w:cs="Arial" w:eastAsia="Arial" w:hAnsi="Arial"/>
                <w:sz w:val="10"/>
                <w:szCs w:val="10"/>
                <w:color w:val="auto"/>
                <w:w w:val="83"/>
              </w:rPr>
              <w:t>17,452,882</w:t>
            </w:r>
          </w:p>
        </w:tc>
        <w:tc>
          <w:tcPr>
            <w:tcW w:w="100" w:type="dxa"/>
            <w:vAlign w:val="bottom"/>
            <w:shd w:val="clear" w:color="auto" w:fill="CCEEFF"/>
          </w:tcPr>
          <w:p>
            <w:pPr>
              <w:spacing w:after="0"/>
              <w:rPr>
                <w:sz w:val="8"/>
                <w:szCs w:val="8"/>
                <w:color w:val="auto"/>
              </w:rPr>
            </w:pPr>
          </w:p>
        </w:tc>
        <w:tc>
          <w:tcPr>
            <w:tcW w:w="1060" w:type="dxa"/>
            <w:vAlign w:val="bottom"/>
            <w:shd w:val="clear" w:color="auto" w:fill="CCEEFF"/>
          </w:tcPr>
          <w:p>
            <w:pPr>
              <w:jc w:val="right"/>
              <w:ind w:right="294"/>
              <w:spacing w:after="0" w:line="99" w:lineRule="exact"/>
              <w:rPr>
                <w:sz w:val="20"/>
                <w:szCs w:val="20"/>
                <w:color w:val="auto"/>
              </w:rPr>
            </w:pPr>
            <w:r>
              <w:rPr>
                <w:rFonts w:ascii="Arial" w:cs="Arial" w:eastAsia="Arial" w:hAnsi="Arial"/>
                <w:sz w:val="10"/>
                <w:szCs w:val="10"/>
                <w:color w:val="auto"/>
              </w:rPr>
              <w:t>—</w:t>
            </w:r>
          </w:p>
        </w:tc>
        <w:tc>
          <w:tcPr>
            <w:tcW w:w="940" w:type="dxa"/>
            <w:vAlign w:val="bottom"/>
            <w:gridSpan w:val="2"/>
            <w:shd w:val="clear" w:color="auto" w:fill="CCEEFF"/>
          </w:tcPr>
          <w:p>
            <w:pPr>
              <w:jc w:val="right"/>
              <w:ind w:right="234"/>
              <w:spacing w:after="0" w:line="99" w:lineRule="exact"/>
              <w:rPr>
                <w:sz w:val="20"/>
                <w:szCs w:val="20"/>
                <w:color w:val="auto"/>
              </w:rPr>
            </w:pPr>
            <w:r>
              <w:rPr>
                <w:rFonts w:ascii="Arial" w:cs="Arial" w:eastAsia="Arial" w:hAnsi="Arial"/>
                <w:sz w:val="10"/>
                <w:szCs w:val="10"/>
                <w:color w:val="auto"/>
              </w:rPr>
              <w:t>605,031</w:t>
            </w:r>
          </w:p>
        </w:tc>
        <w:tc>
          <w:tcPr>
            <w:tcW w:w="960" w:type="dxa"/>
            <w:vAlign w:val="bottom"/>
            <w:gridSpan w:val="2"/>
            <w:shd w:val="clear" w:color="auto" w:fill="CCEEFF"/>
          </w:tcPr>
          <w:p>
            <w:pPr>
              <w:jc w:val="right"/>
              <w:ind w:right="173"/>
              <w:spacing w:after="0" w:line="99" w:lineRule="exact"/>
              <w:rPr>
                <w:sz w:val="20"/>
                <w:szCs w:val="20"/>
                <w:color w:val="auto"/>
              </w:rPr>
            </w:pPr>
            <w:r>
              <w:rPr>
                <w:rFonts w:ascii="Arial" w:cs="Arial" w:eastAsia="Arial" w:hAnsi="Arial"/>
                <w:sz w:val="10"/>
                <w:szCs w:val="10"/>
                <w:color w:val="auto"/>
              </w:rPr>
              <w:t>29,116,596</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180" w:type="dxa"/>
            <w:vAlign w:val="bottom"/>
            <w:shd w:val="clear" w:color="auto" w:fill="CCEEFF"/>
          </w:tcPr>
          <w:p>
            <w:pPr>
              <w:ind w:left="80"/>
              <w:spacing w:after="0" w:line="99" w:lineRule="exact"/>
              <w:rPr>
                <w:sz w:val="20"/>
                <w:szCs w:val="20"/>
                <w:color w:val="auto"/>
              </w:rPr>
            </w:pPr>
            <w:r>
              <w:rPr>
                <w:rFonts w:ascii="Arial" w:cs="Arial" w:eastAsia="Arial" w:hAnsi="Arial"/>
                <w:sz w:val="10"/>
                <w:szCs w:val="10"/>
                <w:color w:val="auto"/>
              </w:rPr>
              <w:t>Disability</w:t>
            </w:r>
            <w:r>
              <w:rPr>
                <w:rFonts w:ascii="Arial" w:cs="Arial" w:eastAsia="Arial" w:hAnsi="Arial"/>
                <w:sz w:val="8"/>
                <w:szCs w:val="8"/>
                <w:color w:val="auto"/>
              </w:rPr>
              <w:t>(4)</w:t>
            </w:r>
          </w:p>
        </w:tc>
        <w:tc>
          <w:tcPr>
            <w:tcW w:w="80" w:type="dxa"/>
            <w:vAlign w:val="bottom"/>
            <w:shd w:val="clear" w:color="auto" w:fill="CCEEFF"/>
          </w:tcPr>
          <w:p>
            <w:pPr>
              <w:spacing w:after="0"/>
              <w:rPr>
                <w:sz w:val="8"/>
                <w:szCs w:val="8"/>
                <w:color w:val="auto"/>
              </w:rPr>
            </w:pPr>
          </w:p>
        </w:tc>
        <w:tc>
          <w:tcPr>
            <w:tcW w:w="860" w:type="dxa"/>
            <w:vAlign w:val="bottom"/>
            <w:shd w:val="clear" w:color="auto" w:fill="CCEEFF"/>
          </w:tcPr>
          <w:p>
            <w:pPr>
              <w:jc w:val="right"/>
              <w:ind w:right="173"/>
              <w:spacing w:after="0" w:line="99" w:lineRule="exact"/>
              <w:rPr>
                <w:sz w:val="20"/>
                <w:szCs w:val="20"/>
                <w:color w:val="auto"/>
              </w:rPr>
            </w:pPr>
            <w:r>
              <w:rPr>
                <w:rFonts w:ascii="Arial" w:cs="Arial" w:eastAsia="Arial" w:hAnsi="Arial"/>
                <w:sz w:val="10"/>
                <w:szCs w:val="10"/>
                <w:color w:val="auto"/>
              </w:rPr>
              <w:t>14,003,805</w:t>
            </w:r>
          </w:p>
        </w:tc>
        <w:tc>
          <w:tcPr>
            <w:tcW w:w="940" w:type="dxa"/>
            <w:vAlign w:val="bottom"/>
            <w:gridSpan w:val="2"/>
            <w:shd w:val="clear" w:color="auto" w:fill="CCEEFF"/>
          </w:tcPr>
          <w:p>
            <w:pPr>
              <w:jc w:val="right"/>
              <w:ind w:right="174"/>
              <w:spacing w:after="0" w:line="99" w:lineRule="exact"/>
              <w:rPr>
                <w:sz w:val="20"/>
                <w:szCs w:val="20"/>
                <w:color w:val="auto"/>
              </w:rPr>
            </w:pPr>
            <w:r>
              <w:rPr>
                <w:rFonts w:ascii="Arial" w:cs="Arial" w:eastAsia="Arial" w:hAnsi="Arial"/>
                <w:sz w:val="10"/>
                <w:szCs w:val="10"/>
                <w:color w:val="auto"/>
              </w:rPr>
              <w:t>42,011,415</w:t>
            </w:r>
          </w:p>
        </w:tc>
        <w:tc>
          <w:tcPr>
            <w:tcW w:w="880" w:type="dxa"/>
            <w:vAlign w:val="bottom"/>
            <w:gridSpan w:val="2"/>
            <w:shd w:val="clear" w:color="auto" w:fill="CCEEFF"/>
          </w:tcPr>
          <w:p>
            <w:pPr>
              <w:jc w:val="right"/>
              <w:ind w:right="155"/>
              <w:spacing w:after="0" w:line="99" w:lineRule="exact"/>
              <w:rPr>
                <w:sz w:val="20"/>
                <w:szCs w:val="20"/>
                <w:color w:val="auto"/>
              </w:rPr>
            </w:pPr>
            <w:r>
              <w:rPr>
                <w:rFonts w:ascii="Arial" w:cs="Arial" w:eastAsia="Arial" w:hAnsi="Arial"/>
                <w:sz w:val="10"/>
                <w:szCs w:val="10"/>
                <w:color w:val="auto"/>
              </w:rPr>
              <w:t>8,402,283</w:t>
            </w:r>
          </w:p>
        </w:tc>
        <w:tc>
          <w:tcPr>
            <w:tcW w:w="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60" w:type="dxa"/>
            <w:vAlign w:val="bottom"/>
            <w:shd w:val="clear" w:color="auto" w:fill="CCEEFF"/>
          </w:tcPr>
          <w:p>
            <w:pPr>
              <w:jc w:val="right"/>
              <w:ind w:right="234"/>
              <w:spacing w:after="0" w:line="99" w:lineRule="exact"/>
              <w:rPr>
                <w:sz w:val="20"/>
                <w:szCs w:val="20"/>
                <w:color w:val="auto"/>
              </w:rPr>
            </w:pPr>
            <w:r>
              <w:rPr>
                <w:rFonts w:ascii="Arial" w:cs="Arial" w:eastAsia="Arial" w:hAnsi="Arial"/>
                <w:sz w:val="10"/>
                <w:szCs w:val="10"/>
                <w:color w:val="auto"/>
                <w:w w:val="80"/>
              </w:rPr>
              <w:t>2,656,400</w:t>
            </w: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60" w:type="dxa"/>
            <w:vAlign w:val="bottom"/>
            <w:shd w:val="clear" w:color="auto" w:fill="CCEEFF"/>
          </w:tcPr>
          <w:p>
            <w:pPr>
              <w:jc w:val="right"/>
              <w:ind w:right="173"/>
              <w:spacing w:after="0" w:line="99" w:lineRule="exact"/>
              <w:rPr>
                <w:sz w:val="20"/>
                <w:szCs w:val="20"/>
                <w:color w:val="auto"/>
              </w:rPr>
            </w:pPr>
            <w:r>
              <w:rPr>
                <w:rFonts w:ascii="Arial" w:cs="Arial" w:eastAsia="Arial" w:hAnsi="Arial"/>
                <w:sz w:val="10"/>
                <w:szCs w:val="10"/>
                <w:color w:val="auto"/>
                <w:w w:val="83"/>
              </w:rPr>
              <w:t>17,452,882</w:t>
            </w:r>
          </w:p>
        </w:tc>
        <w:tc>
          <w:tcPr>
            <w:tcW w:w="1160" w:type="dxa"/>
            <w:vAlign w:val="bottom"/>
            <w:gridSpan w:val="2"/>
            <w:shd w:val="clear" w:color="auto" w:fill="CCEEFF"/>
          </w:tcPr>
          <w:p>
            <w:pPr>
              <w:jc w:val="right"/>
              <w:ind w:right="294"/>
              <w:spacing w:after="0" w:line="99" w:lineRule="exact"/>
              <w:rPr>
                <w:sz w:val="20"/>
                <w:szCs w:val="20"/>
                <w:color w:val="auto"/>
              </w:rPr>
            </w:pPr>
            <w:r>
              <w:rPr>
                <w:rFonts w:ascii="Arial" w:cs="Arial" w:eastAsia="Arial" w:hAnsi="Arial"/>
                <w:sz w:val="10"/>
                <w:szCs w:val="10"/>
                <w:color w:val="auto"/>
              </w:rPr>
              <w:t>3,000,000</w:t>
            </w:r>
          </w:p>
        </w:tc>
        <w:tc>
          <w:tcPr>
            <w:tcW w:w="80" w:type="dxa"/>
            <w:vAlign w:val="bottom"/>
            <w:shd w:val="clear" w:color="auto" w:fill="CCEEFF"/>
          </w:tcPr>
          <w:p>
            <w:pPr>
              <w:spacing w:after="0"/>
              <w:rPr>
                <w:sz w:val="8"/>
                <w:szCs w:val="8"/>
                <w:color w:val="auto"/>
              </w:rPr>
            </w:pPr>
          </w:p>
        </w:tc>
        <w:tc>
          <w:tcPr>
            <w:tcW w:w="860" w:type="dxa"/>
            <w:vAlign w:val="bottom"/>
            <w:shd w:val="clear" w:color="auto" w:fill="CCEEFF"/>
          </w:tcPr>
          <w:p>
            <w:pPr>
              <w:jc w:val="right"/>
              <w:ind w:right="234"/>
              <w:spacing w:after="0" w:line="99" w:lineRule="exact"/>
              <w:rPr>
                <w:sz w:val="20"/>
                <w:szCs w:val="20"/>
                <w:color w:val="auto"/>
              </w:rPr>
            </w:pPr>
            <w:r>
              <w:rPr>
                <w:rFonts w:ascii="Arial" w:cs="Arial" w:eastAsia="Arial" w:hAnsi="Arial"/>
                <w:sz w:val="10"/>
                <w:szCs w:val="10"/>
                <w:color w:val="auto"/>
              </w:rPr>
              <w:t>—</w:t>
            </w:r>
          </w:p>
        </w:tc>
        <w:tc>
          <w:tcPr>
            <w:tcW w:w="960" w:type="dxa"/>
            <w:vAlign w:val="bottom"/>
            <w:gridSpan w:val="2"/>
            <w:shd w:val="clear" w:color="auto" w:fill="CCEEFF"/>
          </w:tcPr>
          <w:p>
            <w:pPr>
              <w:jc w:val="right"/>
              <w:ind w:right="173"/>
              <w:spacing w:after="0" w:line="99" w:lineRule="exact"/>
              <w:rPr>
                <w:sz w:val="20"/>
                <w:szCs w:val="20"/>
                <w:color w:val="auto"/>
              </w:rPr>
            </w:pPr>
            <w:r>
              <w:rPr>
                <w:rFonts w:ascii="Arial" w:cs="Arial" w:eastAsia="Arial" w:hAnsi="Arial"/>
                <w:sz w:val="10"/>
                <w:szCs w:val="10"/>
                <w:color w:val="auto"/>
              </w:rPr>
              <w:t>87,526,785</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180" w:type="dxa"/>
            <w:vAlign w:val="bottom"/>
            <w:shd w:val="clear" w:color="auto" w:fill="CCEEFF"/>
          </w:tcPr>
          <w:p>
            <w:pPr>
              <w:ind w:left="80"/>
              <w:spacing w:after="0" w:line="99" w:lineRule="exact"/>
              <w:rPr>
                <w:sz w:val="20"/>
                <w:szCs w:val="20"/>
                <w:color w:val="auto"/>
              </w:rPr>
            </w:pPr>
            <w:r>
              <w:rPr>
                <w:rFonts w:ascii="Arial" w:cs="Arial" w:eastAsia="Arial" w:hAnsi="Arial"/>
                <w:sz w:val="10"/>
                <w:szCs w:val="10"/>
                <w:color w:val="auto"/>
              </w:rPr>
              <w:t>Retirement</w:t>
            </w:r>
            <w:r>
              <w:rPr>
                <w:rFonts w:ascii="Arial" w:cs="Arial" w:eastAsia="Arial" w:hAnsi="Arial"/>
                <w:sz w:val="8"/>
                <w:szCs w:val="8"/>
                <w:color w:val="auto"/>
              </w:rPr>
              <w:t>(5)</w:t>
            </w:r>
          </w:p>
        </w:tc>
        <w:tc>
          <w:tcPr>
            <w:tcW w:w="80" w:type="dxa"/>
            <w:vAlign w:val="bottom"/>
            <w:shd w:val="clear" w:color="auto" w:fill="CCEEFF"/>
          </w:tcPr>
          <w:p>
            <w:pPr>
              <w:spacing w:after="0"/>
              <w:rPr>
                <w:sz w:val="8"/>
                <w:szCs w:val="8"/>
                <w:color w:val="auto"/>
              </w:rPr>
            </w:pPr>
          </w:p>
        </w:tc>
        <w:tc>
          <w:tcPr>
            <w:tcW w:w="860" w:type="dxa"/>
            <w:vAlign w:val="bottom"/>
            <w:shd w:val="clear" w:color="auto" w:fill="CCEEFF"/>
          </w:tcPr>
          <w:p>
            <w:pPr>
              <w:jc w:val="right"/>
              <w:ind w:right="173"/>
              <w:spacing w:after="0" w:line="99"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8"/>
                <w:szCs w:val="8"/>
                <w:color w:val="auto"/>
              </w:rPr>
            </w:pPr>
          </w:p>
        </w:tc>
        <w:tc>
          <w:tcPr>
            <w:tcW w:w="860" w:type="dxa"/>
            <w:vAlign w:val="bottom"/>
            <w:shd w:val="clear" w:color="auto" w:fill="CCEEFF"/>
          </w:tcPr>
          <w:p>
            <w:pPr>
              <w:jc w:val="right"/>
              <w:ind w:right="174"/>
              <w:spacing w:after="0" w:line="99"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8"/>
                <w:szCs w:val="8"/>
                <w:color w:val="auto"/>
              </w:rPr>
            </w:pPr>
          </w:p>
        </w:tc>
        <w:tc>
          <w:tcPr>
            <w:tcW w:w="800" w:type="dxa"/>
            <w:vAlign w:val="bottom"/>
            <w:shd w:val="clear" w:color="auto" w:fill="CCEEFF"/>
          </w:tcPr>
          <w:p>
            <w:pPr>
              <w:jc w:val="right"/>
              <w:ind w:right="155"/>
              <w:spacing w:after="0" w:line="99"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60" w:type="dxa"/>
            <w:vAlign w:val="bottom"/>
            <w:shd w:val="clear" w:color="auto" w:fill="CCEEFF"/>
          </w:tcPr>
          <w:p>
            <w:pPr>
              <w:jc w:val="right"/>
              <w:ind w:right="234"/>
              <w:spacing w:after="0" w:line="99"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60" w:type="dxa"/>
            <w:vAlign w:val="bottom"/>
            <w:shd w:val="clear" w:color="auto" w:fill="CCEEFF"/>
          </w:tcPr>
          <w:p>
            <w:pPr>
              <w:jc w:val="right"/>
              <w:ind w:right="173"/>
              <w:spacing w:after="0" w:line="99"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8"/>
                <w:szCs w:val="8"/>
                <w:color w:val="auto"/>
              </w:rPr>
            </w:pPr>
          </w:p>
        </w:tc>
        <w:tc>
          <w:tcPr>
            <w:tcW w:w="1060" w:type="dxa"/>
            <w:vAlign w:val="bottom"/>
            <w:shd w:val="clear" w:color="auto" w:fill="CCEEFF"/>
          </w:tcPr>
          <w:p>
            <w:pPr>
              <w:jc w:val="right"/>
              <w:ind w:right="294"/>
              <w:spacing w:after="0" w:line="99"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8"/>
                <w:szCs w:val="8"/>
                <w:color w:val="auto"/>
              </w:rPr>
            </w:pPr>
          </w:p>
        </w:tc>
        <w:tc>
          <w:tcPr>
            <w:tcW w:w="860" w:type="dxa"/>
            <w:vAlign w:val="bottom"/>
            <w:shd w:val="clear" w:color="auto" w:fill="CCEEFF"/>
          </w:tcPr>
          <w:p>
            <w:pPr>
              <w:jc w:val="right"/>
              <w:ind w:right="234"/>
              <w:spacing w:after="0" w:line="99"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8"/>
                <w:szCs w:val="8"/>
                <w:color w:val="auto"/>
              </w:rPr>
            </w:pPr>
          </w:p>
        </w:tc>
        <w:tc>
          <w:tcPr>
            <w:tcW w:w="880" w:type="dxa"/>
            <w:vAlign w:val="bottom"/>
            <w:shd w:val="clear" w:color="auto" w:fill="CCEEFF"/>
          </w:tcPr>
          <w:p>
            <w:pPr>
              <w:jc w:val="right"/>
              <w:ind w:right="173"/>
              <w:spacing w:after="0" w:line="99"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180" w:type="dxa"/>
            <w:vAlign w:val="bottom"/>
            <w:shd w:val="clear" w:color="auto" w:fill="CCEEFF"/>
          </w:tcPr>
          <w:p>
            <w:pPr>
              <w:ind w:left="80"/>
              <w:spacing w:after="0" w:line="112" w:lineRule="exact"/>
              <w:rPr>
                <w:sz w:val="20"/>
                <w:szCs w:val="20"/>
                <w:color w:val="auto"/>
              </w:rPr>
            </w:pPr>
            <w:r>
              <w:rPr>
                <w:rFonts w:ascii="Arial" w:cs="Arial" w:eastAsia="Arial" w:hAnsi="Arial"/>
                <w:sz w:val="10"/>
                <w:szCs w:val="10"/>
                <w:color w:val="auto"/>
              </w:rPr>
              <w:t>Change in Control</w:t>
            </w:r>
            <w:r>
              <w:rPr>
                <w:rFonts w:ascii="Arial" w:cs="Arial" w:eastAsia="Arial" w:hAnsi="Arial"/>
                <w:sz w:val="8"/>
                <w:szCs w:val="8"/>
                <w:color w:val="auto"/>
              </w:rPr>
              <w:t>(6)</w:t>
            </w:r>
          </w:p>
        </w:tc>
        <w:tc>
          <w:tcPr>
            <w:tcW w:w="80" w:type="dxa"/>
            <w:vAlign w:val="bottom"/>
            <w:shd w:val="clear" w:color="auto" w:fill="CCEEFF"/>
          </w:tcPr>
          <w:p>
            <w:pPr>
              <w:spacing w:after="0"/>
              <w:rPr>
                <w:sz w:val="9"/>
                <w:szCs w:val="9"/>
                <w:color w:val="auto"/>
              </w:rPr>
            </w:pPr>
          </w:p>
        </w:tc>
        <w:tc>
          <w:tcPr>
            <w:tcW w:w="860" w:type="dxa"/>
            <w:vAlign w:val="bottom"/>
            <w:shd w:val="clear" w:color="auto" w:fill="CCEEFF"/>
          </w:tcPr>
          <w:p>
            <w:pPr>
              <w:jc w:val="right"/>
              <w:ind w:right="173"/>
              <w:spacing w:after="0" w:line="112"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860" w:type="dxa"/>
            <w:vAlign w:val="bottom"/>
            <w:shd w:val="clear" w:color="auto" w:fill="CCEEFF"/>
          </w:tcPr>
          <w:p>
            <w:pPr>
              <w:jc w:val="right"/>
              <w:ind w:right="174"/>
              <w:spacing w:after="0" w:line="112"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jc w:val="right"/>
              <w:ind w:right="155"/>
              <w:spacing w:after="0" w:line="112"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60" w:type="dxa"/>
            <w:vAlign w:val="bottom"/>
            <w:shd w:val="clear" w:color="auto" w:fill="CCEEFF"/>
          </w:tcPr>
          <w:p>
            <w:pPr>
              <w:jc w:val="right"/>
              <w:ind w:right="234"/>
              <w:spacing w:after="0" w:line="112"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60" w:type="dxa"/>
            <w:vAlign w:val="bottom"/>
            <w:shd w:val="clear" w:color="auto" w:fill="CCEEFF"/>
          </w:tcPr>
          <w:p>
            <w:pPr>
              <w:jc w:val="right"/>
              <w:ind w:right="173"/>
              <w:spacing w:after="0" w:line="112"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060" w:type="dxa"/>
            <w:vAlign w:val="bottom"/>
            <w:shd w:val="clear" w:color="auto" w:fill="CCEEFF"/>
          </w:tcPr>
          <w:p>
            <w:pPr>
              <w:jc w:val="right"/>
              <w:ind w:right="294"/>
              <w:spacing w:after="0" w:line="112"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860" w:type="dxa"/>
            <w:vAlign w:val="bottom"/>
            <w:shd w:val="clear" w:color="auto" w:fill="CCEEFF"/>
          </w:tcPr>
          <w:p>
            <w:pPr>
              <w:jc w:val="right"/>
              <w:ind w:right="234"/>
              <w:spacing w:after="0" w:line="112"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880" w:type="dxa"/>
            <w:vAlign w:val="bottom"/>
            <w:shd w:val="clear" w:color="auto" w:fill="CCEEFF"/>
          </w:tcPr>
          <w:p>
            <w:pPr>
              <w:jc w:val="right"/>
              <w:ind w:right="173"/>
              <w:spacing w:after="0" w:line="112"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180" w:type="dxa"/>
            <w:vAlign w:val="bottom"/>
          </w:tcPr>
          <w:p>
            <w:pPr>
              <w:spacing w:after="0" w:line="87" w:lineRule="exact"/>
              <w:rPr>
                <w:sz w:val="20"/>
                <w:szCs w:val="20"/>
                <w:color w:val="auto"/>
              </w:rPr>
            </w:pPr>
            <w:r>
              <w:rPr>
                <w:rFonts w:ascii="Arial" w:cs="Arial" w:eastAsia="Arial" w:hAnsi="Arial"/>
                <w:sz w:val="10"/>
                <w:szCs w:val="10"/>
                <w:b w:val="1"/>
                <w:bCs w:val="1"/>
                <w:color w:val="auto"/>
              </w:rPr>
              <w:t>Michael J. Angelakis</w:t>
            </w:r>
          </w:p>
        </w:tc>
        <w:tc>
          <w:tcPr>
            <w:tcW w:w="8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180" w:type="dxa"/>
            <w:vAlign w:val="bottom"/>
          </w:tcPr>
          <w:p>
            <w:pPr>
              <w:ind w:left="80"/>
              <w:spacing w:after="0" w:line="99" w:lineRule="exact"/>
              <w:rPr>
                <w:sz w:val="20"/>
                <w:szCs w:val="20"/>
                <w:color w:val="auto"/>
              </w:rPr>
            </w:pPr>
            <w:r>
              <w:rPr>
                <w:rFonts w:ascii="Arial" w:cs="Arial" w:eastAsia="Arial" w:hAnsi="Arial"/>
                <w:sz w:val="10"/>
                <w:szCs w:val="10"/>
                <w:color w:val="auto"/>
              </w:rPr>
              <w:t>Without Cause/With Good</w:t>
            </w: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180" w:type="dxa"/>
            <w:vAlign w:val="bottom"/>
          </w:tcPr>
          <w:p>
            <w:pPr>
              <w:ind w:left="80"/>
              <w:spacing w:after="0" w:line="99" w:lineRule="exact"/>
              <w:rPr>
                <w:sz w:val="20"/>
                <w:szCs w:val="20"/>
                <w:color w:val="auto"/>
              </w:rPr>
            </w:pPr>
            <w:r>
              <w:rPr>
                <w:rFonts w:ascii="Arial" w:cs="Arial" w:eastAsia="Arial" w:hAnsi="Arial"/>
                <w:sz w:val="10"/>
                <w:szCs w:val="10"/>
                <w:color w:val="auto"/>
              </w:rPr>
              <w:t>Reason</w:t>
            </w:r>
            <w:r>
              <w:rPr>
                <w:rFonts w:ascii="Arial" w:cs="Arial" w:eastAsia="Arial" w:hAnsi="Arial"/>
                <w:sz w:val="8"/>
                <w:szCs w:val="8"/>
                <w:color w:val="auto"/>
              </w:rPr>
              <w:t>(7)</w:t>
            </w:r>
          </w:p>
        </w:tc>
        <w:tc>
          <w:tcPr>
            <w:tcW w:w="940" w:type="dxa"/>
            <w:vAlign w:val="bottom"/>
            <w:gridSpan w:val="2"/>
          </w:tcPr>
          <w:p>
            <w:pPr>
              <w:jc w:val="right"/>
              <w:ind w:right="173"/>
              <w:spacing w:after="0" w:line="99" w:lineRule="exact"/>
              <w:rPr>
                <w:sz w:val="20"/>
                <w:szCs w:val="20"/>
                <w:color w:val="auto"/>
              </w:rPr>
            </w:pPr>
            <w:r>
              <w:rPr>
                <w:rFonts w:ascii="Arial" w:cs="Arial" w:eastAsia="Arial" w:hAnsi="Arial"/>
                <w:sz w:val="10"/>
                <w:szCs w:val="10"/>
                <w:color w:val="auto"/>
              </w:rPr>
              <w:t>3,364,896</w:t>
            </w:r>
          </w:p>
        </w:tc>
        <w:tc>
          <w:tcPr>
            <w:tcW w:w="940" w:type="dxa"/>
            <w:vAlign w:val="bottom"/>
            <w:gridSpan w:val="2"/>
          </w:tcPr>
          <w:p>
            <w:pPr>
              <w:jc w:val="right"/>
              <w:ind w:right="174"/>
              <w:spacing w:after="0" w:line="99" w:lineRule="exact"/>
              <w:rPr>
                <w:sz w:val="20"/>
                <w:szCs w:val="20"/>
                <w:color w:val="auto"/>
              </w:rPr>
            </w:pPr>
            <w:r>
              <w:rPr>
                <w:rFonts w:ascii="Arial" w:cs="Arial" w:eastAsia="Arial" w:hAnsi="Arial"/>
                <w:sz w:val="10"/>
                <w:szCs w:val="10"/>
                <w:color w:val="auto"/>
              </w:rPr>
              <w:t>5,047,344</w:t>
            </w:r>
          </w:p>
        </w:tc>
        <w:tc>
          <w:tcPr>
            <w:tcW w:w="880" w:type="dxa"/>
            <w:vAlign w:val="bottom"/>
            <w:gridSpan w:val="2"/>
          </w:tcPr>
          <w:p>
            <w:pPr>
              <w:jc w:val="right"/>
              <w:ind w:right="155"/>
              <w:spacing w:after="0" w:line="99" w:lineRule="exact"/>
              <w:rPr>
                <w:sz w:val="20"/>
                <w:szCs w:val="20"/>
                <w:color w:val="auto"/>
              </w:rPr>
            </w:pPr>
            <w:r>
              <w:rPr>
                <w:rFonts w:ascii="Arial" w:cs="Arial" w:eastAsia="Arial" w:hAnsi="Arial"/>
                <w:sz w:val="10"/>
                <w:szCs w:val="10"/>
                <w:color w:val="auto"/>
              </w:rPr>
              <w:t>5,047,344</w:t>
            </w: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jc w:val="right"/>
              <w:ind w:right="234"/>
              <w:spacing w:after="0" w:line="99"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jc w:val="right"/>
              <w:ind w:right="93"/>
              <w:spacing w:after="0" w:line="99" w:lineRule="exact"/>
              <w:rPr>
                <w:sz w:val="20"/>
                <w:szCs w:val="20"/>
                <w:color w:val="auto"/>
              </w:rPr>
            </w:pPr>
            <w:r>
              <w:rPr>
                <w:rFonts w:ascii="Arial" w:cs="Arial" w:eastAsia="Arial" w:hAnsi="Arial"/>
                <w:sz w:val="10"/>
                <w:szCs w:val="10"/>
                <w:color w:val="auto"/>
                <w:w w:val="92"/>
              </w:rPr>
              <w:t>1,025,762</w:t>
            </w:r>
            <w:r>
              <w:rPr>
                <w:rFonts w:ascii="Arial" w:cs="Arial" w:eastAsia="Arial" w:hAnsi="Arial"/>
                <w:sz w:val="8"/>
                <w:szCs w:val="8"/>
                <w:color w:val="auto"/>
                <w:w w:val="92"/>
              </w:rPr>
              <w:t>(9)</w:t>
            </w:r>
          </w:p>
        </w:tc>
        <w:tc>
          <w:tcPr>
            <w:tcW w:w="100" w:type="dxa"/>
            <w:vAlign w:val="bottom"/>
          </w:tcPr>
          <w:p>
            <w:pPr>
              <w:spacing w:after="0"/>
              <w:rPr>
                <w:sz w:val="8"/>
                <w:szCs w:val="8"/>
                <w:color w:val="auto"/>
              </w:rPr>
            </w:pPr>
          </w:p>
        </w:tc>
        <w:tc>
          <w:tcPr>
            <w:tcW w:w="1060" w:type="dxa"/>
            <w:vAlign w:val="bottom"/>
          </w:tcPr>
          <w:p>
            <w:pPr>
              <w:jc w:val="right"/>
              <w:ind w:right="294"/>
              <w:spacing w:after="0" w:line="99" w:lineRule="exact"/>
              <w:rPr>
                <w:sz w:val="20"/>
                <w:szCs w:val="20"/>
                <w:color w:val="auto"/>
              </w:rPr>
            </w:pPr>
            <w:r>
              <w:rPr>
                <w:rFonts w:ascii="Arial" w:cs="Arial" w:eastAsia="Arial" w:hAnsi="Arial"/>
                <w:sz w:val="10"/>
                <w:szCs w:val="10"/>
                <w:color w:val="auto"/>
              </w:rPr>
              <w:t>—</w:t>
            </w:r>
          </w:p>
        </w:tc>
        <w:tc>
          <w:tcPr>
            <w:tcW w:w="940" w:type="dxa"/>
            <w:vAlign w:val="bottom"/>
            <w:gridSpan w:val="2"/>
          </w:tcPr>
          <w:p>
            <w:pPr>
              <w:jc w:val="right"/>
              <w:ind w:right="234"/>
              <w:spacing w:after="0" w:line="99" w:lineRule="exact"/>
              <w:rPr>
                <w:sz w:val="20"/>
                <w:szCs w:val="20"/>
                <w:color w:val="auto"/>
              </w:rPr>
            </w:pPr>
            <w:r>
              <w:rPr>
                <w:rFonts w:ascii="Arial" w:cs="Arial" w:eastAsia="Arial" w:hAnsi="Arial"/>
                <w:sz w:val="10"/>
                <w:szCs w:val="10"/>
                <w:color w:val="auto"/>
              </w:rPr>
              <w:t>25,746</w:t>
            </w:r>
          </w:p>
        </w:tc>
        <w:tc>
          <w:tcPr>
            <w:tcW w:w="960" w:type="dxa"/>
            <w:vAlign w:val="bottom"/>
            <w:gridSpan w:val="2"/>
          </w:tcPr>
          <w:p>
            <w:pPr>
              <w:jc w:val="right"/>
              <w:ind w:right="173"/>
              <w:spacing w:after="0" w:line="99" w:lineRule="exact"/>
              <w:rPr>
                <w:sz w:val="20"/>
                <w:szCs w:val="20"/>
                <w:color w:val="auto"/>
              </w:rPr>
            </w:pPr>
            <w:r>
              <w:rPr>
                <w:rFonts w:ascii="Arial" w:cs="Arial" w:eastAsia="Arial" w:hAnsi="Arial"/>
                <w:sz w:val="10"/>
                <w:szCs w:val="10"/>
                <w:color w:val="auto"/>
              </w:rPr>
              <w:t>14,511,092</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180" w:type="dxa"/>
            <w:vAlign w:val="bottom"/>
          </w:tcPr>
          <w:p>
            <w:pPr>
              <w:ind w:left="80"/>
              <w:spacing w:after="0" w:line="99" w:lineRule="exact"/>
              <w:rPr>
                <w:sz w:val="20"/>
                <w:szCs w:val="20"/>
                <w:color w:val="auto"/>
              </w:rPr>
            </w:pPr>
            <w:r>
              <w:rPr>
                <w:rFonts w:ascii="Arial" w:cs="Arial" w:eastAsia="Arial" w:hAnsi="Arial"/>
                <w:sz w:val="10"/>
                <w:szCs w:val="10"/>
                <w:color w:val="auto"/>
              </w:rPr>
              <w:t>Death</w:t>
            </w:r>
            <w:r>
              <w:rPr>
                <w:rFonts w:ascii="Arial" w:cs="Arial" w:eastAsia="Arial" w:hAnsi="Arial"/>
                <w:sz w:val="8"/>
                <w:szCs w:val="8"/>
                <w:color w:val="auto"/>
              </w:rPr>
              <w:t>(8)</w:t>
            </w:r>
          </w:p>
        </w:tc>
        <w:tc>
          <w:tcPr>
            <w:tcW w:w="940" w:type="dxa"/>
            <w:vAlign w:val="bottom"/>
            <w:gridSpan w:val="2"/>
          </w:tcPr>
          <w:p>
            <w:pPr>
              <w:jc w:val="right"/>
              <w:ind w:right="173"/>
              <w:spacing w:after="0" w:line="99" w:lineRule="exact"/>
              <w:rPr>
                <w:sz w:val="20"/>
                <w:szCs w:val="20"/>
                <w:color w:val="auto"/>
              </w:rPr>
            </w:pPr>
            <w:r>
              <w:rPr>
                <w:rFonts w:ascii="Arial" w:cs="Arial" w:eastAsia="Arial" w:hAnsi="Arial"/>
                <w:sz w:val="10"/>
                <w:szCs w:val="10"/>
                <w:color w:val="auto"/>
              </w:rPr>
              <w:t>420,612</w:t>
            </w:r>
          </w:p>
        </w:tc>
        <w:tc>
          <w:tcPr>
            <w:tcW w:w="80" w:type="dxa"/>
            <w:vAlign w:val="bottom"/>
          </w:tcPr>
          <w:p>
            <w:pPr>
              <w:spacing w:after="0"/>
              <w:rPr>
                <w:sz w:val="8"/>
                <w:szCs w:val="8"/>
                <w:color w:val="auto"/>
              </w:rPr>
            </w:pPr>
          </w:p>
        </w:tc>
        <w:tc>
          <w:tcPr>
            <w:tcW w:w="860" w:type="dxa"/>
            <w:vAlign w:val="bottom"/>
          </w:tcPr>
          <w:p>
            <w:pPr>
              <w:jc w:val="right"/>
              <w:ind w:right="174"/>
              <w:spacing w:after="0" w:line="99" w:lineRule="exact"/>
              <w:rPr>
                <w:sz w:val="20"/>
                <w:szCs w:val="20"/>
                <w:color w:val="auto"/>
              </w:rPr>
            </w:pPr>
            <w:r>
              <w:rPr>
                <w:rFonts w:ascii="Arial" w:cs="Arial" w:eastAsia="Arial" w:hAnsi="Arial"/>
                <w:sz w:val="10"/>
                <w:szCs w:val="10"/>
                <w:color w:val="auto"/>
              </w:rPr>
              <w:t>—</w:t>
            </w:r>
          </w:p>
        </w:tc>
        <w:tc>
          <w:tcPr>
            <w:tcW w:w="880" w:type="dxa"/>
            <w:vAlign w:val="bottom"/>
            <w:gridSpan w:val="2"/>
          </w:tcPr>
          <w:p>
            <w:pPr>
              <w:jc w:val="right"/>
              <w:ind w:right="155"/>
              <w:spacing w:after="0" w:line="99" w:lineRule="exact"/>
              <w:rPr>
                <w:sz w:val="20"/>
                <w:szCs w:val="20"/>
                <w:color w:val="auto"/>
              </w:rPr>
            </w:pPr>
            <w:r>
              <w:rPr>
                <w:rFonts w:ascii="Arial" w:cs="Arial" w:eastAsia="Arial" w:hAnsi="Arial"/>
                <w:sz w:val="10"/>
                <w:szCs w:val="10"/>
                <w:color w:val="auto"/>
              </w:rPr>
              <w:t>5,047,344</w:t>
            </w: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jc w:val="right"/>
              <w:ind w:right="234"/>
              <w:spacing w:after="0" w:line="99" w:lineRule="exact"/>
              <w:rPr>
                <w:sz w:val="20"/>
                <w:szCs w:val="20"/>
                <w:color w:val="auto"/>
              </w:rPr>
            </w:pPr>
            <w:r>
              <w:rPr>
                <w:rFonts w:ascii="Arial" w:cs="Arial" w:eastAsia="Arial" w:hAnsi="Arial"/>
                <w:sz w:val="10"/>
                <w:szCs w:val="10"/>
                <w:color w:val="auto"/>
                <w:w w:val="80"/>
              </w:rPr>
              <w:t>1,600,800</w:t>
            </w: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jc w:val="right"/>
              <w:ind w:right="173"/>
              <w:spacing w:after="0" w:line="99" w:lineRule="exact"/>
              <w:rPr>
                <w:sz w:val="20"/>
                <w:szCs w:val="20"/>
                <w:color w:val="auto"/>
              </w:rPr>
            </w:pPr>
            <w:r>
              <w:rPr>
                <w:rFonts w:ascii="Arial" w:cs="Arial" w:eastAsia="Arial" w:hAnsi="Arial"/>
                <w:sz w:val="10"/>
                <w:szCs w:val="10"/>
                <w:color w:val="auto"/>
                <w:w w:val="83"/>
              </w:rPr>
              <w:t>10,464,547</w:t>
            </w:r>
          </w:p>
        </w:tc>
        <w:tc>
          <w:tcPr>
            <w:tcW w:w="100" w:type="dxa"/>
            <w:vAlign w:val="bottom"/>
          </w:tcPr>
          <w:p>
            <w:pPr>
              <w:spacing w:after="0"/>
              <w:rPr>
                <w:sz w:val="8"/>
                <w:szCs w:val="8"/>
                <w:color w:val="auto"/>
              </w:rPr>
            </w:pPr>
          </w:p>
        </w:tc>
        <w:tc>
          <w:tcPr>
            <w:tcW w:w="1060" w:type="dxa"/>
            <w:vAlign w:val="bottom"/>
          </w:tcPr>
          <w:p>
            <w:pPr>
              <w:jc w:val="right"/>
              <w:ind w:right="294"/>
              <w:spacing w:after="0" w:line="99"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8"/>
                <w:szCs w:val="8"/>
                <w:color w:val="auto"/>
              </w:rPr>
            </w:pPr>
          </w:p>
        </w:tc>
        <w:tc>
          <w:tcPr>
            <w:tcW w:w="860" w:type="dxa"/>
            <w:vAlign w:val="bottom"/>
          </w:tcPr>
          <w:p>
            <w:pPr>
              <w:jc w:val="right"/>
              <w:ind w:right="234"/>
              <w:spacing w:after="0" w:line="99" w:lineRule="exact"/>
              <w:rPr>
                <w:sz w:val="20"/>
                <w:szCs w:val="20"/>
                <w:color w:val="auto"/>
              </w:rPr>
            </w:pPr>
            <w:r>
              <w:rPr>
                <w:rFonts w:ascii="Arial" w:cs="Arial" w:eastAsia="Arial" w:hAnsi="Arial"/>
                <w:sz w:val="10"/>
                <w:szCs w:val="10"/>
                <w:color w:val="auto"/>
              </w:rPr>
              <w:t>—</w:t>
            </w:r>
          </w:p>
        </w:tc>
        <w:tc>
          <w:tcPr>
            <w:tcW w:w="960" w:type="dxa"/>
            <w:vAlign w:val="bottom"/>
            <w:gridSpan w:val="2"/>
          </w:tcPr>
          <w:p>
            <w:pPr>
              <w:jc w:val="right"/>
              <w:ind w:right="173"/>
              <w:spacing w:after="0" w:line="99" w:lineRule="exact"/>
              <w:rPr>
                <w:sz w:val="20"/>
                <w:szCs w:val="20"/>
                <w:color w:val="auto"/>
              </w:rPr>
            </w:pPr>
            <w:r>
              <w:rPr>
                <w:rFonts w:ascii="Arial" w:cs="Arial" w:eastAsia="Arial" w:hAnsi="Arial"/>
                <w:sz w:val="10"/>
                <w:szCs w:val="10"/>
                <w:color w:val="auto"/>
              </w:rPr>
              <w:t>17,533,303</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180" w:type="dxa"/>
            <w:vAlign w:val="bottom"/>
          </w:tcPr>
          <w:p>
            <w:pPr>
              <w:ind w:left="80"/>
              <w:spacing w:after="0" w:line="99" w:lineRule="exact"/>
              <w:rPr>
                <w:sz w:val="20"/>
                <w:szCs w:val="20"/>
                <w:color w:val="auto"/>
              </w:rPr>
            </w:pPr>
            <w:r>
              <w:rPr>
                <w:rFonts w:ascii="Arial" w:cs="Arial" w:eastAsia="Arial" w:hAnsi="Arial"/>
                <w:sz w:val="10"/>
                <w:szCs w:val="10"/>
                <w:color w:val="auto"/>
              </w:rPr>
              <w:t>Disability</w:t>
            </w:r>
            <w:r>
              <w:rPr>
                <w:rFonts w:ascii="Arial" w:cs="Arial" w:eastAsia="Arial" w:hAnsi="Arial"/>
                <w:sz w:val="8"/>
                <w:szCs w:val="8"/>
                <w:color w:val="auto"/>
              </w:rPr>
              <w:t>(8)</w:t>
            </w:r>
          </w:p>
        </w:tc>
        <w:tc>
          <w:tcPr>
            <w:tcW w:w="940" w:type="dxa"/>
            <w:vAlign w:val="bottom"/>
            <w:gridSpan w:val="2"/>
          </w:tcPr>
          <w:p>
            <w:pPr>
              <w:jc w:val="right"/>
              <w:ind w:right="173"/>
              <w:spacing w:after="0" w:line="99" w:lineRule="exact"/>
              <w:rPr>
                <w:sz w:val="20"/>
                <w:szCs w:val="20"/>
                <w:color w:val="auto"/>
              </w:rPr>
            </w:pPr>
            <w:r>
              <w:rPr>
                <w:rFonts w:ascii="Arial" w:cs="Arial" w:eastAsia="Arial" w:hAnsi="Arial"/>
                <w:sz w:val="10"/>
                <w:szCs w:val="10"/>
                <w:color w:val="auto"/>
              </w:rPr>
              <w:t>420,612</w:t>
            </w:r>
          </w:p>
        </w:tc>
        <w:tc>
          <w:tcPr>
            <w:tcW w:w="80" w:type="dxa"/>
            <w:vAlign w:val="bottom"/>
          </w:tcPr>
          <w:p>
            <w:pPr>
              <w:spacing w:after="0"/>
              <w:rPr>
                <w:sz w:val="8"/>
                <w:szCs w:val="8"/>
                <w:color w:val="auto"/>
              </w:rPr>
            </w:pPr>
          </w:p>
        </w:tc>
        <w:tc>
          <w:tcPr>
            <w:tcW w:w="860" w:type="dxa"/>
            <w:vAlign w:val="bottom"/>
          </w:tcPr>
          <w:p>
            <w:pPr>
              <w:jc w:val="right"/>
              <w:ind w:right="174"/>
              <w:spacing w:after="0" w:line="99" w:lineRule="exact"/>
              <w:rPr>
                <w:sz w:val="20"/>
                <w:szCs w:val="20"/>
                <w:color w:val="auto"/>
              </w:rPr>
            </w:pPr>
            <w:r>
              <w:rPr>
                <w:rFonts w:ascii="Arial" w:cs="Arial" w:eastAsia="Arial" w:hAnsi="Arial"/>
                <w:sz w:val="10"/>
                <w:szCs w:val="10"/>
                <w:color w:val="auto"/>
              </w:rPr>
              <w:t>—</w:t>
            </w:r>
          </w:p>
        </w:tc>
        <w:tc>
          <w:tcPr>
            <w:tcW w:w="880" w:type="dxa"/>
            <w:vAlign w:val="bottom"/>
            <w:gridSpan w:val="2"/>
          </w:tcPr>
          <w:p>
            <w:pPr>
              <w:jc w:val="right"/>
              <w:ind w:right="155"/>
              <w:spacing w:after="0" w:line="99" w:lineRule="exact"/>
              <w:rPr>
                <w:sz w:val="20"/>
                <w:szCs w:val="20"/>
                <w:color w:val="auto"/>
              </w:rPr>
            </w:pPr>
            <w:r>
              <w:rPr>
                <w:rFonts w:ascii="Arial" w:cs="Arial" w:eastAsia="Arial" w:hAnsi="Arial"/>
                <w:sz w:val="10"/>
                <w:szCs w:val="10"/>
                <w:color w:val="auto"/>
              </w:rPr>
              <w:t>5,047,344</w:t>
            </w: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jc w:val="right"/>
              <w:ind w:right="234"/>
              <w:spacing w:after="0" w:line="99" w:lineRule="exact"/>
              <w:rPr>
                <w:sz w:val="20"/>
                <w:szCs w:val="20"/>
                <w:color w:val="auto"/>
              </w:rPr>
            </w:pPr>
            <w:r>
              <w:rPr>
                <w:rFonts w:ascii="Arial" w:cs="Arial" w:eastAsia="Arial" w:hAnsi="Arial"/>
                <w:sz w:val="10"/>
                <w:szCs w:val="10"/>
                <w:color w:val="auto"/>
                <w:w w:val="80"/>
              </w:rPr>
              <w:t>1,600,800</w:t>
            </w: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jc w:val="right"/>
              <w:ind w:right="173"/>
              <w:spacing w:after="0" w:line="99" w:lineRule="exact"/>
              <w:rPr>
                <w:sz w:val="20"/>
                <w:szCs w:val="20"/>
                <w:color w:val="auto"/>
              </w:rPr>
            </w:pPr>
            <w:r>
              <w:rPr>
                <w:rFonts w:ascii="Arial" w:cs="Arial" w:eastAsia="Arial" w:hAnsi="Arial"/>
                <w:sz w:val="10"/>
                <w:szCs w:val="10"/>
                <w:color w:val="auto"/>
                <w:w w:val="83"/>
              </w:rPr>
              <w:t>10,464,547</w:t>
            </w:r>
          </w:p>
        </w:tc>
        <w:tc>
          <w:tcPr>
            <w:tcW w:w="100" w:type="dxa"/>
            <w:vAlign w:val="bottom"/>
          </w:tcPr>
          <w:p>
            <w:pPr>
              <w:spacing w:after="0"/>
              <w:rPr>
                <w:sz w:val="8"/>
                <w:szCs w:val="8"/>
                <w:color w:val="auto"/>
              </w:rPr>
            </w:pPr>
          </w:p>
        </w:tc>
        <w:tc>
          <w:tcPr>
            <w:tcW w:w="1060" w:type="dxa"/>
            <w:vAlign w:val="bottom"/>
          </w:tcPr>
          <w:p>
            <w:pPr>
              <w:jc w:val="right"/>
              <w:ind w:right="294"/>
              <w:spacing w:after="0" w:line="99"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8"/>
                <w:szCs w:val="8"/>
                <w:color w:val="auto"/>
              </w:rPr>
            </w:pPr>
          </w:p>
        </w:tc>
        <w:tc>
          <w:tcPr>
            <w:tcW w:w="860" w:type="dxa"/>
            <w:vAlign w:val="bottom"/>
          </w:tcPr>
          <w:p>
            <w:pPr>
              <w:jc w:val="right"/>
              <w:ind w:right="234"/>
              <w:spacing w:after="0" w:line="99" w:lineRule="exact"/>
              <w:rPr>
                <w:sz w:val="20"/>
                <w:szCs w:val="20"/>
                <w:color w:val="auto"/>
              </w:rPr>
            </w:pPr>
            <w:r>
              <w:rPr>
                <w:rFonts w:ascii="Arial" w:cs="Arial" w:eastAsia="Arial" w:hAnsi="Arial"/>
                <w:sz w:val="10"/>
                <w:szCs w:val="10"/>
                <w:color w:val="auto"/>
              </w:rPr>
              <w:t>—</w:t>
            </w:r>
          </w:p>
        </w:tc>
        <w:tc>
          <w:tcPr>
            <w:tcW w:w="960" w:type="dxa"/>
            <w:vAlign w:val="bottom"/>
            <w:gridSpan w:val="2"/>
          </w:tcPr>
          <w:p>
            <w:pPr>
              <w:jc w:val="right"/>
              <w:ind w:right="173"/>
              <w:spacing w:after="0" w:line="99" w:lineRule="exact"/>
              <w:rPr>
                <w:sz w:val="20"/>
                <w:szCs w:val="20"/>
                <w:color w:val="auto"/>
              </w:rPr>
            </w:pPr>
            <w:r>
              <w:rPr>
                <w:rFonts w:ascii="Arial" w:cs="Arial" w:eastAsia="Arial" w:hAnsi="Arial"/>
                <w:sz w:val="10"/>
                <w:szCs w:val="10"/>
                <w:color w:val="auto"/>
              </w:rPr>
              <w:t>17,533,303</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180" w:type="dxa"/>
            <w:vAlign w:val="bottom"/>
          </w:tcPr>
          <w:p>
            <w:pPr>
              <w:ind w:left="80"/>
              <w:spacing w:after="0" w:line="99" w:lineRule="exact"/>
              <w:rPr>
                <w:sz w:val="20"/>
                <w:szCs w:val="20"/>
                <w:color w:val="auto"/>
              </w:rPr>
            </w:pPr>
            <w:r>
              <w:rPr>
                <w:rFonts w:ascii="Arial" w:cs="Arial" w:eastAsia="Arial" w:hAnsi="Arial"/>
                <w:sz w:val="10"/>
                <w:szCs w:val="10"/>
                <w:color w:val="auto"/>
              </w:rPr>
              <w:t>Retirement</w:t>
            </w:r>
            <w:r>
              <w:rPr>
                <w:rFonts w:ascii="Arial" w:cs="Arial" w:eastAsia="Arial" w:hAnsi="Arial"/>
                <w:sz w:val="8"/>
                <w:szCs w:val="8"/>
                <w:color w:val="auto"/>
              </w:rPr>
              <w:t>(5)</w:t>
            </w:r>
          </w:p>
        </w:tc>
        <w:tc>
          <w:tcPr>
            <w:tcW w:w="80" w:type="dxa"/>
            <w:vAlign w:val="bottom"/>
          </w:tcPr>
          <w:p>
            <w:pPr>
              <w:spacing w:after="0"/>
              <w:rPr>
                <w:sz w:val="8"/>
                <w:szCs w:val="8"/>
                <w:color w:val="auto"/>
              </w:rPr>
            </w:pPr>
          </w:p>
        </w:tc>
        <w:tc>
          <w:tcPr>
            <w:tcW w:w="860" w:type="dxa"/>
            <w:vAlign w:val="bottom"/>
          </w:tcPr>
          <w:p>
            <w:pPr>
              <w:jc w:val="right"/>
              <w:ind w:right="173"/>
              <w:spacing w:after="0" w:line="99"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8"/>
                <w:szCs w:val="8"/>
                <w:color w:val="auto"/>
              </w:rPr>
            </w:pPr>
          </w:p>
        </w:tc>
        <w:tc>
          <w:tcPr>
            <w:tcW w:w="860" w:type="dxa"/>
            <w:vAlign w:val="bottom"/>
          </w:tcPr>
          <w:p>
            <w:pPr>
              <w:jc w:val="right"/>
              <w:ind w:right="174"/>
              <w:spacing w:after="0" w:line="99"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8"/>
                <w:szCs w:val="8"/>
                <w:color w:val="auto"/>
              </w:rPr>
            </w:pPr>
          </w:p>
        </w:tc>
        <w:tc>
          <w:tcPr>
            <w:tcW w:w="800" w:type="dxa"/>
            <w:vAlign w:val="bottom"/>
          </w:tcPr>
          <w:p>
            <w:pPr>
              <w:jc w:val="right"/>
              <w:ind w:right="155"/>
              <w:spacing w:after="0" w:line="99"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jc w:val="right"/>
              <w:ind w:right="234"/>
              <w:spacing w:after="0" w:line="99"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jc w:val="right"/>
              <w:ind w:right="173"/>
              <w:spacing w:after="0" w:line="99"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8"/>
                <w:szCs w:val="8"/>
                <w:color w:val="auto"/>
              </w:rPr>
            </w:pPr>
          </w:p>
        </w:tc>
        <w:tc>
          <w:tcPr>
            <w:tcW w:w="1060" w:type="dxa"/>
            <w:vAlign w:val="bottom"/>
          </w:tcPr>
          <w:p>
            <w:pPr>
              <w:jc w:val="right"/>
              <w:ind w:right="294"/>
              <w:spacing w:after="0" w:line="99"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8"/>
                <w:szCs w:val="8"/>
                <w:color w:val="auto"/>
              </w:rPr>
            </w:pPr>
          </w:p>
        </w:tc>
        <w:tc>
          <w:tcPr>
            <w:tcW w:w="860" w:type="dxa"/>
            <w:vAlign w:val="bottom"/>
          </w:tcPr>
          <w:p>
            <w:pPr>
              <w:jc w:val="right"/>
              <w:ind w:right="234"/>
              <w:spacing w:after="0" w:line="99"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8"/>
                <w:szCs w:val="8"/>
                <w:color w:val="auto"/>
              </w:rPr>
            </w:pPr>
          </w:p>
        </w:tc>
        <w:tc>
          <w:tcPr>
            <w:tcW w:w="880" w:type="dxa"/>
            <w:vAlign w:val="bottom"/>
          </w:tcPr>
          <w:p>
            <w:pPr>
              <w:jc w:val="right"/>
              <w:ind w:right="173"/>
              <w:spacing w:after="0" w:line="99"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80" w:type="dxa"/>
            <w:vAlign w:val="bottom"/>
          </w:tcPr>
          <w:p>
            <w:pPr>
              <w:ind w:left="80"/>
              <w:spacing w:after="0"/>
              <w:rPr>
                <w:sz w:val="20"/>
                <w:szCs w:val="20"/>
                <w:color w:val="auto"/>
              </w:rPr>
            </w:pPr>
            <w:r>
              <w:rPr>
                <w:rFonts w:ascii="Arial" w:cs="Arial" w:eastAsia="Arial" w:hAnsi="Arial"/>
                <w:sz w:val="10"/>
                <w:szCs w:val="10"/>
                <w:color w:val="auto"/>
              </w:rPr>
              <w:t>Change in Control</w:t>
            </w:r>
            <w:r>
              <w:rPr>
                <w:rFonts w:ascii="Arial" w:cs="Arial" w:eastAsia="Arial" w:hAnsi="Arial"/>
                <w:sz w:val="8"/>
                <w:szCs w:val="8"/>
                <w:color w:val="auto"/>
              </w:rPr>
              <w:t>(6)</w:t>
            </w:r>
          </w:p>
        </w:tc>
        <w:tc>
          <w:tcPr>
            <w:tcW w:w="80" w:type="dxa"/>
            <w:vAlign w:val="bottom"/>
          </w:tcPr>
          <w:p>
            <w:pPr>
              <w:spacing w:after="0"/>
              <w:rPr>
                <w:sz w:val="10"/>
                <w:szCs w:val="10"/>
                <w:color w:val="auto"/>
              </w:rPr>
            </w:pPr>
          </w:p>
        </w:tc>
        <w:tc>
          <w:tcPr>
            <w:tcW w:w="860" w:type="dxa"/>
            <w:vAlign w:val="bottom"/>
          </w:tcPr>
          <w:p>
            <w:pPr>
              <w:jc w:val="right"/>
              <w:ind w:right="173"/>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860" w:type="dxa"/>
            <w:vAlign w:val="bottom"/>
          </w:tcPr>
          <w:p>
            <w:pPr>
              <w:jc w:val="right"/>
              <w:ind w:right="174"/>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800" w:type="dxa"/>
            <w:vAlign w:val="bottom"/>
          </w:tcPr>
          <w:p>
            <w:pPr>
              <w:jc w:val="right"/>
              <w:ind w:right="155"/>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jc w:val="right"/>
              <w:ind w:right="234"/>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jc w:val="right"/>
              <w:ind w:right="173"/>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1060" w:type="dxa"/>
            <w:vAlign w:val="bottom"/>
          </w:tcPr>
          <w:p>
            <w:pPr>
              <w:jc w:val="right"/>
              <w:ind w:right="294"/>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860" w:type="dxa"/>
            <w:vAlign w:val="bottom"/>
          </w:tcPr>
          <w:p>
            <w:pPr>
              <w:jc w:val="right"/>
              <w:ind w:right="234"/>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880" w:type="dxa"/>
            <w:vAlign w:val="bottom"/>
          </w:tcPr>
          <w:p>
            <w:pPr>
              <w:jc w:val="right"/>
              <w:ind w:right="173"/>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bl>
    <w:p>
      <w:pPr>
        <w:spacing w:after="0" w:line="251"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97790</wp:posOffset>
            </wp:positionV>
            <wp:extent cx="7299325" cy="184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680"/>
          </w:cols>
          <w:pgMar w:left="220" w:top="327" w:right="999" w:bottom="1440" w:gutter="0" w:footer="0" w:header="0"/>
        </w:sectPr>
      </w:pPr>
    </w:p>
    <w:bookmarkStart w:id="58" w:name="page59"/>
    <w:bookmarkEnd w:id="58"/>
    <w:p>
      <w:pPr>
        <w:spacing w:after="0"/>
        <w:rPr>
          <w:rFonts w:ascii="Arial" w:cs="Arial" w:eastAsia="Arial" w:hAnsi="Arial"/>
          <w:sz w:val="12"/>
          <w:szCs w:val="12"/>
          <w:b w:val="1"/>
          <w:bCs w:val="1"/>
          <w:u w:val="single" w:color="auto"/>
          <w:color w:val="0000EE"/>
        </w:rPr>
      </w:pPr>
      <w:hyperlink w:anchor="page4">
        <w:r>
          <w:rPr>
            <w:rFonts w:ascii="Arial" w:cs="Arial" w:eastAsia="Arial" w:hAnsi="Arial"/>
            <w:sz w:val="12"/>
            <w:szCs w:val="12"/>
            <w:b w:val="1"/>
            <w:bCs w:val="1"/>
            <w:u w:val="single" w:color="auto"/>
            <w:color w:val="0000EE"/>
          </w:rPr>
          <w:t>Table of Contents</w:t>
        </w:r>
      </w:hyperlink>
    </w:p>
    <w:p>
      <w:pPr>
        <w:spacing w:after="0" w:line="211" w:lineRule="exact"/>
        <w:rPr>
          <w:sz w:val="20"/>
          <w:szCs w:val="20"/>
          <w:color w:val="auto"/>
        </w:rPr>
      </w:pPr>
    </w:p>
    <w:tbl>
      <w:tblPr>
        <w:tblLayout w:type="fixed"/>
        <w:tblInd w:w="680" w:type="dxa"/>
        <w:tblCellMar>
          <w:top w:w="0" w:type="dxa"/>
          <w:left w:w="0" w:type="dxa"/>
          <w:bottom w:w="0" w:type="dxa"/>
          <w:right w:w="0" w:type="dxa"/>
        </w:tblCellMar>
      </w:tblPr>
      <w:tr>
        <w:trPr>
          <w:trHeight w:val="92"/>
        </w:trPr>
        <w:tc>
          <w:tcPr>
            <w:tcW w:w="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Pr>
          <w:p>
            <w:pPr>
              <w:jc w:val="center"/>
              <w:spacing w:after="0"/>
              <w:rPr>
                <w:sz w:val="20"/>
                <w:szCs w:val="20"/>
                <w:color w:val="auto"/>
              </w:rPr>
            </w:pPr>
            <w:r>
              <w:rPr>
                <w:rFonts w:ascii="Arial" w:cs="Arial" w:eastAsia="Arial" w:hAnsi="Arial"/>
                <w:sz w:val="8"/>
                <w:szCs w:val="8"/>
                <w:b w:val="1"/>
                <w:bCs w:val="1"/>
                <w:color w:val="auto"/>
                <w:w w:val="95"/>
              </w:rPr>
              <w:t>Acceleration</w:t>
            </w:r>
          </w:p>
        </w:tc>
        <w:tc>
          <w:tcPr>
            <w:tcW w:w="8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8"/>
              </w:rPr>
              <w:t>and</w:t>
            </w:r>
          </w:p>
        </w:tc>
        <w:tc>
          <w:tcPr>
            <w:tcW w:w="8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3"/>
              </w:rPr>
              <w:t>Accrued</w:t>
            </w:r>
          </w:p>
        </w:tc>
        <w:tc>
          <w:tcPr>
            <w:tcW w:w="80" w:type="dxa"/>
            <w:vAlign w:val="bottom"/>
          </w:tcPr>
          <w:p>
            <w:pPr>
              <w:spacing w:after="0"/>
              <w:rPr>
                <w:sz w:val="7"/>
                <w:szCs w:val="7"/>
                <w:color w:val="auto"/>
              </w:rPr>
            </w:pPr>
          </w:p>
        </w:tc>
        <w:tc>
          <w:tcPr>
            <w:tcW w:w="94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6"/>
              </w:rPr>
              <w:t>Exercisability</w:t>
            </w:r>
          </w:p>
        </w:tc>
        <w:tc>
          <w:tcPr>
            <w:tcW w:w="8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3"/>
              </w:rPr>
              <w:t>Annual Cash</w:t>
            </w:r>
          </w:p>
        </w:tc>
        <w:tc>
          <w:tcPr>
            <w:tcW w:w="80" w:type="dxa"/>
            <w:vAlign w:val="bottom"/>
          </w:tcPr>
          <w:p>
            <w:pPr>
              <w:spacing w:after="0"/>
              <w:rPr>
                <w:sz w:val="7"/>
                <w:szCs w:val="7"/>
                <w:color w:val="auto"/>
              </w:rPr>
            </w:pPr>
          </w:p>
        </w:tc>
        <w:tc>
          <w:tcPr>
            <w:tcW w:w="84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5"/>
              </w:rPr>
              <w:t>Annual</w:t>
            </w:r>
          </w:p>
        </w:tc>
        <w:tc>
          <w:tcPr>
            <w:tcW w:w="80" w:type="dxa"/>
            <w:vAlign w:val="bottom"/>
          </w:tcPr>
          <w:p>
            <w:pPr>
              <w:spacing w:after="0"/>
              <w:rPr>
                <w:sz w:val="7"/>
                <w:szCs w:val="7"/>
                <w:color w:val="auto"/>
              </w:rPr>
            </w:pPr>
          </w:p>
        </w:tc>
        <w:tc>
          <w:tcPr>
            <w:tcW w:w="94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1"/>
              </w:rPr>
              <w:t>of Unvested</w:t>
            </w:r>
          </w:p>
        </w:tc>
        <w:tc>
          <w:tcPr>
            <w:tcW w:w="80" w:type="dxa"/>
            <w:vAlign w:val="bottom"/>
          </w:tcPr>
          <w:p>
            <w:pPr>
              <w:spacing w:after="0"/>
              <w:rPr>
                <w:sz w:val="7"/>
                <w:szCs w:val="7"/>
                <w:color w:val="auto"/>
              </w:rPr>
            </w:pPr>
          </w:p>
        </w:tc>
        <w:tc>
          <w:tcPr>
            <w:tcW w:w="90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5"/>
              </w:rPr>
              <w:t>Acceleration</w:t>
            </w:r>
          </w:p>
        </w:tc>
        <w:tc>
          <w:tcPr>
            <w:tcW w:w="80" w:type="dxa"/>
            <w:vAlign w:val="bottom"/>
          </w:tcPr>
          <w:p>
            <w:pPr>
              <w:spacing w:after="0"/>
              <w:rPr>
                <w:sz w:val="7"/>
                <w:szCs w:val="7"/>
                <w:color w:val="auto"/>
              </w:rPr>
            </w:pPr>
          </w:p>
        </w:tc>
        <w:tc>
          <w:tcPr>
            <w:tcW w:w="80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7"/>
              </w:rPr>
              <w:t>Deferred</w:t>
            </w:r>
          </w:p>
        </w:tc>
        <w:tc>
          <w:tcPr>
            <w:tcW w:w="100" w:type="dxa"/>
            <w:vAlign w:val="bottom"/>
          </w:tcPr>
          <w:p>
            <w:pPr>
              <w:spacing w:after="0"/>
              <w:rPr>
                <w:sz w:val="7"/>
                <w:szCs w:val="7"/>
                <w:color w:val="auto"/>
              </w:rPr>
            </w:pPr>
          </w:p>
        </w:tc>
        <w:tc>
          <w:tcPr>
            <w:tcW w:w="82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7"/>
              </w:rPr>
              <w:t>Health</w:t>
            </w: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2"/>
              </w:rPr>
              <w:t>Base Salary</w:t>
            </w:r>
          </w:p>
        </w:tc>
        <w:tc>
          <w:tcPr>
            <w:tcW w:w="80" w:type="dxa"/>
            <w:vAlign w:val="bottom"/>
          </w:tcPr>
          <w:p>
            <w:pPr>
              <w:spacing w:after="0"/>
              <w:rPr>
                <w:sz w:val="7"/>
                <w:szCs w:val="7"/>
                <w:color w:val="auto"/>
              </w:rPr>
            </w:pPr>
          </w:p>
        </w:tc>
        <w:tc>
          <w:tcPr>
            <w:tcW w:w="92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88"/>
              </w:rPr>
              <w:t>Bonus</w:t>
            </w:r>
          </w:p>
        </w:tc>
        <w:tc>
          <w:tcPr>
            <w:tcW w:w="80" w:type="dxa"/>
            <w:vAlign w:val="bottom"/>
          </w:tcPr>
          <w:p>
            <w:pPr>
              <w:spacing w:after="0"/>
              <w:rPr>
                <w:sz w:val="7"/>
                <w:szCs w:val="7"/>
                <w:color w:val="auto"/>
              </w:rPr>
            </w:pPr>
          </w:p>
        </w:tc>
        <w:tc>
          <w:tcPr>
            <w:tcW w:w="84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1"/>
              </w:rPr>
              <w:t>Cash</w:t>
            </w:r>
          </w:p>
        </w:tc>
        <w:tc>
          <w:tcPr>
            <w:tcW w:w="80" w:type="dxa"/>
            <w:vAlign w:val="bottom"/>
          </w:tcPr>
          <w:p>
            <w:pPr>
              <w:spacing w:after="0"/>
              <w:rPr>
                <w:sz w:val="7"/>
                <w:szCs w:val="7"/>
                <w:color w:val="auto"/>
              </w:rPr>
            </w:pPr>
          </w:p>
        </w:tc>
        <w:tc>
          <w:tcPr>
            <w:tcW w:w="94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1"/>
              </w:rPr>
              <w:t>Stock</w:t>
            </w:r>
          </w:p>
        </w:tc>
        <w:tc>
          <w:tcPr>
            <w:tcW w:w="80" w:type="dxa"/>
            <w:vAlign w:val="bottom"/>
          </w:tcPr>
          <w:p>
            <w:pPr>
              <w:spacing w:after="0"/>
              <w:rPr>
                <w:sz w:val="7"/>
                <w:szCs w:val="7"/>
                <w:color w:val="auto"/>
              </w:rPr>
            </w:pPr>
          </w:p>
        </w:tc>
        <w:tc>
          <w:tcPr>
            <w:tcW w:w="90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1"/>
              </w:rPr>
              <w:t>of Unvested</w:t>
            </w:r>
          </w:p>
        </w:tc>
        <w:tc>
          <w:tcPr>
            <w:tcW w:w="80" w:type="dxa"/>
            <w:vAlign w:val="bottom"/>
          </w:tcPr>
          <w:p>
            <w:pPr>
              <w:spacing w:after="0"/>
              <w:rPr>
                <w:sz w:val="7"/>
                <w:szCs w:val="7"/>
                <w:color w:val="auto"/>
              </w:rPr>
            </w:pPr>
          </w:p>
        </w:tc>
        <w:tc>
          <w:tcPr>
            <w:tcW w:w="80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3"/>
              </w:rPr>
              <w:t>Compensation</w:t>
            </w:r>
          </w:p>
        </w:tc>
        <w:tc>
          <w:tcPr>
            <w:tcW w:w="100" w:type="dxa"/>
            <w:vAlign w:val="bottom"/>
          </w:tcPr>
          <w:p>
            <w:pPr>
              <w:spacing w:after="0"/>
              <w:rPr>
                <w:sz w:val="7"/>
                <w:szCs w:val="7"/>
                <w:color w:val="auto"/>
              </w:rPr>
            </w:pPr>
          </w:p>
        </w:tc>
        <w:tc>
          <w:tcPr>
            <w:tcW w:w="82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5"/>
              </w:rPr>
              <w:t>Benefit</w:t>
            </w: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7"/>
              </w:rPr>
              <w:t>Continuation</w:t>
            </w:r>
          </w:p>
        </w:tc>
        <w:tc>
          <w:tcPr>
            <w:tcW w:w="80" w:type="dxa"/>
            <w:vAlign w:val="bottom"/>
          </w:tcPr>
          <w:p>
            <w:pPr>
              <w:spacing w:after="0"/>
              <w:rPr>
                <w:sz w:val="7"/>
                <w:szCs w:val="7"/>
                <w:color w:val="auto"/>
              </w:rPr>
            </w:pPr>
          </w:p>
        </w:tc>
        <w:tc>
          <w:tcPr>
            <w:tcW w:w="92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7"/>
              </w:rPr>
              <w:t>Continuation</w:t>
            </w:r>
          </w:p>
        </w:tc>
        <w:tc>
          <w:tcPr>
            <w:tcW w:w="80" w:type="dxa"/>
            <w:vAlign w:val="bottom"/>
          </w:tcPr>
          <w:p>
            <w:pPr>
              <w:spacing w:after="0"/>
              <w:rPr>
                <w:sz w:val="7"/>
                <w:szCs w:val="7"/>
                <w:color w:val="auto"/>
              </w:rPr>
            </w:pPr>
          </w:p>
        </w:tc>
        <w:tc>
          <w:tcPr>
            <w:tcW w:w="84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88"/>
              </w:rPr>
              <w:t>Bonus</w:t>
            </w:r>
          </w:p>
        </w:tc>
        <w:tc>
          <w:tcPr>
            <w:tcW w:w="80" w:type="dxa"/>
            <w:vAlign w:val="bottom"/>
          </w:tcPr>
          <w:p>
            <w:pPr>
              <w:spacing w:after="0"/>
              <w:rPr>
                <w:sz w:val="7"/>
                <w:szCs w:val="7"/>
                <w:color w:val="auto"/>
              </w:rPr>
            </w:pPr>
          </w:p>
        </w:tc>
        <w:tc>
          <w:tcPr>
            <w:tcW w:w="94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9"/>
              </w:rPr>
              <w:t>Options</w:t>
            </w:r>
          </w:p>
        </w:tc>
        <w:tc>
          <w:tcPr>
            <w:tcW w:w="80" w:type="dxa"/>
            <w:vAlign w:val="bottom"/>
          </w:tcPr>
          <w:p>
            <w:pPr>
              <w:spacing w:after="0"/>
              <w:rPr>
                <w:sz w:val="7"/>
                <w:szCs w:val="7"/>
                <w:color w:val="auto"/>
              </w:rPr>
            </w:pPr>
          </w:p>
        </w:tc>
        <w:tc>
          <w:tcPr>
            <w:tcW w:w="90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3"/>
              </w:rPr>
              <w:t>RSUs</w:t>
            </w:r>
          </w:p>
        </w:tc>
        <w:tc>
          <w:tcPr>
            <w:tcW w:w="80" w:type="dxa"/>
            <w:vAlign w:val="bottom"/>
          </w:tcPr>
          <w:p>
            <w:pPr>
              <w:spacing w:after="0"/>
              <w:rPr>
                <w:sz w:val="7"/>
                <w:szCs w:val="7"/>
                <w:color w:val="auto"/>
              </w:rPr>
            </w:pPr>
          </w:p>
        </w:tc>
        <w:tc>
          <w:tcPr>
            <w:tcW w:w="80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5"/>
              </w:rPr>
              <w:t>Contributions</w:t>
            </w:r>
          </w:p>
        </w:tc>
        <w:tc>
          <w:tcPr>
            <w:tcW w:w="100" w:type="dxa"/>
            <w:vAlign w:val="bottom"/>
          </w:tcPr>
          <w:p>
            <w:pPr>
              <w:spacing w:after="0"/>
              <w:rPr>
                <w:sz w:val="7"/>
                <w:szCs w:val="7"/>
                <w:color w:val="auto"/>
              </w:rPr>
            </w:pPr>
          </w:p>
        </w:tc>
        <w:tc>
          <w:tcPr>
            <w:tcW w:w="82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7"/>
              </w:rPr>
              <w:t>Continuation</w:t>
            </w:r>
          </w:p>
        </w:tc>
        <w:tc>
          <w:tcPr>
            <w:tcW w:w="80" w:type="dxa"/>
            <w:vAlign w:val="bottom"/>
          </w:tcPr>
          <w:p>
            <w:pPr>
              <w:spacing w:after="0"/>
              <w:rPr>
                <w:sz w:val="7"/>
                <w:szCs w:val="7"/>
                <w:color w:val="auto"/>
              </w:rPr>
            </w:pPr>
          </w:p>
        </w:tc>
        <w:tc>
          <w:tcPr>
            <w:tcW w:w="880" w:type="dxa"/>
            <w:vAlign w:val="bottom"/>
          </w:tcPr>
          <w:p>
            <w:pPr>
              <w:jc w:val="right"/>
              <w:ind w:right="313"/>
              <w:spacing w:after="0" w:line="90" w:lineRule="exact"/>
              <w:rPr>
                <w:sz w:val="20"/>
                <w:szCs w:val="20"/>
                <w:color w:val="auto"/>
              </w:rPr>
            </w:pPr>
            <w:r>
              <w:rPr>
                <w:rFonts w:ascii="Arial" w:cs="Arial" w:eastAsia="Arial" w:hAnsi="Arial"/>
                <w:sz w:val="8"/>
                <w:szCs w:val="8"/>
                <w:b w:val="1"/>
                <w:bCs w:val="1"/>
                <w:color w:val="auto"/>
              </w:rPr>
              <w:t>Total</w:t>
            </w:r>
          </w:p>
        </w:tc>
        <w:tc>
          <w:tcPr>
            <w:tcW w:w="0" w:type="dxa"/>
            <w:vAlign w:val="bottom"/>
          </w:tcPr>
          <w:p>
            <w:pPr>
              <w:spacing w:after="0"/>
              <w:rPr>
                <w:sz w:val="1"/>
                <w:szCs w:val="1"/>
                <w:color w:val="auto"/>
              </w:rPr>
            </w:pPr>
          </w:p>
        </w:tc>
      </w:tr>
      <w:tr>
        <w:trPr>
          <w:trHeight w:val="101"/>
        </w:trPr>
        <w:tc>
          <w:tcPr>
            <w:tcW w:w="2300" w:type="dxa"/>
            <w:vAlign w:val="bottom"/>
            <w:gridSpan w:val="2"/>
          </w:tcPr>
          <w:p>
            <w:pPr>
              <w:spacing w:after="0"/>
              <w:rPr>
                <w:sz w:val="20"/>
                <w:szCs w:val="20"/>
                <w:color w:val="auto"/>
              </w:rPr>
            </w:pPr>
            <w:r>
              <w:rPr>
                <w:rFonts w:ascii="Arial" w:cs="Arial" w:eastAsia="Arial" w:hAnsi="Arial"/>
                <w:sz w:val="8"/>
                <w:szCs w:val="8"/>
                <w:b w:val="1"/>
                <w:bCs w:val="1"/>
                <w:color w:val="auto"/>
              </w:rPr>
              <w:t>Name</w:t>
            </w:r>
          </w:p>
        </w:tc>
        <w:tc>
          <w:tcPr>
            <w:tcW w:w="1020" w:type="dxa"/>
            <w:vAlign w:val="bottom"/>
            <w:gridSpan w:val="2"/>
          </w:tcPr>
          <w:p>
            <w:pPr>
              <w:jc w:val="center"/>
              <w:ind w:left="33"/>
              <w:spacing w:after="0"/>
              <w:rPr>
                <w:sz w:val="20"/>
                <w:szCs w:val="20"/>
                <w:color w:val="auto"/>
              </w:rPr>
            </w:pPr>
            <w:r>
              <w:rPr>
                <w:rFonts w:ascii="Arial" w:cs="Arial" w:eastAsia="Arial" w:hAnsi="Arial"/>
                <w:sz w:val="8"/>
                <w:szCs w:val="8"/>
                <w:b w:val="1"/>
                <w:bCs w:val="1"/>
                <w:color w:val="auto"/>
              </w:rPr>
              <w:t>($)</w:t>
            </w:r>
          </w:p>
        </w:tc>
        <w:tc>
          <w:tcPr>
            <w:tcW w:w="1000" w:type="dxa"/>
            <w:vAlign w:val="bottom"/>
            <w:gridSpan w:val="2"/>
          </w:tcPr>
          <w:p>
            <w:pPr>
              <w:jc w:val="center"/>
              <w:ind w:left="13"/>
              <w:spacing w:after="0"/>
              <w:rPr>
                <w:sz w:val="20"/>
                <w:szCs w:val="20"/>
                <w:color w:val="auto"/>
              </w:rPr>
            </w:pPr>
            <w:r>
              <w:rPr>
                <w:rFonts w:ascii="Arial" w:cs="Arial" w:eastAsia="Arial" w:hAnsi="Arial"/>
                <w:sz w:val="8"/>
                <w:szCs w:val="8"/>
                <w:b w:val="1"/>
                <w:bCs w:val="1"/>
                <w:color w:val="auto"/>
              </w:rPr>
              <w:t>($)</w:t>
            </w:r>
          </w:p>
        </w:tc>
        <w:tc>
          <w:tcPr>
            <w:tcW w:w="920" w:type="dxa"/>
            <w:vAlign w:val="bottom"/>
            <w:gridSpan w:val="2"/>
          </w:tcPr>
          <w:p>
            <w:pPr>
              <w:jc w:val="center"/>
              <w:ind w:left="13"/>
              <w:spacing w:after="0"/>
              <w:rPr>
                <w:sz w:val="20"/>
                <w:szCs w:val="20"/>
                <w:color w:val="auto"/>
              </w:rPr>
            </w:pPr>
            <w:r>
              <w:rPr>
                <w:rFonts w:ascii="Arial" w:cs="Arial" w:eastAsia="Arial" w:hAnsi="Arial"/>
                <w:sz w:val="8"/>
                <w:szCs w:val="8"/>
                <w:b w:val="1"/>
                <w:bCs w:val="1"/>
                <w:color w:val="auto"/>
              </w:rPr>
              <w:t>($)</w:t>
            </w:r>
          </w:p>
        </w:tc>
        <w:tc>
          <w:tcPr>
            <w:tcW w:w="1020" w:type="dxa"/>
            <w:vAlign w:val="bottom"/>
            <w:gridSpan w:val="2"/>
          </w:tcPr>
          <w:p>
            <w:pPr>
              <w:jc w:val="center"/>
              <w:ind w:left="33"/>
              <w:spacing w:after="0"/>
              <w:rPr>
                <w:sz w:val="20"/>
                <w:szCs w:val="20"/>
                <w:color w:val="auto"/>
              </w:rPr>
            </w:pPr>
            <w:r>
              <w:rPr>
                <w:rFonts w:ascii="Arial" w:cs="Arial" w:eastAsia="Arial" w:hAnsi="Arial"/>
                <w:sz w:val="8"/>
                <w:szCs w:val="8"/>
                <w:b w:val="1"/>
                <w:bCs w:val="1"/>
                <w:color w:val="auto"/>
                <w:w w:val="97"/>
              </w:rPr>
              <w:t>($)</w:t>
            </w:r>
            <w:r>
              <w:rPr>
                <w:rFonts w:ascii="Arial" w:cs="Arial" w:eastAsia="Arial" w:hAnsi="Arial"/>
                <w:sz w:val="7"/>
                <w:szCs w:val="7"/>
                <w:b w:val="1"/>
                <w:bCs w:val="1"/>
                <w:color w:val="auto"/>
                <w:w w:val="97"/>
              </w:rPr>
              <w:t>(1)</w:t>
            </w:r>
          </w:p>
        </w:tc>
        <w:tc>
          <w:tcPr>
            <w:tcW w:w="980" w:type="dxa"/>
            <w:vAlign w:val="bottom"/>
            <w:gridSpan w:val="2"/>
          </w:tcPr>
          <w:p>
            <w:pPr>
              <w:jc w:val="center"/>
              <w:ind w:left="33"/>
              <w:spacing w:after="0"/>
              <w:rPr>
                <w:sz w:val="20"/>
                <w:szCs w:val="20"/>
                <w:color w:val="auto"/>
              </w:rPr>
            </w:pPr>
            <w:r>
              <w:rPr>
                <w:rFonts w:ascii="Arial" w:cs="Arial" w:eastAsia="Arial" w:hAnsi="Arial"/>
                <w:sz w:val="8"/>
                <w:szCs w:val="8"/>
                <w:b w:val="1"/>
                <w:bCs w:val="1"/>
                <w:color w:val="auto"/>
                <w:w w:val="97"/>
              </w:rPr>
              <w:t>($)</w:t>
            </w:r>
            <w:r>
              <w:rPr>
                <w:rFonts w:ascii="Arial" w:cs="Arial" w:eastAsia="Arial" w:hAnsi="Arial"/>
                <w:sz w:val="7"/>
                <w:szCs w:val="7"/>
                <w:b w:val="1"/>
                <w:bCs w:val="1"/>
                <w:color w:val="auto"/>
                <w:w w:val="97"/>
              </w:rPr>
              <w:t>(1)</w:t>
            </w:r>
          </w:p>
        </w:tc>
        <w:tc>
          <w:tcPr>
            <w:tcW w:w="880" w:type="dxa"/>
            <w:vAlign w:val="bottom"/>
            <w:gridSpan w:val="2"/>
          </w:tcPr>
          <w:p>
            <w:pPr>
              <w:jc w:val="center"/>
              <w:ind w:left="58"/>
              <w:spacing w:after="0"/>
              <w:rPr>
                <w:sz w:val="20"/>
                <w:szCs w:val="20"/>
                <w:color w:val="auto"/>
              </w:rPr>
            </w:pPr>
            <w:r>
              <w:rPr>
                <w:rFonts w:ascii="Arial" w:cs="Arial" w:eastAsia="Arial" w:hAnsi="Arial"/>
                <w:sz w:val="8"/>
                <w:szCs w:val="8"/>
                <w:b w:val="1"/>
                <w:bCs w:val="1"/>
                <w:color w:val="auto"/>
              </w:rPr>
              <w:t>($)</w:t>
            </w:r>
          </w:p>
        </w:tc>
        <w:tc>
          <w:tcPr>
            <w:tcW w:w="920" w:type="dxa"/>
            <w:vAlign w:val="bottom"/>
            <w:gridSpan w:val="2"/>
          </w:tcPr>
          <w:p>
            <w:pPr>
              <w:jc w:val="center"/>
              <w:ind w:left="13"/>
              <w:spacing w:after="0"/>
              <w:rPr>
                <w:sz w:val="20"/>
                <w:szCs w:val="20"/>
                <w:color w:val="auto"/>
              </w:rPr>
            </w:pPr>
            <w:r>
              <w:rPr>
                <w:rFonts w:ascii="Arial" w:cs="Arial" w:eastAsia="Arial" w:hAnsi="Arial"/>
                <w:sz w:val="8"/>
                <w:szCs w:val="8"/>
                <w:b w:val="1"/>
                <w:bCs w:val="1"/>
                <w:color w:val="auto"/>
              </w:rPr>
              <w:t>($)</w:t>
            </w:r>
          </w:p>
        </w:tc>
        <w:tc>
          <w:tcPr>
            <w:tcW w:w="960" w:type="dxa"/>
            <w:vAlign w:val="bottom"/>
            <w:gridSpan w:val="2"/>
          </w:tcPr>
          <w:p>
            <w:pPr>
              <w:jc w:val="right"/>
              <w:ind w:right="353"/>
              <w:spacing w:after="0"/>
              <w:rPr>
                <w:sz w:val="20"/>
                <w:szCs w:val="20"/>
                <w:color w:val="auto"/>
              </w:rPr>
            </w:pPr>
            <w:r>
              <w:rPr>
                <w:rFonts w:ascii="Arial" w:cs="Arial" w:eastAsia="Arial" w:hAnsi="Arial"/>
                <w:sz w:val="8"/>
                <w:szCs w:val="8"/>
                <w:b w:val="1"/>
                <w:bCs w:val="1"/>
                <w:color w:val="auto"/>
              </w:rPr>
              <w:t>($)</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22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7"/>
        </w:trPr>
        <w:tc>
          <w:tcPr>
            <w:tcW w:w="20" w:type="dxa"/>
            <w:vAlign w:val="bottom"/>
            <w:vMerge w:val="continue"/>
          </w:tcPr>
          <w:p>
            <w:pPr>
              <w:spacing w:after="0"/>
              <w:rPr>
                <w:sz w:val="7"/>
                <w:szCs w:val="7"/>
                <w:color w:val="auto"/>
              </w:rPr>
            </w:pPr>
          </w:p>
        </w:tc>
        <w:tc>
          <w:tcPr>
            <w:tcW w:w="2280" w:type="dxa"/>
            <w:vAlign w:val="bottom"/>
            <w:shd w:val="clear" w:color="auto" w:fill="CCEEFF"/>
          </w:tcPr>
          <w:p>
            <w:pPr>
              <w:spacing w:after="0" w:line="87" w:lineRule="exact"/>
              <w:rPr>
                <w:sz w:val="20"/>
                <w:szCs w:val="20"/>
                <w:color w:val="auto"/>
              </w:rPr>
            </w:pPr>
            <w:r>
              <w:rPr>
                <w:rFonts w:ascii="Arial" w:cs="Arial" w:eastAsia="Arial" w:hAnsi="Arial"/>
                <w:sz w:val="10"/>
                <w:szCs w:val="10"/>
                <w:b w:val="1"/>
                <w:bCs w:val="1"/>
                <w:color w:val="auto"/>
              </w:rPr>
              <w:t>Stephen B. Burke</w:t>
            </w:r>
          </w:p>
        </w:tc>
        <w:tc>
          <w:tcPr>
            <w:tcW w:w="8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280" w:type="dxa"/>
            <w:vAlign w:val="bottom"/>
            <w:shd w:val="clear" w:color="auto" w:fill="CCEEFF"/>
          </w:tcPr>
          <w:p>
            <w:pPr>
              <w:ind w:left="80"/>
              <w:spacing w:after="0" w:line="99" w:lineRule="exact"/>
              <w:rPr>
                <w:sz w:val="20"/>
                <w:szCs w:val="20"/>
                <w:color w:val="auto"/>
              </w:rPr>
            </w:pPr>
            <w:r>
              <w:rPr>
                <w:rFonts w:ascii="Arial" w:cs="Arial" w:eastAsia="Arial" w:hAnsi="Arial"/>
                <w:sz w:val="10"/>
                <w:szCs w:val="10"/>
                <w:color w:val="auto"/>
              </w:rPr>
              <w:t>Without Cause/With Good</w:t>
            </w:r>
          </w:p>
        </w:tc>
        <w:tc>
          <w:tcPr>
            <w:tcW w:w="8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280" w:type="dxa"/>
            <w:vAlign w:val="bottom"/>
            <w:shd w:val="clear" w:color="auto" w:fill="CCEEFF"/>
          </w:tcPr>
          <w:p>
            <w:pPr>
              <w:ind w:left="80"/>
              <w:spacing w:after="0" w:line="99" w:lineRule="exact"/>
              <w:rPr>
                <w:sz w:val="20"/>
                <w:szCs w:val="20"/>
                <w:color w:val="auto"/>
              </w:rPr>
            </w:pPr>
            <w:r>
              <w:rPr>
                <w:rFonts w:ascii="Arial" w:cs="Arial" w:eastAsia="Arial" w:hAnsi="Arial"/>
                <w:sz w:val="10"/>
                <w:szCs w:val="10"/>
                <w:color w:val="auto"/>
              </w:rPr>
              <w:t>Reason</w:t>
            </w:r>
            <w:r>
              <w:rPr>
                <w:rFonts w:ascii="Arial" w:cs="Arial" w:eastAsia="Arial" w:hAnsi="Arial"/>
                <w:sz w:val="8"/>
                <w:szCs w:val="8"/>
                <w:color w:val="auto"/>
              </w:rPr>
              <w:t>(7)</w:t>
            </w:r>
          </w:p>
        </w:tc>
        <w:tc>
          <w:tcPr>
            <w:tcW w:w="80" w:type="dxa"/>
            <w:vAlign w:val="bottom"/>
            <w:shd w:val="clear" w:color="auto" w:fill="CCEEFF"/>
          </w:tcPr>
          <w:p>
            <w:pPr>
              <w:spacing w:after="0"/>
              <w:rPr>
                <w:sz w:val="8"/>
                <w:szCs w:val="8"/>
                <w:color w:val="auto"/>
              </w:rPr>
            </w:pPr>
          </w:p>
        </w:tc>
        <w:tc>
          <w:tcPr>
            <w:tcW w:w="940" w:type="dxa"/>
            <w:vAlign w:val="bottom"/>
            <w:shd w:val="clear" w:color="auto" w:fill="CCEEFF"/>
          </w:tcPr>
          <w:p>
            <w:pPr>
              <w:jc w:val="right"/>
              <w:ind w:right="233"/>
              <w:spacing w:after="0" w:line="99" w:lineRule="exact"/>
              <w:rPr>
                <w:sz w:val="20"/>
                <w:szCs w:val="20"/>
                <w:color w:val="auto"/>
              </w:rPr>
            </w:pPr>
            <w:r>
              <w:rPr>
                <w:rFonts w:ascii="Arial" w:cs="Arial" w:eastAsia="Arial" w:hAnsi="Arial"/>
                <w:sz w:val="10"/>
                <w:szCs w:val="10"/>
                <w:color w:val="auto"/>
              </w:rPr>
              <w:t>4,486,528</w:t>
            </w:r>
          </w:p>
        </w:tc>
        <w:tc>
          <w:tcPr>
            <w:tcW w:w="1000" w:type="dxa"/>
            <w:vAlign w:val="bottom"/>
            <w:gridSpan w:val="2"/>
            <w:shd w:val="clear" w:color="auto" w:fill="CCEEFF"/>
          </w:tcPr>
          <w:p>
            <w:pPr>
              <w:jc w:val="right"/>
              <w:ind w:right="233"/>
              <w:spacing w:after="0" w:line="99" w:lineRule="exact"/>
              <w:rPr>
                <w:sz w:val="20"/>
                <w:szCs w:val="20"/>
                <w:color w:val="auto"/>
              </w:rPr>
            </w:pPr>
            <w:r>
              <w:rPr>
                <w:rFonts w:ascii="Arial" w:cs="Arial" w:eastAsia="Arial" w:hAnsi="Arial"/>
                <w:sz w:val="10"/>
                <w:szCs w:val="10"/>
                <w:color w:val="auto"/>
              </w:rPr>
              <w:t>6,729,792</w:t>
            </w:r>
          </w:p>
        </w:tc>
        <w:tc>
          <w:tcPr>
            <w:tcW w:w="920" w:type="dxa"/>
            <w:vAlign w:val="bottom"/>
            <w:gridSpan w:val="2"/>
            <w:shd w:val="clear" w:color="auto" w:fill="CCEEFF"/>
          </w:tcPr>
          <w:p>
            <w:pPr>
              <w:jc w:val="right"/>
              <w:ind w:right="174"/>
              <w:spacing w:after="0" w:line="99" w:lineRule="exact"/>
              <w:rPr>
                <w:sz w:val="20"/>
                <w:szCs w:val="20"/>
                <w:color w:val="auto"/>
              </w:rPr>
            </w:pPr>
            <w:r>
              <w:rPr>
                <w:rFonts w:ascii="Arial" w:cs="Arial" w:eastAsia="Arial" w:hAnsi="Arial"/>
                <w:sz w:val="10"/>
                <w:szCs w:val="10"/>
                <w:color w:val="auto"/>
              </w:rPr>
              <w:t>6,729,792</w:t>
            </w:r>
          </w:p>
        </w:tc>
        <w:tc>
          <w:tcPr>
            <w:tcW w:w="1020" w:type="dxa"/>
            <w:vAlign w:val="bottom"/>
            <w:gridSpan w:val="2"/>
            <w:shd w:val="clear" w:color="auto" w:fill="CCEEFF"/>
          </w:tcPr>
          <w:p>
            <w:pPr>
              <w:jc w:val="right"/>
              <w:ind w:right="235"/>
              <w:spacing w:after="0" w:line="99" w:lineRule="exact"/>
              <w:rPr>
                <w:sz w:val="20"/>
                <w:szCs w:val="20"/>
                <w:color w:val="auto"/>
              </w:rPr>
            </w:pPr>
            <w:r>
              <w:rPr>
                <w:rFonts w:ascii="Arial" w:cs="Arial" w:eastAsia="Arial" w:hAnsi="Arial"/>
                <w:sz w:val="10"/>
                <w:szCs w:val="10"/>
                <w:color w:val="auto"/>
              </w:rPr>
              <w:t>3,282</w:t>
            </w:r>
          </w:p>
        </w:tc>
        <w:tc>
          <w:tcPr>
            <w:tcW w:w="980" w:type="dxa"/>
            <w:vAlign w:val="bottom"/>
            <w:gridSpan w:val="2"/>
            <w:shd w:val="clear" w:color="auto" w:fill="CCEEFF"/>
          </w:tcPr>
          <w:p>
            <w:pPr>
              <w:jc w:val="right"/>
              <w:ind w:right="94"/>
              <w:spacing w:after="0" w:line="99" w:lineRule="exact"/>
              <w:rPr>
                <w:sz w:val="20"/>
                <w:szCs w:val="20"/>
                <w:color w:val="auto"/>
              </w:rPr>
            </w:pPr>
            <w:r>
              <w:rPr>
                <w:rFonts w:ascii="Arial" w:cs="Arial" w:eastAsia="Arial" w:hAnsi="Arial"/>
                <w:sz w:val="10"/>
                <w:szCs w:val="10"/>
                <w:color w:val="auto"/>
              </w:rPr>
              <w:t>1,355,038</w:t>
            </w:r>
            <w:r>
              <w:rPr>
                <w:rFonts w:ascii="Arial" w:cs="Arial" w:eastAsia="Arial" w:hAnsi="Arial"/>
                <w:sz w:val="8"/>
                <w:szCs w:val="8"/>
                <w:color w:val="auto"/>
              </w:rPr>
              <w:t>(9)</w:t>
            </w:r>
          </w:p>
        </w:tc>
        <w:tc>
          <w:tcPr>
            <w:tcW w:w="80" w:type="dxa"/>
            <w:vAlign w:val="bottom"/>
            <w:shd w:val="clear" w:color="auto" w:fill="CCEEFF"/>
          </w:tcPr>
          <w:p>
            <w:pPr>
              <w:spacing w:after="0"/>
              <w:rPr>
                <w:sz w:val="8"/>
                <w:szCs w:val="8"/>
                <w:color w:val="auto"/>
              </w:rPr>
            </w:pPr>
          </w:p>
        </w:tc>
        <w:tc>
          <w:tcPr>
            <w:tcW w:w="800" w:type="dxa"/>
            <w:vAlign w:val="bottom"/>
            <w:shd w:val="clear" w:color="auto" w:fill="CCEEFF"/>
          </w:tcPr>
          <w:p>
            <w:pPr>
              <w:jc w:val="center"/>
              <w:spacing w:after="0" w:line="99" w:lineRule="exact"/>
              <w:rPr>
                <w:sz w:val="20"/>
                <w:szCs w:val="20"/>
                <w:color w:val="auto"/>
              </w:rPr>
            </w:pPr>
            <w:r>
              <w:rPr>
                <w:rFonts w:ascii="Arial" w:cs="Arial" w:eastAsia="Arial" w:hAnsi="Arial"/>
                <w:sz w:val="10"/>
                <w:szCs w:val="10"/>
                <w:color w:val="auto"/>
                <w:w w:val="99"/>
              </w:rPr>
              <w:t>—</w:t>
            </w:r>
          </w:p>
        </w:tc>
        <w:tc>
          <w:tcPr>
            <w:tcW w:w="920" w:type="dxa"/>
            <w:vAlign w:val="bottom"/>
            <w:gridSpan w:val="2"/>
            <w:shd w:val="clear" w:color="auto" w:fill="CCEEFF"/>
          </w:tcPr>
          <w:p>
            <w:pPr>
              <w:jc w:val="right"/>
              <w:ind w:right="253"/>
              <w:spacing w:after="0" w:line="99" w:lineRule="exact"/>
              <w:rPr>
                <w:sz w:val="20"/>
                <w:szCs w:val="20"/>
                <w:color w:val="auto"/>
              </w:rPr>
            </w:pPr>
            <w:r>
              <w:rPr>
                <w:rFonts w:ascii="Arial" w:cs="Arial" w:eastAsia="Arial" w:hAnsi="Arial"/>
                <w:sz w:val="10"/>
                <w:szCs w:val="10"/>
                <w:color w:val="auto"/>
              </w:rPr>
              <w:t>25,746</w:t>
            </w:r>
          </w:p>
        </w:tc>
        <w:tc>
          <w:tcPr>
            <w:tcW w:w="960" w:type="dxa"/>
            <w:vAlign w:val="bottom"/>
            <w:gridSpan w:val="2"/>
            <w:shd w:val="clear" w:color="auto" w:fill="CCEEFF"/>
          </w:tcPr>
          <w:p>
            <w:pPr>
              <w:jc w:val="right"/>
              <w:ind w:right="193"/>
              <w:spacing w:after="0" w:line="99" w:lineRule="exact"/>
              <w:rPr>
                <w:sz w:val="20"/>
                <w:szCs w:val="20"/>
                <w:color w:val="auto"/>
              </w:rPr>
            </w:pPr>
            <w:r>
              <w:rPr>
                <w:rFonts w:ascii="Arial" w:cs="Arial" w:eastAsia="Arial" w:hAnsi="Arial"/>
                <w:sz w:val="10"/>
                <w:szCs w:val="10"/>
                <w:color w:val="auto"/>
              </w:rPr>
              <w:t>19,330,178</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280" w:type="dxa"/>
            <w:vAlign w:val="bottom"/>
            <w:shd w:val="clear" w:color="auto" w:fill="CCEEFF"/>
          </w:tcPr>
          <w:p>
            <w:pPr>
              <w:ind w:left="80"/>
              <w:spacing w:after="0" w:line="99" w:lineRule="exact"/>
              <w:rPr>
                <w:sz w:val="20"/>
                <w:szCs w:val="20"/>
                <w:color w:val="auto"/>
              </w:rPr>
            </w:pPr>
            <w:r>
              <w:rPr>
                <w:rFonts w:ascii="Arial" w:cs="Arial" w:eastAsia="Arial" w:hAnsi="Arial"/>
                <w:sz w:val="10"/>
                <w:szCs w:val="10"/>
                <w:color w:val="auto"/>
              </w:rPr>
              <w:t>Death</w:t>
            </w:r>
            <w:r>
              <w:rPr>
                <w:rFonts w:ascii="Arial" w:cs="Arial" w:eastAsia="Arial" w:hAnsi="Arial"/>
                <w:sz w:val="8"/>
                <w:szCs w:val="8"/>
                <w:color w:val="auto"/>
              </w:rPr>
              <w:t>(8)</w:t>
            </w:r>
          </w:p>
        </w:tc>
        <w:tc>
          <w:tcPr>
            <w:tcW w:w="80" w:type="dxa"/>
            <w:vAlign w:val="bottom"/>
            <w:shd w:val="clear" w:color="auto" w:fill="CCEEFF"/>
          </w:tcPr>
          <w:p>
            <w:pPr>
              <w:spacing w:after="0"/>
              <w:rPr>
                <w:sz w:val="8"/>
                <w:szCs w:val="8"/>
                <w:color w:val="auto"/>
              </w:rPr>
            </w:pPr>
          </w:p>
        </w:tc>
        <w:tc>
          <w:tcPr>
            <w:tcW w:w="940" w:type="dxa"/>
            <w:vAlign w:val="bottom"/>
            <w:shd w:val="clear" w:color="auto" w:fill="CCEEFF"/>
          </w:tcPr>
          <w:p>
            <w:pPr>
              <w:jc w:val="right"/>
              <w:ind w:right="233"/>
              <w:spacing w:after="0" w:line="99" w:lineRule="exact"/>
              <w:rPr>
                <w:sz w:val="20"/>
                <w:szCs w:val="20"/>
                <w:color w:val="auto"/>
              </w:rPr>
            </w:pPr>
            <w:r>
              <w:rPr>
                <w:rFonts w:ascii="Arial" w:cs="Arial" w:eastAsia="Arial" w:hAnsi="Arial"/>
                <w:sz w:val="10"/>
                <w:szCs w:val="10"/>
                <w:color w:val="auto"/>
              </w:rPr>
              <w:t>560,816</w:t>
            </w:r>
          </w:p>
        </w:tc>
        <w:tc>
          <w:tcPr>
            <w:tcW w:w="80" w:type="dxa"/>
            <w:vAlign w:val="bottom"/>
            <w:shd w:val="clear" w:color="auto" w:fill="CCEEFF"/>
          </w:tcPr>
          <w:p>
            <w:pPr>
              <w:spacing w:after="0"/>
              <w:rPr>
                <w:sz w:val="8"/>
                <w:szCs w:val="8"/>
                <w:color w:val="auto"/>
              </w:rPr>
            </w:pPr>
          </w:p>
        </w:tc>
        <w:tc>
          <w:tcPr>
            <w:tcW w:w="920" w:type="dxa"/>
            <w:vAlign w:val="bottom"/>
            <w:shd w:val="clear" w:color="auto" w:fill="CCEEFF"/>
          </w:tcPr>
          <w:p>
            <w:pPr>
              <w:jc w:val="right"/>
              <w:ind w:right="233"/>
              <w:spacing w:after="0" w:line="99" w:lineRule="exact"/>
              <w:rPr>
                <w:sz w:val="20"/>
                <w:szCs w:val="20"/>
                <w:color w:val="auto"/>
              </w:rPr>
            </w:pPr>
            <w:r>
              <w:rPr>
                <w:rFonts w:ascii="Arial" w:cs="Arial" w:eastAsia="Arial" w:hAnsi="Arial"/>
                <w:sz w:val="10"/>
                <w:szCs w:val="10"/>
                <w:color w:val="auto"/>
              </w:rPr>
              <w:t>—</w:t>
            </w:r>
          </w:p>
        </w:tc>
        <w:tc>
          <w:tcPr>
            <w:tcW w:w="920" w:type="dxa"/>
            <w:vAlign w:val="bottom"/>
            <w:gridSpan w:val="2"/>
            <w:shd w:val="clear" w:color="auto" w:fill="CCEEFF"/>
          </w:tcPr>
          <w:p>
            <w:pPr>
              <w:jc w:val="right"/>
              <w:ind w:right="174"/>
              <w:spacing w:after="0" w:line="99" w:lineRule="exact"/>
              <w:rPr>
                <w:sz w:val="20"/>
                <w:szCs w:val="20"/>
                <w:color w:val="auto"/>
              </w:rPr>
            </w:pPr>
            <w:r>
              <w:rPr>
                <w:rFonts w:ascii="Arial" w:cs="Arial" w:eastAsia="Arial" w:hAnsi="Arial"/>
                <w:sz w:val="10"/>
                <w:szCs w:val="10"/>
                <w:color w:val="auto"/>
              </w:rPr>
              <w:t>6,729,792</w:t>
            </w:r>
          </w:p>
        </w:tc>
        <w:tc>
          <w:tcPr>
            <w:tcW w:w="1020" w:type="dxa"/>
            <w:vAlign w:val="bottom"/>
            <w:gridSpan w:val="2"/>
            <w:shd w:val="clear" w:color="auto" w:fill="CCEEFF"/>
          </w:tcPr>
          <w:p>
            <w:pPr>
              <w:jc w:val="right"/>
              <w:ind w:right="235"/>
              <w:spacing w:after="0" w:line="99" w:lineRule="exact"/>
              <w:rPr>
                <w:sz w:val="20"/>
                <w:szCs w:val="20"/>
                <w:color w:val="auto"/>
              </w:rPr>
            </w:pPr>
            <w:r>
              <w:rPr>
                <w:rFonts w:ascii="Arial" w:cs="Arial" w:eastAsia="Arial" w:hAnsi="Arial"/>
                <w:sz w:val="10"/>
                <w:szCs w:val="10"/>
                <w:color w:val="auto"/>
              </w:rPr>
              <w:t>2,144,247</w:t>
            </w:r>
          </w:p>
        </w:tc>
        <w:tc>
          <w:tcPr>
            <w:tcW w:w="980" w:type="dxa"/>
            <w:vAlign w:val="bottom"/>
            <w:gridSpan w:val="2"/>
            <w:shd w:val="clear" w:color="auto" w:fill="CCEEFF"/>
          </w:tcPr>
          <w:p>
            <w:pPr>
              <w:jc w:val="right"/>
              <w:ind w:right="194"/>
              <w:spacing w:after="0" w:line="99" w:lineRule="exact"/>
              <w:rPr>
                <w:sz w:val="20"/>
                <w:szCs w:val="20"/>
                <w:color w:val="auto"/>
              </w:rPr>
            </w:pPr>
            <w:r>
              <w:rPr>
                <w:rFonts w:ascii="Arial" w:cs="Arial" w:eastAsia="Arial" w:hAnsi="Arial"/>
                <w:sz w:val="10"/>
                <w:szCs w:val="10"/>
                <w:color w:val="auto"/>
              </w:rPr>
              <w:t>19,455,799</w:t>
            </w:r>
          </w:p>
        </w:tc>
        <w:tc>
          <w:tcPr>
            <w:tcW w:w="80" w:type="dxa"/>
            <w:vAlign w:val="bottom"/>
            <w:shd w:val="clear" w:color="auto" w:fill="CCEEFF"/>
          </w:tcPr>
          <w:p>
            <w:pPr>
              <w:spacing w:after="0"/>
              <w:rPr>
                <w:sz w:val="8"/>
                <w:szCs w:val="8"/>
                <w:color w:val="auto"/>
              </w:rPr>
            </w:pPr>
          </w:p>
        </w:tc>
        <w:tc>
          <w:tcPr>
            <w:tcW w:w="800" w:type="dxa"/>
            <w:vAlign w:val="bottom"/>
            <w:shd w:val="clear" w:color="auto" w:fill="CCEEFF"/>
          </w:tcPr>
          <w:p>
            <w:pPr>
              <w:jc w:val="center"/>
              <w:spacing w:after="0" w:line="99" w:lineRule="exact"/>
              <w:rPr>
                <w:sz w:val="20"/>
                <w:szCs w:val="20"/>
                <w:color w:val="auto"/>
              </w:rPr>
            </w:pPr>
            <w:r>
              <w:rPr>
                <w:rFonts w:ascii="Arial" w:cs="Arial" w:eastAsia="Arial" w:hAnsi="Arial"/>
                <w:sz w:val="10"/>
                <w:szCs w:val="10"/>
                <w:color w:val="auto"/>
                <w:w w:val="99"/>
              </w:rPr>
              <w:t>—</w:t>
            </w:r>
          </w:p>
        </w:tc>
        <w:tc>
          <w:tcPr>
            <w:tcW w:w="100" w:type="dxa"/>
            <w:vAlign w:val="bottom"/>
            <w:shd w:val="clear" w:color="auto" w:fill="CCEEFF"/>
          </w:tcPr>
          <w:p>
            <w:pPr>
              <w:spacing w:after="0"/>
              <w:rPr>
                <w:sz w:val="8"/>
                <w:szCs w:val="8"/>
                <w:color w:val="auto"/>
              </w:rPr>
            </w:pPr>
          </w:p>
        </w:tc>
        <w:tc>
          <w:tcPr>
            <w:tcW w:w="820" w:type="dxa"/>
            <w:vAlign w:val="bottom"/>
            <w:shd w:val="clear" w:color="auto" w:fill="CCEEFF"/>
          </w:tcPr>
          <w:p>
            <w:pPr>
              <w:jc w:val="right"/>
              <w:ind w:right="253"/>
              <w:spacing w:after="0" w:line="99" w:lineRule="exact"/>
              <w:rPr>
                <w:sz w:val="20"/>
                <w:szCs w:val="20"/>
                <w:color w:val="auto"/>
              </w:rPr>
            </w:pPr>
            <w:r>
              <w:rPr>
                <w:rFonts w:ascii="Arial" w:cs="Arial" w:eastAsia="Arial" w:hAnsi="Arial"/>
                <w:sz w:val="10"/>
                <w:szCs w:val="10"/>
                <w:color w:val="auto"/>
              </w:rPr>
              <w:t>—</w:t>
            </w:r>
          </w:p>
        </w:tc>
        <w:tc>
          <w:tcPr>
            <w:tcW w:w="960" w:type="dxa"/>
            <w:vAlign w:val="bottom"/>
            <w:gridSpan w:val="2"/>
            <w:shd w:val="clear" w:color="auto" w:fill="CCEEFF"/>
          </w:tcPr>
          <w:p>
            <w:pPr>
              <w:jc w:val="right"/>
              <w:ind w:right="193"/>
              <w:spacing w:after="0" w:line="99" w:lineRule="exact"/>
              <w:rPr>
                <w:sz w:val="20"/>
                <w:szCs w:val="20"/>
                <w:color w:val="auto"/>
              </w:rPr>
            </w:pPr>
            <w:r>
              <w:rPr>
                <w:rFonts w:ascii="Arial" w:cs="Arial" w:eastAsia="Arial" w:hAnsi="Arial"/>
                <w:sz w:val="10"/>
                <w:szCs w:val="10"/>
                <w:color w:val="auto"/>
              </w:rPr>
              <w:t>28,890,654</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280" w:type="dxa"/>
            <w:vAlign w:val="bottom"/>
            <w:shd w:val="clear" w:color="auto" w:fill="CCEEFF"/>
          </w:tcPr>
          <w:p>
            <w:pPr>
              <w:ind w:left="80"/>
              <w:spacing w:after="0" w:line="99" w:lineRule="exact"/>
              <w:rPr>
                <w:sz w:val="20"/>
                <w:szCs w:val="20"/>
                <w:color w:val="auto"/>
              </w:rPr>
            </w:pPr>
            <w:r>
              <w:rPr>
                <w:rFonts w:ascii="Arial" w:cs="Arial" w:eastAsia="Arial" w:hAnsi="Arial"/>
                <w:sz w:val="10"/>
                <w:szCs w:val="10"/>
                <w:color w:val="auto"/>
              </w:rPr>
              <w:t>Disability</w:t>
            </w:r>
            <w:r>
              <w:rPr>
                <w:rFonts w:ascii="Arial" w:cs="Arial" w:eastAsia="Arial" w:hAnsi="Arial"/>
                <w:sz w:val="8"/>
                <w:szCs w:val="8"/>
                <w:color w:val="auto"/>
              </w:rPr>
              <w:t>(8)</w:t>
            </w:r>
          </w:p>
        </w:tc>
        <w:tc>
          <w:tcPr>
            <w:tcW w:w="80" w:type="dxa"/>
            <w:vAlign w:val="bottom"/>
            <w:shd w:val="clear" w:color="auto" w:fill="CCEEFF"/>
          </w:tcPr>
          <w:p>
            <w:pPr>
              <w:spacing w:after="0"/>
              <w:rPr>
                <w:sz w:val="8"/>
                <w:szCs w:val="8"/>
                <w:color w:val="auto"/>
              </w:rPr>
            </w:pPr>
          </w:p>
        </w:tc>
        <w:tc>
          <w:tcPr>
            <w:tcW w:w="940" w:type="dxa"/>
            <w:vAlign w:val="bottom"/>
            <w:shd w:val="clear" w:color="auto" w:fill="CCEEFF"/>
          </w:tcPr>
          <w:p>
            <w:pPr>
              <w:jc w:val="right"/>
              <w:ind w:right="233"/>
              <w:spacing w:after="0" w:line="99" w:lineRule="exact"/>
              <w:rPr>
                <w:sz w:val="20"/>
                <w:szCs w:val="20"/>
                <w:color w:val="auto"/>
              </w:rPr>
            </w:pPr>
            <w:r>
              <w:rPr>
                <w:rFonts w:ascii="Arial" w:cs="Arial" w:eastAsia="Arial" w:hAnsi="Arial"/>
                <w:sz w:val="10"/>
                <w:szCs w:val="10"/>
                <w:color w:val="auto"/>
              </w:rPr>
              <w:t>560,816</w:t>
            </w:r>
          </w:p>
        </w:tc>
        <w:tc>
          <w:tcPr>
            <w:tcW w:w="80" w:type="dxa"/>
            <w:vAlign w:val="bottom"/>
            <w:shd w:val="clear" w:color="auto" w:fill="CCEEFF"/>
          </w:tcPr>
          <w:p>
            <w:pPr>
              <w:spacing w:after="0"/>
              <w:rPr>
                <w:sz w:val="8"/>
                <w:szCs w:val="8"/>
                <w:color w:val="auto"/>
              </w:rPr>
            </w:pPr>
          </w:p>
        </w:tc>
        <w:tc>
          <w:tcPr>
            <w:tcW w:w="920" w:type="dxa"/>
            <w:vAlign w:val="bottom"/>
            <w:shd w:val="clear" w:color="auto" w:fill="CCEEFF"/>
          </w:tcPr>
          <w:p>
            <w:pPr>
              <w:jc w:val="right"/>
              <w:ind w:right="233"/>
              <w:spacing w:after="0" w:line="99" w:lineRule="exact"/>
              <w:rPr>
                <w:sz w:val="20"/>
                <w:szCs w:val="20"/>
                <w:color w:val="auto"/>
              </w:rPr>
            </w:pPr>
            <w:r>
              <w:rPr>
                <w:rFonts w:ascii="Arial" w:cs="Arial" w:eastAsia="Arial" w:hAnsi="Arial"/>
                <w:sz w:val="10"/>
                <w:szCs w:val="10"/>
                <w:color w:val="auto"/>
              </w:rPr>
              <w:t>—</w:t>
            </w:r>
          </w:p>
        </w:tc>
        <w:tc>
          <w:tcPr>
            <w:tcW w:w="920" w:type="dxa"/>
            <w:vAlign w:val="bottom"/>
            <w:gridSpan w:val="2"/>
            <w:shd w:val="clear" w:color="auto" w:fill="CCEEFF"/>
          </w:tcPr>
          <w:p>
            <w:pPr>
              <w:jc w:val="right"/>
              <w:ind w:right="174"/>
              <w:spacing w:after="0" w:line="99" w:lineRule="exact"/>
              <w:rPr>
                <w:sz w:val="20"/>
                <w:szCs w:val="20"/>
                <w:color w:val="auto"/>
              </w:rPr>
            </w:pPr>
            <w:r>
              <w:rPr>
                <w:rFonts w:ascii="Arial" w:cs="Arial" w:eastAsia="Arial" w:hAnsi="Arial"/>
                <w:sz w:val="10"/>
                <w:szCs w:val="10"/>
                <w:color w:val="auto"/>
              </w:rPr>
              <w:t>6,729,792</w:t>
            </w:r>
          </w:p>
        </w:tc>
        <w:tc>
          <w:tcPr>
            <w:tcW w:w="1020" w:type="dxa"/>
            <w:vAlign w:val="bottom"/>
            <w:gridSpan w:val="2"/>
            <w:shd w:val="clear" w:color="auto" w:fill="CCEEFF"/>
          </w:tcPr>
          <w:p>
            <w:pPr>
              <w:jc w:val="right"/>
              <w:ind w:right="235"/>
              <w:spacing w:after="0" w:line="99" w:lineRule="exact"/>
              <w:rPr>
                <w:sz w:val="20"/>
                <w:szCs w:val="20"/>
                <w:color w:val="auto"/>
              </w:rPr>
            </w:pPr>
            <w:r>
              <w:rPr>
                <w:rFonts w:ascii="Arial" w:cs="Arial" w:eastAsia="Arial" w:hAnsi="Arial"/>
                <w:sz w:val="10"/>
                <w:szCs w:val="10"/>
                <w:color w:val="auto"/>
              </w:rPr>
              <w:t>2,144,247</w:t>
            </w:r>
          </w:p>
        </w:tc>
        <w:tc>
          <w:tcPr>
            <w:tcW w:w="980" w:type="dxa"/>
            <w:vAlign w:val="bottom"/>
            <w:gridSpan w:val="2"/>
            <w:shd w:val="clear" w:color="auto" w:fill="CCEEFF"/>
          </w:tcPr>
          <w:p>
            <w:pPr>
              <w:jc w:val="right"/>
              <w:ind w:right="194"/>
              <w:spacing w:after="0" w:line="99" w:lineRule="exact"/>
              <w:rPr>
                <w:sz w:val="20"/>
                <w:szCs w:val="20"/>
                <w:color w:val="auto"/>
              </w:rPr>
            </w:pPr>
            <w:r>
              <w:rPr>
                <w:rFonts w:ascii="Arial" w:cs="Arial" w:eastAsia="Arial" w:hAnsi="Arial"/>
                <w:sz w:val="10"/>
                <w:szCs w:val="10"/>
                <w:color w:val="auto"/>
              </w:rPr>
              <w:t>19,455,799</w:t>
            </w:r>
          </w:p>
        </w:tc>
        <w:tc>
          <w:tcPr>
            <w:tcW w:w="80" w:type="dxa"/>
            <w:vAlign w:val="bottom"/>
            <w:shd w:val="clear" w:color="auto" w:fill="CCEEFF"/>
          </w:tcPr>
          <w:p>
            <w:pPr>
              <w:spacing w:after="0"/>
              <w:rPr>
                <w:sz w:val="8"/>
                <w:szCs w:val="8"/>
                <w:color w:val="auto"/>
              </w:rPr>
            </w:pPr>
          </w:p>
        </w:tc>
        <w:tc>
          <w:tcPr>
            <w:tcW w:w="800" w:type="dxa"/>
            <w:vAlign w:val="bottom"/>
            <w:shd w:val="clear" w:color="auto" w:fill="CCEEFF"/>
          </w:tcPr>
          <w:p>
            <w:pPr>
              <w:jc w:val="center"/>
              <w:spacing w:after="0" w:line="99" w:lineRule="exact"/>
              <w:rPr>
                <w:sz w:val="20"/>
                <w:szCs w:val="20"/>
                <w:color w:val="auto"/>
              </w:rPr>
            </w:pPr>
            <w:r>
              <w:rPr>
                <w:rFonts w:ascii="Arial" w:cs="Arial" w:eastAsia="Arial" w:hAnsi="Arial"/>
                <w:sz w:val="10"/>
                <w:szCs w:val="10"/>
                <w:color w:val="auto"/>
                <w:w w:val="99"/>
              </w:rPr>
              <w:t>—</w:t>
            </w:r>
          </w:p>
        </w:tc>
        <w:tc>
          <w:tcPr>
            <w:tcW w:w="100" w:type="dxa"/>
            <w:vAlign w:val="bottom"/>
            <w:shd w:val="clear" w:color="auto" w:fill="CCEEFF"/>
          </w:tcPr>
          <w:p>
            <w:pPr>
              <w:spacing w:after="0"/>
              <w:rPr>
                <w:sz w:val="8"/>
                <w:szCs w:val="8"/>
                <w:color w:val="auto"/>
              </w:rPr>
            </w:pPr>
          </w:p>
        </w:tc>
        <w:tc>
          <w:tcPr>
            <w:tcW w:w="820" w:type="dxa"/>
            <w:vAlign w:val="bottom"/>
            <w:shd w:val="clear" w:color="auto" w:fill="CCEEFF"/>
          </w:tcPr>
          <w:p>
            <w:pPr>
              <w:jc w:val="right"/>
              <w:ind w:right="253"/>
              <w:spacing w:after="0" w:line="99" w:lineRule="exact"/>
              <w:rPr>
                <w:sz w:val="20"/>
                <w:szCs w:val="20"/>
                <w:color w:val="auto"/>
              </w:rPr>
            </w:pPr>
            <w:r>
              <w:rPr>
                <w:rFonts w:ascii="Arial" w:cs="Arial" w:eastAsia="Arial" w:hAnsi="Arial"/>
                <w:sz w:val="10"/>
                <w:szCs w:val="10"/>
                <w:color w:val="auto"/>
              </w:rPr>
              <w:t>—</w:t>
            </w:r>
          </w:p>
        </w:tc>
        <w:tc>
          <w:tcPr>
            <w:tcW w:w="960" w:type="dxa"/>
            <w:vAlign w:val="bottom"/>
            <w:gridSpan w:val="2"/>
            <w:shd w:val="clear" w:color="auto" w:fill="CCEEFF"/>
          </w:tcPr>
          <w:p>
            <w:pPr>
              <w:jc w:val="right"/>
              <w:ind w:right="193"/>
              <w:spacing w:after="0" w:line="99" w:lineRule="exact"/>
              <w:rPr>
                <w:sz w:val="20"/>
                <w:szCs w:val="20"/>
                <w:color w:val="auto"/>
              </w:rPr>
            </w:pPr>
            <w:r>
              <w:rPr>
                <w:rFonts w:ascii="Arial" w:cs="Arial" w:eastAsia="Arial" w:hAnsi="Arial"/>
                <w:sz w:val="10"/>
                <w:szCs w:val="10"/>
                <w:color w:val="auto"/>
              </w:rPr>
              <w:t>28,890,654</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280" w:type="dxa"/>
            <w:vAlign w:val="bottom"/>
            <w:shd w:val="clear" w:color="auto" w:fill="CCEEFF"/>
          </w:tcPr>
          <w:p>
            <w:pPr>
              <w:ind w:left="80"/>
              <w:spacing w:after="0" w:line="99" w:lineRule="exact"/>
              <w:rPr>
                <w:sz w:val="20"/>
                <w:szCs w:val="20"/>
                <w:color w:val="auto"/>
              </w:rPr>
            </w:pPr>
            <w:r>
              <w:rPr>
                <w:rFonts w:ascii="Arial" w:cs="Arial" w:eastAsia="Arial" w:hAnsi="Arial"/>
                <w:sz w:val="10"/>
                <w:szCs w:val="10"/>
                <w:color w:val="auto"/>
              </w:rPr>
              <w:t>Retirement</w:t>
            </w:r>
            <w:r>
              <w:rPr>
                <w:rFonts w:ascii="Arial" w:cs="Arial" w:eastAsia="Arial" w:hAnsi="Arial"/>
                <w:sz w:val="8"/>
                <w:szCs w:val="8"/>
                <w:color w:val="auto"/>
              </w:rPr>
              <w:t>(5)</w:t>
            </w:r>
          </w:p>
        </w:tc>
        <w:tc>
          <w:tcPr>
            <w:tcW w:w="80" w:type="dxa"/>
            <w:vAlign w:val="bottom"/>
            <w:shd w:val="clear" w:color="auto" w:fill="CCEEFF"/>
          </w:tcPr>
          <w:p>
            <w:pPr>
              <w:spacing w:after="0"/>
              <w:rPr>
                <w:sz w:val="8"/>
                <w:szCs w:val="8"/>
                <w:color w:val="auto"/>
              </w:rPr>
            </w:pPr>
          </w:p>
        </w:tc>
        <w:tc>
          <w:tcPr>
            <w:tcW w:w="940" w:type="dxa"/>
            <w:vAlign w:val="bottom"/>
            <w:shd w:val="clear" w:color="auto" w:fill="CCEEFF"/>
          </w:tcPr>
          <w:p>
            <w:pPr>
              <w:jc w:val="right"/>
              <w:ind w:right="233"/>
              <w:spacing w:after="0" w:line="99"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8"/>
                <w:szCs w:val="8"/>
                <w:color w:val="auto"/>
              </w:rPr>
            </w:pPr>
          </w:p>
        </w:tc>
        <w:tc>
          <w:tcPr>
            <w:tcW w:w="920" w:type="dxa"/>
            <w:vAlign w:val="bottom"/>
            <w:shd w:val="clear" w:color="auto" w:fill="CCEEFF"/>
          </w:tcPr>
          <w:p>
            <w:pPr>
              <w:jc w:val="right"/>
              <w:ind w:right="233"/>
              <w:spacing w:after="0" w:line="99"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8"/>
                <w:szCs w:val="8"/>
                <w:color w:val="auto"/>
              </w:rPr>
            </w:pPr>
          </w:p>
        </w:tc>
        <w:tc>
          <w:tcPr>
            <w:tcW w:w="840" w:type="dxa"/>
            <w:vAlign w:val="bottom"/>
            <w:shd w:val="clear" w:color="auto" w:fill="CCEEFF"/>
          </w:tcPr>
          <w:p>
            <w:pPr>
              <w:jc w:val="right"/>
              <w:ind w:right="174"/>
              <w:spacing w:after="0" w:line="99"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8"/>
                <w:szCs w:val="8"/>
                <w:color w:val="auto"/>
              </w:rPr>
            </w:pPr>
          </w:p>
        </w:tc>
        <w:tc>
          <w:tcPr>
            <w:tcW w:w="940" w:type="dxa"/>
            <w:vAlign w:val="bottom"/>
            <w:shd w:val="clear" w:color="auto" w:fill="CCEEFF"/>
          </w:tcPr>
          <w:p>
            <w:pPr>
              <w:jc w:val="right"/>
              <w:ind w:right="235"/>
              <w:spacing w:after="0" w:line="99"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8"/>
                <w:szCs w:val="8"/>
                <w:color w:val="auto"/>
              </w:rPr>
            </w:pPr>
          </w:p>
        </w:tc>
        <w:tc>
          <w:tcPr>
            <w:tcW w:w="900" w:type="dxa"/>
            <w:vAlign w:val="bottom"/>
            <w:shd w:val="clear" w:color="auto" w:fill="CCEEFF"/>
          </w:tcPr>
          <w:p>
            <w:pPr>
              <w:jc w:val="right"/>
              <w:ind w:right="194"/>
              <w:spacing w:after="0" w:line="99"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8"/>
                <w:szCs w:val="8"/>
                <w:color w:val="auto"/>
              </w:rPr>
            </w:pPr>
          </w:p>
        </w:tc>
        <w:tc>
          <w:tcPr>
            <w:tcW w:w="800" w:type="dxa"/>
            <w:vAlign w:val="bottom"/>
            <w:shd w:val="clear" w:color="auto" w:fill="CCEEFF"/>
          </w:tcPr>
          <w:p>
            <w:pPr>
              <w:jc w:val="center"/>
              <w:spacing w:after="0" w:line="99" w:lineRule="exact"/>
              <w:rPr>
                <w:sz w:val="20"/>
                <w:szCs w:val="20"/>
                <w:color w:val="auto"/>
              </w:rPr>
            </w:pPr>
            <w:r>
              <w:rPr>
                <w:rFonts w:ascii="Arial" w:cs="Arial" w:eastAsia="Arial" w:hAnsi="Arial"/>
                <w:sz w:val="10"/>
                <w:szCs w:val="10"/>
                <w:color w:val="auto"/>
                <w:w w:val="99"/>
              </w:rPr>
              <w:t>—</w:t>
            </w:r>
          </w:p>
        </w:tc>
        <w:tc>
          <w:tcPr>
            <w:tcW w:w="100" w:type="dxa"/>
            <w:vAlign w:val="bottom"/>
            <w:shd w:val="clear" w:color="auto" w:fill="CCEEFF"/>
          </w:tcPr>
          <w:p>
            <w:pPr>
              <w:spacing w:after="0"/>
              <w:rPr>
                <w:sz w:val="8"/>
                <w:szCs w:val="8"/>
                <w:color w:val="auto"/>
              </w:rPr>
            </w:pPr>
          </w:p>
        </w:tc>
        <w:tc>
          <w:tcPr>
            <w:tcW w:w="820" w:type="dxa"/>
            <w:vAlign w:val="bottom"/>
            <w:shd w:val="clear" w:color="auto" w:fill="CCEEFF"/>
          </w:tcPr>
          <w:p>
            <w:pPr>
              <w:jc w:val="right"/>
              <w:ind w:right="253"/>
              <w:spacing w:after="0" w:line="99"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8"/>
                <w:szCs w:val="8"/>
                <w:color w:val="auto"/>
              </w:rPr>
            </w:pPr>
          </w:p>
        </w:tc>
        <w:tc>
          <w:tcPr>
            <w:tcW w:w="880" w:type="dxa"/>
            <w:vAlign w:val="bottom"/>
            <w:shd w:val="clear" w:color="auto" w:fill="CCEEFF"/>
          </w:tcPr>
          <w:p>
            <w:pPr>
              <w:jc w:val="right"/>
              <w:ind w:right="193"/>
              <w:spacing w:after="0" w:line="99"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280" w:type="dxa"/>
            <w:vAlign w:val="bottom"/>
            <w:shd w:val="clear" w:color="auto" w:fill="CCEEFF"/>
          </w:tcPr>
          <w:p>
            <w:pPr>
              <w:ind w:left="80"/>
              <w:spacing w:after="0" w:line="112" w:lineRule="exact"/>
              <w:rPr>
                <w:sz w:val="20"/>
                <w:szCs w:val="20"/>
                <w:color w:val="auto"/>
              </w:rPr>
            </w:pPr>
            <w:r>
              <w:rPr>
                <w:rFonts w:ascii="Arial" w:cs="Arial" w:eastAsia="Arial" w:hAnsi="Arial"/>
                <w:sz w:val="10"/>
                <w:szCs w:val="10"/>
                <w:color w:val="auto"/>
              </w:rPr>
              <w:t>Change in Control</w:t>
            </w:r>
            <w:r>
              <w:rPr>
                <w:rFonts w:ascii="Arial" w:cs="Arial" w:eastAsia="Arial" w:hAnsi="Arial"/>
                <w:sz w:val="8"/>
                <w:szCs w:val="8"/>
                <w:color w:val="auto"/>
              </w:rPr>
              <w:t>(6)</w:t>
            </w:r>
          </w:p>
        </w:tc>
        <w:tc>
          <w:tcPr>
            <w:tcW w:w="80" w:type="dxa"/>
            <w:vAlign w:val="bottom"/>
            <w:shd w:val="clear" w:color="auto" w:fill="CCEEFF"/>
          </w:tcPr>
          <w:p>
            <w:pPr>
              <w:spacing w:after="0"/>
              <w:rPr>
                <w:sz w:val="9"/>
                <w:szCs w:val="9"/>
                <w:color w:val="auto"/>
              </w:rPr>
            </w:pPr>
          </w:p>
        </w:tc>
        <w:tc>
          <w:tcPr>
            <w:tcW w:w="940" w:type="dxa"/>
            <w:vAlign w:val="bottom"/>
            <w:shd w:val="clear" w:color="auto" w:fill="CCEEFF"/>
          </w:tcPr>
          <w:p>
            <w:pPr>
              <w:jc w:val="right"/>
              <w:ind w:right="233"/>
              <w:spacing w:after="0" w:line="112"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920" w:type="dxa"/>
            <w:vAlign w:val="bottom"/>
            <w:shd w:val="clear" w:color="auto" w:fill="CCEEFF"/>
          </w:tcPr>
          <w:p>
            <w:pPr>
              <w:jc w:val="right"/>
              <w:ind w:right="233"/>
              <w:spacing w:after="0" w:line="112"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840" w:type="dxa"/>
            <w:vAlign w:val="bottom"/>
            <w:shd w:val="clear" w:color="auto" w:fill="CCEEFF"/>
          </w:tcPr>
          <w:p>
            <w:pPr>
              <w:jc w:val="right"/>
              <w:ind w:right="174"/>
              <w:spacing w:after="0" w:line="112"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940" w:type="dxa"/>
            <w:vAlign w:val="bottom"/>
            <w:shd w:val="clear" w:color="auto" w:fill="CCEEFF"/>
          </w:tcPr>
          <w:p>
            <w:pPr>
              <w:jc w:val="right"/>
              <w:ind w:right="235"/>
              <w:spacing w:after="0" w:line="112"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900" w:type="dxa"/>
            <w:vAlign w:val="bottom"/>
            <w:shd w:val="clear" w:color="auto" w:fill="CCEEFF"/>
          </w:tcPr>
          <w:p>
            <w:pPr>
              <w:jc w:val="right"/>
              <w:ind w:right="194"/>
              <w:spacing w:after="0" w:line="112"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jc w:val="center"/>
              <w:spacing w:after="0" w:line="112" w:lineRule="exact"/>
              <w:rPr>
                <w:sz w:val="20"/>
                <w:szCs w:val="20"/>
                <w:color w:val="auto"/>
              </w:rPr>
            </w:pPr>
            <w:r>
              <w:rPr>
                <w:rFonts w:ascii="Arial" w:cs="Arial" w:eastAsia="Arial" w:hAnsi="Arial"/>
                <w:sz w:val="10"/>
                <w:szCs w:val="10"/>
                <w:color w:val="auto"/>
                <w:w w:val="99"/>
              </w:rPr>
              <w:t>—</w:t>
            </w: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jc w:val="right"/>
              <w:ind w:right="253"/>
              <w:spacing w:after="0" w:line="112"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880" w:type="dxa"/>
            <w:vAlign w:val="bottom"/>
            <w:shd w:val="clear" w:color="auto" w:fill="CCEEFF"/>
          </w:tcPr>
          <w:p>
            <w:pPr>
              <w:jc w:val="right"/>
              <w:ind w:right="193"/>
              <w:spacing w:after="0" w:line="112"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280" w:type="dxa"/>
            <w:vAlign w:val="bottom"/>
          </w:tcPr>
          <w:p>
            <w:pPr>
              <w:spacing w:after="0" w:line="87" w:lineRule="exact"/>
              <w:rPr>
                <w:sz w:val="20"/>
                <w:szCs w:val="20"/>
                <w:color w:val="auto"/>
              </w:rPr>
            </w:pPr>
            <w:r>
              <w:rPr>
                <w:rFonts w:ascii="Arial" w:cs="Arial" w:eastAsia="Arial" w:hAnsi="Arial"/>
                <w:sz w:val="10"/>
                <w:szCs w:val="10"/>
                <w:b w:val="1"/>
                <w:bCs w:val="1"/>
                <w:color w:val="auto"/>
              </w:rPr>
              <w:t>David L. Cohen</w:t>
            </w:r>
          </w:p>
        </w:tc>
        <w:tc>
          <w:tcPr>
            <w:tcW w:w="8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280" w:type="dxa"/>
            <w:vAlign w:val="bottom"/>
          </w:tcPr>
          <w:p>
            <w:pPr>
              <w:ind w:left="80"/>
              <w:spacing w:after="0" w:line="99" w:lineRule="exact"/>
              <w:rPr>
                <w:sz w:val="20"/>
                <w:szCs w:val="20"/>
                <w:color w:val="auto"/>
              </w:rPr>
            </w:pPr>
            <w:r>
              <w:rPr>
                <w:rFonts w:ascii="Arial" w:cs="Arial" w:eastAsia="Arial" w:hAnsi="Arial"/>
                <w:sz w:val="10"/>
                <w:szCs w:val="10"/>
                <w:color w:val="auto"/>
              </w:rPr>
              <w:t>Without Cause/With Good</w:t>
            </w: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280" w:type="dxa"/>
            <w:vAlign w:val="bottom"/>
          </w:tcPr>
          <w:p>
            <w:pPr>
              <w:ind w:left="80"/>
              <w:spacing w:after="0" w:line="99" w:lineRule="exact"/>
              <w:rPr>
                <w:sz w:val="20"/>
                <w:szCs w:val="20"/>
                <w:color w:val="auto"/>
              </w:rPr>
            </w:pPr>
            <w:r>
              <w:rPr>
                <w:rFonts w:ascii="Arial" w:cs="Arial" w:eastAsia="Arial" w:hAnsi="Arial"/>
                <w:sz w:val="10"/>
                <w:szCs w:val="10"/>
                <w:color w:val="auto"/>
              </w:rPr>
              <w:t>Reason</w:t>
            </w:r>
            <w:r>
              <w:rPr>
                <w:rFonts w:ascii="Arial" w:cs="Arial" w:eastAsia="Arial" w:hAnsi="Arial"/>
                <w:sz w:val="8"/>
                <w:szCs w:val="8"/>
                <w:color w:val="auto"/>
              </w:rPr>
              <w:t>(7)</w:t>
            </w:r>
          </w:p>
        </w:tc>
        <w:tc>
          <w:tcPr>
            <w:tcW w:w="1020" w:type="dxa"/>
            <w:vAlign w:val="bottom"/>
            <w:gridSpan w:val="2"/>
          </w:tcPr>
          <w:p>
            <w:pPr>
              <w:jc w:val="right"/>
              <w:ind w:right="233"/>
              <w:spacing w:after="0" w:line="99" w:lineRule="exact"/>
              <w:rPr>
                <w:sz w:val="20"/>
                <w:szCs w:val="20"/>
                <w:color w:val="auto"/>
              </w:rPr>
            </w:pPr>
            <w:r>
              <w:rPr>
                <w:rFonts w:ascii="Arial" w:cs="Arial" w:eastAsia="Arial" w:hAnsi="Arial"/>
                <w:sz w:val="10"/>
                <w:szCs w:val="10"/>
                <w:color w:val="auto"/>
              </w:rPr>
              <w:t>2,675,988</w:t>
            </w:r>
          </w:p>
        </w:tc>
        <w:tc>
          <w:tcPr>
            <w:tcW w:w="1000" w:type="dxa"/>
            <w:vAlign w:val="bottom"/>
            <w:gridSpan w:val="2"/>
          </w:tcPr>
          <w:p>
            <w:pPr>
              <w:jc w:val="right"/>
              <w:ind w:right="233"/>
              <w:spacing w:after="0" w:line="99" w:lineRule="exact"/>
              <w:rPr>
                <w:sz w:val="20"/>
                <w:szCs w:val="20"/>
                <w:color w:val="auto"/>
              </w:rPr>
            </w:pPr>
            <w:r>
              <w:rPr>
                <w:rFonts w:ascii="Arial" w:cs="Arial" w:eastAsia="Arial" w:hAnsi="Arial"/>
                <w:sz w:val="10"/>
                <w:szCs w:val="10"/>
                <w:color w:val="auto"/>
              </w:rPr>
              <w:t>1,672,493</w:t>
            </w:r>
          </w:p>
        </w:tc>
        <w:tc>
          <w:tcPr>
            <w:tcW w:w="920" w:type="dxa"/>
            <w:vAlign w:val="bottom"/>
            <w:gridSpan w:val="2"/>
          </w:tcPr>
          <w:p>
            <w:pPr>
              <w:jc w:val="right"/>
              <w:ind w:right="174"/>
              <w:spacing w:after="0" w:line="99" w:lineRule="exact"/>
              <w:rPr>
                <w:sz w:val="20"/>
                <w:szCs w:val="20"/>
                <w:color w:val="auto"/>
              </w:rPr>
            </w:pPr>
            <w:r>
              <w:rPr>
                <w:rFonts w:ascii="Arial" w:cs="Arial" w:eastAsia="Arial" w:hAnsi="Arial"/>
                <w:sz w:val="10"/>
                <w:szCs w:val="10"/>
                <w:color w:val="auto"/>
              </w:rPr>
              <w:t>1,672,493</w:t>
            </w:r>
          </w:p>
        </w:tc>
        <w:tc>
          <w:tcPr>
            <w:tcW w:w="1020" w:type="dxa"/>
            <w:vAlign w:val="bottom"/>
            <w:gridSpan w:val="2"/>
          </w:tcPr>
          <w:p>
            <w:pPr>
              <w:jc w:val="right"/>
              <w:ind w:right="235"/>
              <w:spacing w:after="0" w:line="99" w:lineRule="exact"/>
              <w:rPr>
                <w:sz w:val="20"/>
                <w:szCs w:val="20"/>
                <w:color w:val="auto"/>
              </w:rPr>
            </w:pPr>
            <w:r>
              <w:rPr>
                <w:rFonts w:ascii="Arial" w:cs="Arial" w:eastAsia="Arial" w:hAnsi="Arial"/>
                <w:sz w:val="10"/>
                <w:szCs w:val="10"/>
                <w:color w:val="auto"/>
              </w:rPr>
              <w:t>5,120</w:t>
            </w:r>
          </w:p>
        </w:tc>
        <w:tc>
          <w:tcPr>
            <w:tcW w:w="980" w:type="dxa"/>
            <w:vAlign w:val="bottom"/>
            <w:gridSpan w:val="2"/>
          </w:tcPr>
          <w:p>
            <w:pPr>
              <w:jc w:val="right"/>
              <w:ind w:right="94"/>
              <w:spacing w:after="0" w:line="99" w:lineRule="exact"/>
              <w:rPr>
                <w:sz w:val="20"/>
                <w:szCs w:val="20"/>
                <w:color w:val="auto"/>
              </w:rPr>
            </w:pPr>
            <w:r>
              <w:rPr>
                <w:rFonts w:ascii="Arial" w:cs="Arial" w:eastAsia="Arial" w:hAnsi="Arial"/>
                <w:sz w:val="10"/>
                <w:szCs w:val="10"/>
                <w:color w:val="auto"/>
              </w:rPr>
              <w:t>793,094</w:t>
            </w:r>
            <w:r>
              <w:rPr>
                <w:rFonts w:ascii="Arial" w:cs="Arial" w:eastAsia="Arial" w:hAnsi="Arial"/>
                <w:sz w:val="8"/>
                <w:szCs w:val="8"/>
                <w:color w:val="auto"/>
              </w:rPr>
              <w:t>(9)</w:t>
            </w:r>
          </w:p>
        </w:tc>
        <w:tc>
          <w:tcPr>
            <w:tcW w:w="80" w:type="dxa"/>
            <w:vAlign w:val="bottom"/>
          </w:tcPr>
          <w:p>
            <w:pPr>
              <w:spacing w:after="0"/>
              <w:rPr>
                <w:sz w:val="8"/>
                <w:szCs w:val="8"/>
                <w:color w:val="auto"/>
              </w:rPr>
            </w:pPr>
          </w:p>
        </w:tc>
        <w:tc>
          <w:tcPr>
            <w:tcW w:w="800" w:type="dxa"/>
            <w:vAlign w:val="bottom"/>
          </w:tcPr>
          <w:p>
            <w:pPr>
              <w:jc w:val="center"/>
              <w:spacing w:after="0" w:line="99" w:lineRule="exact"/>
              <w:rPr>
                <w:sz w:val="20"/>
                <w:szCs w:val="20"/>
                <w:color w:val="auto"/>
              </w:rPr>
            </w:pPr>
            <w:r>
              <w:rPr>
                <w:rFonts w:ascii="Arial" w:cs="Arial" w:eastAsia="Arial" w:hAnsi="Arial"/>
                <w:sz w:val="10"/>
                <w:szCs w:val="10"/>
                <w:color w:val="auto"/>
                <w:w w:val="99"/>
              </w:rPr>
              <w:t>—</w:t>
            </w:r>
          </w:p>
        </w:tc>
        <w:tc>
          <w:tcPr>
            <w:tcW w:w="920" w:type="dxa"/>
            <w:vAlign w:val="bottom"/>
            <w:gridSpan w:val="2"/>
          </w:tcPr>
          <w:p>
            <w:pPr>
              <w:jc w:val="right"/>
              <w:ind w:right="253"/>
              <w:spacing w:after="0" w:line="99" w:lineRule="exact"/>
              <w:rPr>
                <w:sz w:val="20"/>
                <w:szCs w:val="20"/>
                <w:color w:val="auto"/>
              </w:rPr>
            </w:pPr>
            <w:r>
              <w:rPr>
                <w:rFonts w:ascii="Arial" w:cs="Arial" w:eastAsia="Arial" w:hAnsi="Arial"/>
                <w:sz w:val="10"/>
                <w:szCs w:val="10"/>
                <w:color w:val="auto"/>
              </w:rPr>
              <w:t>25,746</w:t>
            </w:r>
          </w:p>
        </w:tc>
        <w:tc>
          <w:tcPr>
            <w:tcW w:w="960" w:type="dxa"/>
            <w:vAlign w:val="bottom"/>
            <w:gridSpan w:val="2"/>
          </w:tcPr>
          <w:p>
            <w:pPr>
              <w:jc w:val="right"/>
              <w:ind w:right="193"/>
              <w:spacing w:after="0" w:line="99" w:lineRule="exact"/>
              <w:rPr>
                <w:sz w:val="20"/>
                <w:szCs w:val="20"/>
                <w:color w:val="auto"/>
              </w:rPr>
            </w:pPr>
            <w:r>
              <w:rPr>
                <w:rFonts w:ascii="Arial" w:cs="Arial" w:eastAsia="Arial" w:hAnsi="Arial"/>
                <w:sz w:val="10"/>
                <w:szCs w:val="10"/>
                <w:color w:val="auto"/>
              </w:rPr>
              <w:t>6,844,934</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280" w:type="dxa"/>
            <w:vAlign w:val="bottom"/>
          </w:tcPr>
          <w:p>
            <w:pPr>
              <w:ind w:left="80"/>
              <w:spacing w:after="0" w:line="99" w:lineRule="exact"/>
              <w:rPr>
                <w:sz w:val="20"/>
                <w:szCs w:val="20"/>
                <w:color w:val="auto"/>
              </w:rPr>
            </w:pPr>
            <w:r>
              <w:rPr>
                <w:rFonts w:ascii="Arial" w:cs="Arial" w:eastAsia="Arial" w:hAnsi="Arial"/>
                <w:sz w:val="10"/>
                <w:szCs w:val="10"/>
                <w:color w:val="auto"/>
              </w:rPr>
              <w:t>Death</w:t>
            </w:r>
            <w:r>
              <w:rPr>
                <w:rFonts w:ascii="Arial" w:cs="Arial" w:eastAsia="Arial" w:hAnsi="Arial"/>
                <w:sz w:val="8"/>
                <w:szCs w:val="8"/>
                <w:color w:val="auto"/>
              </w:rPr>
              <w:t>(8)</w:t>
            </w:r>
          </w:p>
        </w:tc>
        <w:tc>
          <w:tcPr>
            <w:tcW w:w="1020" w:type="dxa"/>
            <w:vAlign w:val="bottom"/>
            <w:gridSpan w:val="2"/>
          </w:tcPr>
          <w:p>
            <w:pPr>
              <w:jc w:val="right"/>
              <w:ind w:right="233"/>
              <w:spacing w:after="0" w:line="99" w:lineRule="exact"/>
              <w:rPr>
                <w:sz w:val="20"/>
                <w:szCs w:val="20"/>
                <w:color w:val="auto"/>
              </w:rPr>
            </w:pPr>
            <w:r>
              <w:rPr>
                <w:rFonts w:ascii="Arial" w:cs="Arial" w:eastAsia="Arial" w:hAnsi="Arial"/>
                <w:sz w:val="10"/>
                <w:szCs w:val="10"/>
                <w:color w:val="auto"/>
              </w:rPr>
              <w:t>334,499</w:t>
            </w:r>
          </w:p>
        </w:tc>
        <w:tc>
          <w:tcPr>
            <w:tcW w:w="80" w:type="dxa"/>
            <w:vAlign w:val="bottom"/>
          </w:tcPr>
          <w:p>
            <w:pPr>
              <w:spacing w:after="0"/>
              <w:rPr>
                <w:sz w:val="8"/>
                <w:szCs w:val="8"/>
                <w:color w:val="auto"/>
              </w:rPr>
            </w:pPr>
          </w:p>
        </w:tc>
        <w:tc>
          <w:tcPr>
            <w:tcW w:w="920" w:type="dxa"/>
            <w:vAlign w:val="bottom"/>
          </w:tcPr>
          <w:p>
            <w:pPr>
              <w:jc w:val="right"/>
              <w:ind w:right="233"/>
              <w:spacing w:after="0" w:line="99" w:lineRule="exact"/>
              <w:rPr>
                <w:sz w:val="20"/>
                <w:szCs w:val="20"/>
                <w:color w:val="auto"/>
              </w:rPr>
            </w:pPr>
            <w:r>
              <w:rPr>
                <w:rFonts w:ascii="Arial" w:cs="Arial" w:eastAsia="Arial" w:hAnsi="Arial"/>
                <w:sz w:val="10"/>
                <w:szCs w:val="10"/>
                <w:color w:val="auto"/>
              </w:rPr>
              <w:t>—</w:t>
            </w:r>
          </w:p>
        </w:tc>
        <w:tc>
          <w:tcPr>
            <w:tcW w:w="920" w:type="dxa"/>
            <w:vAlign w:val="bottom"/>
            <w:gridSpan w:val="2"/>
          </w:tcPr>
          <w:p>
            <w:pPr>
              <w:jc w:val="right"/>
              <w:ind w:right="174"/>
              <w:spacing w:after="0" w:line="99" w:lineRule="exact"/>
              <w:rPr>
                <w:sz w:val="20"/>
                <w:szCs w:val="20"/>
                <w:color w:val="auto"/>
              </w:rPr>
            </w:pPr>
            <w:r>
              <w:rPr>
                <w:rFonts w:ascii="Arial" w:cs="Arial" w:eastAsia="Arial" w:hAnsi="Arial"/>
                <w:sz w:val="10"/>
                <w:szCs w:val="10"/>
                <w:color w:val="auto"/>
              </w:rPr>
              <w:t>1,672,493</w:t>
            </w:r>
          </w:p>
        </w:tc>
        <w:tc>
          <w:tcPr>
            <w:tcW w:w="1020" w:type="dxa"/>
            <w:vAlign w:val="bottom"/>
            <w:gridSpan w:val="2"/>
          </w:tcPr>
          <w:p>
            <w:pPr>
              <w:jc w:val="right"/>
              <w:ind w:right="235"/>
              <w:spacing w:after="0" w:line="99" w:lineRule="exact"/>
              <w:rPr>
                <w:sz w:val="20"/>
                <w:szCs w:val="20"/>
                <w:color w:val="auto"/>
              </w:rPr>
            </w:pPr>
            <w:r>
              <w:rPr>
                <w:rFonts w:ascii="Arial" w:cs="Arial" w:eastAsia="Arial" w:hAnsi="Arial"/>
                <w:sz w:val="10"/>
                <w:szCs w:val="10"/>
                <w:color w:val="auto"/>
              </w:rPr>
              <w:t>1,268,161</w:t>
            </w:r>
          </w:p>
        </w:tc>
        <w:tc>
          <w:tcPr>
            <w:tcW w:w="980" w:type="dxa"/>
            <w:vAlign w:val="bottom"/>
            <w:gridSpan w:val="2"/>
          </w:tcPr>
          <w:p>
            <w:pPr>
              <w:jc w:val="right"/>
              <w:ind w:right="194"/>
              <w:spacing w:after="0" w:line="99" w:lineRule="exact"/>
              <w:rPr>
                <w:sz w:val="20"/>
                <w:szCs w:val="20"/>
                <w:color w:val="auto"/>
              </w:rPr>
            </w:pPr>
            <w:r>
              <w:rPr>
                <w:rFonts w:ascii="Arial" w:cs="Arial" w:eastAsia="Arial" w:hAnsi="Arial"/>
                <w:sz w:val="10"/>
                <w:szCs w:val="10"/>
                <w:color w:val="auto"/>
              </w:rPr>
              <w:t>9,056,315</w:t>
            </w:r>
          </w:p>
        </w:tc>
        <w:tc>
          <w:tcPr>
            <w:tcW w:w="80" w:type="dxa"/>
            <w:vAlign w:val="bottom"/>
          </w:tcPr>
          <w:p>
            <w:pPr>
              <w:spacing w:after="0"/>
              <w:rPr>
                <w:sz w:val="8"/>
                <w:szCs w:val="8"/>
                <w:color w:val="auto"/>
              </w:rPr>
            </w:pPr>
          </w:p>
        </w:tc>
        <w:tc>
          <w:tcPr>
            <w:tcW w:w="800" w:type="dxa"/>
            <w:vAlign w:val="bottom"/>
          </w:tcPr>
          <w:p>
            <w:pPr>
              <w:jc w:val="center"/>
              <w:spacing w:after="0" w:line="99" w:lineRule="exact"/>
              <w:rPr>
                <w:sz w:val="20"/>
                <w:szCs w:val="20"/>
                <w:color w:val="auto"/>
              </w:rPr>
            </w:pPr>
            <w:r>
              <w:rPr>
                <w:rFonts w:ascii="Arial" w:cs="Arial" w:eastAsia="Arial" w:hAnsi="Arial"/>
                <w:sz w:val="10"/>
                <w:szCs w:val="10"/>
                <w:color w:val="auto"/>
                <w:w w:val="99"/>
              </w:rPr>
              <w:t>—</w:t>
            </w:r>
          </w:p>
        </w:tc>
        <w:tc>
          <w:tcPr>
            <w:tcW w:w="100" w:type="dxa"/>
            <w:vAlign w:val="bottom"/>
          </w:tcPr>
          <w:p>
            <w:pPr>
              <w:spacing w:after="0"/>
              <w:rPr>
                <w:sz w:val="8"/>
                <w:szCs w:val="8"/>
                <w:color w:val="auto"/>
              </w:rPr>
            </w:pPr>
          </w:p>
        </w:tc>
        <w:tc>
          <w:tcPr>
            <w:tcW w:w="820" w:type="dxa"/>
            <w:vAlign w:val="bottom"/>
          </w:tcPr>
          <w:p>
            <w:pPr>
              <w:jc w:val="right"/>
              <w:ind w:right="253"/>
              <w:spacing w:after="0" w:line="99" w:lineRule="exact"/>
              <w:rPr>
                <w:sz w:val="20"/>
                <w:szCs w:val="20"/>
                <w:color w:val="auto"/>
              </w:rPr>
            </w:pPr>
            <w:r>
              <w:rPr>
                <w:rFonts w:ascii="Arial" w:cs="Arial" w:eastAsia="Arial" w:hAnsi="Arial"/>
                <w:sz w:val="10"/>
                <w:szCs w:val="10"/>
                <w:color w:val="auto"/>
              </w:rPr>
              <w:t>—</w:t>
            </w:r>
          </w:p>
        </w:tc>
        <w:tc>
          <w:tcPr>
            <w:tcW w:w="960" w:type="dxa"/>
            <w:vAlign w:val="bottom"/>
            <w:gridSpan w:val="2"/>
          </w:tcPr>
          <w:p>
            <w:pPr>
              <w:jc w:val="right"/>
              <w:ind w:right="193"/>
              <w:spacing w:after="0" w:line="99" w:lineRule="exact"/>
              <w:rPr>
                <w:sz w:val="20"/>
                <w:szCs w:val="20"/>
                <w:color w:val="auto"/>
              </w:rPr>
            </w:pPr>
            <w:r>
              <w:rPr>
                <w:rFonts w:ascii="Arial" w:cs="Arial" w:eastAsia="Arial" w:hAnsi="Arial"/>
                <w:sz w:val="10"/>
                <w:szCs w:val="10"/>
                <w:color w:val="auto"/>
              </w:rPr>
              <w:t>12,331,468</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280" w:type="dxa"/>
            <w:vAlign w:val="bottom"/>
          </w:tcPr>
          <w:p>
            <w:pPr>
              <w:ind w:left="80"/>
              <w:spacing w:after="0" w:line="99" w:lineRule="exact"/>
              <w:rPr>
                <w:sz w:val="20"/>
                <w:szCs w:val="20"/>
                <w:color w:val="auto"/>
              </w:rPr>
            </w:pPr>
            <w:r>
              <w:rPr>
                <w:rFonts w:ascii="Arial" w:cs="Arial" w:eastAsia="Arial" w:hAnsi="Arial"/>
                <w:sz w:val="10"/>
                <w:szCs w:val="10"/>
                <w:color w:val="auto"/>
              </w:rPr>
              <w:t>Disability</w:t>
            </w:r>
            <w:r>
              <w:rPr>
                <w:rFonts w:ascii="Arial" w:cs="Arial" w:eastAsia="Arial" w:hAnsi="Arial"/>
                <w:sz w:val="8"/>
                <w:szCs w:val="8"/>
                <w:color w:val="auto"/>
              </w:rPr>
              <w:t>(8)</w:t>
            </w:r>
          </w:p>
        </w:tc>
        <w:tc>
          <w:tcPr>
            <w:tcW w:w="1020" w:type="dxa"/>
            <w:vAlign w:val="bottom"/>
            <w:gridSpan w:val="2"/>
          </w:tcPr>
          <w:p>
            <w:pPr>
              <w:jc w:val="right"/>
              <w:ind w:right="233"/>
              <w:spacing w:after="0" w:line="99" w:lineRule="exact"/>
              <w:rPr>
                <w:sz w:val="20"/>
                <w:szCs w:val="20"/>
                <w:color w:val="auto"/>
              </w:rPr>
            </w:pPr>
            <w:r>
              <w:rPr>
                <w:rFonts w:ascii="Arial" w:cs="Arial" w:eastAsia="Arial" w:hAnsi="Arial"/>
                <w:sz w:val="10"/>
                <w:szCs w:val="10"/>
                <w:color w:val="auto"/>
              </w:rPr>
              <w:t>334,499</w:t>
            </w:r>
          </w:p>
        </w:tc>
        <w:tc>
          <w:tcPr>
            <w:tcW w:w="80" w:type="dxa"/>
            <w:vAlign w:val="bottom"/>
          </w:tcPr>
          <w:p>
            <w:pPr>
              <w:spacing w:after="0"/>
              <w:rPr>
                <w:sz w:val="8"/>
                <w:szCs w:val="8"/>
                <w:color w:val="auto"/>
              </w:rPr>
            </w:pPr>
          </w:p>
        </w:tc>
        <w:tc>
          <w:tcPr>
            <w:tcW w:w="920" w:type="dxa"/>
            <w:vAlign w:val="bottom"/>
          </w:tcPr>
          <w:p>
            <w:pPr>
              <w:jc w:val="right"/>
              <w:ind w:right="233"/>
              <w:spacing w:after="0" w:line="99" w:lineRule="exact"/>
              <w:rPr>
                <w:sz w:val="20"/>
                <w:szCs w:val="20"/>
                <w:color w:val="auto"/>
              </w:rPr>
            </w:pPr>
            <w:r>
              <w:rPr>
                <w:rFonts w:ascii="Arial" w:cs="Arial" w:eastAsia="Arial" w:hAnsi="Arial"/>
                <w:sz w:val="10"/>
                <w:szCs w:val="10"/>
                <w:color w:val="auto"/>
              </w:rPr>
              <w:t>—</w:t>
            </w:r>
          </w:p>
        </w:tc>
        <w:tc>
          <w:tcPr>
            <w:tcW w:w="920" w:type="dxa"/>
            <w:vAlign w:val="bottom"/>
            <w:gridSpan w:val="2"/>
          </w:tcPr>
          <w:p>
            <w:pPr>
              <w:jc w:val="right"/>
              <w:ind w:right="174"/>
              <w:spacing w:after="0" w:line="99" w:lineRule="exact"/>
              <w:rPr>
                <w:sz w:val="20"/>
                <w:szCs w:val="20"/>
                <w:color w:val="auto"/>
              </w:rPr>
            </w:pPr>
            <w:r>
              <w:rPr>
                <w:rFonts w:ascii="Arial" w:cs="Arial" w:eastAsia="Arial" w:hAnsi="Arial"/>
                <w:sz w:val="10"/>
                <w:szCs w:val="10"/>
                <w:color w:val="auto"/>
              </w:rPr>
              <w:t>1,672,493</w:t>
            </w:r>
          </w:p>
        </w:tc>
        <w:tc>
          <w:tcPr>
            <w:tcW w:w="1020" w:type="dxa"/>
            <w:vAlign w:val="bottom"/>
            <w:gridSpan w:val="2"/>
          </w:tcPr>
          <w:p>
            <w:pPr>
              <w:jc w:val="right"/>
              <w:ind w:right="235"/>
              <w:spacing w:after="0" w:line="99" w:lineRule="exact"/>
              <w:rPr>
                <w:sz w:val="20"/>
                <w:szCs w:val="20"/>
                <w:color w:val="auto"/>
              </w:rPr>
            </w:pPr>
            <w:r>
              <w:rPr>
                <w:rFonts w:ascii="Arial" w:cs="Arial" w:eastAsia="Arial" w:hAnsi="Arial"/>
                <w:sz w:val="10"/>
                <w:szCs w:val="10"/>
                <w:color w:val="auto"/>
              </w:rPr>
              <w:t>1,268,161</w:t>
            </w:r>
          </w:p>
        </w:tc>
        <w:tc>
          <w:tcPr>
            <w:tcW w:w="980" w:type="dxa"/>
            <w:vAlign w:val="bottom"/>
            <w:gridSpan w:val="2"/>
          </w:tcPr>
          <w:p>
            <w:pPr>
              <w:jc w:val="right"/>
              <w:ind w:right="194"/>
              <w:spacing w:after="0" w:line="99" w:lineRule="exact"/>
              <w:rPr>
                <w:sz w:val="20"/>
                <w:szCs w:val="20"/>
                <w:color w:val="auto"/>
              </w:rPr>
            </w:pPr>
            <w:r>
              <w:rPr>
                <w:rFonts w:ascii="Arial" w:cs="Arial" w:eastAsia="Arial" w:hAnsi="Arial"/>
                <w:sz w:val="10"/>
                <w:szCs w:val="10"/>
                <w:color w:val="auto"/>
              </w:rPr>
              <w:t>9,056,315</w:t>
            </w:r>
          </w:p>
        </w:tc>
        <w:tc>
          <w:tcPr>
            <w:tcW w:w="80" w:type="dxa"/>
            <w:vAlign w:val="bottom"/>
          </w:tcPr>
          <w:p>
            <w:pPr>
              <w:spacing w:after="0"/>
              <w:rPr>
                <w:sz w:val="8"/>
                <w:szCs w:val="8"/>
                <w:color w:val="auto"/>
              </w:rPr>
            </w:pPr>
          </w:p>
        </w:tc>
        <w:tc>
          <w:tcPr>
            <w:tcW w:w="800" w:type="dxa"/>
            <w:vAlign w:val="bottom"/>
          </w:tcPr>
          <w:p>
            <w:pPr>
              <w:jc w:val="center"/>
              <w:spacing w:after="0" w:line="99" w:lineRule="exact"/>
              <w:rPr>
                <w:sz w:val="20"/>
                <w:szCs w:val="20"/>
                <w:color w:val="auto"/>
              </w:rPr>
            </w:pPr>
            <w:r>
              <w:rPr>
                <w:rFonts w:ascii="Arial" w:cs="Arial" w:eastAsia="Arial" w:hAnsi="Arial"/>
                <w:sz w:val="10"/>
                <w:szCs w:val="10"/>
                <w:color w:val="auto"/>
                <w:w w:val="99"/>
              </w:rPr>
              <w:t>—</w:t>
            </w:r>
          </w:p>
        </w:tc>
        <w:tc>
          <w:tcPr>
            <w:tcW w:w="100" w:type="dxa"/>
            <w:vAlign w:val="bottom"/>
          </w:tcPr>
          <w:p>
            <w:pPr>
              <w:spacing w:after="0"/>
              <w:rPr>
                <w:sz w:val="8"/>
                <w:szCs w:val="8"/>
                <w:color w:val="auto"/>
              </w:rPr>
            </w:pPr>
          </w:p>
        </w:tc>
        <w:tc>
          <w:tcPr>
            <w:tcW w:w="820" w:type="dxa"/>
            <w:vAlign w:val="bottom"/>
          </w:tcPr>
          <w:p>
            <w:pPr>
              <w:jc w:val="right"/>
              <w:ind w:right="253"/>
              <w:spacing w:after="0" w:line="99" w:lineRule="exact"/>
              <w:rPr>
                <w:sz w:val="20"/>
                <w:szCs w:val="20"/>
                <w:color w:val="auto"/>
              </w:rPr>
            </w:pPr>
            <w:r>
              <w:rPr>
                <w:rFonts w:ascii="Arial" w:cs="Arial" w:eastAsia="Arial" w:hAnsi="Arial"/>
                <w:sz w:val="10"/>
                <w:szCs w:val="10"/>
                <w:color w:val="auto"/>
              </w:rPr>
              <w:t>—</w:t>
            </w:r>
          </w:p>
        </w:tc>
        <w:tc>
          <w:tcPr>
            <w:tcW w:w="960" w:type="dxa"/>
            <w:vAlign w:val="bottom"/>
            <w:gridSpan w:val="2"/>
          </w:tcPr>
          <w:p>
            <w:pPr>
              <w:jc w:val="right"/>
              <w:ind w:right="193"/>
              <w:spacing w:after="0" w:line="99" w:lineRule="exact"/>
              <w:rPr>
                <w:sz w:val="20"/>
                <w:szCs w:val="20"/>
                <w:color w:val="auto"/>
              </w:rPr>
            </w:pPr>
            <w:r>
              <w:rPr>
                <w:rFonts w:ascii="Arial" w:cs="Arial" w:eastAsia="Arial" w:hAnsi="Arial"/>
                <w:sz w:val="10"/>
                <w:szCs w:val="10"/>
                <w:color w:val="auto"/>
              </w:rPr>
              <w:t>12,331,468</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280" w:type="dxa"/>
            <w:vAlign w:val="bottom"/>
          </w:tcPr>
          <w:p>
            <w:pPr>
              <w:ind w:left="80"/>
              <w:spacing w:after="0" w:line="99" w:lineRule="exact"/>
              <w:rPr>
                <w:sz w:val="20"/>
                <w:szCs w:val="20"/>
                <w:color w:val="auto"/>
              </w:rPr>
            </w:pPr>
            <w:r>
              <w:rPr>
                <w:rFonts w:ascii="Arial" w:cs="Arial" w:eastAsia="Arial" w:hAnsi="Arial"/>
                <w:sz w:val="10"/>
                <w:szCs w:val="10"/>
                <w:color w:val="auto"/>
              </w:rPr>
              <w:t>Retirement</w:t>
            </w:r>
            <w:r>
              <w:rPr>
                <w:rFonts w:ascii="Arial" w:cs="Arial" w:eastAsia="Arial" w:hAnsi="Arial"/>
                <w:sz w:val="8"/>
                <w:szCs w:val="8"/>
                <w:color w:val="auto"/>
              </w:rPr>
              <w:t>(5)</w:t>
            </w:r>
          </w:p>
        </w:tc>
        <w:tc>
          <w:tcPr>
            <w:tcW w:w="80" w:type="dxa"/>
            <w:vAlign w:val="bottom"/>
          </w:tcPr>
          <w:p>
            <w:pPr>
              <w:spacing w:after="0"/>
              <w:rPr>
                <w:sz w:val="8"/>
                <w:szCs w:val="8"/>
                <w:color w:val="auto"/>
              </w:rPr>
            </w:pPr>
          </w:p>
        </w:tc>
        <w:tc>
          <w:tcPr>
            <w:tcW w:w="940" w:type="dxa"/>
            <w:vAlign w:val="bottom"/>
          </w:tcPr>
          <w:p>
            <w:pPr>
              <w:jc w:val="right"/>
              <w:ind w:right="233"/>
              <w:spacing w:after="0" w:line="99"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8"/>
                <w:szCs w:val="8"/>
                <w:color w:val="auto"/>
              </w:rPr>
            </w:pPr>
          </w:p>
        </w:tc>
        <w:tc>
          <w:tcPr>
            <w:tcW w:w="920" w:type="dxa"/>
            <w:vAlign w:val="bottom"/>
          </w:tcPr>
          <w:p>
            <w:pPr>
              <w:jc w:val="right"/>
              <w:ind w:right="233"/>
              <w:spacing w:after="0" w:line="99"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8"/>
                <w:szCs w:val="8"/>
                <w:color w:val="auto"/>
              </w:rPr>
            </w:pPr>
          </w:p>
        </w:tc>
        <w:tc>
          <w:tcPr>
            <w:tcW w:w="840" w:type="dxa"/>
            <w:vAlign w:val="bottom"/>
          </w:tcPr>
          <w:p>
            <w:pPr>
              <w:jc w:val="right"/>
              <w:ind w:right="174"/>
              <w:spacing w:after="0" w:line="99"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8"/>
                <w:szCs w:val="8"/>
                <w:color w:val="auto"/>
              </w:rPr>
            </w:pPr>
          </w:p>
        </w:tc>
        <w:tc>
          <w:tcPr>
            <w:tcW w:w="940" w:type="dxa"/>
            <w:vAlign w:val="bottom"/>
          </w:tcPr>
          <w:p>
            <w:pPr>
              <w:jc w:val="right"/>
              <w:ind w:right="235"/>
              <w:spacing w:after="0" w:line="99"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8"/>
                <w:szCs w:val="8"/>
                <w:color w:val="auto"/>
              </w:rPr>
            </w:pPr>
          </w:p>
        </w:tc>
        <w:tc>
          <w:tcPr>
            <w:tcW w:w="900" w:type="dxa"/>
            <w:vAlign w:val="bottom"/>
          </w:tcPr>
          <w:p>
            <w:pPr>
              <w:jc w:val="right"/>
              <w:ind w:right="194"/>
              <w:spacing w:after="0" w:line="99"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8"/>
                <w:szCs w:val="8"/>
                <w:color w:val="auto"/>
              </w:rPr>
            </w:pPr>
          </w:p>
        </w:tc>
        <w:tc>
          <w:tcPr>
            <w:tcW w:w="800" w:type="dxa"/>
            <w:vAlign w:val="bottom"/>
          </w:tcPr>
          <w:p>
            <w:pPr>
              <w:jc w:val="center"/>
              <w:spacing w:after="0" w:line="99" w:lineRule="exact"/>
              <w:rPr>
                <w:sz w:val="20"/>
                <w:szCs w:val="20"/>
                <w:color w:val="auto"/>
              </w:rPr>
            </w:pPr>
            <w:r>
              <w:rPr>
                <w:rFonts w:ascii="Arial" w:cs="Arial" w:eastAsia="Arial" w:hAnsi="Arial"/>
                <w:sz w:val="10"/>
                <w:szCs w:val="10"/>
                <w:color w:val="auto"/>
                <w:w w:val="99"/>
              </w:rPr>
              <w:t>—</w:t>
            </w:r>
          </w:p>
        </w:tc>
        <w:tc>
          <w:tcPr>
            <w:tcW w:w="100" w:type="dxa"/>
            <w:vAlign w:val="bottom"/>
          </w:tcPr>
          <w:p>
            <w:pPr>
              <w:spacing w:after="0"/>
              <w:rPr>
                <w:sz w:val="8"/>
                <w:szCs w:val="8"/>
                <w:color w:val="auto"/>
              </w:rPr>
            </w:pPr>
          </w:p>
        </w:tc>
        <w:tc>
          <w:tcPr>
            <w:tcW w:w="820" w:type="dxa"/>
            <w:vAlign w:val="bottom"/>
          </w:tcPr>
          <w:p>
            <w:pPr>
              <w:jc w:val="right"/>
              <w:ind w:right="253"/>
              <w:spacing w:after="0" w:line="99"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8"/>
                <w:szCs w:val="8"/>
                <w:color w:val="auto"/>
              </w:rPr>
            </w:pPr>
          </w:p>
        </w:tc>
        <w:tc>
          <w:tcPr>
            <w:tcW w:w="880" w:type="dxa"/>
            <w:vAlign w:val="bottom"/>
          </w:tcPr>
          <w:p>
            <w:pPr>
              <w:jc w:val="right"/>
              <w:ind w:right="193"/>
              <w:spacing w:after="0" w:line="99"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280" w:type="dxa"/>
            <w:vAlign w:val="bottom"/>
          </w:tcPr>
          <w:p>
            <w:pPr>
              <w:ind w:left="80"/>
              <w:spacing w:after="0" w:line="112" w:lineRule="exact"/>
              <w:rPr>
                <w:sz w:val="20"/>
                <w:szCs w:val="20"/>
                <w:color w:val="auto"/>
              </w:rPr>
            </w:pPr>
            <w:r>
              <w:rPr>
                <w:rFonts w:ascii="Arial" w:cs="Arial" w:eastAsia="Arial" w:hAnsi="Arial"/>
                <w:sz w:val="10"/>
                <w:szCs w:val="10"/>
                <w:color w:val="auto"/>
              </w:rPr>
              <w:t>Change in Control</w:t>
            </w:r>
            <w:r>
              <w:rPr>
                <w:rFonts w:ascii="Arial" w:cs="Arial" w:eastAsia="Arial" w:hAnsi="Arial"/>
                <w:sz w:val="8"/>
                <w:szCs w:val="8"/>
                <w:color w:val="auto"/>
              </w:rPr>
              <w:t>(6)</w:t>
            </w:r>
          </w:p>
        </w:tc>
        <w:tc>
          <w:tcPr>
            <w:tcW w:w="80" w:type="dxa"/>
            <w:vAlign w:val="bottom"/>
          </w:tcPr>
          <w:p>
            <w:pPr>
              <w:spacing w:after="0"/>
              <w:rPr>
                <w:sz w:val="9"/>
                <w:szCs w:val="9"/>
                <w:color w:val="auto"/>
              </w:rPr>
            </w:pPr>
          </w:p>
        </w:tc>
        <w:tc>
          <w:tcPr>
            <w:tcW w:w="940" w:type="dxa"/>
            <w:vAlign w:val="bottom"/>
          </w:tcPr>
          <w:p>
            <w:pPr>
              <w:jc w:val="right"/>
              <w:ind w:right="233"/>
              <w:spacing w:after="0" w:line="112"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920" w:type="dxa"/>
            <w:vAlign w:val="bottom"/>
          </w:tcPr>
          <w:p>
            <w:pPr>
              <w:jc w:val="right"/>
              <w:ind w:right="233"/>
              <w:spacing w:after="0" w:line="112"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40" w:type="dxa"/>
            <w:vAlign w:val="bottom"/>
          </w:tcPr>
          <w:p>
            <w:pPr>
              <w:jc w:val="right"/>
              <w:ind w:right="174"/>
              <w:spacing w:after="0" w:line="112"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940" w:type="dxa"/>
            <w:vAlign w:val="bottom"/>
          </w:tcPr>
          <w:p>
            <w:pPr>
              <w:jc w:val="right"/>
              <w:ind w:right="235"/>
              <w:spacing w:after="0" w:line="112"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900" w:type="dxa"/>
            <w:vAlign w:val="bottom"/>
          </w:tcPr>
          <w:p>
            <w:pPr>
              <w:jc w:val="right"/>
              <w:ind w:right="194"/>
              <w:spacing w:after="0" w:line="112"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00" w:type="dxa"/>
            <w:vAlign w:val="bottom"/>
          </w:tcPr>
          <w:p>
            <w:pPr>
              <w:jc w:val="center"/>
              <w:spacing w:after="0" w:line="112" w:lineRule="exact"/>
              <w:rPr>
                <w:sz w:val="20"/>
                <w:szCs w:val="20"/>
                <w:color w:val="auto"/>
              </w:rPr>
            </w:pPr>
            <w:r>
              <w:rPr>
                <w:rFonts w:ascii="Arial" w:cs="Arial" w:eastAsia="Arial" w:hAnsi="Arial"/>
                <w:sz w:val="10"/>
                <w:szCs w:val="10"/>
                <w:color w:val="auto"/>
                <w:w w:val="99"/>
              </w:rPr>
              <w:t>—</w:t>
            </w:r>
          </w:p>
        </w:tc>
        <w:tc>
          <w:tcPr>
            <w:tcW w:w="100" w:type="dxa"/>
            <w:vAlign w:val="bottom"/>
          </w:tcPr>
          <w:p>
            <w:pPr>
              <w:spacing w:after="0"/>
              <w:rPr>
                <w:sz w:val="9"/>
                <w:szCs w:val="9"/>
                <w:color w:val="auto"/>
              </w:rPr>
            </w:pPr>
          </w:p>
        </w:tc>
        <w:tc>
          <w:tcPr>
            <w:tcW w:w="820" w:type="dxa"/>
            <w:vAlign w:val="bottom"/>
          </w:tcPr>
          <w:p>
            <w:pPr>
              <w:jc w:val="right"/>
              <w:ind w:right="253"/>
              <w:spacing w:after="0" w:line="112"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80" w:type="dxa"/>
            <w:vAlign w:val="bottom"/>
          </w:tcPr>
          <w:p>
            <w:pPr>
              <w:jc w:val="right"/>
              <w:ind w:right="193"/>
              <w:spacing w:after="0" w:line="112"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280" w:type="dxa"/>
            <w:vAlign w:val="bottom"/>
            <w:shd w:val="clear" w:color="auto" w:fill="CCEEFF"/>
          </w:tcPr>
          <w:p>
            <w:pPr>
              <w:spacing w:after="0" w:line="87" w:lineRule="exact"/>
              <w:rPr>
                <w:sz w:val="20"/>
                <w:szCs w:val="20"/>
                <w:color w:val="auto"/>
              </w:rPr>
            </w:pPr>
            <w:r>
              <w:rPr>
                <w:rFonts w:ascii="Arial" w:cs="Arial" w:eastAsia="Arial" w:hAnsi="Arial"/>
                <w:sz w:val="10"/>
                <w:szCs w:val="10"/>
                <w:b w:val="1"/>
                <w:bCs w:val="1"/>
                <w:color w:val="auto"/>
              </w:rPr>
              <w:t>Arthur R. Block</w:t>
            </w:r>
          </w:p>
        </w:tc>
        <w:tc>
          <w:tcPr>
            <w:tcW w:w="8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280" w:type="dxa"/>
            <w:vAlign w:val="bottom"/>
            <w:shd w:val="clear" w:color="auto" w:fill="CCEEFF"/>
          </w:tcPr>
          <w:p>
            <w:pPr>
              <w:ind w:left="80"/>
              <w:spacing w:after="0" w:line="99" w:lineRule="exact"/>
              <w:rPr>
                <w:sz w:val="20"/>
                <w:szCs w:val="20"/>
                <w:color w:val="auto"/>
              </w:rPr>
            </w:pPr>
            <w:r>
              <w:rPr>
                <w:rFonts w:ascii="Arial" w:cs="Arial" w:eastAsia="Arial" w:hAnsi="Arial"/>
                <w:sz w:val="10"/>
                <w:szCs w:val="10"/>
                <w:color w:val="auto"/>
              </w:rPr>
              <w:t>Without Cause/With Good</w:t>
            </w:r>
          </w:p>
        </w:tc>
        <w:tc>
          <w:tcPr>
            <w:tcW w:w="8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280" w:type="dxa"/>
            <w:vAlign w:val="bottom"/>
            <w:shd w:val="clear" w:color="auto" w:fill="CCEEFF"/>
          </w:tcPr>
          <w:p>
            <w:pPr>
              <w:ind w:left="80"/>
              <w:spacing w:after="0" w:line="99" w:lineRule="exact"/>
              <w:rPr>
                <w:sz w:val="20"/>
                <w:szCs w:val="20"/>
                <w:color w:val="auto"/>
              </w:rPr>
            </w:pPr>
            <w:r>
              <w:rPr>
                <w:rFonts w:ascii="Arial" w:cs="Arial" w:eastAsia="Arial" w:hAnsi="Arial"/>
                <w:sz w:val="10"/>
                <w:szCs w:val="10"/>
                <w:color w:val="auto"/>
              </w:rPr>
              <w:t>Reason</w:t>
            </w:r>
            <w:r>
              <w:rPr>
                <w:rFonts w:ascii="Arial" w:cs="Arial" w:eastAsia="Arial" w:hAnsi="Arial"/>
                <w:sz w:val="8"/>
                <w:szCs w:val="8"/>
                <w:color w:val="auto"/>
              </w:rPr>
              <w:t>(7)</w:t>
            </w:r>
          </w:p>
        </w:tc>
        <w:tc>
          <w:tcPr>
            <w:tcW w:w="80" w:type="dxa"/>
            <w:vAlign w:val="bottom"/>
            <w:shd w:val="clear" w:color="auto" w:fill="CCEEFF"/>
          </w:tcPr>
          <w:p>
            <w:pPr>
              <w:spacing w:after="0"/>
              <w:rPr>
                <w:sz w:val="8"/>
                <w:szCs w:val="8"/>
                <w:color w:val="auto"/>
              </w:rPr>
            </w:pPr>
          </w:p>
        </w:tc>
        <w:tc>
          <w:tcPr>
            <w:tcW w:w="940" w:type="dxa"/>
            <w:vAlign w:val="bottom"/>
            <w:shd w:val="clear" w:color="auto" w:fill="CCEEFF"/>
          </w:tcPr>
          <w:p>
            <w:pPr>
              <w:jc w:val="right"/>
              <w:ind w:right="233"/>
              <w:spacing w:after="0" w:line="99" w:lineRule="exact"/>
              <w:rPr>
                <w:sz w:val="20"/>
                <w:szCs w:val="20"/>
                <w:color w:val="auto"/>
              </w:rPr>
            </w:pPr>
            <w:r>
              <w:rPr>
                <w:rFonts w:ascii="Arial" w:cs="Arial" w:eastAsia="Arial" w:hAnsi="Arial"/>
                <w:sz w:val="10"/>
                <w:szCs w:val="10"/>
                <w:color w:val="auto"/>
              </w:rPr>
              <w:t>1,800,000</w:t>
            </w:r>
          </w:p>
        </w:tc>
        <w:tc>
          <w:tcPr>
            <w:tcW w:w="1000" w:type="dxa"/>
            <w:vAlign w:val="bottom"/>
            <w:gridSpan w:val="2"/>
            <w:shd w:val="clear" w:color="auto" w:fill="CCEEFF"/>
          </w:tcPr>
          <w:p>
            <w:pPr>
              <w:jc w:val="right"/>
              <w:ind w:right="233"/>
              <w:spacing w:after="0" w:line="99" w:lineRule="exact"/>
              <w:rPr>
                <w:sz w:val="20"/>
                <w:szCs w:val="20"/>
                <w:color w:val="auto"/>
              </w:rPr>
            </w:pPr>
            <w:r>
              <w:rPr>
                <w:rFonts w:ascii="Arial" w:cs="Arial" w:eastAsia="Arial" w:hAnsi="Arial"/>
                <w:sz w:val="10"/>
                <w:szCs w:val="10"/>
                <w:color w:val="auto"/>
              </w:rPr>
              <w:t>816,016</w:t>
            </w:r>
          </w:p>
        </w:tc>
        <w:tc>
          <w:tcPr>
            <w:tcW w:w="920" w:type="dxa"/>
            <w:vAlign w:val="bottom"/>
            <w:gridSpan w:val="2"/>
            <w:shd w:val="clear" w:color="auto" w:fill="CCEEFF"/>
          </w:tcPr>
          <w:p>
            <w:pPr>
              <w:jc w:val="right"/>
              <w:ind w:right="174"/>
              <w:spacing w:after="0" w:line="99" w:lineRule="exact"/>
              <w:rPr>
                <w:sz w:val="20"/>
                <w:szCs w:val="20"/>
                <w:color w:val="auto"/>
              </w:rPr>
            </w:pPr>
            <w:r>
              <w:rPr>
                <w:rFonts w:ascii="Arial" w:cs="Arial" w:eastAsia="Arial" w:hAnsi="Arial"/>
                <w:sz w:val="10"/>
                <w:szCs w:val="10"/>
                <w:color w:val="auto"/>
              </w:rPr>
              <w:t>816,016</w:t>
            </w:r>
          </w:p>
        </w:tc>
        <w:tc>
          <w:tcPr>
            <w:tcW w:w="1020" w:type="dxa"/>
            <w:vAlign w:val="bottom"/>
            <w:gridSpan w:val="2"/>
            <w:shd w:val="clear" w:color="auto" w:fill="CCEEFF"/>
          </w:tcPr>
          <w:p>
            <w:pPr>
              <w:jc w:val="right"/>
              <w:ind w:right="235"/>
              <w:spacing w:after="0" w:line="99" w:lineRule="exact"/>
              <w:rPr>
                <w:sz w:val="20"/>
                <w:szCs w:val="20"/>
                <w:color w:val="auto"/>
              </w:rPr>
            </w:pPr>
            <w:r>
              <w:rPr>
                <w:rFonts w:ascii="Arial" w:cs="Arial" w:eastAsia="Arial" w:hAnsi="Arial"/>
                <w:sz w:val="10"/>
                <w:szCs w:val="10"/>
                <w:color w:val="auto"/>
              </w:rPr>
              <w:t>656</w:t>
            </w:r>
          </w:p>
        </w:tc>
        <w:tc>
          <w:tcPr>
            <w:tcW w:w="980" w:type="dxa"/>
            <w:vAlign w:val="bottom"/>
            <w:gridSpan w:val="2"/>
            <w:shd w:val="clear" w:color="auto" w:fill="CCEEFF"/>
          </w:tcPr>
          <w:p>
            <w:pPr>
              <w:jc w:val="right"/>
              <w:ind w:right="194"/>
              <w:spacing w:after="0" w:line="99" w:lineRule="exact"/>
              <w:rPr>
                <w:sz w:val="20"/>
                <w:szCs w:val="20"/>
                <w:color w:val="auto"/>
              </w:rPr>
            </w:pPr>
            <w:r>
              <w:rPr>
                <w:rFonts w:ascii="Arial" w:cs="Arial" w:eastAsia="Arial" w:hAnsi="Arial"/>
                <w:sz w:val="10"/>
                <w:szCs w:val="10"/>
                <w:color w:val="auto"/>
              </w:rPr>
              <w:t>687,382</w:t>
            </w:r>
          </w:p>
        </w:tc>
        <w:tc>
          <w:tcPr>
            <w:tcW w:w="80" w:type="dxa"/>
            <w:vAlign w:val="bottom"/>
            <w:shd w:val="clear" w:color="auto" w:fill="CCEEFF"/>
          </w:tcPr>
          <w:p>
            <w:pPr>
              <w:spacing w:after="0"/>
              <w:rPr>
                <w:sz w:val="8"/>
                <w:szCs w:val="8"/>
                <w:color w:val="auto"/>
              </w:rPr>
            </w:pPr>
          </w:p>
        </w:tc>
        <w:tc>
          <w:tcPr>
            <w:tcW w:w="800" w:type="dxa"/>
            <w:vAlign w:val="bottom"/>
            <w:shd w:val="clear" w:color="auto" w:fill="CCEEFF"/>
          </w:tcPr>
          <w:p>
            <w:pPr>
              <w:jc w:val="center"/>
              <w:spacing w:after="0" w:line="99" w:lineRule="exact"/>
              <w:rPr>
                <w:sz w:val="20"/>
                <w:szCs w:val="20"/>
                <w:color w:val="auto"/>
              </w:rPr>
            </w:pPr>
            <w:r>
              <w:rPr>
                <w:rFonts w:ascii="Arial" w:cs="Arial" w:eastAsia="Arial" w:hAnsi="Arial"/>
                <w:sz w:val="10"/>
                <w:szCs w:val="10"/>
                <w:color w:val="auto"/>
                <w:w w:val="99"/>
              </w:rPr>
              <w:t>—</w:t>
            </w:r>
          </w:p>
        </w:tc>
        <w:tc>
          <w:tcPr>
            <w:tcW w:w="920" w:type="dxa"/>
            <w:vAlign w:val="bottom"/>
            <w:gridSpan w:val="2"/>
            <w:shd w:val="clear" w:color="auto" w:fill="CCEEFF"/>
          </w:tcPr>
          <w:p>
            <w:pPr>
              <w:jc w:val="right"/>
              <w:ind w:right="253"/>
              <w:spacing w:after="0" w:line="99" w:lineRule="exact"/>
              <w:rPr>
                <w:sz w:val="20"/>
                <w:szCs w:val="20"/>
                <w:color w:val="auto"/>
              </w:rPr>
            </w:pPr>
            <w:r>
              <w:rPr>
                <w:rFonts w:ascii="Arial" w:cs="Arial" w:eastAsia="Arial" w:hAnsi="Arial"/>
                <w:sz w:val="10"/>
                <w:szCs w:val="10"/>
                <w:color w:val="auto"/>
              </w:rPr>
              <w:t>25,746</w:t>
            </w:r>
          </w:p>
        </w:tc>
        <w:tc>
          <w:tcPr>
            <w:tcW w:w="960" w:type="dxa"/>
            <w:vAlign w:val="bottom"/>
            <w:gridSpan w:val="2"/>
            <w:shd w:val="clear" w:color="auto" w:fill="CCEEFF"/>
          </w:tcPr>
          <w:p>
            <w:pPr>
              <w:jc w:val="right"/>
              <w:ind w:right="193"/>
              <w:spacing w:after="0" w:line="99" w:lineRule="exact"/>
              <w:rPr>
                <w:sz w:val="20"/>
                <w:szCs w:val="20"/>
                <w:color w:val="auto"/>
              </w:rPr>
            </w:pPr>
            <w:r>
              <w:rPr>
                <w:rFonts w:ascii="Arial" w:cs="Arial" w:eastAsia="Arial" w:hAnsi="Arial"/>
                <w:sz w:val="10"/>
                <w:szCs w:val="10"/>
                <w:color w:val="auto"/>
              </w:rPr>
              <w:t>4,145,816</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280" w:type="dxa"/>
            <w:vAlign w:val="bottom"/>
            <w:shd w:val="clear" w:color="auto" w:fill="CCEEFF"/>
          </w:tcPr>
          <w:p>
            <w:pPr>
              <w:ind w:left="80"/>
              <w:spacing w:after="0" w:line="99" w:lineRule="exact"/>
              <w:rPr>
                <w:sz w:val="20"/>
                <w:szCs w:val="20"/>
                <w:color w:val="auto"/>
              </w:rPr>
            </w:pPr>
            <w:r>
              <w:rPr>
                <w:rFonts w:ascii="Arial" w:cs="Arial" w:eastAsia="Arial" w:hAnsi="Arial"/>
                <w:sz w:val="10"/>
                <w:szCs w:val="10"/>
                <w:color w:val="auto"/>
              </w:rPr>
              <w:t>Death</w:t>
            </w:r>
            <w:r>
              <w:rPr>
                <w:rFonts w:ascii="Arial" w:cs="Arial" w:eastAsia="Arial" w:hAnsi="Arial"/>
                <w:sz w:val="8"/>
                <w:szCs w:val="8"/>
                <w:color w:val="auto"/>
              </w:rPr>
              <w:t>(8)</w:t>
            </w:r>
          </w:p>
        </w:tc>
        <w:tc>
          <w:tcPr>
            <w:tcW w:w="80" w:type="dxa"/>
            <w:vAlign w:val="bottom"/>
            <w:shd w:val="clear" w:color="auto" w:fill="CCEEFF"/>
          </w:tcPr>
          <w:p>
            <w:pPr>
              <w:spacing w:after="0"/>
              <w:rPr>
                <w:sz w:val="8"/>
                <w:szCs w:val="8"/>
                <w:color w:val="auto"/>
              </w:rPr>
            </w:pPr>
          </w:p>
        </w:tc>
        <w:tc>
          <w:tcPr>
            <w:tcW w:w="940" w:type="dxa"/>
            <w:vAlign w:val="bottom"/>
            <w:shd w:val="clear" w:color="auto" w:fill="CCEEFF"/>
          </w:tcPr>
          <w:p>
            <w:pPr>
              <w:jc w:val="right"/>
              <w:ind w:right="233"/>
              <w:spacing w:after="0" w:line="99" w:lineRule="exact"/>
              <w:rPr>
                <w:sz w:val="20"/>
                <w:szCs w:val="20"/>
                <w:color w:val="auto"/>
              </w:rPr>
            </w:pPr>
            <w:r>
              <w:rPr>
                <w:rFonts w:ascii="Arial" w:cs="Arial" w:eastAsia="Arial" w:hAnsi="Arial"/>
                <w:sz w:val="10"/>
                <w:szCs w:val="10"/>
                <w:color w:val="auto"/>
              </w:rPr>
              <w:t>225,000</w:t>
            </w:r>
          </w:p>
        </w:tc>
        <w:tc>
          <w:tcPr>
            <w:tcW w:w="80" w:type="dxa"/>
            <w:vAlign w:val="bottom"/>
            <w:shd w:val="clear" w:color="auto" w:fill="CCEEFF"/>
          </w:tcPr>
          <w:p>
            <w:pPr>
              <w:spacing w:after="0"/>
              <w:rPr>
                <w:sz w:val="8"/>
                <w:szCs w:val="8"/>
                <w:color w:val="auto"/>
              </w:rPr>
            </w:pPr>
          </w:p>
        </w:tc>
        <w:tc>
          <w:tcPr>
            <w:tcW w:w="920" w:type="dxa"/>
            <w:vAlign w:val="bottom"/>
            <w:shd w:val="clear" w:color="auto" w:fill="CCEEFF"/>
          </w:tcPr>
          <w:p>
            <w:pPr>
              <w:jc w:val="right"/>
              <w:ind w:right="233"/>
              <w:spacing w:after="0" w:line="99" w:lineRule="exact"/>
              <w:rPr>
                <w:sz w:val="20"/>
                <w:szCs w:val="20"/>
                <w:color w:val="auto"/>
              </w:rPr>
            </w:pPr>
            <w:r>
              <w:rPr>
                <w:rFonts w:ascii="Arial" w:cs="Arial" w:eastAsia="Arial" w:hAnsi="Arial"/>
                <w:sz w:val="10"/>
                <w:szCs w:val="10"/>
                <w:color w:val="auto"/>
              </w:rPr>
              <w:t>—</w:t>
            </w:r>
          </w:p>
        </w:tc>
        <w:tc>
          <w:tcPr>
            <w:tcW w:w="920" w:type="dxa"/>
            <w:vAlign w:val="bottom"/>
            <w:gridSpan w:val="2"/>
            <w:shd w:val="clear" w:color="auto" w:fill="CCEEFF"/>
          </w:tcPr>
          <w:p>
            <w:pPr>
              <w:jc w:val="right"/>
              <w:ind w:right="174"/>
              <w:spacing w:after="0" w:line="99" w:lineRule="exact"/>
              <w:rPr>
                <w:sz w:val="20"/>
                <w:szCs w:val="20"/>
                <w:color w:val="auto"/>
              </w:rPr>
            </w:pPr>
            <w:r>
              <w:rPr>
                <w:rFonts w:ascii="Arial" w:cs="Arial" w:eastAsia="Arial" w:hAnsi="Arial"/>
                <w:sz w:val="10"/>
                <w:szCs w:val="10"/>
                <w:color w:val="auto"/>
              </w:rPr>
              <w:t>816,016</w:t>
            </w:r>
          </w:p>
        </w:tc>
        <w:tc>
          <w:tcPr>
            <w:tcW w:w="1020" w:type="dxa"/>
            <w:vAlign w:val="bottom"/>
            <w:gridSpan w:val="2"/>
            <w:shd w:val="clear" w:color="auto" w:fill="CCEEFF"/>
          </w:tcPr>
          <w:p>
            <w:pPr>
              <w:jc w:val="right"/>
              <w:ind w:right="235"/>
              <w:spacing w:after="0" w:line="99" w:lineRule="exact"/>
              <w:rPr>
                <w:sz w:val="20"/>
                <w:szCs w:val="20"/>
                <w:color w:val="auto"/>
              </w:rPr>
            </w:pPr>
            <w:r>
              <w:rPr>
                <w:rFonts w:ascii="Arial" w:cs="Arial" w:eastAsia="Arial" w:hAnsi="Arial"/>
                <w:sz w:val="10"/>
                <w:szCs w:val="10"/>
                <w:color w:val="auto"/>
              </w:rPr>
              <w:t>329,089</w:t>
            </w:r>
          </w:p>
        </w:tc>
        <w:tc>
          <w:tcPr>
            <w:tcW w:w="980" w:type="dxa"/>
            <w:vAlign w:val="bottom"/>
            <w:gridSpan w:val="2"/>
            <w:shd w:val="clear" w:color="auto" w:fill="CCEEFF"/>
          </w:tcPr>
          <w:p>
            <w:pPr>
              <w:jc w:val="right"/>
              <w:ind w:right="194"/>
              <w:spacing w:after="0" w:line="99" w:lineRule="exact"/>
              <w:rPr>
                <w:sz w:val="20"/>
                <w:szCs w:val="20"/>
                <w:color w:val="auto"/>
              </w:rPr>
            </w:pPr>
            <w:r>
              <w:rPr>
                <w:rFonts w:ascii="Arial" w:cs="Arial" w:eastAsia="Arial" w:hAnsi="Arial"/>
                <w:sz w:val="10"/>
                <w:szCs w:val="10"/>
                <w:color w:val="auto"/>
              </w:rPr>
              <w:t>4,424,233</w:t>
            </w:r>
          </w:p>
        </w:tc>
        <w:tc>
          <w:tcPr>
            <w:tcW w:w="80" w:type="dxa"/>
            <w:vAlign w:val="bottom"/>
            <w:shd w:val="clear" w:color="auto" w:fill="CCEEFF"/>
          </w:tcPr>
          <w:p>
            <w:pPr>
              <w:spacing w:after="0"/>
              <w:rPr>
                <w:sz w:val="8"/>
                <w:szCs w:val="8"/>
                <w:color w:val="auto"/>
              </w:rPr>
            </w:pPr>
          </w:p>
        </w:tc>
        <w:tc>
          <w:tcPr>
            <w:tcW w:w="800" w:type="dxa"/>
            <w:vAlign w:val="bottom"/>
            <w:shd w:val="clear" w:color="auto" w:fill="CCEEFF"/>
          </w:tcPr>
          <w:p>
            <w:pPr>
              <w:jc w:val="center"/>
              <w:spacing w:after="0" w:line="99" w:lineRule="exact"/>
              <w:rPr>
                <w:sz w:val="20"/>
                <w:szCs w:val="20"/>
                <w:color w:val="auto"/>
              </w:rPr>
            </w:pPr>
            <w:r>
              <w:rPr>
                <w:rFonts w:ascii="Arial" w:cs="Arial" w:eastAsia="Arial" w:hAnsi="Arial"/>
                <w:sz w:val="10"/>
                <w:szCs w:val="10"/>
                <w:color w:val="auto"/>
                <w:w w:val="99"/>
              </w:rPr>
              <w:t>—</w:t>
            </w:r>
          </w:p>
        </w:tc>
        <w:tc>
          <w:tcPr>
            <w:tcW w:w="100" w:type="dxa"/>
            <w:vAlign w:val="bottom"/>
            <w:shd w:val="clear" w:color="auto" w:fill="CCEEFF"/>
          </w:tcPr>
          <w:p>
            <w:pPr>
              <w:spacing w:after="0"/>
              <w:rPr>
                <w:sz w:val="8"/>
                <w:szCs w:val="8"/>
                <w:color w:val="auto"/>
              </w:rPr>
            </w:pPr>
          </w:p>
        </w:tc>
        <w:tc>
          <w:tcPr>
            <w:tcW w:w="820" w:type="dxa"/>
            <w:vAlign w:val="bottom"/>
            <w:shd w:val="clear" w:color="auto" w:fill="CCEEFF"/>
          </w:tcPr>
          <w:p>
            <w:pPr>
              <w:jc w:val="right"/>
              <w:ind w:right="253"/>
              <w:spacing w:after="0" w:line="99" w:lineRule="exact"/>
              <w:rPr>
                <w:sz w:val="20"/>
                <w:szCs w:val="20"/>
                <w:color w:val="auto"/>
              </w:rPr>
            </w:pPr>
            <w:r>
              <w:rPr>
                <w:rFonts w:ascii="Arial" w:cs="Arial" w:eastAsia="Arial" w:hAnsi="Arial"/>
                <w:sz w:val="10"/>
                <w:szCs w:val="10"/>
                <w:color w:val="auto"/>
              </w:rPr>
              <w:t>—</w:t>
            </w:r>
          </w:p>
        </w:tc>
        <w:tc>
          <w:tcPr>
            <w:tcW w:w="960" w:type="dxa"/>
            <w:vAlign w:val="bottom"/>
            <w:gridSpan w:val="2"/>
            <w:shd w:val="clear" w:color="auto" w:fill="CCEEFF"/>
          </w:tcPr>
          <w:p>
            <w:pPr>
              <w:jc w:val="right"/>
              <w:ind w:right="193"/>
              <w:spacing w:after="0" w:line="99" w:lineRule="exact"/>
              <w:rPr>
                <w:sz w:val="20"/>
                <w:szCs w:val="20"/>
                <w:color w:val="auto"/>
              </w:rPr>
            </w:pPr>
            <w:r>
              <w:rPr>
                <w:rFonts w:ascii="Arial" w:cs="Arial" w:eastAsia="Arial" w:hAnsi="Arial"/>
                <w:sz w:val="10"/>
                <w:szCs w:val="10"/>
                <w:color w:val="auto"/>
              </w:rPr>
              <w:t>5,794,338</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280" w:type="dxa"/>
            <w:vAlign w:val="bottom"/>
            <w:shd w:val="clear" w:color="auto" w:fill="CCEEFF"/>
          </w:tcPr>
          <w:p>
            <w:pPr>
              <w:ind w:left="80"/>
              <w:spacing w:after="0" w:line="99" w:lineRule="exact"/>
              <w:rPr>
                <w:sz w:val="20"/>
                <w:szCs w:val="20"/>
                <w:color w:val="auto"/>
              </w:rPr>
            </w:pPr>
            <w:r>
              <w:rPr>
                <w:rFonts w:ascii="Arial" w:cs="Arial" w:eastAsia="Arial" w:hAnsi="Arial"/>
                <w:sz w:val="10"/>
                <w:szCs w:val="10"/>
                <w:color w:val="auto"/>
              </w:rPr>
              <w:t>Disability</w:t>
            </w:r>
            <w:r>
              <w:rPr>
                <w:rFonts w:ascii="Arial" w:cs="Arial" w:eastAsia="Arial" w:hAnsi="Arial"/>
                <w:sz w:val="8"/>
                <w:szCs w:val="8"/>
                <w:color w:val="auto"/>
              </w:rPr>
              <w:t>(8)</w:t>
            </w:r>
          </w:p>
        </w:tc>
        <w:tc>
          <w:tcPr>
            <w:tcW w:w="80" w:type="dxa"/>
            <w:vAlign w:val="bottom"/>
            <w:shd w:val="clear" w:color="auto" w:fill="CCEEFF"/>
          </w:tcPr>
          <w:p>
            <w:pPr>
              <w:spacing w:after="0"/>
              <w:rPr>
                <w:sz w:val="8"/>
                <w:szCs w:val="8"/>
                <w:color w:val="auto"/>
              </w:rPr>
            </w:pPr>
          </w:p>
        </w:tc>
        <w:tc>
          <w:tcPr>
            <w:tcW w:w="940" w:type="dxa"/>
            <w:vAlign w:val="bottom"/>
            <w:shd w:val="clear" w:color="auto" w:fill="CCEEFF"/>
          </w:tcPr>
          <w:p>
            <w:pPr>
              <w:jc w:val="right"/>
              <w:ind w:right="233"/>
              <w:spacing w:after="0" w:line="99" w:lineRule="exact"/>
              <w:rPr>
                <w:sz w:val="20"/>
                <w:szCs w:val="20"/>
                <w:color w:val="auto"/>
              </w:rPr>
            </w:pPr>
            <w:r>
              <w:rPr>
                <w:rFonts w:ascii="Arial" w:cs="Arial" w:eastAsia="Arial" w:hAnsi="Arial"/>
                <w:sz w:val="10"/>
                <w:szCs w:val="10"/>
                <w:color w:val="auto"/>
              </w:rPr>
              <w:t>225,000</w:t>
            </w:r>
          </w:p>
        </w:tc>
        <w:tc>
          <w:tcPr>
            <w:tcW w:w="80" w:type="dxa"/>
            <w:vAlign w:val="bottom"/>
            <w:shd w:val="clear" w:color="auto" w:fill="CCEEFF"/>
          </w:tcPr>
          <w:p>
            <w:pPr>
              <w:spacing w:after="0"/>
              <w:rPr>
                <w:sz w:val="8"/>
                <w:szCs w:val="8"/>
                <w:color w:val="auto"/>
              </w:rPr>
            </w:pPr>
          </w:p>
        </w:tc>
        <w:tc>
          <w:tcPr>
            <w:tcW w:w="920" w:type="dxa"/>
            <w:vAlign w:val="bottom"/>
            <w:shd w:val="clear" w:color="auto" w:fill="CCEEFF"/>
          </w:tcPr>
          <w:p>
            <w:pPr>
              <w:jc w:val="right"/>
              <w:ind w:right="233"/>
              <w:spacing w:after="0" w:line="99" w:lineRule="exact"/>
              <w:rPr>
                <w:sz w:val="20"/>
                <w:szCs w:val="20"/>
                <w:color w:val="auto"/>
              </w:rPr>
            </w:pPr>
            <w:r>
              <w:rPr>
                <w:rFonts w:ascii="Arial" w:cs="Arial" w:eastAsia="Arial" w:hAnsi="Arial"/>
                <w:sz w:val="10"/>
                <w:szCs w:val="10"/>
                <w:color w:val="auto"/>
              </w:rPr>
              <w:t>—</w:t>
            </w:r>
          </w:p>
        </w:tc>
        <w:tc>
          <w:tcPr>
            <w:tcW w:w="920" w:type="dxa"/>
            <w:vAlign w:val="bottom"/>
            <w:gridSpan w:val="2"/>
            <w:shd w:val="clear" w:color="auto" w:fill="CCEEFF"/>
          </w:tcPr>
          <w:p>
            <w:pPr>
              <w:jc w:val="right"/>
              <w:ind w:right="174"/>
              <w:spacing w:after="0" w:line="99" w:lineRule="exact"/>
              <w:rPr>
                <w:sz w:val="20"/>
                <w:szCs w:val="20"/>
                <w:color w:val="auto"/>
              </w:rPr>
            </w:pPr>
            <w:r>
              <w:rPr>
                <w:rFonts w:ascii="Arial" w:cs="Arial" w:eastAsia="Arial" w:hAnsi="Arial"/>
                <w:sz w:val="10"/>
                <w:szCs w:val="10"/>
                <w:color w:val="auto"/>
              </w:rPr>
              <w:t>816,016</w:t>
            </w:r>
          </w:p>
        </w:tc>
        <w:tc>
          <w:tcPr>
            <w:tcW w:w="1020" w:type="dxa"/>
            <w:vAlign w:val="bottom"/>
            <w:gridSpan w:val="2"/>
            <w:shd w:val="clear" w:color="auto" w:fill="CCEEFF"/>
          </w:tcPr>
          <w:p>
            <w:pPr>
              <w:jc w:val="right"/>
              <w:ind w:right="235"/>
              <w:spacing w:after="0" w:line="99" w:lineRule="exact"/>
              <w:rPr>
                <w:sz w:val="20"/>
                <w:szCs w:val="20"/>
                <w:color w:val="auto"/>
              </w:rPr>
            </w:pPr>
            <w:r>
              <w:rPr>
                <w:rFonts w:ascii="Arial" w:cs="Arial" w:eastAsia="Arial" w:hAnsi="Arial"/>
                <w:sz w:val="10"/>
                <w:szCs w:val="10"/>
                <w:color w:val="auto"/>
              </w:rPr>
              <w:t>329,089</w:t>
            </w:r>
          </w:p>
        </w:tc>
        <w:tc>
          <w:tcPr>
            <w:tcW w:w="980" w:type="dxa"/>
            <w:vAlign w:val="bottom"/>
            <w:gridSpan w:val="2"/>
            <w:shd w:val="clear" w:color="auto" w:fill="CCEEFF"/>
          </w:tcPr>
          <w:p>
            <w:pPr>
              <w:jc w:val="right"/>
              <w:ind w:right="194"/>
              <w:spacing w:after="0" w:line="99" w:lineRule="exact"/>
              <w:rPr>
                <w:sz w:val="20"/>
                <w:szCs w:val="20"/>
                <w:color w:val="auto"/>
              </w:rPr>
            </w:pPr>
            <w:r>
              <w:rPr>
                <w:rFonts w:ascii="Arial" w:cs="Arial" w:eastAsia="Arial" w:hAnsi="Arial"/>
                <w:sz w:val="10"/>
                <w:szCs w:val="10"/>
                <w:color w:val="auto"/>
              </w:rPr>
              <w:t>4,424,233</w:t>
            </w:r>
          </w:p>
        </w:tc>
        <w:tc>
          <w:tcPr>
            <w:tcW w:w="80" w:type="dxa"/>
            <w:vAlign w:val="bottom"/>
            <w:shd w:val="clear" w:color="auto" w:fill="CCEEFF"/>
          </w:tcPr>
          <w:p>
            <w:pPr>
              <w:spacing w:after="0"/>
              <w:rPr>
                <w:sz w:val="8"/>
                <w:szCs w:val="8"/>
                <w:color w:val="auto"/>
              </w:rPr>
            </w:pPr>
          </w:p>
        </w:tc>
        <w:tc>
          <w:tcPr>
            <w:tcW w:w="800" w:type="dxa"/>
            <w:vAlign w:val="bottom"/>
            <w:shd w:val="clear" w:color="auto" w:fill="CCEEFF"/>
          </w:tcPr>
          <w:p>
            <w:pPr>
              <w:jc w:val="center"/>
              <w:spacing w:after="0" w:line="99" w:lineRule="exact"/>
              <w:rPr>
                <w:sz w:val="20"/>
                <w:szCs w:val="20"/>
                <w:color w:val="auto"/>
              </w:rPr>
            </w:pPr>
            <w:r>
              <w:rPr>
                <w:rFonts w:ascii="Arial" w:cs="Arial" w:eastAsia="Arial" w:hAnsi="Arial"/>
                <w:sz w:val="10"/>
                <w:szCs w:val="10"/>
                <w:color w:val="auto"/>
                <w:w w:val="99"/>
              </w:rPr>
              <w:t>—</w:t>
            </w:r>
          </w:p>
        </w:tc>
        <w:tc>
          <w:tcPr>
            <w:tcW w:w="100" w:type="dxa"/>
            <w:vAlign w:val="bottom"/>
            <w:shd w:val="clear" w:color="auto" w:fill="CCEEFF"/>
          </w:tcPr>
          <w:p>
            <w:pPr>
              <w:spacing w:after="0"/>
              <w:rPr>
                <w:sz w:val="8"/>
                <w:szCs w:val="8"/>
                <w:color w:val="auto"/>
              </w:rPr>
            </w:pPr>
          </w:p>
        </w:tc>
        <w:tc>
          <w:tcPr>
            <w:tcW w:w="820" w:type="dxa"/>
            <w:vAlign w:val="bottom"/>
            <w:shd w:val="clear" w:color="auto" w:fill="CCEEFF"/>
          </w:tcPr>
          <w:p>
            <w:pPr>
              <w:jc w:val="right"/>
              <w:ind w:right="253"/>
              <w:spacing w:after="0" w:line="99" w:lineRule="exact"/>
              <w:rPr>
                <w:sz w:val="20"/>
                <w:szCs w:val="20"/>
                <w:color w:val="auto"/>
              </w:rPr>
            </w:pPr>
            <w:r>
              <w:rPr>
                <w:rFonts w:ascii="Arial" w:cs="Arial" w:eastAsia="Arial" w:hAnsi="Arial"/>
                <w:sz w:val="10"/>
                <w:szCs w:val="10"/>
                <w:color w:val="auto"/>
              </w:rPr>
              <w:t>—</w:t>
            </w:r>
          </w:p>
        </w:tc>
        <w:tc>
          <w:tcPr>
            <w:tcW w:w="960" w:type="dxa"/>
            <w:vAlign w:val="bottom"/>
            <w:gridSpan w:val="2"/>
            <w:shd w:val="clear" w:color="auto" w:fill="CCEEFF"/>
          </w:tcPr>
          <w:p>
            <w:pPr>
              <w:jc w:val="right"/>
              <w:ind w:right="193"/>
              <w:spacing w:after="0" w:line="99" w:lineRule="exact"/>
              <w:rPr>
                <w:sz w:val="20"/>
                <w:szCs w:val="20"/>
                <w:color w:val="auto"/>
              </w:rPr>
            </w:pPr>
            <w:r>
              <w:rPr>
                <w:rFonts w:ascii="Arial" w:cs="Arial" w:eastAsia="Arial" w:hAnsi="Arial"/>
                <w:sz w:val="10"/>
                <w:szCs w:val="10"/>
                <w:color w:val="auto"/>
              </w:rPr>
              <w:t>5,794,338</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280" w:type="dxa"/>
            <w:vAlign w:val="bottom"/>
            <w:shd w:val="clear" w:color="auto" w:fill="CCEEFF"/>
          </w:tcPr>
          <w:p>
            <w:pPr>
              <w:ind w:left="80"/>
              <w:spacing w:after="0" w:line="99" w:lineRule="exact"/>
              <w:rPr>
                <w:sz w:val="20"/>
                <w:szCs w:val="20"/>
                <w:color w:val="auto"/>
              </w:rPr>
            </w:pPr>
            <w:r>
              <w:rPr>
                <w:rFonts w:ascii="Arial" w:cs="Arial" w:eastAsia="Arial" w:hAnsi="Arial"/>
                <w:sz w:val="10"/>
                <w:szCs w:val="10"/>
                <w:color w:val="auto"/>
              </w:rPr>
              <w:t>Retirement</w:t>
            </w:r>
            <w:r>
              <w:rPr>
                <w:rFonts w:ascii="Arial" w:cs="Arial" w:eastAsia="Arial" w:hAnsi="Arial"/>
                <w:sz w:val="8"/>
                <w:szCs w:val="8"/>
                <w:color w:val="auto"/>
              </w:rPr>
              <w:t>(5)</w:t>
            </w:r>
          </w:p>
        </w:tc>
        <w:tc>
          <w:tcPr>
            <w:tcW w:w="80" w:type="dxa"/>
            <w:vAlign w:val="bottom"/>
            <w:shd w:val="clear" w:color="auto" w:fill="CCEEFF"/>
          </w:tcPr>
          <w:p>
            <w:pPr>
              <w:spacing w:after="0"/>
              <w:rPr>
                <w:sz w:val="8"/>
                <w:szCs w:val="8"/>
                <w:color w:val="auto"/>
              </w:rPr>
            </w:pPr>
          </w:p>
        </w:tc>
        <w:tc>
          <w:tcPr>
            <w:tcW w:w="940" w:type="dxa"/>
            <w:vAlign w:val="bottom"/>
            <w:shd w:val="clear" w:color="auto" w:fill="CCEEFF"/>
          </w:tcPr>
          <w:p>
            <w:pPr>
              <w:jc w:val="right"/>
              <w:ind w:right="233"/>
              <w:spacing w:after="0" w:line="99"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8"/>
                <w:szCs w:val="8"/>
                <w:color w:val="auto"/>
              </w:rPr>
            </w:pPr>
          </w:p>
        </w:tc>
        <w:tc>
          <w:tcPr>
            <w:tcW w:w="920" w:type="dxa"/>
            <w:vAlign w:val="bottom"/>
            <w:shd w:val="clear" w:color="auto" w:fill="CCEEFF"/>
          </w:tcPr>
          <w:p>
            <w:pPr>
              <w:jc w:val="right"/>
              <w:ind w:right="233"/>
              <w:spacing w:after="0" w:line="99"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8"/>
                <w:szCs w:val="8"/>
                <w:color w:val="auto"/>
              </w:rPr>
            </w:pPr>
          </w:p>
        </w:tc>
        <w:tc>
          <w:tcPr>
            <w:tcW w:w="840" w:type="dxa"/>
            <w:vAlign w:val="bottom"/>
            <w:shd w:val="clear" w:color="auto" w:fill="CCEEFF"/>
          </w:tcPr>
          <w:p>
            <w:pPr>
              <w:jc w:val="right"/>
              <w:ind w:right="174"/>
              <w:spacing w:after="0" w:line="99"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8"/>
                <w:szCs w:val="8"/>
                <w:color w:val="auto"/>
              </w:rPr>
            </w:pPr>
          </w:p>
        </w:tc>
        <w:tc>
          <w:tcPr>
            <w:tcW w:w="940" w:type="dxa"/>
            <w:vAlign w:val="bottom"/>
            <w:shd w:val="clear" w:color="auto" w:fill="CCEEFF"/>
          </w:tcPr>
          <w:p>
            <w:pPr>
              <w:jc w:val="right"/>
              <w:ind w:right="235"/>
              <w:spacing w:after="0" w:line="99"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8"/>
                <w:szCs w:val="8"/>
                <w:color w:val="auto"/>
              </w:rPr>
            </w:pPr>
          </w:p>
        </w:tc>
        <w:tc>
          <w:tcPr>
            <w:tcW w:w="900" w:type="dxa"/>
            <w:vAlign w:val="bottom"/>
            <w:shd w:val="clear" w:color="auto" w:fill="CCEEFF"/>
          </w:tcPr>
          <w:p>
            <w:pPr>
              <w:jc w:val="right"/>
              <w:ind w:right="194"/>
              <w:spacing w:after="0" w:line="99"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8"/>
                <w:szCs w:val="8"/>
                <w:color w:val="auto"/>
              </w:rPr>
            </w:pPr>
          </w:p>
        </w:tc>
        <w:tc>
          <w:tcPr>
            <w:tcW w:w="800" w:type="dxa"/>
            <w:vAlign w:val="bottom"/>
            <w:shd w:val="clear" w:color="auto" w:fill="CCEEFF"/>
          </w:tcPr>
          <w:p>
            <w:pPr>
              <w:jc w:val="center"/>
              <w:spacing w:after="0" w:line="99" w:lineRule="exact"/>
              <w:rPr>
                <w:sz w:val="20"/>
                <w:szCs w:val="20"/>
                <w:color w:val="auto"/>
              </w:rPr>
            </w:pPr>
            <w:r>
              <w:rPr>
                <w:rFonts w:ascii="Arial" w:cs="Arial" w:eastAsia="Arial" w:hAnsi="Arial"/>
                <w:sz w:val="10"/>
                <w:szCs w:val="10"/>
                <w:color w:val="auto"/>
                <w:w w:val="99"/>
              </w:rPr>
              <w:t>—</w:t>
            </w:r>
          </w:p>
        </w:tc>
        <w:tc>
          <w:tcPr>
            <w:tcW w:w="100" w:type="dxa"/>
            <w:vAlign w:val="bottom"/>
            <w:shd w:val="clear" w:color="auto" w:fill="CCEEFF"/>
          </w:tcPr>
          <w:p>
            <w:pPr>
              <w:spacing w:after="0"/>
              <w:rPr>
                <w:sz w:val="8"/>
                <w:szCs w:val="8"/>
                <w:color w:val="auto"/>
              </w:rPr>
            </w:pPr>
          </w:p>
        </w:tc>
        <w:tc>
          <w:tcPr>
            <w:tcW w:w="820" w:type="dxa"/>
            <w:vAlign w:val="bottom"/>
            <w:shd w:val="clear" w:color="auto" w:fill="CCEEFF"/>
          </w:tcPr>
          <w:p>
            <w:pPr>
              <w:jc w:val="right"/>
              <w:ind w:right="253"/>
              <w:spacing w:after="0" w:line="99"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8"/>
                <w:szCs w:val="8"/>
                <w:color w:val="auto"/>
              </w:rPr>
            </w:pPr>
          </w:p>
        </w:tc>
        <w:tc>
          <w:tcPr>
            <w:tcW w:w="880" w:type="dxa"/>
            <w:vAlign w:val="bottom"/>
            <w:shd w:val="clear" w:color="auto" w:fill="CCEEFF"/>
          </w:tcPr>
          <w:p>
            <w:pPr>
              <w:jc w:val="right"/>
              <w:ind w:right="193"/>
              <w:spacing w:after="0" w:line="99"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280" w:type="dxa"/>
            <w:vAlign w:val="bottom"/>
            <w:shd w:val="clear" w:color="auto" w:fill="CCEEFF"/>
          </w:tcPr>
          <w:p>
            <w:pPr>
              <w:ind w:left="80"/>
              <w:spacing w:after="0" w:line="112" w:lineRule="exact"/>
              <w:rPr>
                <w:sz w:val="20"/>
                <w:szCs w:val="20"/>
                <w:color w:val="auto"/>
              </w:rPr>
            </w:pPr>
            <w:r>
              <w:rPr>
                <w:rFonts w:ascii="Arial" w:cs="Arial" w:eastAsia="Arial" w:hAnsi="Arial"/>
                <w:sz w:val="10"/>
                <w:szCs w:val="10"/>
                <w:color w:val="auto"/>
              </w:rPr>
              <w:t>Change in Control</w:t>
            </w:r>
            <w:r>
              <w:rPr>
                <w:rFonts w:ascii="Arial" w:cs="Arial" w:eastAsia="Arial" w:hAnsi="Arial"/>
                <w:sz w:val="8"/>
                <w:szCs w:val="8"/>
                <w:color w:val="auto"/>
              </w:rPr>
              <w:t>(6)</w:t>
            </w:r>
          </w:p>
        </w:tc>
        <w:tc>
          <w:tcPr>
            <w:tcW w:w="80" w:type="dxa"/>
            <w:vAlign w:val="bottom"/>
            <w:shd w:val="clear" w:color="auto" w:fill="CCEEFF"/>
          </w:tcPr>
          <w:p>
            <w:pPr>
              <w:spacing w:after="0"/>
              <w:rPr>
                <w:sz w:val="9"/>
                <w:szCs w:val="9"/>
                <w:color w:val="auto"/>
              </w:rPr>
            </w:pPr>
          </w:p>
        </w:tc>
        <w:tc>
          <w:tcPr>
            <w:tcW w:w="940" w:type="dxa"/>
            <w:vAlign w:val="bottom"/>
            <w:shd w:val="clear" w:color="auto" w:fill="CCEEFF"/>
          </w:tcPr>
          <w:p>
            <w:pPr>
              <w:jc w:val="right"/>
              <w:ind w:right="233"/>
              <w:spacing w:after="0" w:line="112"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920" w:type="dxa"/>
            <w:vAlign w:val="bottom"/>
            <w:shd w:val="clear" w:color="auto" w:fill="CCEEFF"/>
          </w:tcPr>
          <w:p>
            <w:pPr>
              <w:jc w:val="right"/>
              <w:ind w:right="233"/>
              <w:spacing w:after="0" w:line="112"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840" w:type="dxa"/>
            <w:vAlign w:val="bottom"/>
            <w:shd w:val="clear" w:color="auto" w:fill="CCEEFF"/>
          </w:tcPr>
          <w:p>
            <w:pPr>
              <w:jc w:val="right"/>
              <w:ind w:right="174"/>
              <w:spacing w:after="0" w:line="112"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940" w:type="dxa"/>
            <w:vAlign w:val="bottom"/>
            <w:shd w:val="clear" w:color="auto" w:fill="CCEEFF"/>
          </w:tcPr>
          <w:p>
            <w:pPr>
              <w:jc w:val="right"/>
              <w:ind w:right="235"/>
              <w:spacing w:after="0" w:line="112"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900" w:type="dxa"/>
            <w:vAlign w:val="bottom"/>
            <w:shd w:val="clear" w:color="auto" w:fill="CCEEFF"/>
          </w:tcPr>
          <w:p>
            <w:pPr>
              <w:jc w:val="right"/>
              <w:ind w:right="194"/>
              <w:spacing w:after="0" w:line="112"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jc w:val="center"/>
              <w:spacing w:after="0" w:line="112" w:lineRule="exact"/>
              <w:rPr>
                <w:sz w:val="20"/>
                <w:szCs w:val="20"/>
                <w:color w:val="auto"/>
              </w:rPr>
            </w:pPr>
            <w:r>
              <w:rPr>
                <w:rFonts w:ascii="Arial" w:cs="Arial" w:eastAsia="Arial" w:hAnsi="Arial"/>
                <w:sz w:val="10"/>
                <w:szCs w:val="10"/>
                <w:color w:val="auto"/>
                <w:w w:val="99"/>
              </w:rPr>
              <w:t>—</w:t>
            </w: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jc w:val="right"/>
              <w:ind w:right="253"/>
              <w:spacing w:after="0" w:line="112"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880" w:type="dxa"/>
            <w:vAlign w:val="bottom"/>
            <w:shd w:val="clear" w:color="auto" w:fill="CCEEFF"/>
          </w:tcPr>
          <w:p>
            <w:pPr>
              <w:jc w:val="right"/>
              <w:ind w:right="193"/>
              <w:spacing w:after="0" w:line="112"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57150</wp:posOffset>
            </wp:positionV>
            <wp:extent cx="823595"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23595" cy="5715"/>
                    </a:xfrm>
                    <a:prstGeom prst="rect">
                      <a:avLst/>
                    </a:prstGeom>
                    <a:noFill/>
                  </pic:spPr>
                </pic:pic>
              </a:graphicData>
            </a:graphic>
          </wp:anchor>
        </w:drawing>
      </w:r>
    </w:p>
    <w:p>
      <w:pPr>
        <w:spacing w:after="0" w:line="115" w:lineRule="exact"/>
        <w:rPr>
          <w:sz w:val="20"/>
          <w:szCs w:val="20"/>
          <w:color w:val="auto"/>
        </w:rPr>
      </w:pPr>
    </w:p>
    <w:p>
      <w:pPr>
        <w:ind w:left="980" w:right="120" w:hanging="232"/>
        <w:spacing w:after="0" w:line="263" w:lineRule="auto"/>
        <w:tabs>
          <w:tab w:leader="none" w:pos="980" w:val="left"/>
        </w:tabs>
        <w:numPr>
          <w:ilvl w:val="0"/>
          <w:numId w:val="27"/>
        </w:numPr>
        <w:rPr>
          <w:rFonts w:ascii="Arial" w:cs="Arial" w:eastAsia="Arial" w:hAnsi="Arial"/>
          <w:sz w:val="12"/>
          <w:szCs w:val="12"/>
          <w:color w:val="auto"/>
        </w:rPr>
      </w:pPr>
      <w:r>
        <w:rPr>
          <w:rFonts w:ascii="Arial" w:cs="Arial" w:eastAsia="Arial" w:hAnsi="Arial"/>
          <w:sz w:val="12"/>
          <w:szCs w:val="12"/>
          <w:color w:val="auto"/>
        </w:rPr>
        <w:t>The value associated with the acceleration of equity compensation is based on the closing market price of a share of our Class A common stock and Class A Special common stock as of December 31, 2009, minus, in the case of stock options, the exercise price; there is no value associated with stock options that were not in-the-money as of December 31, 2009. On December 31, 2009, the closing market price of our Class A common stock was $16.86 and the closing market price of our Class A Special common stock was $16.01.</w:t>
      </w:r>
    </w:p>
    <w:p>
      <w:pPr>
        <w:spacing w:after="0" w:line="14" w:lineRule="exact"/>
        <w:rPr>
          <w:rFonts w:ascii="Arial" w:cs="Arial" w:eastAsia="Arial" w:hAnsi="Arial"/>
          <w:sz w:val="12"/>
          <w:szCs w:val="12"/>
          <w:color w:val="auto"/>
        </w:rPr>
      </w:pPr>
    </w:p>
    <w:p>
      <w:pPr>
        <w:ind w:left="980" w:right="40" w:hanging="232"/>
        <w:spacing w:after="0" w:line="278" w:lineRule="auto"/>
        <w:tabs>
          <w:tab w:leader="none" w:pos="980" w:val="left"/>
        </w:tabs>
        <w:numPr>
          <w:ilvl w:val="0"/>
          <w:numId w:val="27"/>
        </w:numPr>
        <w:rPr>
          <w:rFonts w:ascii="Arial" w:cs="Arial" w:eastAsia="Arial" w:hAnsi="Arial"/>
          <w:sz w:val="11"/>
          <w:szCs w:val="11"/>
          <w:color w:val="auto"/>
        </w:rPr>
      </w:pPr>
      <w:r>
        <w:rPr>
          <w:rFonts w:ascii="Arial" w:cs="Arial" w:eastAsia="Arial" w:hAnsi="Arial"/>
          <w:sz w:val="11"/>
          <w:szCs w:val="11"/>
          <w:color w:val="auto"/>
        </w:rPr>
        <w:t>If we terminate Mr. Roberts’ employment without cause or he terminates it with good reason, he is entitled to payment of base salary (based on the highest base salary he received during the term) on a monthly basis and health benefits for 24 months after termination. He is also entitled to the payment of his annual cash bonus, prorated to reflect the number of days he was employed during the year of such termination (assuming full achievement of target performance), and thereafter (based on his highest participation levels during the term) for 12 months after termination. In addition, we will continue to provide the Company deferred compensation credits on the schedule set forth in his employment agreement. If Mr. Roberts dies after a termination without cause or with good reason and before June 30, 2010, his surviving spouse or her estate will be entitled to receive the death benefits described in footnote (3). In connection with the February 13, 2009 amendment to his employment agreement, as described above in “Agreements with Our Named Executive Officers — Employment Agreement with Mr. Roberts,” Mr. Roberts elected to relinquish his right to base salary and annual cash bonus continuation for up to five years following his death, as well as his right to continued Company-paid premium reimbursements and tax payments in connection with life insurance policies; therefore, these amounts are not included in this table. Under Mr. Roberts’ employment agreement, “cause” generally means willful engagement in misconduct that is materially injurious to our company, monetarily or otherwise (including fraud, misappropriation, embezzlement, self-dealing, dishonesty, misrepresentation and conviction of a crime of a felony), willful material violation of any material Company policy or our code of ethics and business conduct, or willful material breach of any provision of his agreement, and “good reason” generally means assignment of any duties inconsistent in any material respect with his positions, education, skills and experience, any other action that results in a change in his positions and titles or a substantial diminution in his duties or a material breach of any provision of his agreement.</w:t>
      </w:r>
    </w:p>
    <w:p>
      <w:pPr>
        <w:spacing w:after="0" w:line="88"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97790</wp:posOffset>
            </wp:positionV>
            <wp:extent cx="7299325" cy="184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680"/>
          </w:cols>
          <w:pgMar w:left="220" w:top="327" w:right="999" w:bottom="1440" w:gutter="0" w:footer="0" w:header="0"/>
        </w:sectPr>
      </w:pPr>
    </w:p>
    <w:bookmarkStart w:id="59" w:name="page60"/>
    <w:bookmarkEnd w:id="59"/>
    <w:p>
      <w:pPr>
        <w:spacing w:after="0"/>
        <w:rPr>
          <w:rFonts w:ascii="Arial" w:cs="Arial" w:eastAsia="Arial" w:hAnsi="Arial"/>
          <w:sz w:val="12"/>
          <w:szCs w:val="12"/>
          <w:b w:val="1"/>
          <w:bCs w:val="1"/>
          <w:u w:val="single" w:color="auto"/>
          <w:color w:val="0000EE"/>
        </w:rPr>
      </w:pPr>
      <w:hyperlink w:anchor="page4">
        <w:r>
          <w:rPr>
            <w:rFonts w:ascii="Arial" w:cs="Arial" w:eastAsia="Arial" w:hAnsi="Arial"/>
            <w:sz w:val="12"/>
            <w:szCs w:val="12"/>
            <w:b w:val="1"/>
            <w:bCs w:val="1"/>
            <w:u w:val="single" w:color="auto"/>
            <w:color w:val="0000EE"/>
          </w:rPr>
          <w:t>Table of Contents</w:t>
        </w:r>
      </w:hyperlink>
    </w:p>
    <w:p>
      <w:pPr>
        <w:spacing w:after="0" w:line="215" w:lineRule="exact"/>
        <w:rPr>
          <w:sz w:val="20"/>
          <w:szCs w:val="20"/>
          <w:color w:val="auto"/>
        </w:rPr>
      </w:pPr>
    </w:p>
    <w:p>
      <w:pPr>
        <w:ind w:left="980" w:right="40" w:hanging="232"/>
        <w:spacing w:after="0" w:line="263" w:lineRule="auto"/>
        <w:tabs>
          <w:tab w:leader="none" w:pos="980" w:val="left"/>
        </w:tabs>
        <w:numPr>
          <w:ilvl w:val="0"/>
          <w:numId w:val="28"/>
        </w:numPr>
        <w:rPr>
          <w:rFonts w:ascii="Arial" w:cs="Arial" w:eastAsia="Arial" w:hAnsi="Arial"/>
          <w:sz w:val="12"/>
          <w:szCs w:val="12"/>
          <w:color w:val="auto"/>
        </w:rPr>
      </w:pPr>
      <w:r>
        <w:rPr>
          <w:rFonts w:ascii="Arial" w:cs="Arial" w:eastAsia="Arial" w:hAnsi="Arial"/>
          <w:sz w:val="12"/>
          <w:szCs w:val="12"/>
          <w:color w:val="auto"/>
        </w:rPr>
        <w:t>If Mr. Roberts’ employment is terminated by reason of his death, his unvested stock options and RSUs will vest in full and his options will remain exercisable for the remainder of their terms. In addition, his spouse or his or her estate is entitled to payment of his annual cash bonus, prorated to reflect the number of days he was employed during the year of his death (assuming full achievement of target performance), and his spouse is entitled to continued health benefits during her lifetime.</w:t>
      </w:r>
    </w:p>
    <w:p>
      <w:pPr>
        <w:spacing w:after="0" w:line="14" w:lineRule="exact"/>
        <w:rPr>
          <w:rFonts w:ascii="Arial" w:cs="Arial" w:eastAsia="Arial" w:hAnsi="Arial"/>
          <w:sz w:val="12"/>
          <w:szCs w:val="12"/>
          <w:color w:val="auto"/>
        </w:rPr>
      </w:pPr>
    </w:p>
    <w:p>
      <w:pPr>
        <w:ind w:left="980" w:right="40" w:hanging="232"/>
        <w:spacing w:after="0" w:line="296" w:lineRule="auto"/>
        <w:tabs>
          <w:tab w:leader="none" w:pos="980" w:val="left"/>
        </w:tabs>
        <w:numPr>
          <w:ilvl w:val="0"/>
          <w:numId w:val="28"/>
        </w:numPr>
        <w:rPr>
          <w:rFonts w:ascii="Arial" w:cs="Arial" w:eastAsia="Arial" w:hAnsi="Arial"/>
          <w:sz w:val="11"/>
          <w:szCs w:val="11"/>
          <w:color w:val="auto"/>
        </w:rPr>
      </w:pPr>
      <w:r>
        <w:rPr>
          <w:rFonts w:ascii="Arial" w:cs="Arial" w:eastAsia="Arial" w:hAnsi="Arial"/>
          <w:sz w:val="11"/>
          <w:szCs w:val="11"/>
          <w:color w:val="auto"/>
        </w:rPr>
        <w:t>If Mr. Roberts’ employment is terminated by reason of his disability, we must continue to pay his base salary on a monthly basis and his annual cash bonus on an annual basis (assuming full achievement of target performance) to him for five years, and his unvested stock options and RSUs will vest in full and his options will remain exercisable for the remainder of their terms. In addition, we will continue to provide the Company deferred compensation credits on the schedule set forth in his employment agreement for so long as he is living.</w:t>
      </w:r>
    </w:p>
    <w:p>
      <w:pPr>
        <w:ind w:left="980" w:hanging="232"/>
        <w:spacing w:after="0"/>
        <w:tabs>
          <w:tab w:leader="none" w:pos="980" w:val="left"/>
        </w:tabs>
        <w:numPr>
          <w:ilvl w:val="0"/>
          <w:numId w:val="28"/>
        </w:numPr>
        <w:rPr>
          <w:rFonts w:ascii="Arial" w:cs="Arial" w:eastAsia="Arial" w:hAnsi="Arial"/>
          <w:sz w:val="12"/>
          <w:szCs w:val="12"/>
          <w:color w:val="auto"/>
        </w:rPr>
      </w:pPr>
      <w:r>
        <w:rPr>
          <w:rFonts w:ascii="Arial" w:cs="Arial" w:eastAsia="Arial" w:hAnsi="Arial"/>
          <w:sz w:val="12"/>
          <w:szCs w:val="12"/>
          <w:color w:val="auto"/>
        </w:rPr>
        <w:t>None of our named executive officers would have been entitled to any retirement-related compensation had they retired on December 31, 2009.</w:t>
      </w:r>
    </w:p>
    <w:p>
      <w:pPr>
        <w:spacing w:after="0" w:line="42" w:lineRule="exact"/>
        <w:rPr>
          <w:rFonts w:ascii="Arial" w:cs="Arial" w:eastAsia="Arial" w:hAnsi="Arial"/>
          <w:sz w:val="12"/>
          <w:szCs w:val="12"/>
          <w:color w:val="auto"/>
        </w:rPr>
      </w:pPr>
    </w:p>
    <w:p>
      <w:pPr>
        <w:ind w:left="980" w:hanging="232"/>
        <w:spacing w:after="0" w:line="255" w:lineRule="auto"/>
        <w:tabs>
          <w:tab w:leader="none" w:pos="980" w:val="left"/>
        </w:tabs>
        <w:numPr>
          <w:ilvl w:val="0"/>
          <w:numId w:val="28"/>
        </w:numPr>
        <w:rPr>
          <w:rFonts w:ascii="Arial" w:cs="Arial" w:eastAsia="Arial" w:hAnsi="Arial"/>
          <w:sz w:val="12"/>
          <w:szCs w:val="12"/>
          <w:color w:val="auto"/>
        </w:rPr>
      </w:pPr>
      <w:r>
        <w:rPr>
          <w:rFonts w:ascii="Arial" w:cs="Arial" w:eastAsia="Arial" w:hAnsi="Arial"/>
          <w:sz w:val="12"/>
          <w:szCs w:val="12"/>
          <w:color w:val="auto"/>
        </w:rPr>
        <w:t>Under the employment agreements with Messrs. Roberts and Cohen, if, in connection with a transaction, our Board determines that it is appropriate to accelerate the vesting of options and, in the case of Mr. Roberts, RSUs, we will provide notice of this decision at least ten business days before the anticipated closing date of the event. If so determined, all options held by them will become immediately exercisable in full, and all RSUs held by Mr. Roberts will immediately become fully vested. Until the day before the date of the transaction, they will be able to exercise all such options. If the transaction is not consummated, the options will be treated as not having been exercisable and the RSUs will be treated as not having vested. In addition, if we were to terminate Mr. Roberts’ employment following the transaction, it would be treated as a termination without cause and he would be entitled to the amounts set forth in the “Without Cause/With Good Reason” category, as described in footnote (2) to this table.</w:t>
      </w:r>
    </w:p>
    <w:p>
      <w:pPr>
        <w:spacing w:after="0" w:line="21" w:lineRule="exact"/>
        <w:rPr>
          <w:rFonts w:ascii="Arial" w:cs="Arial" w:eastAsia="Arial" w:hAnsi="Arial"/>
          <w:sz w:val="12"/>
          <w:szCs w:val="12"/>
          <w:color w:val="auto"/>
        </w:rPr>
      </w:pPr>
    </w:p>
    <w:p>
      <w:pPr>
        <w:ind w:left="980"/>
        <w:spacing w:after="0" w:line="259" w:lineRule="auto"/>
        <w:rPr>
          <w:rFonts w:ascii="Arial" w:cs="Arial" w:eastAsia="Arial" w:hAnsi="Arial"/>
          <w:sz w:val="12"/>
          <w:szCs w:val="12"/>
          <w:color w:val="auto"/>
        </w:rPr>
      </w:pPr>
      <w:r>
        <w:rPr>
          <w:rFonts w:ascii="Arial" w:cs="Arial" w:eastAsia="Arial" w:hAnsi="Arial"/>
          <w:sz w:val="12"/>
          <w:szCs w:val="12"/>
          <w:color w:val="auto"/>
        </w:rPr>
        <w:t>We believe it is likely that if our Board were to accelerate the vesting of the options and/or RSUs of Messrs. Roberts and Cohen, it would also determine that it would be appropriate to accelerate the options and/or RSUs of all of our named executive officers, including Messrs. Angelakis, Burke and Block. If our Board had decided to accelerate the vesting of such options or RSUs as of December 31, 2009, our named executive officers would have been entitled to the applicable amounts set forth in the “Acceleration and Exercisability of Unvested Stock Options” and “Acceleration of Unvested RSUs” columns as if their employment had been terminated due to their death or disability.</w:t>
      </w:r>
    </w:p>
    <w:p>
      <w:pPr>
        <w:spacing w:after="0" w:line="16" w:lineRule="exact"/>
        <w:rPr>
          <w:rFonts w:ascii="Arial" w:cs="Arial" w:eastAsia="Arial" w:hAnsi="Arial"/>
          <w:sz w:val="12"/>
          <w:szCs w:val="12"/>
          <w:color w:val="auto"/>
        </w:rPr>
      </w:pPr>
    </w:p>
    <w:p>
      <w:pPr>
        <w:ind w:left="980" w:right="40" w:hanging="232"/>
        <w:spacing w:after="0" w:line="304" w:lineRule="auto"/>
        <w:tabs>
          <w:tab w:leader="none" w:pos="980" w:val="left"/>
        </w:tabs>
        <w:numPr>
          <w:ilvl w:val="0"/>
          <w:numId w:val="28"/>
        </w:numPr>
        <w:rPr>
          <w:rFonts w:ascii="Arial" w:cs="Arial" w:eastAsia="Arial" w:hAnsi="Arial"/>
          <w:sz w:val="10"/>
          <w:szCs w:val="10"/>
          <w:color w:val="auto"/>
        </w:rPr>
      </w:pPr>
      <w:r>
        <w:rPr>
          <w:rFonts w:ascii="Arial" w:cs="Arial" w:eastAsia="Arial" w:hAnsi="Arial"/>
          <w:sz w:val="10"/>
          <w:szCs w:val="10"/>
          <w:color w:val="auto"/>
        </w:rPr>
        <w:t>If we terminate any of such executives’ employment without cause or he terminates his employment with good reason, he is entitled to receive his then-current base salary (payable in accordance with our regular payroll practices in the case of Messrs. Angelakis, Burke and Block and on a monthly basis in the case of Mr. Cohen) and continued health benefits for a period of 24 months from the date of termination. He is also entitled to receive the current year’s annual cash bonus (assuming full achievement of target performance) and the following year’s target annual cash bonus (prorated to reflect the number of months he was employed during the year of termination and assuming full achievement of target performance). In addition, each such executive is entitled to continued vesting of his stock options and RSUs in accordance with their respective terms for 12 months following termination, and his vested stock options will remain exercisable for a period equal to the lesser of</w:t>
      </w:r>
    </w:p>
    <w:p>
      <w:pPr>
        <w:spacing w:after="0" w:line="1" w:lineRule="exact"/>
        <w:rPr>
          <w:rFonts w:ascii="Arial" w:cs="Arial" w:eastAsia="Arial" w:hAnsi="Arial"/>
          <w:sz w:val="10"/>
          <w:szCs w:val="10"/>
          <w:color w:val="auto"/>
        </w:rPr>
      </w:pPr>
    </w:p>
    <w:p>
      <w:pPr>
        <w:ind w:left="980" w:right="20"/>
        <w:spacing w:after="0" w:line="279" w:lineRule="auto"/>
        <w:rPr>
          <w:rFonts w:ascii="Arial" w:cs="Arial" w:eastAsia="Arial" w:hAnsi="Arial"/>
          <w:sz w:val="10"/>
          <w:szCs w:val="10"/>
          <w:color w:val="auto"/>
        </w:rPr>
      </w:pPr>
      <w:r>
        <w:rPr>
          <w:rFonts w:ascii="Arial" w:cs="Arial" w:eastAsia="Arial" w:hAnsi="Arial"/>
          <w:sz w:val="11"/>
          <w:szCs w:val="11"/>
          <w:color w:val="auto"/>
        </w:rPr>
        <w:t>15 months or the end of the stock option’s term in the case of Messrs. Angelakis, Burke and Block, and no longer than 12 months in the case of Mr. Cohen. For purposes of the employment agreement of Mr. Cohen, “cause” generally means fraud, misappropriation, embezzlement, gross negligence in the performance of duties, self-dealing, dishonesty, misrepresentation, conviction of a crime of a felony, material violation of any Company policy, material violation of our code of ethics and business conduct or a material breach of his agreement, and “good reason” generally means assignment of any position or duties inconsistent in any material respect with his education, skills and experience, any other action by us that results in a substantial diminution in his position and duties or a material breach of any material provision of his agreement. For purposes of the employment agreements of Messrs. Angelakis, Burke and Block, “cause” generally means conviction of a felony or a crime involving moral turpitude, fraud, embezzlement or other misappropriation of funds with respect to our company, material misrepresentation with respect to our company, substantial failure to perform duties, gross negligence or misconduct in the performance of duties, material violation of our employee</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97790</wp:posOffset>
            </wp:positionV>
            <wp:extent cx="7299325" cy="184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620"/>
          </w:cols>
          <w:pgMar w:left="220" w:top="327" w:right="1059" w:bottom="1440" w:gutter="0" w:footer="0" w:header="0"/>
        </w:sectPr>
      </w:pPr>
    </w:p>
    <w:bookmarkStart w:id="60" w:name="page61"/>
    <w:bookmarkEnd w:id="60"/>
    <w:p>
      <w:pPr>
        <w:spacing w:after="0"/>
        <w:rPr>
          <w:rFonts w:ascii="Arial" w:cs="Arial" w:eastAsia="Arial" w:hAnsi="Arial"/>
          <w:sz w:val="12"/>
          <w:szCs w:val="12"/>
          <w:b w:val="1"/>
          <w:bCs w:val="1"/>
          <w:u w:val="single" w:color="auto"/>
          <w:color w:val="0000EE"/>
        </w:rPr>
      </w:pP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980" w:right="20"/>
        <w:spacing w:after="0" w:line="276" w:lineRule="auto"/>
        <w:rPr>
          <w:sz w:val="20"/>
          <w:szCs w:val="20"/>
          <w:color w:val="auto"/>
        </w:rPr>
      </w:pPr>
      <w:r>
        <w:rPr>
          <w:rFonts w:ascii="Arial" w:cs="Arial" w:eastAsia="Arial" w:hAnsi="Arial"/>
          <w:sz w:val="12"/>
          <w:szCs w:val="12"/>
          <w:color w:val="auto"/>
        </w:rPr>
        <w:t>handbook, code of ethics and business conduct or any other written Company policy or a material breach of his agreement, and “good reason” generally means a substantial demotion in his position or a material breach of any material provision of his agreement.</w:t>
      </w:r>
    </w:p>
    <w:p>
      <w:pPr>
        <w:spacing w:after="0" w:line="7" w:lineRule="exact"/>
        <w:rPr>
          <w:sz w:val="20"/>
          <w:szCs w:val="20"/>
          <w:color w:val="auto"/>
        </w:rPr>
      </w:pPr>
    </w:p>
    <w:p>
      <w:pPr>
        <w:ind w:left="980" w:right="60" w:hanging="232"/>
        <w:spacing w:after="0" w:line="263" w:lineRule="auto"/>
        <w:tabs>
          <w:tab w:leader="none" w:pos="980" w:val="left"/>
        </w:tabs>
        <w:numPr>
          <w:ilvl w:val="0"/>
          <w:numId w:val="29"/>
        </w:numPr>
        <w:rPr>
          <w:rFonts w:ascii="Arial" w:cs="Arial" w:eastAsia="Arial" w:hAnsi="Arial"/>
          <w:sz w:val="12"/>
          <w:szCs w:val="12"/>
          <w:color w:val="auto"/>
        </w:rPr>
      </w:pPr>
      <w:r>
        <w:rPr>
          <w:rFonts w:ascii="Arial" w:cs="Arial" w:eastAsia="Arial" w:hAnsi="Arial"/>
          <w:sz w:val="12"/>
          <w:szCs w:val="12"/>
          <w:color w:val="auto"/>
        </w:rPr>
        <w:t>If any of such executive’s employment terminates due to his death or disability, he or his estate will receive three months of base salary and payment of his annual cash bonus, prorated to reflect the number of days he was employed during the year of such termination (assuming full achievement of target performance). In addition, full vesting of such executive’s stock options and RSUs will occur and his stock options will remain exercisable for the remainder of their terms.</w:t>
      </w:r>
    </w:p>
    <w:p>
      <w:pPr>
        <w:spacing w:after="0" w:line="14" w:lineRule="exact"/>
        <w:rPr>
          <w:rFonts w:ascii="Arial" w:cs="Arial" w:eastAsia="Arial" w:hAnsi="Arial"/>
          <w:sz w:val="12"/>
          <w:szCs w:val="12"/>
          <w:color w:val="auto"/>
        </w:rPr>
      </w:pPr>
    </w:p>
    <w:p>
      <w:pPr>
        <w:ind w:left="980" w:right="40" w:hanging="232"/>
        <w:spacing w:after="0" w:line="255" w:lineRule="auto"/>
        <w:tabs>
          <w:tab w:leader="none" w:pos="980" w:val="left"/>
        </w:tabs>
        <w:numPr>
          <w:ilvl w:val="0"/>
          <w:numId w:val="29"/>
        </w:numPr>
        <w:rPr>
          <w:rFonts w:ascii="Arial" w:cs="Arial" w:eastAsia="Arial" w:hAnsi="Arial"/>
          <w:sz w:val="12"/>
          <w:szCs w:val="12"/>
          <w:color w:val="auto"/>
        </w:rPr>
      </w:pPr>
      <w:r>
        <w:rPr>
          <w:rFonts w:ascii="Arial" w:cs="Arial" w:eastAsia="Arial" w:hAnsi="Arial"/>
          <w:sz w:val="12"/>
          <w:szCs w:val="12"/>
          <w:color w:val="auto"/>
        </w:rPr>
        <w:t>The performance conditions applicable to the following unvested performance-based RSUs granted in 2005 were not achieved in 2009: Mr. Burke (54,000) and Mr. Cohen (97,800). Accordingly, as of December 31, 2009, these RSUs would not vest in 2010 and were permanently forfeited, and their value is not included in this table. In addition, the performance conditions applicable to the following unvested performance-based RSUs granted in 2006 and 2007 were not achieved in 2009: Mr. Angelakis (14,121), Mr. Burke (61,164) and Mr. Cohen (35,588). Even though these RSUs are eligible to be carried forward as unvested RSUs that could vest in a subsequent year if performance goals are met in such year, as of December 31, 2009, these RSUs would not vest in 2010. Accordingly, because Messrs. Angelakis, Burke and Cohen’s continued vesting period following a termination without cause or with good reason is only 12 months, the RSUs granted in 2006 and 2007 could not have vested in 2010, and the value of these RSUs is not included in this table.</w:t>
      </w:r>
    </w:p>
    <w:p>
      <w:pPr>
        <w:spacing w:after="0" w:line="206" w:lineRule="exact"/>
        <w:rPr>
          <w:sz w:val="20"/>
          <w:szCs w:val="20"/>
          <w:color w:val="auto"/>
        </w:rPr>
      </w:pPr>
    </w:p>
    <w:p>
      <w:pPr>
        <w:ind w:left="4300"/>
        <w:spacing w:after="0"/>
        <w:rPr>
          <w:sz w:val="20"/>
          <w:szCs w:val="20"/>
          <w:color w:val="auto"/>
        </w:rPr>
      </w:pPr>
      <w:r>
        <w:rPr>
          <w:rFonts w:ascii="Arial" w:cs="Arial" w:eastAsia="Arial" w:hAnsi="Arial"/>
          <w:sz w:val="12"/>
          <w:szCs w:val="12"/>
          <w:b w:val="1"/>
          <w:bCs w:val="1"/>
          <w:color w:val="auto"/>
        </w:rPr>
        <w:t>EQUITY COMPENSATION PLAN INFORMATION</w:t>
      </w:r>
    </w:p>
    <w:p>
      <w:pPr>
        <w:spacing w:after="0" w:line="91"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table summarizes our equity plan information as of December 31, 2009.</w:t>
      </w:r>
    </w:p>
    <w:p>
      <w:pPr>
        <w:spacing w:after="0" w:line="7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gridSpan w:val="2"/>
          </w:tcPr>
          <w:p>
            <w:pPr>
              <w:jc w:val="center"/>
              <w:ind w:right="680"/>
              <w:spacing w:after="0"/>
              <w:rPr>
                <w:sz w:val="20"/>
                <w:szCs w:val="20"/>
                <w:color w:val="auto"/>
              </w:rPr>
            </w:pPr>
            <w:r>
              <w:rPr>
                <w:rFonts w:ascii="Arial" w:cs="Arial" w:eastAsia="Arial" w:hAnsi="Arial"/>
                <w:sz w:val="10"/>
                <w:szCs w:val="10"/>
                <w:b w:val="1"/>
                <w:bCs w:val="1"/>
                <w:color w:val="auto"/>
                <w:w w:val="81"/>
              </w:rPr>
              <w:t>(c)</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40" w:type="dxa"/>
            <w:vAlign w:val="bottom"/>
            <w:gridSpan w:val="2"/>
          </w:tcPr>
          <w:p>
            <w:pPr>
              <w:jc w:val="center"/>
              <w:ind w:right="680"/>
              <w:spacing w:after="0" w:line="99" w:lineRule="exact"/>
              <w:rPr>
                <w:sz w:val="20"/>
                <w:szCs w:val="20"/>
                <w:color w:val="auto"/>
              </w:rPr>
            </w:pPr>
            <w:r>
              <w:rPr>
                <w:rFonts w:ascii="Arial" w:cs="Arial" w:eastAsia="Arial" w:hAnsi="Arial"/>
                <w:sz w:val="10"/>
                <w:szCs w:val="10"/>
                <w:b w:val="1"/>
                <w:bCs w:val="1"/>
                <w:color w:val="auto"/>
                <w:w w:val="91"/>
              </w:rPr>
              <w:t>Number of</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40" w:type="dxa"/>
            <w:vAlign w:val="bottom"/>
            <w:gridSpan w:val="2"/>
          </w:tcPr>
          <w:p>
            <w:pPr>
              <w:jc w:val="center"/>
              <w:ind w:right="660"/>
              <w:spacing w:after="0" w:line="99" w:lineRule="exact"/>
              <w:rPr>
                <w:sz w:val="20"/>
                <w:szCs w:val="20"/>
                <w:color w:val="auto"/>
              </w:rPr>
            </w:pPr>
            <w:r>
              <w:rPr>
                <w:rFonts w:ascii="Arial" w:cs="Arial" w:eastAsia="Arial" w:hAnsi="Arial"/>
                <w:sz w:val="10"/>
                <w:szCs w:val="10"/>
                <w:b w:val="1"/>
                <w:bCs w:val="1"/>
                <w:color w:val="auto"/>
                <w:w w:val="83"/>
              </w:rPr>
              <w:t>Securities</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40" w:type="dxa"/>
            <w:vAlign w:val="bottom"/>
            <w:gridSpan w:val="2"/>
          </w:tcPr>
          <w:p>
            <w:pPr>
              <w:jc w:val="center"/>
              <w:ind w:right="680"/>
              <w:spacing w:after="0" w:line="99" w:lineRule="exact"/>
              <w:rPr>
                <w:sz w:val="20"/>
                <w:szCs w:val="20"/>
                <w:color w:val="auto"/>
              </w:rPr>
            </w:pPr>
            <w:r>
              <w:rPr>
                <w:rFonts w:ascii="Arial" w:cs="Arial" w:eastAsia="Arial" w:hAnsi="Arial"/>
                <w:sz w:val="10"/>
                <w:szCs w:val="10"/>
                <w:b w:val="1"/>
                <w:bCs w:val="1"/>
                <w:color w:val="auto"/>
                <w:w w:val="89"/>
              </w:rPr>
              <w:t>Remaining</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60" w:type="dxa"/>
            <w:vAlign w:val="bottom"/>
            <w:gridSpan w:val="2"/>
          </w:tcPr>
          <w:p>
            <w:pPr>
              <w:jc w:val="center"/>
              <w:ind w:right="560"/>
              <w:spacing w:after="0" w:line="99" w:lineRule="exact"/>
              <w:rPr>
                <w:sz w:val="20"/>
                <w:szCs w:val="20"/>
                <w:color w:val="auto"/>
              </w:rPr>
            </w:pPr>
            <w:r>
              <w:rPr>
                <w:rFonts w:ascii="Arial" w:cs="Arial" w:eastAsia="Arial" w:hAnsi="Arial"/>
                <w:sz w:val="10"/>
                <w:szCs w:val="10"/>
                <w:b w:val="1"/>
                <w:bCs w:val="1"/>
                <w:color w:val="auto"/>
                <w:w w:val="81"/>
              </w:rPr>
              <w:t>(a)</w:t>
            </w:r>
          </w:p>
        </w:tc>
        <w:tc>
          <w:tcPr>
            <w:tcW w:w="1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0" w:type="dxa"/>
            <w:vAlign w:val="bottom"/>
            <w:gridSpan w:val="3"/>
          </w:tcPr>
          <w:p>
            <w:pPr>
              <w:jc w:val="center"/>
              <w:ind w:right="20"/>
              <w:spacing w:after="0" w:line="99" w:lineRule="exact"/>
              <w:rPr>
                <w:sz w:val="20"/>
                <w:szCs w:val="20"/>
                <w:color w:val="auto"/>
              </w:rPr>
            </w:pPr>
            <w:r>
              <w:rPr>
                <w:rFonts w:ascii="Arial" w:cs="Arial" w:eastAsia="Arial" w:hAnsi="Arial"/>
                <w:sz w:val="10"/>
                <w:szCs w:val="10"/>
                <w:b w:val="1"/>
                <w:bCs w:val="1"/>
                <w:color w:val="auto"/>
                <w:w w:val="89"/>
              </w:rPr>
              <w:t>Available for</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60" w:type="dxa"/>
            <w:vAlign w:val="bottom"/>
            <w:gridSpan w:val="2"/>
          </w:tcPr>
          <w:p>
            <w:pPr>
              <w:jc w:val="center"/>
              <w:ind w:right="560"/>
              <w:spacing w:after="0" w:line="99" w:lineRule="exact"/>
              <w:rPr>
                <w:sz w:val="20"/>
                <w:szCs w:val="20"/>
                <w:color w:val="auto"/>
              </w:rPr>
            </w:pPr>
            <w:r>
              <w:rPr>
                <w:rFonts w:ascii="Arial" w:cs="Arial" w:eastAsia="Arial" w:hAnsi="Arial"/>
                <w:sz w:val="10"/>
                <w:szCs w:val="10"/>
                <w:b w:val="1"/>
                <w:bCs w:val="1"/>
                <w:color w:val="auto"/>
                <w:w w:val="91"/>
              </w:rPr>
              <w:t>Number of</w:t>
            </w:r>
          </w:p>
        </w:tc>
        <w:tc>
          <w:tcPr>
            <w:tcW w:w="180" w:type="dxa"/>
            <w:vAlign w:val="bottom"/>
          </w:tcPr>
          <w:p>
            <w:pPr>
              <w:spacing w:after="0"/>
              <w:rPr>
                <w:sz w:val="8"/>
                <w:szCs w:val="8"/>
                <w:color w:val="auto"/>
              </w:rPr>
            </w:pPr>
          </w:p>
        </w:tc>
        <w:tc>
          <w:tcPr>
            <w:tcW w:w="136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93"/>
              </w:rPr>
              <w:t>(b)</w:t>
            </w:r>
          </w:p>
        </w:tc>
        <w:tc>
          <w:tcPr>
            <w:tcW w:w="180" w:type="dxa"/>
            <w:vAlign w:val="bottom"/>
          </w:tcPr>
          <w:p>
            <w:pPr>
              <w:spacing w:after="0"/>
              <w:rPr>
                <w:sz w:val="8"/>
                <w:szCs w:val="8"/>
                <w:color w:val="auto"/>
              </w:rPr>
            </w:pPr>
          </w:p>
        </w:tc>
        <w:tc>
          <w:tcPr>
            <w:tcW w:w="1800" w:type="dxa"/>
            <w:vAlign w:val="bottom"/>
            <w:gridSpan w:val="3"/>
          </w:tcPr>
          <w:p>
            <w:pPr>
              <w:jc w:val="center"/>
              <w:ind w:right="20"/>
              <w:spacing w:after="0" w:line="99" w:lineRule="exact"/>
              <w:rPr>
                <w:sz w:val="20"/>
                <w:szCs w:val="20"/>
                <w:color w:val="auto"/>
              </w:rPr>
            </w:pPr>
            <w:r>
              <w:rPr>
                <w:rFonts w:ascii="Arial" w:cs="Arial" w:eastAsia="Arial" w:hAnsi="Arial"/>
                <w:sz w:val="10"/>
                <w:szCs w:val="10"/>
                <w:b w:val="1"/>
                <w:bCs w:val="1"/>
                <w:color w:val="auto"/>
                <w:w w:val="85"/>
              </w:rPr>
              <w:t>Future Issuance</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20" w:type="dxa"/>
            <w:vAlign w:val="bottom"/>
            <w:gridSpan w:val="3"/>
          </w:tcPr>
          <w:p>
            <w:pPr>
              <w:jc w:val="center"/>
              <w:spacing w:after="0" w:line="99" w:lineRule="exact"/>
              <w:rPr>
                <w:sz w:val="20"/>
                <w:szCs w:val="20"/>
                <w:color w:val="auto"/>
              </w:rPr>
            </w:pPr>
            <w:r>
              <w:rPr>
                <w:rFonts w:ascii="Arial" w:cs="Arial" w:eastAsia="Arial" w:hAnsi="Arial"/>
                <w:sz w:val="10"/>
                <w:szCs w:val="10"/>
                <w:b w:val="1"/>
                <w:bCs w:val="1"/>
                <w:color w:val="auto"/>
                <w:w w:val="84"/>
              </w:rPr>
              <w:t>Securities To Be</w:t>
            </w:r>
          </w:p>
        </w:tc>
        <w:tc>
          <w:tcPr>
            <w:tcW w:w="180" w:type="dxa"/>
            <w:vAlign w:val="bottom"/>
          </w:tcPr>
          <w:p>
            <w:pPr>
              <w:spacing w:after="0"/>
              <w:rPr>
                <w:sz w:val="8"/>
                <w:szCs w:val="8"/>
                <w:color w:val="auto"/>
              </w:rPr>
            </w:pPr>
          </w:p>
        </w:tc>
        <w:tc>
          <w:tcPr>
            <w:tcW w:w="136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6"/>
              </w:rPr>
              <w:t>Weighted-</w:t>
            </w:r>
          </w:p>
        </w:tc>
        <w:tc>
          <w:tcPr>
            <w:tcW w:w="180" w:type="dxa"/>
            <w:vAlign w:val="bottom"/>
          </w:tcPr>
          <w:p>
            <w:pPr>
              <w:spacing w:after="0"/>
              <w:rPr>
                <w:sz w:val="8"/>
                <w:szCs w:val="8"/>
                <w:color w:val="auto"/>
              </w:rPr>
            </w:pPr>
          </w:p>
        </w:tc>
        <w:tc>
          <w:tcPr>
            <w:tcW w:w="1800" w:type="dxa"/>
            <w:vAlign w:val="bottom"/>
            <w:gridSpan w:val="3"/>
          </w:tcPr>
          <w:p>
            <w:pPr>
              <w:jc w:val="center"/>
              <w:ind w:right="20"/>
              <w:spacing w:after="0" w:line="99" w:lineRule="exact"/>
              <w:rPr>
                <w:sz w:val="20"/>
                <w:szCs w:val="20"/>
                <w:color w:val="auto"/>
              </w:rPr>
            </w:pPr>
            <w:r>
              <w:rPr>
                <w:rFonts w:ascii="Arial" w:cs="Arial" w:eastAsia="Arial" w:hAnsi="Arial"/>
                <w:sz w:val="10"/>
                <w:szCs w:val="10"/>
                <w:b w:val="1"/>
                <w:bCs w:val="1"/>
                <w:color w:val="auto"/>
                <w:w w:val="93"/>
              </w:rPr>
              <w:t>Under Equity</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20" w:type="dxa"/>
            <w:vAlign w:val="bottom"/>
            <w:gridSpan w:val="3"/>
          </w:tcPr>
          <w:p>
            <w:pPr>
              <w:jc w:val="center"/>
              <w:spacing w:after="0" w:line="99" w:lineRule="exact"/>
              <w:rPr>
                <w:sz w:val="20"/>
                <w:szCs w:val="20"/>
                <w:color w:val="auto"/>
              </w:rPr>
            </w:pPr>
            <w:r>
              <w:rPr>
                <w:rFonts w:ascii="Arial" w:cs="Arial" w:eastAsia="Arial" w:hAnsi="Arial"/>
                <w:sz w:val="10"/>
                <w:szCs w:val="10"/>
                <w:b w:val="1"/>
                <w:bCs w:val="1"/>
                <w:color w:val="auto"/>
                <w:w w:val="84"/>
              </w:rPr>
              <w:t>Issued upon</w:t>
            </w:r>
          </w:p>
        </w:tc>
        <w:tc>
          <w:tcPr>
            <w:tcW w:w="180" w:type="dxa"/>
            <w:vAlign w:val="bottom"/>
          </w:tcPr>
          <w:p>
            <w:pPr>
              <w:spacing w:after="0"/>
              <w:rPr>
                <w:sz w:val="8"/>
                <w:szCs w:val="8"/>
                <w:color w:val="auto"/>
              </w:rPr>
            </w:pPr>
          </w:p>
        </w:tc>
        <w:tc>
          <w:tcPr>
            <w:tcW w:w="136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6"/>
              </w:rPr>
              <w:t>Average</w:t>
            </w:r>
          </w:p>
        </w:tc>
        <w:tc>
          <w:tcPr>
            <w:tcW w:w="180" w:type="dxa"/>
            <w:vAlign w:val="bottom"/>
          </w:tcPr>
          <w:p>
            <w:pPr>
              <w:spacing w:after="0"/>
              <w:rPr>
                <w:sz w:val="8"/>
                <w:szCs w:val="8"/>
                <w:color w:val="auto"/>
              </w:rPr>
            </w:pPr>
          </w:p>
        </w:tc>
        <w:tc>
          <w:tcPr>
            <w:tcW w:w="1800" w:type="dxa"/>
            <w:vAlign w:val="bottom"/>
            <w:gridSpan w:val="3"/>
          </w:tcPr>
          <w:p>
            <w:pPr>
              <w:jc w:val="center"/>
              <w:spacing w:after="0" w:line="99" w:lineRule="exact"/>
              <w:rPr>
                <w:sz w:val="20"/>
                <w:szCs w:val="20"/>
                <w:color w:val="auto"/>
              </w:rPr>
            </w:pPr>
            <w:r>
              <w:rPr>
                <w:rFonts w:ascii="Arial" w:cs="Arial" w:eastAsia="Arial" w:hAnsi="Arial"/>
                <w:sz w:val="10"/>
                <w:szCs w:val="10"/>
                <w:b w:val="1"/>
                <w:bCs w:val="1"/>
                <w:color w:val="auto"/>
                <w:w w:val="84"/>
              </w:rPr>
              <w:t>Compensation Plans</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60" w:type="dxa"/>
            <w:vAlign w:val="bottom"/>
            <w:gridSpan w:val="2"/>
          </w:tcPr>
          <w:p>
            <w:pPr>
              <w:jc w:val="center"/>
              <w:ind w:right="560"/>
              <w:spacing w:after="0" w:line="99" w:lineRule="exact"/>
              <w:rPr>
                <w:sz w:val="20"/>
                <w:szCs w:val="20"/>
                <w:color w:val="auto"/>
              </w:rPr>
            </w:pPr>
            <w:r>
              <w:rPr>
                <w:rFonts w:ascii="Arial" w:cs="Arial" w:eastAsia="Arial" w:hAnsi="Arial"/>
                <w:sz w:val="10"/>
                <w:szCs w:val="10"/>
                <w:b w:val="1"/>
                <w:bCs w:val="1"/>
                <w:color w:val="auto"/>
                <w:w w:val="86"/>
              </w:rPr>
              <w:t>Exercise of</w:t>
            </w:r>
          </w:p>
        </w:tc>
        <w:tc>
          <w:tcPr>
            <w:tcW w:w="180" w:type="dxa"/>
            <w:vAlign w:val="bottom"/>
          </w:tcPr>
          <w:p>
            <w:pPr>
              <w:spacing w:after="0"/>
              <w:rPr>
                <w:sz w:val="8"/>
                <w:szCs w:val="8"/>
                <w:color w:val="auto"/>
              </w:rPr>
            </w:pPr>
          </w:p>
        </w:tc>
        <w:tc>
          <w:tcPr>
            <w:tcW w:w="136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4"/>
              </w:rPr>
              <w:t>Exercise Price of</w:t>
            </w: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40" w:type="dxa"/>
            <w:vAlign w:val="bottom"/>
            <w:gridSpan w:val="2"/>
          </w:tcPr>
          <w:p>
            <w:pPr>
              <w:jc w:val="center"/>
              <w:ind w:right="680"/>
              <w:spacing w:after="0" w:line="99" w:lineRule="exact"/>
              <w:rPr>
                <w:sz w:val="20"/>
                <w:szCs w:val="20"/>
                <w:color w:val="auto"/>
              </w:rPr>
            </w:pPr>
            <w:r>
              <w:rPr>
                <w:rFonts w:ascii="Arial" w:cs="Arial" w:eastAsia="Arial" w:hAnsi="Arial"/>
                <w:sz w:val="10"/>
                <w:szCs w:val="10"/>
                <w:b w:val="1"/>
                <w:bCs w:val="1"/>
                <w:color w:val="auto"/>
                <w:w w:val="87"/>
              </w:rPr>
              <w:t>Excluding</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20" w:type="dxa"/>
            <w:vAlign w:val="bottom"/>
            <w:gridSpan w:val="3"/>
          </w:tcPr>
          <w:p>
            <w:pPr>
              <w:jc w:val="center"/>
              <w:spacing w:after="0" w:line="99" w:lineRule="exact"/>
              <w:rPr>
                <w:sz w:val="20"/>
                <w:szCs w:val="20"/>
                <w:color w:val="auto"/>
              </w:rPr>
            </w:pPr>
            <w:r>
              <w:rPr>
                <w:rFonts w:ascii="Arial" w:cs="Arial" w:eastAsia="Arial" w:hAnsi="Arial"/>
                <w:sz w:val="10"/>
                <w:szCs w:val="10"/>
                <w:b w:val="1"/>
                <w:bCs w:val="1"/>
                <w:color w:val="auto"/>
                <w:w w:val="84"/>
              </w:rPr>
              <w:t>Outstanding</w:t>
            </w:r>
          </w:p>
        </w:tc>
        <w:tc>
          <w:tcPr>
            <w:tcW w:w="180" w:type="dxa"/>
            <w:vAlign w:val="bottom"/>
          </w:tcPr>
          <w:p>
            <w:pPr>
              <w:spacing w:after="0"/>
              <w:rPr>
                <w:sz w:val="8"/>
                <w:szCs w:val="8"/>
                <w:color w:val="auto"/>
              </w:rPr>
            </w:pPr>
          </w:p>
        </w:tc>
        <w:tc>
          <w:tcPr>
            <w:tcW w:w="136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8"/>
              </w:rPr>
              <w:t>Outstanding</w:t>
            </w: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40" w:type="dxa"/>
            <w:vAlign w:val="bottom"/>
            <w:gridSpan w:val="2"/>
          </w:tcPr>
          <w:p>
            <w:pPr>
              <w:jc w:val="center"/>
              <w:ind w:right="660"/>
              <w:spacing w:after="0" w:line="99" w:lineRule="exact"/>
              <w:rPr>
                <w:sz w:val="20"/>
                <w:szCs w:val="20"/>
                <w:color w:val="auto"/>
              </w:rPr>
            </w:pPr>
            <w:r>
              <w:rPr>
                <w:rFonts w:ascii="Arial" w:cs="Arial" w:eastAsia="Arial" w:hAnsi="Arial"/>
                <w:sz w:val="10"/>
                <w:szCs w:val="10"/>
                <w:b w:val="1"/>
                <w:bCs w:val="1"/>
                <w:color w:val="auto"/>
                <w:w w:val="83"/>
              </w:rPr>
              <w:t>Securities</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20" w:type="dxa"/>
            <w:vAlign w:val="bottom"/>
            <w:gridSpan w:val="3"/>
          </w:tcPr>
          <w:p>
            <w:pPr>
              <w:jc w:val="center"/>
              <w:spacing w:after="0" w:line="99" w:lineRule="exact"/>
              <w:rPr>
                <w:sz w:val="20"/>
                <w:szCs w:val="20"/>
                <w:color w:val="auto"/>
              </w:rPr>
            </w:pPr>
            <w:r>
              <w:rPr>
                <w:rFonts w:ascii="Arial" w:cs="Arial" w:eastAsia="Arial" w:hAnsi="Arial"/>
                <w:sz w:val="10"/>
                <w:szCs w:val="10"/>
                <w:b w:val="1"/>
                <w:bCs w:val="1"/>
                <w:color w:val="auto"/>
                <w:w w:val="89"/>
              </w:rPr>
              <w:t>Options, Warrants</w:t>
            </w:r>
          </w:p>
        </w:tc>
        <w:tc>
          <w:tcPr>
            <w:tcW w:w="180" w:type="dxa"/>
            <w:vAlign w:val="bottom"/>
          </w:tcPr>
          <w:p>
            <w:pPr>
              <w:spacing w:after="0"/>
              <w:rPr>
                <w:sz w:val="8"/>
                <w:szCs w:val="8"/>
                <w:color w:val="auto"/>
              </w:rPr>
            </w:pPr>
          </w:p>
        </w:tc>
        <w:tc>
          <w:tcPr>
            <w:tcW w:w="136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7"/>
              </w:rPr>
              <w:t>Options, Warrants</w:t>
            </w:r>
          </w:p>
        </w:tc>
        <w:tc>
          <w:tcPr>
            <w:tcW w:w="180" w:type="dxa"/>
            <w:vAlign w:val="bottom"/>
          </w:tcPr>
          <w:p>
            <w:pPr>
              <w:spacing w:after="0"/>
              <w:rPr>
                <w:sz w:val="8"/>
                <w:szCs w:val="8"/>
                <w:color w:val="auto"/>
              </w:rPr>
            </w:pPr>
          </w:p>
        </w:tc>
        <w:tc>
          <w:tcPr>
            <w:tcW w:w="1800" w:type="dxa"/>
            <w:vAlign w:val="bottom"/>
            <w:gridSpan w:val="3"/>
          </w:tcPr>
          <w:p>
            <w:pPr>
              <w:jc w:val="center"/>
              <w:ind w:right="20"/>
              <w:spacing w:after="0" w:line="99" w:lineRule="exact"/>
              <w:rPr>
                <w:sz w:val="20"/>
                <w:szCs w:val="20"/>
                <w:color w:val="auto"/>
              </w:rPr>
            </w:pPr>
            <w:r>
              <w:rPr>
                <w:rFonts w:ascii="Arial" w:cs="Arial" w:eastAsia="Arial" w:hAnsi="Arial"/>
                <w:sz w:val="10"/>
                <w:szCs w:val="10"/>
                <w:b w:val="1"/>
                <w:bCs w:val="1"/>
                <w:color w:val="auto"/>
                <w:w w:val="88"/>
              </w:rPr>
              <w:t>Reflected in</w:t>
            </w:r>
          </w:p>
        </w:tc>
        <w:tc>
          <w:tcPr>
            <w:tcW w:w="0" w:type="dxa"/>
            <w:vAlign w:val="bottom"/>
          </w:tcPr>
          <w:p>
            <w:pPr>
              <w:spacing w:after="0"/>
              <w:rPr>
                <w:sz w:val="1"/>
                <w:szCs w:val="1"/>
                <w:color w:val="auto"/>
              </w:rPr>
            </w:pPr>
          </w:p>
        </w:tc>
      </w:tr>
      <w:tr>
        <w:trPr>
          <w:trHeight w:val="114"/>
        </w:trPr>
        <w:tc>
          <w:tcPr>
            <w:tcW w:w="4780" w:type="dxa"/>
            <w:vAlign w:val="bottom"/>
            <w:gridSpan w:val="3"/>
          </w:tcPr>
          <w:p>
            <w:pPr>
              <w:spacing w:after="0" w:line="114" w:lineRule="exact"/>
              <w:rPr>
                <w:sz w:val="20"/>
                <w:szCs w:val="20"/>
                <w:color w:val="auto"/>
              </w:rPr>
            </w:pPr>
            <w:r>
              <w:rPr>
                <w:rFonts w:ascii="Arial" w:cs="Arial" w:eastAsia="Arial" w:hAnsi="Arial"/>
                <w:sz w:val="10"/>
                <w:szCs w:val="10"/>
                <w:b w:val="1"/>
                <w:bCs w:val="1"/>
                <w:color w:val="auto"/>
              </w:rPr>
              <w:t>Plan Category</w:t>
            </w: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60" w:type="dxa"/>
            <w:vAlign w:val="bottom"/>
            <w:gridSpan w:val="2"/>
          </w:tcPr>
          <w:p>
            <w:pPr>
              <w:jc w:val="center"/>
              <w:ind w:right="560"/>
              <w:spacing w:after="0" w:line="114" w:lineRule="exact"/>
              <w:rPr>
                <w:sz w:val="20"/>
                <w:szCs w:val="20"/>
                <w:color w:val="auto"/>
              </w:rPr>
            </w:pPr>
            <w:r>
              <w:rPr>
                <w:rFonts w:ascii="Arial" w:cs="Arial" w:eastAsia="Arial" w:hAnsi="Arial"/>
                <w:sz w:val="10"/>
                <w:szCs w:val="10"/>
                <w:b w:val="1"/>
                <w:bCs w:val="1"/>
                <w:color w:val="auto"/>
                <w:w w:val="88"/>
              </w:rPr>
              <w:t>and Rights</w:t>
            </w:r>
          </w:p>
        </w:tc>
        <w:tc>
          <w:tcPr>
            <w:tcW w:w="180" w:type="dxa"/>
            <w:vAlign w:val="bottom"/>
          </w:tcPr>
          <w:p>
            <w:pPr>
              <w:spacing w:after="0"/>
              <w:rPr>
                <w:sz w:val="9"/>
                <w:szCs w:val="9"/>
                <w:color w:val="auto"/>
              </w:rPr>
            </w:pPr>
          </w:p>
        </w:tc>
        <w:tc>
          <w:tcPr>
            <w:tcW w:w="136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85"/>
              </w:rPr>
              <w:t>and Rights</w:t>
            </w: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40" w:type="dxa"/>
            <w:vAlign w:val="bottom"/>
            <w:gridSpan w:val="2"/>
          </w:tcPr>
          <w:p>
            <w:pPr>
              <w:jc w:val="center"/>
              <w:ind w:right="680"/>
              <w:spacing w:after="0" w:line="114" w:lineRule="exact"/>
              <w:rPr>
                <w:sz w:val="20"/>
                <w:szCs w:val="20"/>
                <w:color w:val="auto"/>
              </w:rPr>
            </w:pPr>
            <w:r>
              <w:rPr>
                <w:rFonts w:ascii="Arial" w:cs="Arial" w:eastAsia="Arial" w:hAnsi="Arial"/>
                <w:sz w:val="10"/>
                <w:szCs w:val="10"/>
                <w:b w:val="1"/>
                <w:bCs w:val="1"/>
                <w:color w:val="auto"/>
                <w:w w:val="87"/>
              </w:rPr>
              <w:t>Column (a)</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34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9"/>
        </w:trPr>
        <w:tc>
          <w:tcPr>
            <w:tcW w:w="20" w:type="dxa"/>
            <w:vAlign w:val="bottom"/>
            <w:vMerge w:val="continue"/>
          </w:tcPr>
          <w:p>
            <w:pPr>
              <w:spacing w:after="0"/>
              <w:rPr>
                <w:sz w:val="8"/>
                <w:szCs w:val="8"/>
                <w:color w:val="auto"/>
              </w:rPr>
            </w:pPr>
          </w:p>
        </w:tc>
        <w:tc>
          <w:tcPr>
            <w:tcW w:w="4760" w:type="dxa"/>
            <w:vAlign w:val="bottom"/>
            <w:gridSpan w:val="2"/>
            <w:shd w:val="clear" w:color="auto" w:fill="CCEEFF"/>
          </w:tcPr>
          <w:p>
            <w:pPr>
              <w:spacing w:after="0" w:line="99" w:lineRule="exact"/>
              <w:rPr>
                <w:sz w:val="20"/>
                <w:szCs w:val="20"/>
                <w:color w:val="auto"/>
              </w:rPr>
            </w:pPr>
            <w:r>
              <w:rPr>
                <w:rFonts w:ascii="Arial" w:cs="Arial" w:eastAsia="Arial" w:hAnsi="Arial"/>
                <w:sz w:val="10"/>
                <w:szCs w:val="10"/>
                <w:color w:val="auto"/>
              </w:rPr>
              <w:t>Equity compensation plans approved by security holders</w:t>
            </w:r>
            <w:r>
              <w:rPr>
                <w:rFonts w:ascii="Arial" w:cs="Arial" w:eastAsia="Arial" w:hAnsi="Arial"/>
                <w:sz w:val="8"/>
                <w:szCs w:val="8"/>
                <w:color w:val="auto"/>
              </w:rPr>
              <w:t>(1)</w:t>
            </w: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4760" w:type="dxa"/>
            <w:vAlign w:val="bottom"/>
            <w:gridSpan w:val="2"/>
          </w:tcPr>
          <w:p>
            <w:pPr>
              <w:ind w:left="80"/>
              <w:spacing w:after="0" w:line="99" w:lineRule="exact"/>
              <w:rPr>
                <w:sz w:val="20"/>
                <w:szCs w:val="20"/>
                <w:color w:val="auto"/>
              </w:rPr>
            </w:pPr>
            <w:r>
              <w:rPr>
                <w:rFonts w:ascii="Arial" w:cs="Arial" w:eastAsia="Arial" w:hAnsi="Arial"/>
                <w:sz w:val="10"/>
                <w:szCs w:val="10"/>
                <w:color w:val="auto"/>
              </w:rPr>
              <w:t>Class A common stock</w:t>
            </w:r>
            <w:r>
              <w:rPr>
                <w:rFonts w:ascii="Arial" w:cs="Arial" w:eastAsia="Arial" w:hAnsi="Arial"/>
                <w:sz w:val="8"/>
                <w:szCs w:val="8"/>
                <w:color w:val="auto"/>
              </w:rPr>
              <w:t>(2)</w:t>
            </w:r>
          </w:p>
        </w:tc>
        <w:tc>
          <w:tcPr>
            <w:tcW w:w="1140" w:type="dxa"/>
            <w:vAlign w:val="bottom"/>
            <w:gridSpan w:val="3"/>
          </w:tcPr>
          <w:p>
            <w:pPr>
              <w:jc w:val="right"/>
              <w:spacing w:after="0" w:line="99" w:lineRule="exact"/>
              <w:rPr>
                <w:sz w:val="20"/>
                <w:szCs w:val="20"/>
                <w:color w:val="auto"/>
              </w:rPr>
            </w:pPr>
            <w:r>
              <w:rPr>
                <w:rFonts w:ascii="Arial" w:cs="Arial" w:eastAsia="Arial" w:hAnsi="Arial"/>
                <w:sz w:val="10"/>
                <w:szCs w:val="10"/>
                <w:color w:val="auto"/>
              </w:rPr>
              <w:t>170,145,138</w:t>
            </w:r>
          </w:p>
        </w:tc>
        <w:tc>
          <w:tcPr>
            <w:tcW w:w="560" w:type="dxa"/>
            <w:vAlign w:val="bottom"/>
          </w:tcPr>
          <w:p>
            <w:pPr>
              <w:spacing w:after="0"/>
              <w:rPr>
                <w:sz w:val="8"/>
                <w:szCs w:val="8"/>
                <w:color w:val="auto"/>
              </w:rPr>
            </w:pPr>
          </w:p>
        </w:tc>
        <w:tc>
          <w:tcPr>
            <w:tcW w:w="1540" w:type="dxa"/>
            <w:vAlign w:val="bottom"/>
            <w:gridSpan w:val="2"/>
          </w:tcPr>
          <w:p>
            <w:pPr>
              <w:jc w:val="right"/>
              <w:ind w:right="532"/>
              <w:spacing w:after="0" w:line="99" w:lineRule="exact"/>
              <w:rPr>
                <w:sz w:val="20"/>
                <w:szCs w:val="20"/>
                <w:color w:val="auto"/>
              </w:rPr>
            </w:pPr>
            <w:r>
              <w:rPr>
                <w:rFonts w:ascii="Arial" w:cs="Arial" w:eastAsia="Arial" w:hAnsi="Arial"/>
                <w:sz w:val="10"/>
                <w:szCs w:val="10"/>
                <w:color w:val="auto"/>
              </w:rPr>
              <w:t>$19.74</w:t>
            </w:r>
          </w:p>
        </w:tc>
        <w:tc>
          <w:tcPr>
            <w:tcW w:w="1320" w:type="dxa"/>
            <w:vAlign w:val="bottom"/>
            <w:gridSpan w:val="3"/>
          </w:tcPr>
          <w:p>
            <w:pPr>
              <w:jc w:val="right"/>
              <w:spacing w:after="0" w:line="99" w:lineRule="exact"/>
              <w:rPr>
                <w:sz w:val="20"/>
                <w:szCs w:val="20"/>
                <w:color w:val="auto"/>
              </w:rPr>
            </w:pPr>
            <w:r>
              <w:rPr>
                <w:rFonts w:ascii="Arial" w:cs="Arial" w:eastAsia="Arial" w:hAnsi="Arial"/>
                <w:sz w:val="10"/>
                <w:szCs w:val="10"/>
                <w:color w:val="auto"/>
              </w:rPr>
              <w:t>109,106,692</w:t>
            </w: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4760" w:type="dxa"/>
            <w:vAlign w:val="bottom"/>
            <w:gridSpan w:val="2"/>
            <w:shd w:val="clear" w:color="auto" w:fill="CCEEFF"/>
          </w:tcPr>
          <w:p>
            <w:pPr>
              <w:ind w:left="80"/>
              <w:spacing w:after="0" w:line="99" w:lineRule="exact"/>
              <w:rPr>
                <w:sz w:val="20"/>
                <w:szCs w:val="20"/>
                <w:color w:val="auto"/>
              </w:rPr>
            </w:pPr>
            <w:r>
              <w:rPr>
                <w:rFonts w:ascii="Arial" w:cs="Arial" w:eastAsia="Arial" w:hAnsi="Arial"/>
                <w:sz w:val="10"/>
                <w:szCs w:val="10"/>
                <w:color w:val="auto"/>
              </w:rPr>
              <w:t>Class A Special common stock</w:t>
            </w:r>
          </w:p>
        </w:tc>
        <w:tc>
          <w:tcPr>
            <w:tcW w:w="1140" w:type="dxa"/>
            <w:vAlign w:val="bottom"/>
            <w:gridSpan w:val="3"/>
            <w:shd w:val="clear" w:color="auto" w:fill="CCEEFF"/>
          </w:tcPr>
          <w:p>
            <w:pPr>
              <w:jc w:val="right"/>
              <w:spacing w:after="0" w:line="99" w:lineRule="exact"/>
              <w:rPr>
                <w:sz w:val="20"/>
                <w:szCs w:val="20"/>
                <w:color w:val="auto"/>
              </w:rPr>
            </w:pPr>
            <w:r>
              <w:rPr>
                <w:rFonts w:ascii="Arial" w:cs="Arial" w:eastAsia="Arial" w:hAnsi="Arial"/>
                <w:sz w:val="10"/>
                <w:szCs w:val="10"/>
                <w:color w:val="auto"/>
              </w:rPr>
              <w:t>40,620,531</w:t>
            </w:r>
          </w:p>
        </w:tc>
        <w:tc>
          <w:tcPr>
            <w:tcW w:w="560" w:type="dxa"/>
            <w:vAlign w:val="bottom"/>
            <w:shd w:val="clear" w:color="auto" w:fill="CCEEFF"/>
          </w:tcPr>
          <w:p>
            <w:pPr>
              <w:spacing w:after="0"/>
              <w:rPr>
                <w:sz w:val="8"/>
                <w:szCs w:val="8"/>
                <w:color w:val="auto"/>
              </w:rPr>
            </w:pPr>
          </w:p>
        </w:tc>
        <w:tc>
          <w:tcPr>
            <w:tcW w:w="1540" w:type="dxa"/>
            <w:vAlign w:val="bottom"/>
            <w:gridSpan w:val="2"/>
            <w:shd w:val="clear" w:color="auto" w:fill="CCEEFF"/>
          </w:tcPr>
          <w:p>
            <w:pPr>
              <w:jc w:val="right"/>
              <w:ind w:right="532"/>
              <w:spacing w:after="0" w:line="99" w:lineRule="exact"/>
              <w:rPr>
                <w:sz w:val="20"/>
                <w:szCs w:val="20"/>
                <w:color w:val="auto"/>
              </w:rPr>
            </w:pPr>
            <w:r>
              <w:rPr>
                <w:rFonts w:ascii="Arial" w:cs="Arial" w:eastAsia="Arial" w:hAnsi="Arial"/>
                <w:sz w:val="10"/>
                <w:szCs w:val="10"/>
                <w:color w:val="auto"/>
              </w:rPr>
              <w:t>24.47</w:t>
            </w:r>
          </w:p>
        </w:tc>
        <w:tc>
          <w:tcPr>
            <w:tcW w:w="1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140" w:type="dxa"/>
            <w:vAlign w:val="bottom"/>
            <w:gridSpan w:val="2"/>
            <w:shd w:val="clear" w:color="auto" w:fill="CCEEFF"/>
          </w:tcPr>
          <w:p>
            <w:pPr>
              <w:jc w:val="right"/>
              <w:ind w:right="660"/>
              <w:spacing w:after="0" w:line="99"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4760" w:type="dxa"/>
            <w:vAlign w:val="bottom"/>
            <w:gridSpan w:val="2"/>
          </w:tcPr>
          <w:p>
            <w:pPr>
              <w:spacing w:after="0" w:line="99" w:lineRule="exact"/>
              <w:rPr>
                <w:sz w:val="20"/>
                <w:szCs w:val="20"/>
                <w:color w:val="auto"/>
              </w:rPr>
            </w:pPr>
            <w:r>
              <w:rPr>
                <w:rFonts w:ascii="Arial" w:cs="Arial" w:eastAsia="Arial" w:hAnsi="Arial"/>
                <w:sz w:val="10"/>
                <w:szCs w:val="10"/>
                <w:color w:val="auto"/>
              </w:rPr>
              <w:t>Equity compensation plans not approved by security holders</w:t>
            </w: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Borders>
              <w:bottom w:val="single" w:sz="8" w:color="auto"/>
            </w:tcBorders>
          </w:tcPr>
          <w:p>
            <w:pPr>
              <w:jc w:val="right"/>
              <w:spacing w:after="0" w:line="99" w:lineRule="exact"/>
              <w:rPr>
                <w:sz w:val="20"/>
                <w:szCs w:val="20"/>
                <w:color w:val="auto"/>
              </w:rPr>
            </w:pPr>
            <w:r>
              <w:rPr>
                <w:rFonts w:ascii="Arial" w:cs="Arial" w:eastAsia="Arial" w:hAnsi="Arial"/>
                <w:sz w:val="10"/>
                <w:szCs w:val="10"/>
                <w:color w:val="auto"/>
              </w:rPr>
              <w:t>—</w:t>
            </w: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Borders>
              <w:bottom w:val="single" w:sz="8" w:color="auto"/>
            </w:tcBorders>
          </w:tcPr>
          <w:p>
            <w:pPr>
              <w:jc w:val="right"/>
              <w:spacing w:after="0" w:line="99" w:lineRule="exact"/>
              <w:rPr>
                <w:sz w:val="20"/>
                <w:szCs w:val="20"/>
                <w:color w:val="auto"/>
              </w:rPr>
            </w:pPr>
            <w:r>
              <w:rPr>
                <w:rFonts w:ascii="Arial" w:cs="Arial" w:eastAsia="Arial" w:hAnsi="Arial"/>
                <w:sz w:val="10"/>
                <w:szCs w:val="10"/>
                <w:color w:val="auto"/>
              </w:rPr>
              <w:t>—</w:t>
            </w: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4780" w:type="dxa"/>
            <w:vAlign w:val="bottom"/>
            <w:gridSpan w:val="3"/>
            <w:shd w:val="clear" w:color="auto" w:fill="CCEEFF"/>
          </w:tcPr>
          <w:p>
            <w:pPr>
              <w:spacing w:after="0" w:line="97" w:lineRule="exact"/>
              <w:rPr>
                <w:sz w:val="20"/>
                <w:szCs w:val="20"/>
                <w:color w:val="auto"/>
              </w:rPr>
            </w:pPr>
            <w:r>
              <w:rPr>
                <w:rFonts w:ascii="Arial" w:cs="Arial" w:eastAsia="Arial" w:hAnsi="Arial"/>
                <w:sz w:val="10"/>
                <w:szCs w:val="10"/>
                <w:color w:val="auto"/>
              </w:rPr>
              <w:t>Total</w:t>
            </w:r>
            <w:r>
              <w:rPr>
                <w:rFonts w:ascii="Arial" w:cs="Arial" w:eastAsia="Arial" w:hAnsi="Arial"/>
                <w:sz w:val="8"/>
                <w:szCs w:val="8"/>
                <w:color w:val="auto"/>
              </w:rPr>
              <w:t>(2)</w:t>
            </w:r>
          </w:p>
        </w:tc>
        <w:tc>
          <w:tcPr>
            <w:tcW w:w="1140" w:type="dxa"/>
            <w:vAlign w:val="bottom"/>
            <w:gridSpan w:val="3"/>
            <w:shd w:val="clear" w:color="auto" w:fill="CCEEFF"/>
          </w:tcPr>
          <w:p>
            <w:pPr>
              <w:jc w:val="right"/>
              <w:spacing w:after="0" w:line="97" w:lineRule="exact"/>
              <w:rPr>
                <w:sz w:val="20"/>
                <w:szCs w:val="20"/>
                <w:color w:val="auto"/>
              </w:rPr>
            </w:pPr>
            <w:r>
              <w:rPr>
                <w:rFonts w:ascii="Arial" w:cs="Arial" w:eastAsia="Arial" w:hAnsi="Arial"/>
                <w:sz w:val="10"/>
                <w:szCs w:val="10"/>
                <w:color w:val="auto"/>
              </w:rPr>
              <w:t>210,765,669</w:t>
            </w: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1320" w:type="dxa"/>
            <w:vAlign w:val="bottom"/>
            <w:gridSpan w:val="3"/>
            <w:shd w:val="clear" w:color="auto" w:fill="CCEEFF"/>
          </w:tcPr>
          <w:p>
            <w:pPr>
              <w:jc w:val="right"/>
              <w:spacing w:after="0" w:line="97" w:lineRule="exact"/>
              <w:rPr>
                <w:sz w:val="20"/>
                <w:szCs w:val="20"/>
                <w:color w:val="auto"/>
              </w:rPr>
            </w:pPr>
            <w:r>
              <w:rPr>
                <w:rFonts w:ascii="Arial" w:cs="Arial" w:eastAsia="Arial" w:hAnsi="Arial"/>
                <w:sz w:val="10"/>
                <w:szCs w:val="10"/>
                <w:color w:val="auto"/>
              </w:rPr>
              <w:t>109,106,692</w:t>
            </w:r>
          </w:p>
        </w:tc>
        <w:tc>
          <w:tcPr>
            <w:tcW w:w="6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3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980" w:right="60" w:hanging="232"/>
        <w:spacing w:after="0" w:line="283" w:lineRule="auto"/>
        <w:tabs>
          <w:tab w:leader="none" w:pos="980" w:val="left"/>
        </w:tabs>
        <w:numPr>
          <w:ilvl w:val="0"/>
          <w:numId w:val="30"/>
        </w:numPr>
        <w:rPr>
          <w:rFonts w:ascii="Arial" w:cs="Arial" w:eastAsia="Arial" w:hAnsi="Arial"/>
          <w:sz w:val="11"/>
          <w:szCs w:val="11"/>
          <w:color w:val="auto"/>
        </w:rPr>
      </w:pPr>
      <w:r>
        <w:rPr>
          <w:rFonts w:ascii="Arial" w:cs="Arial" w:eastAsia="Arial" w:hAnsi="Arial"/>
          <w:sz w:val="11"/>
          <w:szCs w:val="11"/>
          <w:color w:val="auto"/>
        </w:rPr>
        <w:t>Includes the following plans: our 2002 Stock Option Plan, 2002 Restricted Stock Plan (under which RSUs and performance-based RSUs have been granted), 2002 Employee Stock Purchase Plan, 2003 Stock Option Plan and 2002 Deferred Stock Option Plan. Also includes our 2002 Deferred Compensation Plan and 2005 Deferred Compensation Plan (under which shares of Class A and Class A Special common stock have been credited to participants’ accounts). The weighted-average exercise price in column (b) takes into account only stock options under our 2002 and 2003 Stock Option Plans. The number of shares available for issuance in column (c) includes the following number of shares of Class A common stock: 72,699,339 shares available for issuance under our 2003 Stock Option Plan; 26,924,108 shares available for issuance under our 2002 Restricted Stock Plan; 752,957 shares that were issued in connection with the fourth quarter 2009 purchase period under our 2002 Employee Stock Purchase Plan; and 8,730,288 shares available for issuance under our 2002 Employee Stock Purchase Plan.</w:t>
      </w:r>
    </w:p>
    <w:p>
      <w:pPr>
        <w:spacing w:after="0" w:line="5" w:lineRule="exact"/>
        <w:rPr>
          <w:rFonts w:ascii="Arial" w:cs="Arial" w:eastAsia="Arial" w:hAnsi="Arial"/>
          <w:sz w:val="11"/>
          <w:szCs w:val="11"/>
          <w:color w:val="auto"/>
        </w:rPr>
      </w:pPr>
    </w:p>
    <w:p>
      <w:pPr>
        <w:ind w:left="980" w:right="120" w:hanging="232"/>
        <w:spacing w:after="0" w:line="323" w:lineRule="auto"/>
        <w:tabs>
          <w:tab w:leader="none" w:pos="980" w:val="left"/>
        </w:tabs>
        <w:numPr>
          <w:ilvl w:val="0"/>
          <w:numId w:val="30"/>
        </w:numPr>
        <w:rPr>
          <w:rFonts w:ascii="Arial" w:cs="Arial" w:eastAsia="Arial" w:hAnsi="Arial"/>
          <w:sz w:val="11"/>
          <w:szCs w:val="11"/>
          <w:color w:val="auto"/>
        </w:rPr>
      </w:pPr>
      <w:r>
        <w:rPr>
          <w:rFonts w:ascii="Arial" w:cs="Arial" w:eastAsia="Arial" w:hAnsi="Arial"/>
          <w:sz w:val="11"/>
          <w:szCs w:val="11"/>
          <w:color w:val="auto"/>
        </w:rPr>
        <w:t>Includes stock options assumed in connection with our AT&amp;T Broadband acquisition in November 2002, which were granted under the AT&amp;T Broadband Corp. Adjustment Plan. As of December 31, 2009, these assumed stock options were outstanding with respect to 19,142,907 shares of Class A common stock and had a weighted average exercise price of $26.77 per share.</w:t>
      </w:r>
    </w:p>
    <w:p>
      <w:pPr>
        <w:spacing w:after="0" w:line="209"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97790</wp:posOffset>
            </wp:positionV>
            <wp:extent cx="7299325" cy="184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680"/>
          </w:cols>
          <w:pgMar w:left="220" w:top="327" w:right="999" w:bottom="1440" w:gutter="0" w:footer="0" w:header="0"/>
        </w:sectPr>
      </w:pPr>
    </w:p>
    <w:bookmarkStart w:id="61" w:name="page62"/>
    <w:bookmarkEnd w:id="61"/>
    <w:p>
      <w:pPr>
        <w:spacing w:after="0"/>
        <w:rPr>
          <w:rFonts w:ascii="Arial" w:cs="Arial" w:eastAsia="Arial" w:hAnsi="Arial"/>
          <w:sz w:val="12"/>
          <w:szCs w:val="12"/>
          <w:b w:val="1"/>
          <w:bCs w:val="1"/>
          <w:u w:val="single" w:color="auto"/>
          <w:color w:val="0000EE"/>
        </w:rPr>
      </w:pPr>
      <w:hyperlink w:anchor="page4">
        <w:r>
          <w:rPr>
            <w:rFonts w:ascii="Arial" w:cs="Arial" w:eastAsia="Arial" w:hAnsi="Arial"/>
            <w:sz w:val="12"/>
            <w:szCs w:val="12"/>
            <w:b w:val="1"/>
            <w:bCs w:val="1"/>
            <w:u w:val="single" w:color="auto"/>
            <w:color w:val="0000EE"/>
          </w:rPr>
          <w:t>Table of Contents</w:t>
        </w:r>
      </w:hyperlink>
    </w:p>
    <w:p>
      <w:pPr>
        <w:spacing w:after="0" w:line="229" w:lineRule="exact"/>
        <w:rPr>
          <w:sz w:val="20"/>
          <w:szCs w:val="20"/>
          <w:color w:val="auto"/>
        </w:rPr>
      </w:pPr>
    </w:p>
    <w:p>
      <w:pPr>
        <w:jc w:val="center"/>
        <w:ind w:right="-699"/>
        <w:spacing w:after="0"/>
        <w:rPr>
          <w:sz w:val="20"/>
          <w:szCs w:val="20"/>
          <w:color w:val="auto"/>
        </w:rPr>
      </w:pPr>
      <w:r>
        <w:rPr>
          <w:rFonts w:ascii="Arial" w:cs="Arial" w:eastAsia="Arial" w:hAnsi="Arial"/>
          <w:sz w:val="12"/>
          <w:szCs w:val="12"/>
          <w:b w:val="1"/>
          <w:bCs w:val="1"/>
          <w:color w:val="auto"/>
        </w:rPr>
        <w:t>DIRECTOR COMPENSATION FOR 2009</w:t>
      </w:r>
    </w:p>
    <w:p>
      <w:pPr>
        <w:spacing w:after="0" w:line="91" w:lineRule="exact"/>
        <w:rPr>
          <w:sz w:val="20"/>
          <w:szCs w:val="20"/>
          <w:color w:val="auto"/>
        </w:rPr>
      </w:pPr>
    </w:p>
    <w:p>
      <w:pPr>
        <w:ind w:left="680" w:right="40" w:firstLine="400"/>
        <w:spacing w:after="0" w:line="263" w:lineRule="auto"/>
        <w:rPr>
          <w:sz w:val="20"/>
          <w:szCs w:val="20"/>
          <w:color w:val="auto"/>
        </w:rPr>
      </w:pPr>
      <w:r>
        <w:rPr>
          <w:rFonts w:ascii="Arial" w:cs="Arial" w:eastAsia="Arial" w:hAnsi="Arial"/>
          <w:sz w:val="12"/>
          <w:szCs w:val="12"/>
          <w:color w:val="auto"/>
        </w:rPr>
        <w:t>The following table sets forth specified information regarding the 2009 compensation of our nonemployee directors. Our employee directors, Messrs. Brian L. Roberts, Ralph J. Roberts and Brodsky, do not receive any compensation for their services as directors. For a description of our nonemployee director compensation program, see “Proposal 1: Election of Directors — Director Compensation — Board and Committee Fees and Equity Awards” above.</w:t>
      </w:r>
    </w:p>
    <w:p>
      <w:pPr>
        <w:spacing w:after="0" w:line="65" w:lineRule="exact"/>
        <w:rPr>
          <w:sz w:val="20"/>
          <w:szCs w:val="20"/>
          <w:color w:val="auto"/>
        </w:rPr>
      </w:pPr>
    </w:p>
    <w:tbl>
      <w:tblPr>
        <w:tblLayout w:type="fixed"/>
        <w:tblInd w:w="820" w:type="dxa"/>
        <w:tblCellMar>
          <w:top w:w="0" w:type="dxa"/>
          <w:left w:w="0" w:type="dxa"/>
          <w:bottom w:w="0" w:type="dxa"/>
          <w:right w:w="0" w:type="dxa"/>
        </w:tblCellMar>
      </w:tblPr>
      <w:tr>
        <w:trPr>
          <w:trHeight w:val="92"/>
        </w:trPr>
        <w:tc>
          <w:tcPr>
            <w:tcW w:w="3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80" w:type="dxa"/>
            <w:vAlign w:val="bottom"/>
          </w:tcPr>
          <w:p>
            <w:pPr>
              <w:jc w:val="center"/>
              <w:spacing w:after="0"/>
              <w:rPr>
                <w:sz w:val="20"/>
                <w:szCs w:val="20"/>
                <w:color w:val="auto"/>
              </w:rPr>
            </w:pPr>
            <w:r>
              <w:rPr>
                <w:rFonts w:ascii="Arial" w:cs="Arial" w:eastAsia="Arial" w:hAnsi="Arial"/>
                <w:sz w:val="8"/>
                <w:szCs w:val="8"/>
                <w:b w:val="1"/>
                <w:bCs w:val="1"/>
                <w:color w:val="auto"/>
                <w:w w:val="91"/>
              </w:rPr>
              <w:t>Change in Pension</w:t>
            </w: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r>
      <w:tr>
        <w:trPr>
          <w:trHeight w:val="90"/>
        </w:trPr>
        <w:tc>
          <w:tcPr>
            <w:tcW w:w="3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8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89"/>
              </w:rPr>
              <w:t>Value and</w:t>
            </w: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r>
      <w:tr>
        <w:trPr>
          <w:trHeight w:val="90"/>
        </w:trPr>
        <w:tc>
          <w:tcPr>
            <w:tcW w:w="3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8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4"/>
              </w:rPr>
              <w:t>Nonqualified</w:t>
            </w: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r>
      <w:tr>
        <w:trPr>
          <w:trHeight w:val="90"/>
        </w:trPr>
        <w:tc>
          <w:tcPr>
            <w:tcW w:w="3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6"/>
              </w:rPr>
              <w:t>Fees Earned or</w:t>
            </w:r>
          </w:p>
        </w:tc>
        <w:tc>
          <w:tcPr>
            <w:tcW w:w="3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gridSpan w:val="2"/>
          </w:tcPr>
          <w:p>
            <w:pPr>
              <w:jc w:val="center"/>
              <w:ind w:right="340"/>
              <w:spacing w:after="0" w:line="90" w:lineRule="exact"/>
              <w:rPr>
                <w:sz w:val="20"/>
                <w:szCs w:val="20"/>
                <w:color w:val="auto"/>
              </w:rPr>
            </w:pPr>
            <w:r>
              <w:rPr>
                <w:rFonts w:ascii="Arial" w:cs="Arial" w:eastAsia="Arial" w:hAnsi="Arial"/>
                <w:sz w:val="8"/>
                <w:szCs w:val="8"/>
                <w:b w:val="1"/>
                <w:bCs w:val="1"/>
                <w:color w:val="auto"/>
                <w:w w:val="92"/>
              </w:rPr>
              <w:t>Option</w:t>
            </w:r>
          </w:p>
        </w:tc>
        <w:tc>
          <w:tcPr>
            <w:tcW w:w="118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7"/>
              </w:rPr>
              <w:t>Deferred</w:t>
            </w: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r>
      <w:tr>
        <w:trPr>
          <w:trHeight w:val="90"/>
        </w:trPr>
        <w:tc>
          <w:tcPr>
            <w:tcW w:w="3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95"/>
              </w:rPr>
              <w:t>Paid in Cash</w:t>
            </w:r>
          </w:p>
        </w:tc>
        <w:tc>
          <w:tcPr>
            <w:tcW w:w="320" w:type="dxa"/>
            <w:vAlign w:val="bottom"/>
          </w:tcPr>
          <w:p>
            <w:pPr>
              <w:spacing w:after="0"/>
              <w:rPr>
                <w:sz w:val="7"/>
                <w:szCs w:val="7"/>
                <w:color w:val="auto"/>
              </w:rPr>
            </w:pPr>
          </w:p>
        </w:tc>
        <w:tc>
          <w:tcPr>
            <w:tcW w:w="1000" w:type="dxa"/>
            <w:vAlign w:val="bottom"/>
          </w:tcPr>
          <w:p>
            <w:pPr>
              <w:jc w:val="right"/>
              <w:ind w:right="198"/>
              <w:spacing w:after="0" w:line="90" w:lineRule="exact"/>
              <w:rPr>
                <w:sz w:val="20"/>
                <w:szCs w:val="20"/>
                <w:color w:val="auto"/>
              </w:rPr>
            </w:pPr>
            <w:r>
              <w:rPr>
                <w:rFonts w:ascii="Arial" w:cs="Arial" w:eastAsia="Arial" w:hAnsi="Arial"/>
                <w:sz w:val="8"/>
                <w:szCs w:val="8"/>
                <w:b w:val="1"/>
                <w:bCs w:val="1"/>
                <w:color w:val="auto"/>
              </w:rPr>
              <w:t>Stock Awards</w:t>
            </w:r>
          </w:p>
        </w:tc>
        <w:tc>
          <w:tcPr>
            <w:tcW w:w="960" w:type="dxa"/>
            <w:vAlign w:val="bottom"/>
            <w:gridSpan w:val="3"/>
          </w:tcPr>
          <w:p>
            <w:pPr>
              <w:jc w:val="center"/>
              <w:spacing w:after="0" w:line="90" w:lineRule="exact"/>
              <w:rPr>
                <w:sz w:val="20"/>
                <w:szCs w:val="20"/>
                <w:color w:val="auto"/>
              </w:rPr>
            </w:pPr>
            <w:r>
              <w:rPr>
                <w:rFonts w:ascii="Arial" w:cs="Arial" w:eastAsia="Arial" w:hAnsi="Arial"/>
                <w:sz w:val="8"/>
                <w:szCs w:val="8"/>
                <w:b w:val="1"/>
                <w:bCs w:val="1"/>
                <w:color w:val="auto"/>
                <w:w w:val="96"/>
              </w:rPr>
              <w:t>Awards</w:t>
            </w:r>
          </w:p>
        </w:tc>
        <w:tc>
          <w:tcPr>
            <w:tcW w:w="118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89"/>
              </w:rPr>
              <w:t>Compensation</w:t>
            </w:r>
          </w:p>
        </w:tc>
        <w:tc>
          <w:tcPr>
            <w:tcW w:w="340" w:type="dxa"/>
            <w:vAlign w:val="bottom"/>
          </w:tcPr>
          <w:p>
            <w:pPr>
              <w:spacing w:after="0"/>
              <w:rPr>
                <w:sz w:val="7"/>
                <w:szCs w:val="7"/>
                <w:color w:val="auto"/>
              </w:rPr>
            </w:pPr>
          </w:p>
        </w:tc>
        <w:tc>
          <w:tcPr>
            <w:tcW w:w="620" w:type="dxa"/>
            <w:vAlign w:val="bottom"/>
          </w:tcPr>
          <w:p>
            <w:pPr>
              <w:jc w:val="right"/>
              <w:ind w:right="178"/>
              <w:spacing w:after="0" w:line="90" w:lineRule="exact"/>
              <w:rPr>
                <w:sz w:val="20"/>
                <w:szCs w:val="20"/>
                <w:color w:val="auto"/>
              </w:rPr>
            </w:pPr>
            <w:r>
              <w:rPr>
                <w:rFonts w:ascii="Arial" w:cs="Arial" w:eastAsia="Arial" w:hAnsi="Arial"/>
                <w:sz w:val="8"/>
                <w:szCs w:val="8"/>
                <w:b w:val="1"/>
                <w:bCs w:val="1"/>
                <w:color w:val="auto"/>
              </w:rPr>
              <w:t>Total</w:t>
            </w:r>
          </w:p>
        </w:tc>
      </w:tr>
      <w:tr>
        <w:trPr>
          <w:trHeight w:val="101"/>
        </w:trPr>
        <w:tc>
          <w:tcPr>
            <w:tcW w:w="3900" w:type="dxa"/>
            <w:vAlign w:val="bottom"/>
          </w:tcPr>
          <w:p>
            <w:pPr>
              <w:spacing w:after="0"/>
              <w:rPr>
                <w:sz w:val="20"/>
                <w:szCs w:val="20"/>
                <w:color w:val="auto"/>
              </w:rPr>
            </w:pPr>
            <w:r>
              <w:rPr>
                <w:rFonts w:ascii="Arial" w:cs="Arial" w:eastAsia="Arial" w:hAnsi="Arial"/>
                <w:sz w:val="8"/>
                <w:szCs w:val="8"/>
                <w:b w:val="1"/>
                <w:bCs w:val="1"/>
                <w:color w:val="auto"/>
              </w:rPr>
              <w:t>Name</w:t>
            </w:r>
          </w:p>
        </w:tc>
        <w:tc>
          <w:tcPr>
            <w:tcW w:w="1080" w:type="dxa"/>
            <w:vAlign w:val="bottom"/>
            <w:gridSpan w:val="2"/>
          </w:tcPr>
          <w:p>
            <w:pPr>
              <w:jc w:val="center"/>
              <w:ind w:left="58"/>
              <w:spacing w:after="0"/>
              <w:rPr>
                <w:sz w:val="20"/>
                <w:szCs w:val="20"/>
                <w:color w:val="auto"/>
              </w:rPr>
            </w:pPr>
            <w:r>
              <w:rPr>
                <w:rFonts w:ascii="Arial" w:cs="Arial" w:eastAsia="Arial" w:hAnsi="Arial"/>
                <w:sz w:val="8"/>
                <w:szCs w:val="8"/>
                <w:b w:val="1"/>
                <w:bCs w:val="1"/>
                <w:color w:val="auto"/>
                <w:w w:val="97"/>
              </w:rPr>
              <w:t>($)</w:t>
            </w:r>
            <w:r>
              <w:rPr>
                <w:rFonts w:ascii="Arial" w:cs="Arial" w:eastAsia="Arial" w:hAnsi="Arial"/>
                <w:sz w:val="7"/>
                <w:szCs w:val="7"/>
                <w:b w:val="1"/>
                <w:bCs w:val="1"/>
                <w:color w:val="auto"/>
                <w:w w:val="97"/>
              </w:rPr>
              <w:t>(1)</w:t>
            </w:r>
          </w:p>
        </w:tc>
        <w:tc>
          <w:tcPr>
            <w:tcW w:w="1320" w:type="dxa"/>
            <w:vAlign w:val="bottom"/>
            <w:gridSpan w:val="2"/>
          </w:tcPr>
          <w:p>
            <w:pPr>
              <w:jc w:val="right"/>
              <w:ind w:right="358"/>
              <w:spacing w:after="0"/>
              <w:rPr>
                <w:sz w:val="20"/>
                <w:szCs w:val="20"/>
                <w:color w:val="auto"/>
              </w:rPr>
            </w:pPr>
            <w:r>
              <w:rPr>
                <w:rFonts w:ascii="Arial" w:cs="Arial" w:eastAsia="Arial" w:hAnsi="Arial"/>
                <w:sz w:val="8"/>
                <w:szCs w:val="8"/>
                <w:b w:val="1"/>
                <w:bCs w:val="1"/>
                <w:color w:val="auto"/>
              </w:rPr>
              <w:t>($)</w:t>
            </w:r>
            <w:r>
              <w:rPr>
                <w:rFonts w:ascii="Arial" w:cs="Arial" w:eastAsia="Arial" w:hAnsi="Arial"/>
                <w:sz w:val="7"/>
                <w:szCs w:val="7"/>
                <w:b w:val="1"/>
                <w:bCs w:val="1"/>
                <w:color w:val="auto"/>
              </w:rPr>
              <w:t>(2)</w:t>
            </w:r>
          </w:p>
        </w:tc>
        <w:tc>
          <w:tcPr>
            <w:tcW w:w="620" w:type="dxa"/>
            <w:vAlign w:val="bottom"/>
            <w:gridSpan w:val="2"/>
          </w:tcPr>
          <w:p>
            <w:pPr>
              <w:jc w:val="center"/>
              <w:ind w:left="318"/>
              <w:spacing w:after="0"/>
              <w:rPr>
                <w:sz w:val="20"/>
                <w:szCs w:val="20"/>
                <w:color w:val="auto"/>
              </w:rPr>
            </w:pPr>
            <w:r>
              <w:rPr>
                <w:rFonts w:ascii="Arial" w:cs="Arial" w:eastAsia="Arial" w:hAnsi="Arial"/>
                <w:sz w:val="8"/>
                <w:szCs w:val="8"/>
                <w:b w:val="1"/>
                <w:bCs w:val="1"/>
                <w:color w:val="auto"/>
                <w:w w:val="97"/>
              </w:rPr>
              <w:t>($)</w:t>
            </w:r>
            <w:r>
              <w:rPr>
                <w:rFonts w:ascii="Arial" w:cs="Arial" w:eastAsia="Arial" w:hAnsi="Arial"/>
                <w:sz w:val="7"/>
                <w:szCs w:val="7"/>
                <w:b w:val="1"/>
                <w:bCs w:val="1"/>
                <w:color w:val="auto"/>
                <w:w w:val="97"/>
              </w:rPr>
              <w:t>(3)</w:t>
            </w:r>
          </w:p>
        </w:tc>
        <w:tc>
          <w:tcPr>
            <w:tcW w:w="340" w:type="dxa"/>
            <w:vAlign w:val="bottom"/>
          </w:tcPr>
          <w:p>
            <w:pPr>
              <w:spacing w:after="0"/>
              <w:rPr>
                <w:sz w:val="8"/>
                <w:szCs w:val="8"/>
                <w:color w:val="auto"/>
              </w:rPr>
            </w:pPr>
          </w:p>
        </w:tc>
        <w:tc>
          <w:tcPr>
            <w:tcW w:w="1180" w:type="dxa"/>
            <w:vAlign w:val="bottom"/>
          </w:tcPr>
          <w:p>
            <w:pPr>
              <w:jc w:val="center"/>
              <w:spacing w:after="0"/>
              <w:rPr>
                <w:sz w:val="20"/>
                <w:szCs w:val="20"/>
                <w:color w:val="auto"/>
              </w:rPr>
            </w:pPr>
            <w:r>
              <w:rPr>
                <w:rFonts w:ascii="Arial" w:cs="Arial" w:eastAsia="Arial" w:hAnsi="Arial"/>
                <w:sz w:val="8"/>
                <w:szCs w:val="8"/>
                <w:b w:val="1"/>
                <w:bCs w:val="1"/>
                <w:color w:val="auto"/>
                <w:w w:val="98"/>
              </w:rPr>
              <w:t>Earnings ($)</w:t>
            </w:r>
            <w:r>
              <w:rPr>
                <w:rFonts w:ascii="Arial" w:cs="Arial" w:eastAsia="Arial" w:hAnsi="Arial"/>
                <w:sz w:val="7"/>
                <w:szCs w:val="7"/>
                <w:b w:val="1"/>
                <w:bCs w:val="1"/>
                <w:color w:val="auto"/>
                <w:w w:val="98"/>
              </w:rPr>
              <w:t>(4)</w:t>
            </w:r>
          </w:p>
        </w:tc>
        <w:tc>
          <w:tcPr>
            <w:tcW w:w="960" w:type="dxa"/>
            <w:vAlign w:val="bottom"/>
            <w:gridSpan w:val="2"/>
          </w:tcPr>
          <w:p>
            <w:pPr>
              <w:jc w:val="right"/>
              <w:ind w:right="218"/>
              <w:spacing w:after="0"/>
              <w:rPr>
                <w:sz w:val="20"/>
                <w:szCs w:val="20"/>
                <w:color w:val="auto"/>
              </w:rPr>
            </w:pPr>
            <w:r>
              <w:rPr>
                <w:rFonts w:ascii="Arial" w:cs="Arial" w:eastAsia="Arial" w:hAnsi="Arial"/>
                <w:sz w:val="8"/>
                <w:szCs w:val="8"/>
                <w:b w:val="1"/>
                <w:bCs w:val="1"/>
                <w:color w:val="auto"/>
              </w:rPr>
              <w:t>($)</w:t>
            </w:r>
          </w:p>
        </w:tc>
      </w:tr>
      <w:tr>
        <w:trPr>
          <w:trHeight w:val="25"/>
        </w:trPr>
        <w:tc>
          <w:tcPr>
            <w:tcW w:w="39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r>
      <w:tr>
        <w:trPr>
          <w:trHeight w:val="90"/>
        </w:trPr>
        <w:tc>
          <w:tcPr>
            <w:tcW w:w="390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S. Decker Anstrom</w:t>
            </w:r>
          </w:p>
        </w:tc>
        <w:tc>
          <w:tcPr>
            <w:tcW w:w="1080" w:type="dxa"/>
            <w:vAlign w:val="bottom"/>
            <w:gridSpan w:val="2"/>
            <w:shd w:val="clear" w:color="auto" w:fill="CCEEFF"/>
          </w:tcPr>
          <w:p>
            <w:pPr>
              <w:jc w:val="right"/>
              <w:ind w:right="318"/>
              <w:spacing w:after="0" w:line="90" w:lineRule="exact"/>
              <w:rPr>
                <w:sz w:val="20"/>
                <w:szCs w:val="20"/>
                <w:color w:val="auto"/>
              </w:rPr>
            </w:pPr>
            <w:r>
              <w:rPr>
                <w:rFonts w:ascii="Arial" w:cs="Arial" w:eastAsia="Arial" w:hAnsi="Arial"/>
                <w:sz w:val="8"/>
                <w:szCs w:val="8"/>
                <w:color w:val="auto"/>
              </w:rPr>
              <w:t>$ 127,500</w:t>
            </w:r>
          </w:p>
        </w:tc>
        <w:tc>
          <w:tcPr>
            <w:tcW w:w="1320" w:type="dxa"/>
            <w:vAlign w:val="bottom"/>
            <w:gridSpan w:val="2"/>
            <w:shd w:val="clear" w:color="auto" w:fill="CCEEFF"/>
          </w:tcPr>
          <w:p>
            <w:pPr>
              <w:jc w:val="right"/>
              <w:ind w:right="318"/>
              <w:spacing w:after="0" w:line="90" w:lineRule="exact"/>
              <w:rPr>
                <w:sz w:val="20"/>
                <w:szCs w:val="20"/>
                <w:color w:val="auto"/>
              </w:rPr>
            </w:pPr>
            <w:r>
              <w:rPr>
                <w:rFonts w:ascii="Arial" w:cs="Arial" w:eastAsia="Arial" w:hAnsi="Arial"/>
                <w:sz w:val="8"/>
                <w:szCs w:val="8"/>
                <w:color w:val="auto"/>
              </w:rPr>
              <w:t>$125,000</w:t>
            </w:r>
          </w:p>
        </w:tc>
        <w:tc>
          <w:tcPr>
            <w:tcW w:w="34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center"/>
              <w:ind w:right="340"/>
              <w:spacing w:after="0" w:line="90" w:lineRule="exact"/>
              <w:rPr>
                <w:sz w:val="20"/>
                <w:szCs w:val="20"/>
                <w:color w:val="auto"/>
              </w:rPr>
            </w:pPr>
            <w:r>
              <w:rPr>
                <w:rFonts w:ascii="Arial" w:cs="Arial" w:eastAsia="Arial" w:hAnsi="Arial"/>
                <w:sz w:val="8"/>
                <w:szCs w:val="8"/>
                <w:color w:val="auto"/>
                <w:w w:val="99"/>
              </w:rPr>
              <w:t>—</w:t>
            </w:r>
          </w:p>
        </w:tc>
        <w:tc>
          <w:tcPr>
            <w:tcW w:w="1180" w:type="dxa"/>
            <w:vAlign w:val="bottom"/>
            <w:shd w:val="clear" w:color="auto" w:fill="CCEEFF"/>
          </w:tcPr>
          <w:p>
            <w:pPr>
              <w:jc w:val="right"/>
              <w:ind w:right="418"/>
              <w:spacing w:after="0" w:line="90" w:lineRule="exact"/>
              <w:rPr>
                <w:sz w:val="20"/>
                <w:szCs w:val="20"/>
                <w:color w:val="auto"/>
              </w:rPr>
            </w:pPr>
            <w:r>
              <w:rPr>
                <w:rFonts w:ascii="Arial" w:cs="Arial" w:eastAsia="Arial" w:hAnsi="Arial"/>
                <w:sz w:val="8"/>
                <w:szCs w:val="8"/>
                <w:color w:val="auto"/>
              </w:rPr>
              <w:t>$ 77,310</w:t>
            </w:r>
          </w:p>
        </w:tc>
        <w:tc>
          <w:tcPr>
            <w:tcW w:w="960" w:type="dxa"/>
            <w:vAlign w:val="bottom"/>
            <w:gridSpan w:val="2"/>
            <w:shd w:val="clear" w:color="auto" w:fill="CCEEFF"/>
          </w:tcPr>
          <w:p>
            <w:pPr>
              <w:jc w:val="right"/>
              <w:ind w:right="118"/>
              <w:spacing w:after="0" w:line="90" w:lineRule="exact"/>
              <w:rPr>
                <w:sz w:val="20"/>
                <w:szCs w:val="20"/>
                <w:color w:val="auto"/>
              </w:rPr>
            </w:pPr>
            <w:r>
              <w:rPr>
                <w:rFonts w:ascii="Arial" w:cs="Arial" w:eastAsia="Arial" w:hAnsi="Arial"/>
                <w:sz w:val="8"/>
                <w:szCs w:val="8"/>
                <w:color w:val="auto"/>
              </w:rPr>
              <w:t>$ 329,810</w:t>
            </w:r>
          </w:p>
        </w:tc>
      </w:tr>
      <w:tr>
        <w:trPr>
          <w:trHeight w:val="90"/>
        </w:trPr>
        <w:tc>
          <w:tcPr>
            <w:tcW w:w="3900" w:type="dxa"/>
            <w:vAlign w:val="bottom"/>
          </w:tcPr>
          <w:p>
            <w:pPr>
              <w:spacing w:after="0" w:line="90" w:lineRule="exact"/>
              <w:rPr>
                <w:sz w:val="20"/>
                <w:szCs w:val="20"/>
                <w:color w:val="auto"/>
              </w:rPr>
            </w:pPr>
            <w:r>
              <w:rPr>
                <w:rFonts w:ascii="Arial" w:cs="Arial" w:eastAsia="Arial" w:hAnsi="Arial"/>
                <w:sz w:val="8"/>
                <w:szCs w:val="8"/>
                <w:color w:val="auto"/>
              </w:rPr>
              <w:t>Kenneth J. Bacon</w:t>
            </w:r>
          </w:p>
        </w:tc>
        <w:tc>
          <w:tcPr>
            <w:tcW w:w="1080" w:type="dxa"/>
            <w:vAlign w:val="bottom"/>
            <w:gridSpan w:val="2"/>
          </w:tcPr>
          <w:p>
            <w:pPr>
              <w:jc w:val="right"/>
              <w:ind w:right="318"/>
              <w:spacing w:after="0" w:line="90" w:lineRule="exact"/>
              <w:rPr>
                <w:sz w:val="20"/>
                <w:szCs w:val="20"/>
                <w:color w:val="auto"/>
              </w:rPr>
            </w:pPr>
            <w:r>
              <w:rPr>
                <w:rFonts w:ascii="Arial" w:cs="Arial" w:eastAsia="Arial" w:hAnsi="Arial"/>
                <w:sz w:val="8"/>
                <w:szCs w:val="8"/>
                <w:color w:val="auto"/>
              </w:rPr>
              <w:t>105,000</w:t>
            </w:r>
          </w:p>
        </w:tc>
        <w:tc>
          <w:tcPr>
            <w:tcW w:w="1320" w:type="dxa"/>
            <w:vAlign w:val="bottom"/>
            <w:gridSpan w:val="2"/>
          </w:tcPr>
          <w:p>
            <w:pPr>
              <w:jc w:val="right"/>
              <w:ind w:right="318"/>
              <w:spacing w:after="0" w:line="90" w:lineRule="exact"/>
              <w:rPr>
                <w:sz w:val="20"/>
                <w:szCs w:val="20"/>
                <w:color w:val="auto"/>
              </w:rPr>
            </w:pPr>
            <w:r>
              <w:rPr>
                <w:rFonts w:ascii="Arial" w:cs="Arial" w:eastAsia="Arial" w:hAnsi="Arial"/>
                <w:sz w:val="8"/>
                <w:szCs w:val="8"/>
                <w:color w:val="auto"/>
              </w:rPr>
              <w:t>125,000</w:t>
            </w:r>
          </w:p>
        </w:tc>
        <w:tc>
          <w:tcPr>
            <w:tcW w:w="340" w:type="dxa"/>
            <w:vAlign w:val="bottom"/>
          </w:tcPr>
          <w:p>
            <w:pPr>
              <w:spacing w:after="0"/>
              <w:rPr>
                <w:sz w:val="7"/>
                <w:szCs w:val="7"/>
                <w:color w:val="auto"/>
              </w:rPr>
            </w:pPr>
          </w:p>
        </w:tc>
        <w:tc>
          <w:tcPr>
            <w:tcW w:w="620" w:type="dxa"/>
            <w:vAlign w:val="bottom"/>
            <w:gridSpan w:val="2"/>
          </w:tcPr>
          <w:p>
            <w:pPr>
              <w:jc w:val="center"/>
              <w:ind w:right="340"/>
              <w:spacing w:after="0" w:line="90" w:lineRule="exact"/>
              <w:rPr>
                <w:sz w:val="20"/>
                <w:szCs w:val="20"/>
                <w:color w:val="auto"/>
              </w:rPr>
            </w:pPr>
            <w:r>
              <w:rPr>
                <w:rFonts w:ascii="Arial" w:cs="Arial" w:eastAsia="Arial" w:hAnsi="Arial"/>
                <w:sz w:val="8"/>
                <w:szCs w:val="8"/>
                <w:color w:val="auto"/>
                <w:w w:val="99"/>
              </w:rPr>
              <w:t>—</w:t>
            </w:r>
          </w:p>
        </w:tc>
        <w:tc>
          <w:tcPr>
            <w:tcW w:w="1180" w:type="dxa"/>
            <w:vAlign w:val="bottom"/>
          </w:tcPr>
          <w:p>
            <w:pPr>
              <w:jc w:val="right"/>
              <w:ind w:right="418"/>
              <w:spacing w:after="0" w:line="90" w:lineRule="exact"/>
              <w:rPr>
                <w:sz w:val="20"/>
                <w:szCs w:val="20"/>
                <w:color w:val="auto"/>
              </w:rPr>
            </w:pPr>
            <w:r>
              <w:rPr>
                <w:rFonts w:ascii="Arial" w:cs="Arial" w:eastAsia="Arial" w:hAnsi="Arial"/>
                <w:sz w:val="8"/>
                <w:szCs w:val="8"/>
                <w:color w:val="auto"/>
              </w:rPr>
              <w:t>50,212</w:t>
            </w:r>
          </w:p>
        </w:tc>
        <w:tc>
          <w:tcPr>
            <w:tcW w:w="960" w:type="dxa"/>
            <w:vAlign w:val="bottom"/>
            <w:gridSpan w:val="2"/>
          </w:tcPr>
          <w:p>
            <w:pPr>
              <w:jc w:val="right"/>
              <w:ind w:right="118"/>
              <w:spacing w:after="0" w:line="90" w:lineRule="exact"/>
              <w:rPr>
                <w:sz w:val="20"/>
                <w:szCs w:val="20"/>
                <w:color w:val="auto"/>
              </w:rPr>
            </w:pPr>
            <w:r>
              <w:rPr>
                <w:rFonts w:ascii="Arial" w:cs="Arial" w:eastAsia="Arial" w:hAnsi="Arial"/>
                <w:sz w:val="8"/>
                <w:szCs w:val="8"/>
                <w:color w:val="auto"/>
              </w:rPr>
              <w:t>280,212</w:t>
            </w:r>
          </w:p>
        </w:tc>
      </w:tr>
      <w:tr>
        <w:trPr>
          <w:trHeight w:val="90"/>
        </w:trPr>
        <w:tc>
          <w:tcPr>
            <w:tcW w:w="390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Sheldon M. Bonovitz</w:t>
            </w:r>
          </w:p>
        </w:tc>
        <w:tc>
          <w:tcPr>
            <w:tcW w:w="1080" w:type="dxa"/>
            <w:vAlign w:val="bottom"/>
            <w:gridSpan w:val="2"/>
            <w:shd w:val="clear" w:color="auto" w:fill="CCEEFF"/>
          </w:tcPr>
          <w:p>
            <w:pPr>
              <w:jc w:val="right"/>
              <w:ind w:right="318"/>
              <w:spacing w:after="0" w:line="90" w:lineRule="exact"/>
              <w:rPr>
                <w:sz w:val="20"/>
                <w:szCs w:val="20"/>
                <w:color w:val="auto"/>
              </w:rPr>
            </w:pPr>
            <w:r>
              <w:rPr>
                <w:rFonts w:ascii="Arial" w:cs="Arial" w:eastAsia="Arial" w:hAnsi="Arial"/>
                <w:sz w:val="8"/>
                <w:szCs w:val="8"/>
                <w:color w:val="auto"/>
              </w:rPr>
              <w:t>88,500</w:t>
            </w:r>
          </w:p>
        </w:tc>
        <w:tc>
          <w:tcPr>
            <w:tcW w:w="1320" w:type="dxa"/>
            <w:vAlign w:val="bottom"/>
            <w:gridSpan w:val="2"/>
            <w:shd w:val="clear" w:color="auto" w:fill="CCEEFF"/>
          </w:tcPr>
          <w:p>
            <w:pPr>
              <w:jc w:val="right"/>
              <w:ind w:right="318"/>
              <w:spacing w:after="0" w:line="90" w:lineRule="exact"/>
              <w:rPr>
                <w:sz w:val="20"/>
                <w:szCs w:val="20"/>
                <w:color w:val="auto"/>
              </w:rPr>
            </w:pPr>
            <w:r>
              <w:rPr>
                <w:rFonts w:ascii="Arial" w:cs="Arial" w:eastAsia="Arial" w:hAnsi="Arial"/>
                <w:sz w:val="8"/>
                <w:szCs w:val="8"/>
                <w:color w:val="auto"/>
              </w:rPr>
              <w:t>125,000</w:t>
            </w:r>
          </w:p>
        </w:tc>
        <w:tc>
          <w:tcPr>
            <w:tcW w:w="34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center"/>
              <w:ind w:right="340"/>
              <w:spacing w:after="0" w:line="90" w:lineRule="exact"/>
              <w:rPr>
                <w:sz w:val="20"/>
                <w:szCs w:val="20"/>
                <w:color w:val="auto"/>
              </w:rPr>
            </w:pPr>
            <w:r>
              <w:rPr>
                <w:rFonts w:ascii="Arial" w:cs="Arial" w:eastAsia="Arial" w:hAnsi="Arial"/>
                <w:sz w:val="8"/>
                <w:szCs w:val="8"/>
                <w:color w:val="auto"/>
                <w:w w:val="99"/>
              </w:rPr>
              <w:t>—</w:t>
            </w:r>
          </w:p>
        </w:tc>
        <w:tc>
          <w:tcPr>
            <w:tcW w:w="1180" w:type="dxa"/>
            <w:vAlign w:val="bottom"/>
            <w:shd w:val="clear" w:color="auto" w:fill="CCEEFF"/>
          </w:tcPr>
          <w:p>
            <w:pPr>
              <w:jc w:val="right"/>
              <w:ind w:right="418"/>
              <w:spacing w:after="0" w:line="90" w:lineRule="exact"/>
              <w:rPr>
                <w:sz w:val="20"/>
                <w:szCs w:val="20"/>
                <w:color w:val="auto"/>
              </w:rPr>
            </w:pPr>
            <w:r>
              <w:rPr>
                <w:rFonts w:ascii="Arial" w:cs="Arial" w:eastAsia="Arial" w:hAnsi="Arial"/>
                <w:sz w:val="8"/>
                <w:szCs w:val="8"/>
                <w:color w:val="auto"/>
              </w:rPr>
              <w:t>285,767</w:t>
            </w:r>
          </w:p>
        </w:tc>
        <w:tc>
          <w:tcPr>
            <w:tcW w:w="960" w:type="dxa"/>
            <w:vAlign w:val="bottom"/>
            <w:gridSpan w:val="2"/>
            <w:shd w:val="clear" w:color="auto" w:fill="CCEEFF"/>
          </w:tcPr>
          <w:p>
            <w:pPr>
              <w:jc w:val="right"/>
              <w:ind w:right="118"/>
              <w:spacing w:after="0" w:line="90" w:lineRule="exact"/>
              <w:rPr>
                <w:sz w:val="20"/>
                <w:szCs w:val="20"/>
                <w:color w:val="auto"/>
              </w:rPr>
            </w:pPr>
            <w:r>
              <w:rPr>
                <w:rFonts w:ascii="Arial" w:cs="Arial" w:eastAsia="Arial" w:hAnsi="Arial"/>
                <w:sz w:val="8"/>
                <w:szCs w:val="8"/>
                <w:color w:val="auto"/>
              </w:rPr>
              <w:t>499,267</w:t>
            </w:r>
          </w:p>
        </w:tc>
      </w:tr>
      <w:tr>
        <w:trPr>
          <w:trHeight w:val="90"/>
        </w:trPr>
        <w:tc>
          <w:tcPr>
            <w:tcW w:w="3900" w:type="dxa"/>
            <w:vAlign w:val="bottom"/>
          </w:tcPr>
          <w:p>
            <w:pPr>
              <w:spacing w:after="0" w:line="90" w:lineRule="exact"/>
              <w:rPr>
                <w:sz w:val="20"/>
                <w:szCs w:val="20"/>
                <w:color w:val="auto"/>
              </w:rPr>
            </w:pPr>
            <w:r>
              <w:rPr>
                <w:rFonts w:ascii="Arial" w:cs="Arial" w:eastAsia="Arial" w:hAnsi="Arial"/>
                <w:sz w:val="8"/>
                <w:szCs w:val="8"/>
                <w:color w:val="auto"/>
              </w:rPr>
              <w:t>Edward D. Breen</w:t>
            </w:r>
          </w:p>
        </w:tc>
        <w:tc>
          <w:tcPr>
            <w:tcW w:w="1080" w:type="dxa"/>
            <w:vAlign w:val="bottom"/>
            <w:gridSpan w:val="2"/>
          </w:tcPr>
          <w:p>
            <w:pPr>
              <w:jc w:val="right"/>
              <w:ind w:right="318"/>
              <w:spacing w:after="0" w:line="90" w:lineRule="exact"/>
              <w:rPr>
                <w:sz w:val="20"/>
                <w:szCs w:val="20"/>
                <w:color w:val="auto"/>
              </w:rPr>
            </w:pPr>
            <w:r>
              <w:rPr>
                <w:rFonts w:ascii="Arial" w:cs="Arial" w:eastAsia="Arial" w:hAnsi="Arial"/>
                <w:sz w:val="8"/>
                <w:szCs w:val="8"/>
                <w:color w:val="auto"/>
              </w:rPr>
              <w:t>100,000</w:t>
            </w:r>
          </w:p>
        </w:tc>
        <w:tc>
          <w:tcPr>
            <w:tcW w:w="1320" w:type="dxa"/>
            <w:vAlign w:val="bottom"/>
            <w:gridSpan w:val="2"/>
          </w:tcPr>
          <w:p>
            <w:pPr>
              <w:jc w:val="right"/>
              <w:ind w:right="318"/>
              <w:spacing w:after="0" w:line="90" w:lineRule="exact"/>
              <w:rPr>
                <w:sz w:val="20"/>
                <w:szCs w:val="20"/>
                <w:color w:val="auto"/>
              </w:rPr>
            </w:pPr>
            <w:r>
              <w:rPr>
                <w:rFonts w:ascii="Arial" w:cs="Arial" w:eastAsia="Arial" w:hAnsi="Arial"/>
                <w:sz w:val="8"/>
                <w:szCs w:val="8"/>
                <w:color w:val="auto"/>
              </w:rPr>
              <w:t>125,000</w:t>
            </w:r>
          </w:p>
        </w:tc>
        <w:tc>
          <w:tcPr>
            <w:tcW w:w="340" w:type="dxa"/>
            <w:vAlign w:val="bottom"/>
          </w:tcPr>
          <w:p>
            <w:pPr>
              <w:spacing w:after="0"/>
              <w:rPr>
                <w:sz w:val="7"/>
                <w:szCs w:val="7"/>
                <w:color w:val="auto"/>
              </w:rPr>
            </w:pPr>
          </w:p>
        </w:tc>
        <w:tc>
          <w:tcPr>
            <w:tcW w:w="620" w:type="dxa"/>
            <w:vAlign w:val="bottom"/>
            <w:gridSpan w:val="2"/>
          </w:tcPr>
          <w:p>
            <w:pPr>
              <w:jc w:val="center"/>
              <w:ind w:right="340"/>
              <w:spacing w:after="0" w:line="90" w:lineRule="exact"/>
              <w:rPr>
                <w:sz w:val="20"/>
                <w:szCs w:val="20"/>
                <w:color w:val="auto"/>
              </w:rPr>
            </w:pPr>
            <w:r>
              <w:rPr>
                <w:rFonts w:ascii="Arial" w:cs="Arial" w:eastAsia="Arial" w:hAnsi="Arial"/>
                <w:sz w:val="8"/>
                <w:szCs w:val="8"/>
                <w:color w:val="auto"/>
                <w:w w:val="99"/>
              </w:rPr>
              <w:t>—</w:t>
            </w:r>
          </w:p>
        </w:tc>
        <w:tc>
          <w:tcPr>
            <w:tcW w:w="1180" w:type="dxa"/>
            <w:vAlign w:val="bottom"/>
          </w:tcPr>
          <w:p>
            <w:pPr>
              <w:jc w:val="right"/>
              <w:ind w:right="418"/>
              <w:spacing w:after="0" w:line="90" w:lineRule="exact"/>
              <w:rPr>
                <w:sz w:val="20"/>
                <w:szCs w:val="20"/>
                <w:color w:val="auto"/>
              </w:rPr>
            </w:pPr>
            <w:r>
              <w:rPr>
                <w:rFonts w:ascii="Arial" w:cs="Arial" w:eastAsia="Arial" w:hAnsi="Arial"/>
                <w:sz w:val="8"/>
                <w:szCs w:val="8"/>
                <w:color w:val="auto"/>
              </w:rPr>
              <w:t>23,234</w:t>
            </w:r>
          </w:p>
        </w:tc>
        <w:tc>
          <w:tcPr>
            <w:tcW w:w="960" w:type="dxa"/>
            <w:vAlign w:val="bottom"/>
            <w:gridSpan w:val="2"/>
          </w:tcPr>
          <w:p>
            <w:pPr>
              <w:jc w:val="right"/>
              <w:ind w:right="118"/>
              <w:spacing w:after="0" w:line="90" w:lineRule="exact"/>
              <w:rPr>
                <w:sz w:val="20"/>
                <w:szCs w:val="20"/>
                <w:color w:val="auto"/>
              </w:rPr>
            </w:pPr>
            <w:r>
              <w:rPr>
                <w:rFonts w:ascii="Arial" w:cs="Arial" w:eastAsia="Arial" w:hAnsi="Arial"/>
                <w:sz w:val="8"/>
                <w:szCs w:val="8"/>
                <w:color w:val="auto"/>
              </w:rPr>
              <w:t>248,234</w:t>
            </w:r>
          </w:p>
        </w:tc>
      </w:tr>
      <w:tr>
        <w:trPr>
          <w:trHeight w:val="90"/>
        </w:trPr>
        <w:tc>
          <w:tcPr>
            <w:tcW w:w="390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Joseph J. Collins</w:t>
            </w:r>
          </w:p>
        </w:tc>
        <w:tc>
          <w:tcPr>
            <w:tcW w:w="1080" w:type="dxa"/>
            <w:vAlign w:val="bottom"/>
            <w:gridSpan w:val="2"/>
            <w:shd w:val="clear" w:color="auto" w:fill="CCEEFF"/>
          </w:tcPr>
          <w:p>
            <w:pPr>
              <w:jc w:val="right"/>
              <w:ind w:right="318"/>
              <w:spacing w:after="0" w:line="90" w:lineRule="exact"/>
              <w:rPr>
                <w:sz w:val="20"/>
                <w:szCs w:val="20"/>
                <w:color w:val="auto"/>
              </w:rPr>
            </w:pPr>
            <w:r>
              <w:rPr>
                <w:rFonts w:ascii="Arial" w:cs="Arial" w:eastAsia="Arial" w:hAnsi="Arial"/>
                <w:sz w:val="8"/>
                <w:szCs w:val="8"/>
                <w:color w:val="auto"/>
              </w:rPr>
              <w:t>127,500</w:t>
            </w:r>
          </w:p>
        </w:tc>
        <w:tc>
          <w:tcPr>
            <w:tcW w:w="1320" w:type="dxa"/>
            <w:vAlign w:val="bottom"/>
            <w:gridSpan w:val="2"/>
            <w:shd w:val="clear" w:color="auto" w:fill="CCEEFF"/>
          </w:tcPr>
          <w:p>
            <w:pPr>
              <w:jc w:val="right"/>
              <w:ind w:right="318"/>
              <w:spacing w:after="0" w:line="90" w:lineRule="exact"/>
              <w:rPr>
                <w:sz w:val="20"/>
                <w:szCs w:val="20"/>
                <w:color w:val="auto"/>
              </w:rPr>
            </w:pPr>
            <w:r>
              <w:rPr>
                <w:rFonts w:ascii="Arial" w:cs="Arial" w:eastAsia="Arial" w:hAnsi="Arial"/>
                <w:sz w:val="8"/>
                <w:szCs w:val="8"/>
                <w:color w:val="auto"/>
              </w:rPr>
              <w:t>125,000</w:t>
            </w:r>
          </w:p>
        </w:tc>
        <w:tc>
          <w:tcPr>
            <w:tcW w:w="34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center"/>
              <w:ind w:right="340"/>
              <w:spacing w:after="0" w:line="90" w:lineRule="exact"/>
              <w:rPr>
                <w:sz w:val="20"/>
                <w:szCs w:val="20"/>
                <w:color w:val="auto"/>
              </w:rPr>
            </w:pPr>
            <w:r>
              <w:rPr>
                <w:rFonts w:ascii="Arial" w:cs="Arial" w:eastAsia="Arial" w:hAnsi="Arial"/>
                <w:sz w:val="8"/>
                <w:szCs w:val="8"/>
                <w:color w:val="auto"/>
                <w:w w:val="99"/>
              </w:rPr>
              <w:t>—</w:t>
            </w:r>
          </w:p>
        </w:tc>
        <w:tc>
          <w:tcPr>
            <w:tcW w:w="1180" w:type="dxa"/>
            <w:vAlign w:val="bottom"/>
            <w:shd w:val="clear" w:color="auto" w:fill="CCEEFF"/>
          </w:tcPr>
          <w:p>
            <w:pPr>
              <w:jc w:val="right"/>
              <w:ind w:right="418"/>
              <w:spacing w:after="0" w:line="90" w:lineRule="exact"/>
              <w:rPr>
                <w:sz w:val="20"/>
                <w:szCs w:val="20"/>
                <w:color w:val="auto"/>
              </w:rPr>
            </w:pPr>
            <w:r>
              <w:rPr>
                <w:rFonts w:ascii="Arial" w:cs="Arial" w:eastAsia="Arial" w:hAnsi="Arial"/>
                <w:sz w:val="8"/>
                <w:szCs w:val="8"/>
                <w:color w:val="auto"/>
              </w:rPr>
              <w:t>43,669</w:t>
            </w:r>
          </w:p>
        </w:tc>
        <w:tc>
          <w:tcPr>
            <w:tcW w:w="960" w:type="dxa"/>
            <w:vAlign w:val="bottom"/>
            <w:gridSpan w:val="2"/>
            <w:shd w:val="clear" w:color="auto" w:fill="CCEEFF"/>
          </w:tcPr>
          <w:p>
            <w:pPr>
              <w:jc w:val="right"/>
              <w:ind w:right="118"/>
              <w:spacing w:after="0" w:line="90" w:lineRule="exact"/>
              <w:rPr>
                <w:sz w:val="20"/>
                <w:szCs w:val="20"/>
                <w:color w:val="auto"/>
              </w:rPr>
            </w:pPr>
            <w:r>
              <w:rPr>
                <w:rFonts w:ascii="Arial" w:cs="Arial" w:eastAsia="Arial" w:hAnsi="Arial"/>
                <w:sz w:val="8"/>
                <w:szCs w:val="8"/>
                <w:color w:val="auto"/>
              </w:rPr>
              <w:t>296,169</w:t>
            </w:r>
          </w:p>
        </w:tc>
      </w:tr>
      <w:tr>
        <w:trPr>
          <w:trHeight w:val="90"/>
        </w:trPr>
        <w:tc>
          <w:tcPr>
            <w:tcW w:w="3900" w:type="dxa"/>
            <w:vAlign w:val="bottom"/>
          </w:tcPr>
          <w:p>
            <w:pPr>
              <w:spacing w:after="0" w:line="90" w:lineRule="exact"/>
              <w:rPr>
                <w:sz w:val="20"/>
                <w:szCs w:val="20"/>
                <w:color w:val="auto"/>
              </w:rPr>
            </w:pPr>
            <w:r>
              <w:rPr>
                <w:rFonts w:ascii="Arial" w:cs="Arial" w:eastAsia="Arial" w:hAnsi="Arial"/>
                <w:sz w:val="8"/>
                <w:szCs w:val="8"/>
                <w:color w:val="auto"/>
              </w:rPr>
              <w:t>J. Michael Cook</w:t>
            </w:r>
          </w:p>
        </w:tc>
        <w:tc>
          <w:tcPr>
            <w:tcW w:w="1080" w:type="dxa"/>
            <w:vAlign w:val="bottom"/>
            <w:gridSpan w:val="2"/>
          </w:tcPr>
          <w:p>
            <w:pPr>
              <w:jc w:val="right"/>
              <w:ind w:right="318"/>
              <w:spacing w:after="0" w:line="90" w:lineRule="exact"/>
              <w:rPr>
                <w:sz w:val="20"/>
                <w:szCs w:val="20"/>
                <w:color w:val="auto"/>
              </w:rPr>
            </w:pPr>
            <w:r>
              <w:rPr>
                <w:rFonts w:ascii="Arial" w:cs="Arial" w:eastAsia="Arial" w:hAnsi="Arial"/>
                <w:sz w:val="8"/>
                <w:szCs w:val="8"/>
                <w:color w:val="auto"/>
              </w:rPr>
              <w:t>123,500</w:t>
            </w:r>
          </w:p>
        </w:tc>
        <w:tc>
          <w:tcPr>
            <w:tcW w:w="1320" w:type="dxa"/>
            <w:vAlign w:val="bottom"/>
            <w:gridSpan w:val="2"/>
          </w:tcPr>
          <w:p>
            <w:pPr>
              <w:jc w:val="right"/>
              <w:ind w:right="318"/>
              <w:spacing w:after="0" w:line="90" w:lineRule="exact"/>
              <w:rPr>
                <w:sz w:val="20"/>
                <w:szCs w:val="20"/>
                <w:color w:val="auto"/>
              </w:rPr>
            </w:pPr>
            <w:r>
              <w:rPr>
                <w:rFonts w:ascii="Arial" w:cs="Arial" w:eastAsia="Arial" w:hAnsi="Arial"/>
                <w:sz w:val="8"/>
                <w:szCs w:val="8"/>
                <w:color w:val="auto"/>
              </w:rPr>
              <w:t>125,000</w:t>
            </w:r>
          </w:p>
        </w:tc>
        <w:tc>
          <w:tcPr>
            <w:tcW w:w="340" w:type="dxa"/>
            <w:vAlign w:val="bottom"/>
          </w:tcPr>
          <w:p>
            <w:pPr>
              <w:spacing w:after="0"/>
              <w:rPr>
                <w:sz w:val="7"/>
                <w:szCs w:val="7"/>
                <w:color w:val="auto"/>
              </w:rPr>
            </w:pPr>
          </w:p>
        </w:tc>
        <w:tc>
          <w:tcPr>
            <w:tcW w:w="620" w:type="dxa"/>
            <w:vAlign w:val="bottom"/>
            <w:gridSpan w:val="2"/>
          </w:tcPr>
          <w:p>
            <w:pPr>
              <w:jc w:val="center"/>
              <w:ind w:right="340"/>
              <w:spacing w:after="0" w:line="90" w:lineRule="exact"/>
              <w:rPr>
                <w:sz w:val="20"/>
                <w:szCs w:val="20"/>
                <w:color w:val="auto"/>
              </w:rPr>
            </w:pPr>
            <w:r>
              <w:rPr>
                <w:rFonts w:ascii="Arial" w:cs="Arial" w:eastAsia="Arial" w:hAnsi="Arial"/>
                <w:sz w:val="8"/>
                <w:szCs w:val="8"/>
                <w:color w:val="auto"/>
                <w:w w:val="99"/>
              </w:rPr>
              <w:t>—</w:t>
            </w:r>
          </w:p>
        </w:tc>
        <w:tc>
          <w:tcPr>
            <w:tcW w:w="1180" w:type="dxa"/>
            <w:vAlign w:val="bottom"/>
          </w:tcPr>
          <w:p>
            <w:pPr>
              <w:jc w:val="right"/>
              <w:ind w:right="418"/>
              <w:spacing w:after="0" w:line="90" w:lineRule="exact"/>
              <w:rPr>
                <w:sz w:val="20"/>
                <w:szCs w:val="20"/>
                <w:color w:val="auto"/>
              </w:rPr>
            </w:pPr>
            <w:r>
              <w:rPr>
                <w:rFonts w:ascii="Arial" w:cs="Arial" w:eastAsia="Arial" w:hAnsi="Arial"/>
                <w:sz w:val="8"/>
                <w:szCs w:val="8"/>
                <w:color w:val="auto"/>
              </w:rPr>
              <w:t>71,495</w:t>
            </w:r>
          </w:p>
        </w:tc>
        <w:tc>
          <w:tcPr>
            <w:tcW w:w="960" w:type="dxa"/>
            <w:vAlign w:val="bottom"/>
            <w:gridSpan w:val="2"/>
          </w:tcPr>
          <w:p>
            <w:pPr>
              <w:jc w:val="right"/>
              <w:ind w:right="118"/>
              <w:spacing w:after="0" w:line="90" w:lineRule="exact"/>
              <w:rPr>
                <w:sz w:val="20"/>
                <w:szCs w:val="20"/>
                <w:color w:val="auto"/>
              </w:rPr>
            </w:pPr>
            <w:r>
              <w:rPr>
                <w:rFonts w:ascii="Arial" w:cs="Arial" w:eastAsia="Arial" w:hAnsi="Arial"/>
                <w:sz w:val="8"/>
                <w:szCs w:val="8"/>
                <w:color w:val="auto"/>
              </w:rPr>
              <w:t>319,995</w:t>
            </w:r>
          </w:p>
        </w:tc>
      </w:tr>
      <w:tr>
        <w:trPr>
          <w:trHeight w:val="90"/>
        </w:trPr>
        <w:tc>
          <w:tcPr>
            <w:tcW w:w="390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Gerald L. Hassell</w:t>
            </w:r>
          </w:p>
        </w:tc>
        <w:tc>
          <w:tcPr>
            <w:tcW w:w="1080" w:type="dxa"/>
            <w:vAlign w:val="bottom"/>
            <w:gridSpan w:val="2"/>
            <w:shd w:val="clear" w:color="auto" w:fill="CCEEFF"/>
          </w:tcPr>
          <w:p>
            <w:pPr>
              <w:jc w:val="right"/>
              <w:ind w:right="318"/>
              <w:spacing w:after="0" w:line="90" w:lineRule="exact"/>
              <w:rPr>
                <w:sz w:val="20"/>
                <w:szCs w:val="20"/>
                <w:color w:val="auto"/>
              </w:rPr>
            </w:pPr>
            <w:r>
              <w:rPr>
                <w:rFonts w:ascii="Arial" w:cs="Arial" w:eastAsia="Arial" w:hAnsi="Arial"/>
                <w:sz w:val="8"/>
                <w:szCs w:val="8"/>
                <w:color w:val="auto"/>
              </w:rPr>
              <w:t>107,500</w:t>
            </w:r>
          </w:p>
        </w:tc>
        <w:tc>
          <w:tcPr>
            <w:tcW w:w="1320" w:type="dxa"/>
            <w:vAlign w:val="bottom"/>
            <w:gridSpan w:val="2"/>
            <w:shd w:val="clear" w:color="auto" w:fill="CCEEFF"/>
          </w:tcPr>
          <w:p>
            <w:pPr>
              <w:jc w:val="right"/>
              <w:ind w:right="318"/>
              <w:spacing w:after="0" w:line="90" w:lineRule="exact"/>
              <w:rPr>
                <w:sz w:val="20"/>
                <w:szCs w:val="20"/>
                <w:color w:val="auto"/>
              </w:rPr>
            </w:pPr>
            <w:r>
              <w:rPr>
                <w:rFonts w:ascii="Arial" w:cs="Arial" w:eastAsia="Arial" w:hAnsi="Arial"/>
                <w:sz w:val="8"/>
                <w:szCs w:val="8"/>
                <w:color w:val="auto"/>
              </w:rPr>
              <w:t>125,000</w:t>
            </w:r>
          </w:p>
        </w:tc>
        <w:tc>
          <w:tcPr>
            <w:tcW w:w="34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center"/>
              <w:ind w:right="340"/>
              <w:spacing w:after="0" w:line="90" w:lineRule="exact"/>
              <w:rPr>
                <w:sz w:val="20"/>
                <w:szCs w:val="20"/>
                <w:color w:val="auto"/>
              </w:rPr>
            </w:pPr>
            <w:r>
              <w:rPr>
                <w:rFonts w:ascii="Arial" w:cs="Arial" w:eastAsia="Arial" w:hAnsi="Arial"/>
                <w:sz w:val="8"/>
                <w:szCs w:val="8"/>
                <w:color w:val="auto"/>
                <w:w w:val="99"/>
              </w:rPr>
              <w:t>—</w:t>
            </w:r>
          </w:p>
        </w:tc>
        <w:tc>
          <w:tcPr>
            <w:tcW w:w="1180" w:type="dxa"/>
            <w:vAlign w:val="bottom"/>
            <w:shd w:val="clear" w:color="auto" w:fill="CCEEFF"/>
          </w:tcPr>
          <w:p>
            <w:pPr>
              <w:jc w:val="right"/>
              <w:ind w:right="418"/>
              <w:spacing w:after="0" w:line="90" w:lineRule="exact"/>
              <w:rPr>
                <w:sz w:val="20"/>
                <w:szCs w:val="20"/>
                <w:color w:val="auto"/>
              </w:rPr>
            </w:pPr>
            <w:r>
              <w:rPr>
                <w:rFonts w:ascii="Arial" w:cs="Arial" w:eastAsia="Arial" w:hAnsi="Arial"/>
                <w:sz w:val="8"/>
                <w:szCs w:val="8"/>
                <w:color w:val="auto"/>
              </w:rPr>
              <w:t>5,405</w:t>
            </w:r>
          </w:p>
        </w:tc>
        <w:tc>
          <w:tcPr>
            <w:tcW w:w="960" w:type="dxa"/>
            <w:vAlign w:val="bottom"/>
            <w:gridSpan w:val="2"/>
            <w:shd w:val="clear" w:color="auto" w:fill="CCEEFF"/>
          </w:tcPr>
          <w:p>
            <w:pPr>
              <w:jc w:val="right"/>
              <w:ind w:right="118"/>
              <w:spacing w:after="0" w:line="90" w:lineRule="exact"/>
              <w:rPr>
                <w:sz w:val="20"/>
                <w:szCs w:val="20"/>
                <w:color w:val="auto"/>
              </w:rPr>
            </w:pPr>
            <w:r>
              <w:rPr>
                <w:rFonts w:ascii="Arial" w:cs="Arial" w:eastAsia="Arial" w:hAnsi="Arial"/>
                <w:sz w:val="8"/>
                <w:szCs w:val="8"/>
                <w:color w:val="auto"/>
              </w:rPr>
              <w:t>237,905</w:t>
            </w:r>
          </w:p>
        </w:tc>
      </w:tr>
      <w:tr>
        <w:trPr>
          <w:trHeight w:val="90"/>
        </w:trPr>
        <w:tc>
          <w:tcPr>
            <w:tcW w:w="3900" w:type="dxa"/>
            <w:vAlign w:val="bottom"/>
          </w:tcPr>
          <w:p>
            <w:pPr>
              <w:spacing w:after="0" w:line="90" w:lineRule="exact"/>
              <w:rPr>
                <w:sz w:val="20"/>
                <w:szCs w:val="20"/>
                <w:color w:val="auto"/>
              </w:rPr>
            </w:pPr>
            <w:r>
              <w:rPr>
                <w:rFonts w:ascii="Arial" w:cs="Arial" w:eastAsia="Arial" w:hAnsi="Arial"/>
                <w:sz w:val="8"/>
                <w:szCs w:val="8"/>
                <w:color w:val="auto"/>
              </w:rPr>
              <w:t>Jeffrey A. Honickman</w:t>
            </w:r>
          </w:p>
        </w:tc>
        <w:tc>
          <w:tcPr>
            <w:tcW w:w="1080" w:type="dxa"/>
            <w:vAlign w:val="bottom"/>
            <w:gridSpan w:val="2"/>
          </w:tcPr>
          <w:p>
            <w:pPr>
              <w:jc w:val="right"/>
              <w:ind w:right="318"/>
              <w:spacing w:after="0" w:line="90" w:lineRule="exact"/>
              <w:rPr>
                <w:sz w:val="20"/>
                <w:szCs w:val="20"/>
                <w:color w:val="auto"/>
              </w:rPr>
            </w:pPr>
            <w:r>
              <w:rPr>
                <w:rFonts w:ascii="Arial" w:cs="Arial" w:eastAsia="Arial" w:hAnsi="Arial"/>
                <w:sz w:val="8"/>
                <w:szCs w:val="8"/>
                <w:color w:val="auto"/>
              </w:rPr>
              <w:t>127,500</w:t>
            </w:r>
          </w:p>
        </w:tc>
        <w:tc>
          <w:tcPr>
            <w:tcW w:w="1320" w:type="dxa"/>
            <w:vAlign w:val="bottom"/>
            <w:gridSpan w:val="2"/>
          </w:tcPr>
          <w:p>
            <w:pPr>
              <w:jc w:val="right"/>
              <w:ind w:right="318"/>
              <w:spacing w:after="0" w:line="90" w:lineRule="exact"/>
              <w:rPr>
                <w:sz w:val="20"/>
                <w:szCs w:val="20"/>
                <w:color w:val="auto"/>
              </w:rPr>
            </w:pPr>
            <w:r>
              <w:rPr>
                <w:rFonts w:ascii="Arial" w:cs="Arial" w:eastAsia="Arial" w:hAnsi="Arial"/>
                <w:sz w:val="8"/>
                <w:szCs w:val="8"/>
                <w:color w:val="auto"/>
              </w:rPr>
              <w:t>125,000</w:t>
            </w:r>
          </w:p>
        </w:tc>
        <w:tc>
          <w:tcPr>
            <w:tcW w:w="340" w:type="dxa"/>
            <w:vAlign w:val="bottom"/>
          </w:tcPr>
          <w:p>
            <w:pPr>
              <w:spacing w:after="0"/>
              <w:rPr>
                <w:sz w:val="7"/>
                <w:szCs w:val="7"/>
                <w:color w:val="auto"/>
              </w:rPr>
            </w:pPr>
          </w:p>
        </w:tc>
        <w:tc>
          <w:tcPr>
            <w:tcW w:w="620" w:type="dxa"/>
            <w:vAlign w:val="bottom"/>
            <w:gridSpan w:val="2"/>
          </w:tcPr>
          <w:p>
            <w:pPr>
              <w:jc w:val="center"/>
              <w:ind w:right="340"/>
              <w:spacing w:after="0" w:line="90" w:lineRule="exact"/>
              <w:rPr>
                <w:sz w:val="20"/>
                <w:szCs w:val="20"/>
                <w:color w:val="auto"/>
              </w:rPr>
            </w:pPr>
            <w:r>
              <w:rPr>
                <w:rFonts w:ascii="Arial" w:cs="Arial" w:eastAsia="Arial" w:hAnsi="Arial"/>
                <w:sz w:val="8"/>
                <w:szCs w:val="8"/>
                <w:color w:val="auto"/>
                <w:w w:val="99"/>
              </w:rPr>
              <w:t>—</w:t>
            </w:r>
          </w:p>
        </w:tc>
        <w:tc>
          <w:tcPr>
            <w:tcW w:w="1180" w:type="dxa"/>
            <w:vAlign w:val="bottom"/>
          </w:tcPr>
          <w:p>
            <w:pPr>
              <w:jc w:val="right"/>
              <w:ind w:right="418"/>
              <w:spacing w:after="0" w:line="90" w:lineRule="exact"/>
              <w:rPr>
                <w:sz w:val="20"/>
                <w:szCs w:val="20"/>
                <w:color w:val="auto"/>
              </w:rPr>
            </w:pPr>
            <w:r>
              <w:rPr>
                <w:rFonts w:ascii="Arial" w:cs="Arial" w:eastAsia="Arial" w:hAnsi="Arial"/>
                <w:sz w:val="8"/>
                <w:szCs w:val="8"/>
                <w:color w:val="auto"/>
              </w:rPr>
              <w:t>29,610</w:t>
            </w:r>
          </w:p>
        </w:tc>
        <w:tc>
          <w:tcPr>
            <w:tcW w:w="960" w:type="dxa"/>
            <w:vAlign w:val="bottom"/>
            <w:gridSpan w:val="2"/>
          </w:tcPr>
          <w:p>
            <w:pPr>
              <w:jc w:val="right"/>
              <w:ind w:right="118"/>
              <w:spacing w:after="0" w:line="90" w:lineRule="exact"/>
              <w:rPr>
                <w:sz w:val="20"/>
                <w:szCs w:val="20"/>
                <w:color w:val="auto"/>
              </w:rPr>
            </w:pPr>
            <w:r>
              <w:rPr>
                <w:rFonts w:ascii="Arial" w:cs="Arial" w:eastAsia="Arial" w:hAnsi="Arial"/>
                <w:sz w:val="8"/>
                <w:szCs w:val="8"/>
                <w:color w:val="auto"/>
              </w:rPr>
              <w:t>282,110</w:t>
            </w:r>
          </w:p>
        </w:tc>
      </w:tr>
      <w:tr>
        <w:trPr>
          <w:trHeight w:val="90"/>
        </w:trPr>
        <w:tc>
          <w:tcPr>
            <w:tcW w:w="390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Dr. Judith Rodin</w:t>
            </w:r>
          </w:p>
        </w:tc>
        <w:tc>
          <w:tcPr>
            <w:tcW w:w="1080" w:type="dxa"/>
            <w:vAlign w:val="bottom"/>
            <w:gridSpan w:val="2"/>
            <w:shd w:val="clear" w:color="auto" w:fill="CCEEFF"/>
          </w:tcPr>
          <w:p>
            <w:pPr>
              <w:jc w:val="right"/>
              <w:ind w:right="318"/>
              <w:spacing w:after="0" w:line="90" w:lineRule="exact"/>
              <w:rPr>
                <w:sz w:val="20"/>
                <w:szCs w:val="20"/>
                <w:color w:val="auto"/>
              </w:rPr>
            </w:pPr>
            <w:r>
              <w:rPr>
                <w:rFonts w:ascii="Arial" w:cs="Arial" w:eastAsia="Arial" w:hAnsi="Arial"/>
                <w:sz w:val="8"/>
                <w:szCs w:val="8"/>
                <w:color w:val="auto"/>
              </w:rPr>
              <w:t>137,500</w:t>
            </w:r>
          </w:p>
        </w:tc>
        <w:tc>
          <w:tcPr>
            <w:tcW w:w="1320" w:type="dxa"/>
            <w:vAlign w:val="bottom"/>
            <w:gridSpan w:val="2"/>
            <w:shd w:val="clear" w:color="auto" w:fill="CCEEFF"/>
          </w:tcPr>
          <w:p>
            <w:pPr>
              <w:jc w:val="right"/>
              <w:ind w:right="318"/>
              <w:spacing w:after="0" w:line="90" w:lineRule="exact"/>
              <w:rPr>
                <w:sz w:val="20"/>
                <w:szCs w:val="20"/>
                <w:color w:val="auto"/>
              </w:rPr>
            </w:pPr>
            <w:r>
              <w:rPr>
                <w:rFonts w:ascii="Arial" w:cs="Arial" w:eastAsia="Arial" w:hAnsi="Arial"/>
                <w:sz w:val="8"/>
                <w:szCs w:val="8"/>
                <w:color w:val="auto"/>
              </w:rPr>
              <w:t>125,000</w:t>
            </w:r>
          </w:p>
        </w:tc>
        <w:tc>
          <w:tcPr>
            <w:tcW w:w="34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center"/>
              <w:ind w:right="340"/>
              <w:spacing w:after="0" w:line="90" w:lineRule="exact"/>
              <w:rPr>
                <w:sz w:val="20"/>
                <w:szCs w:val="20"/>
                <w:color w:val="auto"/>
              </w:rPr>
            </w:pPr>
            <w:r>
              <w:rPr>
                <w:rFonts w:ascii="Arial" w:cs="Arial" w:eastAsia="Arial" w:hAnsi="Arial"/>
                <w:sz w:val="8"/>
                <w:szCs w:val="8"/>
                <w:color w:val="auto"/>
                <w:w w:val="99"/>
              </w:rPr>
              <w:t>—</w:t>
            </w:r>
          </w:p>
        </w:tc>
        <w:tc>
          <w:tcPr>
            <w:tcW w:w="1180" w:type="dxa"/>
            <w:vAlign w:val="bottom"/>
            <w:shd w:val="clear" w:color="auto" w:fill="CCEEFF"/>
          </w:tcPr>
          <w:p>
            <w:pPr>
              <w:jc w:val="right"/>
              <w:ind w:right="418"/>
              <w:spacing w:after="0" w:line="90" w:lineRule="exact"/>
              <w:rPr>
                <w:sz w:val="20"/>
                <w:szCs w:val="20"/>
                <w:color w:val="auto"/>
              </w:rPr>
            </w:pPr>
            <w:r>
              <w:rPr>
                <w:rFonts w:ascii="Arial" w:cs="Arial" w:eastAsia="Arial" w:hAnsi="Arial"/>
                <w:sz w:val="8"/>
                <w:szCs w:val="8"/>
                <w:color w:val="auto"/>
              </w:rPr>
              <w:t>69,507</w:t>
            </w:r>
          </w:p>
        </w:tc>
        <w:tc>
          <w:tcPr>
            <w:tcW w:w="960" w:type="dxa"/>
            <w:vAlign w:val="bottom"/>
            <w:gridSpan w:val="2"/>
            <w:shd w:val="clear" w:color="auto" w:fill="CCEEFF"/>
          </w:tcPr>
          <w:p>
            <w:pPr>
              <w:jc w:val="right"/>
              <w:ind w:right="118"/>
              <w:spacing w:after="0" w:line="90" w:lineRule="exact"/>
              <w:rPr>
                <w:sz w:val="20"/>
                <w:szCs w:val="20"/>
                <w:color w:val="auto"/>
              </w:rPr>
            </w:pPr>
            <w:r>
              <w:rPr>
                <w:rFonts w:ascii="Arial" w:cs="Arial" w:eastAsia="Arial" w:hAnsi="Arial"/>
                <w:sz w:val="8"/>
                <w:szCs w:val="8"/>
                <w:color w:val="auto"/>
              </w:rPr>
              <w:t>332,007</w:t>
            </w:r>
          </w:p>
        </w:tc>
      </w:tr>
      <w:tr>
        <w:trPr>
          <w:trHeight w:val="105"/>
        </w:trPr>
        <w:tc>
          <w:tcPr>
            <w:tcW w:w="3900" w:type="dxa"/>
            <w:vAlign w:val="bottom"/>
          </w:tcPr>
          <w:p>
            <w:pPr>
              <w:spacing w:after="0"/>
              <w:rPr>
                <w:sz w:val="20"/>
                <w:szCs w:val="20"/>
                <w:color w:val="auto"/>
              </w:rPr>
            </w:pPr>
            <w:r>
              <w:rPr>
                <w:rFonts w:ascii="Arial" w:cs="Arial" w:eastAsia="Arial" w:hAnsi="Arial"/>
                <w:sz w:val="8"/>
                <w:szCs w:val="8"/>
                <w:color w:val="auto"/>
              </w:rPr>
              <w:t>Michael I. Sovern</w:t>
            </w:r>
          </w:p>
        </w:tc>
        <w:tc>
          <w:tcPr>
            <w:tcW w:w="1080" w:type="dxa"/>
            <w:vAlign w:val="bottom"/>
            <w:gridSpan w:val="2"/>
          </w:tcPr>
          <w:p>
            <w:pPr>
              <w:jc w:val="right"/>
              <w:ind w:right="318"/>
              <w:spacing w:after="0"/>
              <w:rPr>
                <w:sz w:val="20"/>
                <w:szCs w:val="20"/>
                <w:color w:val="auto"/>
              </w:rPr>
            </w:pPr>
            <w:r>
              <w:rPr>
                <w:rFonts w:ascii="Arial" w:cs="Arial" w:eastAsia="Arial" w:hAnsi="Arial"/>
                <w:sz w:val="8"/>
                <w:szCs w:val="8"/>
                <w:color w:val="auto"/>
              </w:rPr>
              <w:t>127,500</w:t>
            </w:r>
          </w:p>
        </w:tc>
        <w:tc>
          <w:tcPr>
            <w:tcW w:w="1320" w:type="dxa"/>
            <w:vAlign w:val="bottom"/>
            <w:gridSpan w:val="2"/>
          </w:tcPr>
          <w:p>
            <w:pPr>
              <w:jc w:val="right"/>
              <w:ind w:right="318"/>
              <w:spacing w:after="0"/>
              <w:rPr>
                <w:sz w:val="20"/>
                <w:szCs w:val="20"/>
                <w:color w:val="auto"/>
              </w:rPr>
            </w:pPr>
            <w:r>
              <w:rPr>
                <w:rFonts w:ascii="Arial" w:cs="Arial" w:eastAsia="Arial" w:hAnsi="Arial"/>
                <w:sz w:val="8"/>
                <w:szCs w:val="8"/>
                <w:color w:val="auto"/>
              </w:rPr>
              <w:t>125,000</w:t>
            </w:r>
          </w:p>
        </w:tc>
        <w:tc>
          <w:tcPr>
            <w:tcW w:w="340" w:type="dxa"/>
            <w:vAlign w:val="bottom"/>
          </w:tcPr>
          <w:p>
            <w:pPr>
              <w:spacing w:after="0"/>
              <w:rPr>
                <w:sz w:val="9"/>
                <w:szCs w:val="9"/>
                <w:color w:val="auto"/>
              </w:rPr>
            </w:pPr>
          </w:p>
        </w:tc>
        <w:tc>
          <w:tcPr>
            <w:tcW w:w="620" w:type="dxa"/>
            <w:vAlign w:val="bottom"/>
            <w:gridSpan w:val="2"/>
          </w:tcPr>
          <w:p>
            <w:pPr>
              <w:jc w:val="center"/>
              <w:ind w:right="340"/>
              <w:spacing w:after="0"/>
              <w:rPr>
                <w:sz w:val="20"/>
                <w:szCs w:val="20"/>
                <w:color w:val="auto"/>
              </w:rPr>
            </w:pPr>
            <w:r>
              <w:rPr>
                <w:rFonts w:ascii="Arial" w:cs="Arial" w:eastAsia="Arial" w:hAnsi="Arial"/>
                <w:sz w:val="8"/>
                <w:szCs w:val="8"/>
                <w:color w:val="auto"/>
                <w:w w:val="99"/>
              </w:rPr>
              <w:t>—</w:t>
            </w:r>
          </w:p>
        </w:tc>
        <w:tc>
          <w:tcPr>
            <w:tcW w:w="1180" w:type="dxa"/>
            <w:vAlign w:val="bottom"/>
          </w:tcPr>
          <w:p>
            <w:pPr>
              <w:jc w:val="right"/>
              <w:ind w:right="418"/>
              <w:spacing w:after="0"/>
              <w:rPr>
                <w:sz w:val="20"/>
                <w:szCs w:val="20"/>
                <w:color w:val="auto"/>
              </w:rPr>
            </w:pPr>
            <w:r>
              <w:rPr>
                <w:rFonts w:ascii="Arial" w:cs="Arial" w:eastAsia="Arial" w:hAnsi="Arial"/>
                <w:sz w:val="8"/>
                <w:szCs w:val="8"/>
                <w:color w:val="auto"/>
              </w:rPr>
              <w:t>77,716</w:t>
            </w:r>
          </w:p>
        </w:tc>
        <w:tc>
          <w:tcPr>
            <w:tcW w:w="960" w:type="dxa"/>
            <w:vAlign w:val="bottom"/>
            <w:gridSpan w:val="2"/>
          </w:tcPr>
          <w:p>
            <w:pPr>
              <w:jc w:val="right"/>
              <w:ind w:right="118"/>
              <w:spacing w:after="0"/>
              <w:rPr>
                <w:sz w:val="20"/>
                <w:szCs w:val="20"/>
                <w:color w:val="auto"/>
              </w:rPr>
            </w:pPr>
            <w:r>
              <w:rPr>
                <w:rFonts w:ascii="Arial" w:cs="Arial" w:eastAsia="Arial" w:hAnsi="Arial"/>
                <w:sz w:val="8"/>
                <w:szCs w:val="8"/>
                <w:color w:val="auto"/>
              </w:rPr>
              <w:t>330,216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47625</wp:posOffset>
            </wp:positionV>
            <wp:extent cx="823595"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23595" cy="5715"/>
                    </a:xfrm>
                    <a:prstGeom prst="rect">
                      <a:avLst/>
                    </a:prstGeom>
                    <a:noFill/>
                  </pic:spPr>
                </pic:pic>
              </a:graphicData>
            </a:graphic>
          </wp:anchor>
        </w:drawing>
      </w:r>
    </w:p>
    <w:p>
      <w:pPr>
        <w:spacing w:after="0" w:line="100" w:lineRule="exact"/>
        <w:rPr>
          <w:sz w:val="20"/>
          <w:szCs w:val="20"/>
          <w:color w:val="auto"/>
        </w:rPr>
      </w:pPr>
    </w:p>
    <w:p>
      <w:pPr>
        <w:ind w:left="980" w:right="60" w:hanging="232"/>
        <w:spacing w:after="0" w:line="286" w:lineRule="auto"/>
        <w:tabs>
          <w:tab w:leader="none" w:pos="980" w:val="left"/>
        </w:tabs>
        <w:numPr>
          <w:ilvl w:val="0"/>
          <w:numId w:val="31"/>
        </w:numPr>
        <w:rPr>
          <w:rFonts w:ascii="Arial" w:cs="Arial" w:eastAsia="Arial" w:hAnsi="Arial"/>
          <w:sz w:val="11"/>
          <w:szCs w:val="11"/>
          <w:color w:val="auto"/>
        </w:rPr>
      </w:pPr>
      <w:r>
        <w:rPr>
          <w:rFonts w:ascii="Arial" w:cs="Arial" w:eastAsia="Arial" w:hAnsi="Arial"/>
          <w:sz w:val="11"/>
          <w:szCs w:val="11"/>
          <w:color w:val="auto"/>
        </w:rPr>
        <w:t>This column represents all cash retainers and meeting fees earned by our nonemployee directors with respect to their service in 2009, regardless of whether such fees were deferred as described below. Messrs Anstrom, Breen, Collins, Hassell and Honickman have elected to receive 50% of their annual retainer in the form of equity. In 2009, they each earned (and deferred) share units with respect to 1,977 shares of Class A common stock. This column also includes $2,500 of fees paid to each of Messrs. Bacon, Collins and Sovern for attending one meeting of a Special Litigation Committee in January 2009 to discuss certain procedural matters following the committee’s conclusion in December 2008 that there was no basis for certain claims related to a potential shareholder derivative action that had alleged the same facts as those that had been alleged in a securities law class action suit that was dismissed in 2008.</w:t>
      </w:r>
    </w:p>
    <w:p>
      <w:pPr>
        <w:spacing w:after="0" w:line="2" w:lineRule="exact"/>
        <w:rPr>
          <w:rFonts w:ascii="Arial" w:cs="Arial" w:eastAsia="Arial" w:hAnsi="Arial"/>
          <w:sz w:val="11"/>
          <w:szCs w:val="11"/>
          <w:color w:val="auto"/>
        </w:rPr>
      </w:pPr>
    </w:p>
    <w:p>
      <w:pPr>
        <w:ind w:left="980" w:hanging="232"/>
        <w:spacing w:after="0" w:line="259" w:lineRule="auto"/>
        <w:tabs>
          <w:tab w:leader="none" w:pos="980" w:val="left"/>
        </w:tabs>
        <w:numPr>
          <w:ilvl w:val="0"/>
          <w:numId w:val="31"/>
        </w:numPr>
        <w:rPr>
          <w:rFonts w:ascii="Arial" w:cs="Arial" w:eastAsia="Arial" w:hAnsi="Arial"/>
          <w:sz w:val="12"/>
          <w:szCs w:val="12"/>
          <w:color w:val="auto"/>
        </w:rPr>
      </w:pPr>
      <w:r>
        <w:rPr>
          <w:rFonts w:ascii="Arial" w:cs="Arial" w:eastAsia="Arial" w:hAnsi="Arial"/>
          <w:sz w:val="12"/>
          <w:szCs w:val="12"/>
          <w:color w:val="auto"/>
        </w:rPr>
        <w:t>The amounts in this column represent the aggregate grant date fair value of shares of Class A common stock granted in 2009, in accordance with FASB ASC Topic 718. The amounts in this column were calculated using the valuation assumptions discussed in the “Share-Based Compensation” footnote to the financial statements in our Annual Report on Form 10-K for the year ended December 31, 2009. The amounts were determined by multiplying the Class A common stock closing price on the date of grant by the number of shares subject to the grant. All nonemployee director annual equity awards were deferred, except in the case of Mr. Bonovitz.</w:t>
      </w:r>
    </w:p>
    <w:p>
      <w:pPr>
        <w:spacing w:after="0" w:line="16" w:lineRule="exact"/>
        <w:rPr>
          <w:rFonts w:ascii="Arial" w:cs="Arial" w:eastAsia="Arial" w:hAnsi="Arial"/>
          <w:sz w:val="12"/>
          <w:szCs w:val="12"/>
          <w:color w:val="auto"/>
        </w:rPr>
      </w:pPr>
    </w:p>
    <w:p>
      <w:pPr>
        <w:ind w:left="980" w:right="120"/>
        <w:spacing w:after="0" w:line="281" w:lineRule="auto"/>
        <w:rPr>
          <w:rFonts w:ascii="Arial" w:cs="Arial" w:eastAsia="Arial" w:hAnsi="Arial"/>
          <w:sz w:val="12"/>
          <w:szCs w:val="12"/>
          <w:color w:val="auto"/>
        </w:rPr>
      </w:pPr>
      <w:r>
        <w:rPr>
          <w:rFonts w:ascii="Arial" w:cs="Arial" w:eastAsia="Arial" w:hAnsi="Arial"/>
          <w:sz w:val="11"/>
          <w:szCs w:val="11"/>
          <w:color w:val="auto"/>
        </w:rPr>
        <w:t>As of December 31, 2009, each of our nonemployee directors had the following outstanding stock awards in the form of share units with respect to shares of Class A common stock, all of which were deferred: Mr. Anstrom: 33,381 as a result of annual equity awards and 9,765 as a result of annual retainers; Mr. Bacon: 33,381 as a result of annual equity awards; Mr. Bonovitz: 6,453 as a result of annual equity awards; Mr. Breen: 33,381 as a result of annual equity awards and 6,498 as a result of annual retainers; Mr. Collins: 33,381 as a result of annual equity awards and 6,784 as a result of annual retainers; Mr. Cook: 33,381 as a result of annual equity awards and 5,451 as a result of annual retainers; Mr. Hassell: 21,915 as a result of annual equity awards and 2,779 as a result of annual retainers; Mr. Honickman: 33,486 as a result of annual equity awards and 5,856 as a result of annual retainers; Dr. Rodin: 33,381 as a result of annual equity awards and 7,064 as a result of annual retainers; and Mr. Sovern: 33,381 as a result of annual equity awards. The number of share units held by each nonemployee director as indicated in this paragraph includes share units held by such nonemployee director arising from the accrual of dividend equivalents on deferred share units.</w:t>
      </w:r>
    </w:p>
    <w:p>
      <w:pPr>
        <w:spacing w:after="0" w:line="8" w:lineRule="exact"/>
        <w:rPr>
          <w:rFonts w:ascii="Arial" w:cs="Arial" w:eastAsia="Arial" w:hAnsi="Arial"/>
          <w:sz w:val="12"/>
          <w:szCs w:val="12"/>
          <w:color w:val="auto"/>
        </w:rPr>
      </w:pPr>
    </w:p>
    <w:p>
      <w:pPr>
        <w:ind w:left="980" w:right="100" w:hanging="232"/>
        <w:spacing w:after="0" w:line="276" w:lineRule="auto"/>
        <w:tabs>
          <w:tab w:leader="none" w:pos="980" w:val="left"/>
        </w:tabs>
        <w:numPr>
          <w:ilvl w:val="0"/>
          <w:numId w:val="31"/>
        </w:numPr>
        <w:rPr>
          <w:rFonts w:ascii="Arial" w:cs="Arial" w:eastAsia="Arial" w:hAnsi="Arial"/>
          <w:sz w:val="12"/>
          <w:szCs w:val="12"/>
          <w:color w:val="auto"/>
        </w:rPr>
      </w:pPr>
      <w:r>
        <w:rPr>
          <w:rFonts w:ascii="Arial" w:cs="Arial" w:eastAsia="Arial" w:hAnsi="Arial"/>
          <w:sz w:val="12"/>
          <w:szCs w:val="12"/>
          <w:color w:val="auto"/>
        </w:rPr>
        <w:t>None of our nonemployee directors was granted stock option awards in 2009. As of December 31, 2009, our nonemployee directors had outstanding option awards with respect to the following shares of Class A</w:t>
      </w:r>
    </w:p>
    <w:p>
      <w:pPr>
        <w:spacing w:after="0" w:line="232"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97790</wp:posOffset>
            </wp:positionV>
            <wp:extent cx="7299325" cy="184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660"/>
          </w:cols>
          <w:pgMar w:left="220" w:top="327" w:right="1019" w:bottom="1440" w:gutter="0" w:footer="0" w:header="0"/>
        </w:sectPr>
      </w:pPr>
    </w:p>
    <w:bookmarkStart w:id="62" w:name="page63"/>
    <w:bookmarkEnd w:id="62"/>
    <w:p>
      <w:pPr>
        <w:spacing w:after="0"/>
        <w:rPr>
          <w:rFonts w:ascii="Arial" w:cs="Arial" w:eastAsia="Arial" w:hAnsi="Arial"/>
          <w:sz w:val="12"/>
          <w:szCs w:val="12"/>
          <w:b w:val="1"/>
          <w:bCs w:val="1"/>
          <w:u w:val="single" w:color="auto"/>
          <w:color w:val="0000EE"/>
        </w:rPr>
      </w:pP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980"/>
        <w:spacing w:after="0"/>
        <w:rPr>
          <w:sz w:val="20"/>
          <w:szCs w:val="20"/>
          <w:color w:val="auto"/>
        </w:rPr>
      </w:pPr>
      <w:r>
        <w:rPr>
          <w:rFonts w:ascii="Arial" w:cs="Arial" w:eastAsia="Arial" w:hAnsi="Arial"/>
          <w:sz w:val="11"/>
          <w:szCs w:val="11"/>
          <w:color w:val="auto"/>
        </w:rPr>
        <w:t>common stock: Mr. Anstrom: 33,750 shares; Mr. Bacon: 33,750 shares; Mr. Bonovitz: 33,750 shares; Mr. Breen: 5,625 shares; Mr. Collins: 14,062 shares; Mr. Cook: 43,930 shares; Dr. Rodin:</w:t>
      </w:r>
    </w:p>
    <w:p>
      <w:pPr>
        <w:spacing w:after="0" w:line="26" w:lineRule="exact"/>
        <w:rPr>
          <w:sz w:val="20"/>
          <w:szCs w:val="20"/>
          <w:color w:val="auto"/>
        </w:rPr>
      </w:pPr>
    </w:p>
    <w:p>
      <w:pPr>
        <w:ind w:left="980"/>
        <w:spacing w:after="0"/>
        <w:rPr>
          <w:sz w:val="20"/>
          <w:szCs w:val="20"/>
          <w:color w:val="auto"/>
        </w:rPr>
      </w:pPr>
      <w:r>
        <w:rPr>
          <w:rFonts w:ascii="Arial" w:cs="Arial" w:eastAsia="Arial" w:hAnsi="Arial"/>
          <w:sz w:val="12"/>
          <w:szCs w:val="12"/>
          <w:color w:val="auto"/>
        </w:rPr>
        <w:t>33,750 shares; and Mr. Sovern: 43,932 shares. As of December 31, 2009, Messrs. Hassell and Honickman did not have any outstanding option awards.</w:t>
      </w:r>
    </w:p>
    <w:p>
      <w:pPr>
        <w:spacing w:after="0" w:line="33" w:lineRule="exact"/>
        <w:rPr>
          <w:sz w:val="20"/>
          <w:szCs w:val="20"/>
          <w:color w:val="auto"/>
        </w:rPr>
      </w:pPr>
    </w:p>
    <w:p>
      <w:pPr>
        <w:ind w:left="980" w:right="220" w:hanging="232"/>
        <w:spacing w:after="0" w:line="323" w:lineRule="auto"/>
        <w:tabs>
          <w:tab w:leader="none" w:pos="980" w:val="left"/>
        </w:tabs>
        <w:numPr>
          <w:ilvl w:val="0"/>
          <w:numId w:val="32"/>
        </w:numPr>
        <w:rPr>
          <w:rFonts w:ascii="Arial" w:cs="Arial" w:eastAsia="Arial" w:hAnsi="Arial"/>
          <w:sz w:val="11"/>
          <w:szCs w:val="11"/>
          <w:color w:val="auto"/>
        </w:rPr>
      </w:pPr>
      <w:r>
        <w:rPr>
          <w:rFonts w:ascii="Arial" w:cs="Arial" w:eastAsia="Arial" w:hAnsi="Arial"/>
          <w:sz w:val="11"/>
          <w:szCs w:val="11"/>
          <w:color w:val="auto"/>
        </w:rPr>
        <w:t>Annual retainer and other meeting fees received by our nonemployee directors may be deferred in whole or in part under our deferred compensation plans. The amounts in this column represent the dollar value of interest earned on deferred compensation in excess of 120% of the long-term applicable federal rate (the current interest crediting rate on deferred compensation is 12%).</w:t>
      </w:r>
    </w:p>
    <w:p>
      <w:pPr>
        <w:spacing w:after="0" w:line="169" w:lineRule="exact"/>
        <w:rPr>
          <w:sz w:val="20"/>
          <w:szCs w:val="20"/>
          <w:color w:val="auto"/>
        </w:rPr>
      </w:pPr>
    </w:p>
    <w:p>
      <w:pPr>
        <w:jc w:val="center"/>
        <w:ind w:right="-699"/>
        <w:spacing w:after="0"/>
        <w:rPr>
          <w:sz w:val="20"/>
          <w:szCs w:val="20"/>
          <w:color w:val="auto"/>
        </w:rPr>
      </w:pPr>
      <w:r>
        <w:rPr>
          <w:rFonts w:ascii="Arial" w:cs="Arial" w:eastAsia="Arial" w:hAnsi="Arial"/>
          <w:sz w:val="12"/>
          <w:szCs w:val="12"/>
          <w:b w:val="1"/>
          <w:bCs w:val="1"/>
          <w:color w:val="auto"/>
        </w:rPr>
        <w:t>RELATED PARTY TRANSACTION POLICY AND CERTAIN TRANSACTIONS</w:t>
      </w:r>
    </w:p>
    <w:p>
      <w:pPr>
        <w:spacing w:after="0" w:line="91" w:lineRule="exact"/>
        <w:rPr>
          <w:sz w:val="20"/>
          <w:szCs w:val="20"/>
          <w:color w:val="auto"/>
        </w:rPr>
      </w:pPr>
    </w:p>
    <w:p>
      <w:pPr>
        <w:ind w:left="680" w:right="180" w:firstLine="400"/>
        <w:spacing w:after="0" w:line="257" w:lineRule="auto"/>
        <w:rPr>
          <w:sz w:val="20"/>
          <w:szCs w:val="20"/>
          <w:color w:val="auto"/>
        </w:rPr>
      </w:pPr>
      <w:r>
        <w:rPr>
          <w:rFonts w:ascii="Arial" w:cs="Arial" w:eastAsia="Arial" w:hAnsi="Arial"/>
          <w:sz w:val="12"/>
          <w:szCs w:val="12"/>
          <w:color w:val="auto"/>
        </w:rPr>
        <w:t>We review all transactions involving us in which any of our directors, director nominees, significant shareholders and executive officers and their immediate family members are participants to determine whether such person has a direct or indirect material interest in the transaction. All directors, director nominees and executive officers are required to promptly notify our General Counsel or our Executive Vice President with supervisory responsibility for our General Counsel of any proposed transaction involving us in which such person has a direct or indirect material interest. Such proposed transaction is then reviewed by either our Board as a whole, the Governance and Directors Nominating Committee or the Audit Committee, which determines whether or not to approve or ratify the transaction based on the following criteria:</w:t>
      </w:r>
    </w:p>
    <w:p>
      <w:pPr>
        <w:spacing w:after="0" w:line="63" w:lineRule="exact"/>
        <w:rPr>
          <w:sz w:val="20"/>
          <w:szCs w:val="20"/>
          <w:color w:val="auto"/>
        </w:rPr>
      </w:pPr>
    </w:p>
    <w:p>
      <w:pPr>
        <w:ind w:left="1380" w:hanging="294"/>
        <w:spacing w:after="0"/>
        <w:tabs>
          <w:tab w:leader="none" w:pos="1380" w:val="left"/>
        </w:tabs>
        <w:numPr>
          <w:ilvl w:val="0"/>
          <w:numId w:val="33"/>
        </w:numPr>
        <w:rPr>
          <w:rFonts w:ascii="Arial" w:cs="Arial" w:eastAsia="Arial" w:hAnsi="Arial"/>
          <w:sz w:val="12"/>
          <w:szCs w:val="12"/>
          <w:color w:val="auto"/>
        </w:rPr>
      </w:pPr>
      <w:r>
        <w:rPr>
          <w:rFonts w:ascii="Arial" w:cs="Arial" w:eastAsia="Arial" w:hAnsi="Arial"/>
          <w:sz w:val="12"/>
          <w:szCs w:val="12"/>
          <w:color w:val="auto"/>
        </w:rPr>
        <w:t>the nature and materiality of the related person’s interest in the transaction;</w:t>
      </w:r>
    </w:p>
    <w:p>
      <w:pPr>
        <w:spacing w:after="0" w:line="78" w:lineRule="exact"/>
        <w:rPr>
          <w:rFonts w:ascii="Arial" w:cs="Arial" w:eastAsia="Arial" w:hAnsi="Arial"/>
          <w:sz w:val="12"/>
          <w:szCs w:val="12"/>
          <w:color w:val="auto"/>
        </w:rPr>
      </w:pPr>
    </w:p>
    <w:p>
      <w:pPr>
        <w:ind w:left="1380" w:hanging="294"/>
        <w:spacing w:after="0"/>
        <w:tabs>
          <w:tab w:leader="none" w:pos="1380" w:val="left"/>
        </w:tabs>
        <w:numPr>
          <w:ilvl w:val="0"/>
          <w:numId w:val="33"/>
        </w:numPr>
        <w:rPr>
          <w:rFonts w:ascii="Arial" w:cs="Arial" w:eastAsia="Arial" w:hAnsi="Arial"/>
          <w:sz w:val="12"/>
          <w:szCs w:val="12"/>
          <w:color w:val="auto"/>
        </w:rPr>
      </w:pPr>
      <w:r>
        <w:rPr>
          <w:rFonts w:ascii="Arial" w:cs="Arial" w:eastAsia="Arial" w:hAnsi="Arial"/>
          <w:sz w:val="12"/>
          <w:szCs w:val="12"/>
          <w:color w:val="auto"/>
        </w:rPr>
        <w:t>the commercial reasonableness of the terms of the transaction;</w:t>
      </w:r>
    </w:p>
    <w:p>
      <w:pPr>
        <w:spacing w:after="0" w:line="78" w:lineRule="exact"/>
        <w:rPr>
          <w:rFonts w:ascii="Arial" w:cs="Arial" w:eastAsia="Arial" w:hAnsi="Arial"/>
          <w:sz w:val="12"/>
          <w:szCs w:val="12"/>
          <w:color w:val="auto"/>
        </w:rPr>
      </w:pPr>
    </w:p>
    <w:p>
      <w:pPr>
        <w:ind w:left="1380" w:hanging="294"/>
        <w:spacing w:after="0"/>
        <w:tabs>
          <w:tab w:leader="none" w:pos="1380" w:val="left"/>
        </w:tabs>
        <w:numPr>
          <w:ilvl w:val="0"/>
          <w:numId w:val="33"/>
        </w:numPr>
        <w:rPr>
          <w:rFonts w:ascii="Arial" w:cs="Arial" w:eastAsia="Arial" w:hAnsi="Arial"/>
          <w:sz w:val="12"/>
          <w:szCs w:val="12"/>
          <w:color w:val="auto"/>
        </w:rPr>
      </w:pPr>
      <w:r>
        <w:rPr>
          <w:rFonts w:ascii="Arial" w:cs="Arial" w:eastAsia="Arial" w:hAnsi="Arial"/>
          <w:sz w:val="12"/>
          <w:szCs w:val="12"/>
          <w:color w:val="auto"/>
        </w:rPr>
        <w:t>the benefit or lack thereof to our company;</w:t>
      </w:r>
    </w:p>
    <w:p>
      <w:pPr>
        <w:spacing w:after="0" w:line="78" w:lineRule="exact"/>
        <w:rPr>
          <w:rFonts w:ascii="Arial" w:cs="Arial" w:eastAsia="Arial" w:hAnsi="Arial"/>
          <w:sz w:val="12"/>
          <w:szCs w:val="12"/>
          <w:color w:val="auto"/>
        </w:rPr>
      </w:pPr>
    </w:p>
    <w:p>
      <w:pPr>
        <w:ind w:left="1380" w:hanging="294"/>
        <w:spacing w:after="0"/>
        <w:tabs>
          <w:tab w:leader="none" w:pos="1380" w:val="left"/>
        </w:tabs>
        <w:numPr>
          <w:ilvl w:val="0"/>
          <w:numId w:val="33"/>
        </w:numPr>
        <w:rPr>
          <w:rFonts w:ascii="Arial" w:cs="Arial" w:eastAsia="Arial" w:hAnsi="Arial"/>
          <w:sz w:val="12"/>
          <w:szCs w:val="12"/>
          <w:color w:val="auto"/>
        </w:rPr>
      </w:pPr>
      <w:r>
        <w:rPr>
          <w:rFonts w:ascii="Arial" w:cs="Arial" w:eastAsia="Arial" w:hAnsi="Arial"/>
          <w:sz w:val="12"/>
          <w:szCs w:val="12"/>
          <w:color w:val="auto"/>
        </w:rPr>
        <w:t>the opportunity costs of alternate transactions;</w:t>
      </w:r>
    </w:p>
    <w:p>
      <w:pPr>
        <w:spacing w:after="0" w:line="78" w:lineRule="exact"/>
        <w:rPr>
          <w:rFonts w:ascii="Arial" w:cs="Arial" w:eastAsia="Arial" w:hAnsi="Arial"/>
          <w:sz w:val="12"/>
          <w:szCs w:val="12"/>
          <w:color w:val="auto"/>
        </w:rPr>
      </w:pPr>
    </w:p>
    <w:p>
      <w:pPr>
        <w:ind w:left="1380" w:hanging="294"/>
        <w:spacing w:after="0"/>
        <w:tabs>
          <w:tab w:leader="none" w:pos="1380" w:val="left"/>
        </w:tabs>
        <w:numPr>
          <w:ilvl w:val="0"/>
          <w:numId w:val="33"/>
        </w:numPr>
        <w:rPr>
          <w:rFonts w:ascii="Arial" w:cs="Arial" w:eastAsia="Arial" w:hAnsi="Arial"/>
          <w:sz w:val="12"/>
          <w:szCs w:val="12"/>
          <w:color w:val="auto"/>
        </w:rPr>
      </w:pPr>
      <w:r>
        <w:rPr>
          <w:rFonts w:ascii="Arial" w:cs="Arial" w:eastAsia="Arial" w:hAnsi="Arial"/>
          <w:sz w:val="12"/>
          <w:szCs w:val="12"/>
          <w:color w:val="auto"/>
        </w:rPr>
        <w:t>the actual or apparent conflict of interest of the related person; and</w:t>
      </w:r>
    </w:p>
    <w:p>
      <w:pPr>
        <w:spacing w:after="0" w:line="78" w:lineRule="exact"/>
        <w:rPr>
          <w:rFonts w:ascii="Arial" w:cs="Arial" w:eastAsia="Arial" w:hAnsi="Arial"/>
          <w:sz w:val="12"/>
          <w:szCs w:val="12"/>
          <w:color w:val="auto"/>
        </w:rPr>
      </w:pPr>
    </w:p>
    <w:p>
      <w:pPr>
        <w:ind w:left="1380" w:hanging="294"/>
        <w:spacing w:after="0"/>
        <w:tabs>
          <w:tab w:leader="none" w:pos="1380" w:val="left"/>
        </w:tabs>
        <w:numPr>
          <w:ilvl w:val="0"/>
          <w:numId w:val="33"/>
        </w:numPr>
        <w:rPr>
          <w:rFonts w:ascii="Arial" w:cs="Arial" w:eastAsia="Arial" w:hAnsi="Arial"/>
          <w:sz w:val="12"/>
          <w:szCs w:val="12"/>
          <w:color w:val="auto"/>
        </w:rPr>
      </w:pPr>
      <w:r>
        <w:rPr>
          <w:rFonts w:ascii="Arial" w:cs="Arial" w:eastAsia="Arial" w:hAnsi="Arial"/>
          <w:sz w:val="12"/>
          <w:szCs w:val="12"/>
          <w:color w:val="auto"/>
        </w:rPr>
        <w:t>any other matters the body deems appropriate.</w:t>
      </w:r>
    </w:p>
    <w:p>
      <w:pPr>
        <w:spacing w:after="0" w:line="87" w:lineRule="exact"/>
        <w:rPr>
          <w:sz w:val="20"/>
          <w:szCs w:val="20"/>
          <w:color w:val="auto"/>
        </w:rPr>
      </w:pPr>
    </w:p>
    <w:p>
      <w:pPr>
        <w:ind w:left="680" w:right="640" w:firstLine="400"/>
        <w:spacing w:after="0" w:line="263" w:lineRule="auto"/>
        <w:rPr>
          <w:sz w:val="20"/>
          <w:szCs w:val="20"/>
          <w:color w:val="auto"/>
        </w:rPr>
      </w:pPr>
      <w:r>
        <w:rPr>
          <w:rFonts w:ascii="Arial" w:cs="Arial" w:eastAsia="Arial" w:hAnsi="Arial"/>
          <w:sz w:val="12"/>
          <w:szCs w:val="12"/>
          <w:color w:val="auto"/>
        </w:rPr>
        <w:t>After such review, the reviewing body approves or ratifies the transaction only if it determines that the transaction is in, or not inconsistent with, the best interests of our company and our shareholders. Our related party transaction policy is set forth in our code of ethics and business conduct, which is posted under the “Governance” section of our website at www.cmcsa.com or www.cmcsk.com.</w:t>
      </w:r>
    </w:p>
    <w:p>
      <w:pPr>
        <w:spacing w:after="0" w:line="60" w:lineRule="exact"/>
        <w:rPr>
          <w:sz w:val="20"/>
          <w:szCs w:val="20"/>
          <w:color w:val="auto"/>
        </w:rPr>
      </w:pPr>
    </w:p>
    <w:p>
      <w:pPr>
        <w:ind w:left="680" w:firstLine="400"/>
        <w:spacing w:after="0" w:line="255" w:lineRule="auto"/>
        <w:rPr>
          <w:sz w:val="20"/>
          <w:szCs w:val="20"/>
          <w:color w:val="auto"/>
        </w:rPr>
      </w:pPr>
      <w:r>
        <w:rPr>
          <w:rFonts w:ascii="Arial" w:cs="Arial" w:eastAsia="Arial" w:hAnsi="Arial"/>
          <w:sz w:val="12"/>
          <w:szCs w:val="12"/>
          <w:color w:val="auto"/>
        </w:rPr>
        <w:t>Mr. Ralph J. Roberts, one of our directors, is our Founder, Chairman Emeritus of the Board and an employee. From January 1, 2009 through March 31, 2010, although Mr. Roberts only received $1 as a salary and did not receive any bonus from us, he received a total of approximately $26,188,000 in compensation (which primarily includes the reimbursement of premiums on split-dollar life insurance policies, the aggregate amount of payments to cover certain tax liabilities, the dollar value of incremental compensation in connection with equity-based awards and the dollar value of interest earned on compensation previously deferred under our deferred compensation plans, calculated in the same manner as set forth in footnote 6 to the “Summary Compensation Table for 2009” beginning on page 40). He participates in our retirement, health and welfare benefit plans on the same basis as other similarly situated employees. In addition, if his employment terminates under specified circumstances, he will receive specified payments and benefits pursuant to his employment agreement.</w:t>
      </w:r>
    </w:p>
    <w:p>
      <w:pPr>
        <w:spacing w:after="0" w:line="66" w:lineRule="exact"/>
        <w:rPr>
          <w:sz w:val="20"/>
          <w:szCs w:val="20"/>
          <w:color w:val="auto"/>
        </w:rPr>
      </w:pPr>
    </w:p>
    <w:p>
      <w:pPr>
        <w:ind w:left="680" w:right="60" w:firstLine="400"/>
        <w:spacing w:after="0" w:line="257" w:lineRule="auto"/>
        <w:rPr>
          <w:sz w:val="20"/>
          <w:szCs w:val="20"/>
          <w:color w:val="auto"/>
        </w:rPr>
      </w:pPr>
      <w:r>
        <w:rPr>
          <w:rFonts w:ascii="Arial" w:cs="Arial" w:eastAsia="Arial" w:hAnsi="Arial"/>
          <w:sz w:val="12"/>
          <w:szCs w:val="12"/>
          <w:color w:val="auto"/>
        </w:rPr>
        <w:t>Mr. Brodsky, one of our directors, is our non-executive Vice Chairman and an employee. From January 1, 2009 through March 31, 2010, Mr. Brodsky received a total of approximately $6,731,000 in compensation (which primarily includes the dollar value of interest earned on compensation deferred under our deferred compensation plans, calculated in the same manner as set forth in footnote 6 to the “Summary Compensation Table for 2009” beginning on page 40). He participates in our retirement, health and welfare benefit plans on the same basis as other similarly situated employees. In addition, if his employment terminates under specified circumstances, he will receive specified payments and benefits pursuant to his employment agreement. Debra G. Brodsky, a daughter of Mr. Brodsky, is one of our employees. From January 1, 2009 through March 31,</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97790</wp:posOffset>
            </wp:positionV>
            <wp:extent cx="7299325" cy="184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660"/>
          </w:cols>
          <w:pgMar w:left="220" w:top="327" w:right="1019" w:bottom="1440" w:gutter="0" w:footer="0" w:header="0"/>
        </w:sectPr>
      </w:pPr>
    </w:p>
    <w:bookmarkStart w:id="63" w:name="page64"/>
    <w:bookmarkEnd w:id="63"/>
    <w:p>
      <w:pPr>
        <w:spacing w:after="0"/>
        <w:rPr>
          <w:rFonts w:ascii="Arial" w:cs="Arial" w:eastAsia="Arial" w:hAnsi="Arial"/>
          <w:sz w:val="12"/>
          <w:szCs w:val="12"/>
          <w:b w:val="1"/>
          <w:bCs w:val="1"/>
          <w:u w:val="single" w:color="auto"/>
          <w:color w:val="0000EE"/>
        </w:rPr>
      </w:pP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680" w:right="40"/>
        <w:spacing w:after="0" w:line="276" w:lineRule="auto"/>
        <w:rPr>
          <w:sz w:val="20"/>
          <w:szCs w:val="20"/>
          <w:color w:val="auto"/>
        </w:rPr>
      </w:pPr>
      <w:r>
        <w:rPr>
          <w:rFonts w:ascii="Arial" w:cs="Arial" w:eastAsia="Arial" w:hAnsi="Arial"/>
          <w:sz w:val="12"/>
          <w:szCs w:val="12"/>
          <w:color w:val="auto"/>
        </w:rPr>
        <w:t>2010, she received approximately $369,000 in compensation. She also participates in our retirement, health and welfare benefit plans on the same basis as other similarly situated employees. Mr. Brodsky has no supervisory authority over Ms. Brodsky and has no role in setting her compensation.</w:t>
      </w:r>
    </w:p>
    <w:p>
      <w:pPr>
        <w:spacing w:after="0" w:line="52" w:lineRule="exact"/>
        <w:rPr>
          <w:sz w:val="20"/>
          <w:szCs w:val="20"/>
          <w:color w:val="auto"/>
        </w:rPr>
      </w:pPr>
    </w:p>
    <w:p>
      <w:pPr>
        <w:ind w:left="680" w:firstLine="400"/>
        <w:spacing w:after="0" w:line="290" w:lineRule="auto"/>
        <w:rPr>
          <w:sz w:val="20"/>
          <w:szCs w:val="20"/>
          <w:color w:val="auto"/>
        </w:rPr>
      </w:pPr>
      <w:r>
        <w:rPr>
          <w:rFonts w:ascii="Arial" w:cs="Arial" w:eastAsia="Arial" w:hAnsi="Arial"/>
          <w:sz w:val="11"/>
          <w:szCs w:val="11"/>
          <w:color w:val="auto"/>
        </w:rPr>
        <w:t>Mr. Hassell, one of our directors, is President of BNYM. BNYM participates in syndicated loans made to us. These loans were made in the ordinary course of business, were made on substantially the same terms, including interest rates and collateral, as those prevailing at the time for comparable loans with persons not related to BNYM and did not involve more than the normal risk of collectability or present other unfavorable features. In addition, we entered into a contract with BNYM in 2009, pursuant to which we paid fees to BNYM for subscriber refund and escheatment processing of approximately $1,645,000. Mr. Hassell was not directly involved in the negotiation of these transactions, and he is not involved in any aspect of any commercial relationship between us and BNYM.</w:t>
      </w:r>
    </w:p>
    <w:p>
      <w:pPr>
        <w:spacing w:after="0" w:line="186" w:lineRule="exact"/>
        <w:rPr>
          <w:sz w:val="20"/>
          <w:szCs w:val="20"/>
          <w:color w:val="auto"/>
        </w:rPr>
      </w:pPr>
    </w:p>
    <w:p>
      <w:pPr>
        <w:jc w:val="center"/>
        <w:ind w:right="-679"/>
        <w:spacing w:after="0"/>
        <w:rPr>
          <w:sz w:val="20"/>
          <w:szCs w:val="20"/>
          <w:color w:val="auto"/>
        </w:rPr>
      </w:pPr>
      <w:r>
        <w:rPr>
          <w:rFonts w:ascii="Arial" w:cs="Arial" w:eastAsia="Arial" w:hAnsi="Arial"/>
          <w:sz w:val="12"/>
          <w:szCs w:val="12"/>
          <w:b w:val="1"/>
          <w:bCs w:val="1"/>
          <w:color w:val="auto"/>
        </w:rPr>
        <w:t>SHAREHOLDER PROPOSALS FOR NEXT YEAR</w:t>
      </w:r>
    </w:p>
    <w:p>
      <w:pPr>
        <w:spacing w:after="0" w:line="91" w:lineRule="exact"/>
        <w:rPr>
          <w:sz w:val="20"/>
          <w:szCs w:val="20"/>
          <w:color w:val="auto"/>
        </w:rPr>
      </w:pPr>
    </w:p>
    <w:p>
      <w:pPr>
        <w:ind w:left="680" w:right="60" w:firstLine="400"/>
        <w:spacing w:after="0" w:line="298" w:lineRule="auto"/>
        <w:rPr>
          <w:sz w:val="20"/>
          <w:szCs w:val="20"/>
          <w:color w:val="auto"/>
        </w:rPr>
      </w:pPr>
      <w:r>
        <w:rPr>
          <w:rFonts w:ascii="Arial" w:cs="Arial" w:eastAsia="Arial" w:hAnsi="Arial"/>
          <w:sz w:val="11"/>
          <w:szCs w:val="11"/>
          <w:color w:val="auto"/>
        </w:rPr>
        <w:t>Any shareholder proposals intended to be presented at our 2011 annual meeting of shareholders and considered for inclusion in our proxy materials must be received by December 10, 2010 and must comply with the procedures of Rule 14a-8 under the Exchange Act. Shareholder proposals failing to comply with the procedures of Rule 14a-8 under the Exchange Act will be excluded. If the date of our 2011 annual meeting is more than 30 days from May 20, 2011, we may publicly announce a different submission deadline from that set forth above, in compliance with the rules of the SEC.</w:t>
      </w:r>
    </w:p>
    <w:p>
      <w:pPr>
        <w:spacing w:after="0" w:line="42" w:lineRule="exact"/>
        <w:rPr>
          <w:sz w:val="20"/>
          <w:szCs w:val="20"/>
          <w:color w:val="auto"/>
        </w:rPr>
      </w:pPr>
    </w:p>
    <w:p>
      <w:pPr>
        <w:ind w:left="680" w:right="80" w:firstLine="400"/>
        <w:spacing w:after="0" w:line="255" w:lineRule="auto"/>
        <w:rPr>
          <w:sz w:val="20"/>
          <w:szCs w:val="20"/>
          <w:color w:val="auto"/>
        </w:rPr>
      </w:pPr>
      <w:r>
        <w:rPr>
          <w:rFonts w:ascii="Arial" w:cs="Arial" w:eastAsia="Arial" w:hAnsi="Arial"/>
          <w:sz w:val="12"/>
          <w:szCs w:val="12"/>
          <w:color w:val="auto"/>
        </w:rPr>
        <w:t>Any shareholder proposals (other than those proposals seeking to nominate directors) that are intended to be presented at the annual meeting of shareholders in 2011 and not included in our proxy materials must comply with the advance notice provision in Section 2.09 of our by-laws. If we call the 2011 annual meeting of shareholders for a date between April 20, 2011 and June 19, 2011, we must receive notice of the proposal on or after February 19, 2011 and on or before March 21, 2011. If we call the 2011 annual meeting of shareholders for any other date, we must receive notice of the proposal by the close of business on the tenth day following the day we mailed notice of, or announced publicly, the date of the meeting, whichever occurs first. If notice is not received by March 21, 2011 (or the tenth day following the day we mail notice of, or announce publicly, the date of our 2011 annual meeting of shareholders, if such meeting is not called for a date between April 20, 2011 and June 19, 2011), the shareholder proposals will be deemed “untimely.”</w:t>
      </w:r>
    </w:p>
    <w:p>
      <w:pPr>
        <w:spacing w:after="0" w:line="6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Shareholders who wish to nominate directors for election must comply with the procedures described under “About our Board and its Committees” beginning on page 11.</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All shareholder proposals should be directed to Arthur R. Block, Secretary, Comcast Corporation, at our address listed on page 3.</w:t>
      </w:r>
    </w:p>
    <w:p>
      <w:pPr>
        <w:spacing w:after="0" w:line="227" w:lineRule="exact"/>
        <w:rPr>
          <w:sz w:val="20"/>
          <w:szCs w:val="20"/>
          <w:color w:val="auto"/>
        </w:rPr>
      </w:pPr>
    </w:p>
    <w:p>
      <w:pPr>
        <w:jc w:val="center"/>
        <w:ind w:right="-679"/>
        <w:spacing w:after="0"/>
        <w:rPr>
          <w:sz w:val="20"/>
          <w:szCs w:val="20"/>
          <w:color w:val="auto"/>
        </w:rPr>
      </w:pPr>
      <w:r>
        <w:rPr>
          <w:rFonts w:ascii="Arial" w:cs="Arial" w:eastAsia="Arial" w:hAnsi="Arial"/>
          <w:sz w:val="12"/>
          <w:szCs w:val="12"/>
          <w:b w:val="1"/>
          <w:bCs w:val="1"/>
          <w:color w:val="auto"/>
        </w:rPr>
        <w:t>SOLICITATION OF PROXIES</w:t>
      </w:r>
    </w:p>
    <w:p>
      <w:pPr>
        <w:spacing w:after="0" w:line="91" w:lineRule="exact"/>
        <w:rPr>
          <w:sz w:val="20"/>
          <w:szCs w:val="20"/>
          <w:color w:val="auto"/>
        </w:rPr>
      </w:pPr>
    </w:p>
    <w:p>
      <w:pPr>
        <w:ind w:left="680" w:firstLine="400"/>
        <w:spacing w:after="0" w:line="257" w:lineRule="auto"/>
        <w:rPr>
          <w:sz w:val="20"/>
          <w:szCs w:val="20"/>
          <w:color w:val="auto"/>
        </w:rPr>
      </w:pPr>
      <w:r>
        <w:rPr>
          <w:rFonts w:ascii="Arial" w:cs="Arial" w:eastAsia="Arial" w:hAnsi="Arial"/>
          <w:sz w:val="12"/>
          <w:szCs w:val="12"/>
          <w:color w:val="auto"/>
        </w:rPr>
        <w:t>We pay the cost of this proxy solicitation. Pursuant to SEC rules, we are making this proxy statement and our Annual Report on Form 10-K available to our shareholders electronically via the Internet. In addition to soliciting proxies by Internet and mail, we expect that a number of our employees will solicit shareholders personally and by telephone. None of these employees will receive any additional or special compensation for doing this. We have retained D.F. King &amp; Co., Inc. to assist in the solicitation of proxies for aggregate fees of approximately $23,500 plus reasonable out-of-pocket costs and expenses. We will, on request, reimburse banks, brokerage firms and other nominees for their expenses in sending proxy materials to their customers who are beneficial owners of our common stock and obtaining their voting instructions.</w:t>
      </w:r>
    </w:p>
    <w:p>
      <w:pPr>
        <w:spacing w:after="0" w:line="297"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97790</wp:posOffset>
            </wp:positionV>
            <wp:extent cx="7299325" cy="184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660"/>
          </w:cols>
          <w:pgMar w:left="220" w:top="327" w:right="1019" w:bottom="1440" w:gutter="0" w:footer="0" w:header="0"/>
        </w:sectPr>
      </w:pPr>
    </w:p>
    <w:bookmarkStart w:id="64" w:name="page65"/>
    <w:bookmarkEnd w:id="64"/>
    <w:p>
      <w:pPr>
        <w:spacing w:after="0"/>
        <w:rPr>
          <w:rFonts w:ascii="Arial" w:cs="Arial" w:eastAsia="Arial" w:hAnsi="Arial"/>
          <w:sz w:val="12"/>
          <w:szCs w:val="12"/>
          <w:b w:val="1"/>
          <w:bCs w:val="1"/>
          <w:u w:val="single" w:color="auto"/>
          <w:color w:val="0000EE"/>
        </w:rPr>
      </w:pPr>
      <w:hyperlink w:anchor="page4">
        <w:r>
          <w:rPr>
            <w:rFonts w:ascii="Arial" w:cs="Arial" w:eastAsia="Arial" w:hAnsi="Arial"/>
            <w:sz w:val="12"/>
            <w:szCs w:val="12"/>
            <w:b w:val="1"/>
            <w:bCs w:val="1"/>
            <w:u w:val="single" w:color="auto"/>
            <w:color w:val="0000EE"/>
          </w:rPr>
          <w:t>Table of Contents</w:t>
        </w:r>
      </w:hyperlink>
    </w:p>
    <w:p>
      <w:pPr>
        <w:spacing w:after="0" w:line="229" w:lineRule="exact"/>
        <w:rPr>
          <w:sz w:val="20"/>
          <w:szCs w:val="20"/>
          <w:color w:val="auto"/>
        </w:rPr>
      </w:pPr>
    </w:p>
    <w:p>
      <w:pPr>
        <w:jc w:val="center"/>
        <w:ind w:right="-679"/>
        <w:spacing w:after="0"/>
        <w:rPr>
          <w:sz w:val="20"/>
          <w:szCs w:val="20"/>
          <w:color w:val="auto"/>
        </w:rPr>
      </w:pPr>
      <w:r>
        <w:rPr>
          <w:rFonts w:ascii="Arial" w:cs="Arial" w:eastAsia="Arial" w:hAnsi="Arial"/>
          <w:sz w:val="12"/>
          <w:szCs w:val="12"/>
          <w:b w:val="1"/>
          <w:bCs w:val="1"/>
          <w:color w:val="auto"/>
        </w:rPr>
        <w:t>ELECTRONIC ACCESS TO PROXY MATERIALS AND ANNUAL REPORT ON FORM 10-K</w:t>
      </w:r>
    </w:p>
    <w:p>
      <w:pPr>
        <w:spacing w:after="0" w:line="91" w:lineRule="exact"/>
        <w:rPr>
          <w:sz w:val="20"/>
          <w:szCs w:val="20"/>
          <w:color w:val="auto"/>
        </w:rPr>
      </w:pPr>
    </w:p>
    <w:p>
      <w:pPr>
        <w:ind w:left="680" w:right="220" w:firstLine="400"/>
        <w:spacing w:after="0" w:line="259" w:lineRule="auto"/>
        <w:rPr>
          <w:sz w:val="20"/>
          <w:szCs w:val="20"/>
          <w:color w:val="auto"/>
        </w:rPr>
      </w:pPr>
      <w:r>
        <w:rPr>
          <w:rFonts w:ascii="Arial" w:cs="Arial" w:eastAsia="Arial" w:hAnsi="Arial"/>
          <w:sz w:val="12"/>
          <w:szCs w:val="12"/>
          <w:color w:val="auto"/>
        </w:rPr>
        <w:t>Shareholders can access this proxy statement and our Annual Report on Form 10-K via the Internet at www.proxyvote.com by following the instructions outlined on the secure website. For future annual meetings of shareholders, shareholders can consent to accessing their proxy materials, including the Notice of Internet Availability of Proxy Materials, the proxy statement and the annual report, electronically in lieu of receiving them by mail. To receive materials electronically, you will need access to a computer and an e-mail account. You will have the opportunity to revoke your request for electronic delivery at any time without charge.</w:t>
      </w:r>
    </w:p>
    <w:p>
      <w:pPr>
        <w:spacing w:after="0" w:line="62" w:lineRule="exact"/>
        <w:rPr>
          <w:sz w:val="20"/>
          <w:szCs w:val="20"/>
          <w:color w:val="auto"/>
        </w:rPr>
      </w:pPr>
    </w:p>
    <w:p>
      <w:pPr>
        <w:ind w:left="680" w:right="40" w:firstLine="400"/>
        <w:spacing w:after="0" w:line="263" w:lineRule="auto"/>
        <w:rPr>
          <w:sz w:val="20"/>
          <w:szCs w:val="20"/>
          <w:color w:val="auto"/>
        </w:rPr>
      </w:pPr>
      <w:r>
        <w:rPr>
          <w:rFonts w:ascii="Arial" w:cs="Arial" w:eastAsia="Arial" w:hAnsi="Arial"/>
          <w:sz w:val="12"/>
          <w:szCs w:val="12"/>
          <w:color w:val="auto"/>
        </w:rPr>
        <w:t>If you are a registered shareholder and you have not already done so, you can choose this electronic delivery option by following the instructions provided when voting via the Internet and provided on the proxy card. Your choice will remain in effect unless you revoke it by contacting our transfer agent, Computershare, at 1-888-883-8903 or P.O. Box 43091, Providence, RI 02940-3091. You may update your electronic address by contacting Computershare.</w:t>
      </w:r>
    </w:p>
    <w:p>
      <w:pPr>
        <w:spacing w:after="0" w:line="60" w:lineRule="exact"/>
        <w:rPr>
          <w:sz w:val="20"/>
          <w:szCs w:val="20"/>
          <w:color w:val="auto"/>
        </w:rPr>
      </w:pPr>
    </w:p>
    <w:p>
      <w:pPr>
        <w:jc w:val="both"/>
        <w:ind w:left="680" w:firstLine="400"/>
        <w:spacing w:after="0" w:line="380" w:lineRule="auto"/>
        <w:rPr>
          <w:sz w:val="20"/>
          <w:szCs w:val="20"/>
          <w:color w:val="auto"/>
        </w:rPr>
      </w:pPr>
      <w:r>
        <w:rPr>
          <w:rFonts w:ascii="Arial" w:cs="Arial" w:eastAsia="Arial" w:hAnsi="Arial"/>
          <w:sz w:val="10"/>
          <w:szCs w:val="10"/>
          <w:color w:val="auto"/>
        </w:rPr>
        <w:t>If you hold your shares through a bank, brokerage firm or other nominee and you have not already done so, you can choose this electronic delivery option by contacting your nominee or by following the instructions provided when voting via the Internet. Your choice will remain in effect unless you revoke it by contacting your nominee. You may update your electronic address by contacting your nominee.</w:t>
      </w:r>
    </w:p>
    <w:p>
      <w:pPr>
        <w:spacing w:after="0" w:line="145" w:lineRule="exact"/>
        <w:rPr>
          <w:sz w:val="20"/>
          <w:szCs w:val="20"/>
          <w:color w:val="auto"/>
        </w:rPr>
      </w:pPr>
    </w:p>
    <w:p>
      <w:pPr>
        <w:jc w:val="center"/>
        <w:ind w:right="-679"/>
        <w:spacing w:after="0"/>
        <w:rPr>
          <w:sz w:val="20"/>
          <w:szCs w:val="20"/>
          <w:color w:val="auto"/>
        </w:rPr>
      </w:pPr>
      <w:r>
        <w:rPr>
          <w:rFonts w:ascii="Arial" w:cs="Arial" w:eastAsia="Arial" w:hAnsi="Arial"/>
          <w:sz w:val="12"/>
          <w:szCs w:val="12"/>
          <w:b w:val="1"/>
          <w:bCs w:val="1"/>
          <w:color w:val="auto"/>
        </w:rPr>
        <w:t>IMPORTANT NOTICE REGARDING DELIVERY OF SHAREHOLDER DOCUMENTS</w:t>
      </w:r>
    </w:p>
    <w:p>
      <w:pPr>
        <w:spacing w:after="0" w:line="91" w:lineRule="exact"/>
        <w:rPr>
          <w:sz w:val="20"/>
          <w:szCs w:val="20"/>
          <w:color w:val="auto"/>
        </w:rPr>
      </w:pPr>
    </w:p>
    <w:p>
      <w:pPr>
        <w:ind w:left="680" w:right="240" w:firstLine="400"/>
        <w:spacing w:after="0" w:line="276" w:lineRule="auto"/>
        <w:rPr>
          <w:sz w:val="20"/>
          <w:szCs w:val="20"/>
          <w:color w:val="auto"/>
        </w:rPr>
      </w:pPr>
      <w:r>
        <w:rPr>
          <w:rFonts w:ascii="Arial" w:cs="Arial" w:eastAsia="Arial" w:hAnsi="Arial"/>
          <w:sz w:val="12"/>
          <w:szCs w:val="12"/>
          <w:color w:val="auto"/>
        </w:rPr>
        <w:t>Under SEC rules, delivery of each Notice of Internet Availability of Proxy Materials or a single proxy statement and annual report, as applicable, in a single envelope to two or more shareholders sharing the same mailing address is permitted, under certain conditions. This procedure, called “householding,” is available if all of the following criteria are met:</w:t>
      </w:r>
    </w:p>
    <w:p>
      <w:pPr>
        <w:spacing w:after="0" w:line="52" w:lineRule="exact"/>
        <w:rPr>
          <w:sz w:val="20"/>
          <w:szCs w:val="20"/>
          <w:color w:val="auto"/>
        </w:rPr>
      </w:pPr>
    </w:p>
    <w:p>
      <w:pPr>
        <w:ind w:left="1380" w:hanging="294"/>
        <w:spacing w:after="0"/>
        <w:tabs>
          <w:tab w:leader="none" w:pos="1380" w:val="left"/>
        </w:tabs>
        <w:numPr>
          <w:ilvl w:val="0"/>
          <w:numId w:val="34"/>
        </w:numPr>
        <w:rPr>
          <w:rFonts w:ascii="Arial" w:cs="Arial" w:eastAsia="Arial" w:hAnsi="Arial"/>
          <w:sz w:val="12"/>
          <w:szCs w:val="12"/>
          <w:color w:val="auto"/>
        </w:rPr>
      </w:pPr>
      <w:r>
        <w:rPr>
          <w:rFonts w:ascii="Arial" w:cs="Arial" w:eastAsia="Arial" w:hAnsi="Arial"/>
          <w:sz w:val="12"/>
          <w:szCs w:val="12"/>
          <w:color w:val="auto"/>
        </w:rPr>
        <w:t>you have the same address as other shareholders registered on our books;</w:t>
      </w:r>
    </w:p>
    <w:p>
      <w:pPr>
        <w:spacing w:after="0" w:line="78" w:lineRule="exact"/>
        <w:rPr>
          <w:rFonts w:ascii="Arial" w:cs="Arial" w:eastAsia="Arial" w:hAnsi="Arial"/>
          <w:sz w:val="12"/>
          <w:szCs w:val="12"/>
          <w:color w:val="auto"/>
        </w:rPr>
      </w:pPr>
    </w:p>
    <w:p>
      <w:pPr>
        <w:ind w:left="1380" w:hanging="294"/>
        <w:spacing w:after="0"/>
        <w:tabs>
          <w:tab w:leader="none" w:pos="1380" w:val="left"/>
        </w:tabs>
        <w:numPr>
          <w:ilvl w:val="0"/>
          <w:numId w:val="34"/>
        </w:numPr>
        <w:rPr>
          <w:rFonts w:ascii="Arial" w:cs="Arial" w:eastAsia="Arial" w:hAnsi="Arial"/>
          <w:sz w:val="12"/>
          <w:szCs w:val="12"/>
          <w:color w:val="auto"/>
        </w:rPr>
      </w:pPr>
      <w:r>
        <w:rPr>
          <w:rFonts w:ascii="Arial" w:cs="Arial" w:eastAsia="Arial" w:hAnsi="Arial"/>
          <w:sz w:val="12"/>
          <w:szCs w:val="12"/>
          <w:color w:val="auto"/>
        </w:rPr>
        <w:t>you have the same last name as the other shareholders; and</w:t>
      </w:r>
    </w:p>
    <w:p>
      <w:pPr>
        <w:spacing w:after="0" w:line="78" w:lineRule="exact"/>
        <w:rPr>
          <w:rFonts w:ascii="Arial" w:cs="Arial" w:eastAsia="Arial" w:hAnsi="Arial"/>
          <w:sz w:val="12"/>
          <w:szCs w:val="12"/>
          <w:color w:val="auto"/>
        </w:rPr>
      </w:pPr>
    </w:p>
    <w:p>
      <w:pPr>
        <w:ind w:left="1380" w:hanging="294"/>
        <w:spacing w:after="0"/>
        <w:tabs>
          <w:tab w:leader="none" w:pos="1380" w:val="left"/>
        </w:tabs>
        <w:numPr>
          <w:ilvl w:val="0"/>
          <w:numId w:val="34"/>
        </w:numPr>
        <w:rPr>
          <w:rFonts w:ascii="Arial" w:cs="Arial" w:eastAsia="Arial" w:hAnsi="Arial"/>
          <w:sz w:val="12"/>
          <w:szCs w:val="12"/>
          <w:color w:val="auto"/>
        </w:rPr>
      </w:pPr>
      <w:r>
        <w:rPr>
          <w:rFonts w:ascii="Arial" w:cs="Arial" w:eastAsia="Arial" w:hAnsi="Arial"/>
          <w:sz w:val="12"/>
          <w:szCs w:val="12"/>
          <w:color w:val="auto"/>
        </w:rPr>
        <w:t>your address is a residential address or post office box.</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If you meet this criteria, you are eligible for householding and the following terms apply. If you are not eligible, please disregard this notice.</w:t>
      </w:r>
    </w:p>
    <w:p>
      <w:pPr>
        <w:spacing w:after="0" w:line="83" w:lineRule="exact"/>
        <w:rPr>
          <w:sz w:val="20"/>
          <w:szCs w:val="20"/>
          <w:color w:val="auto"/>
        </w:rPr>
      </w:pPr>
    </w:p>
    <w:p>
      <w:pPr>
        <w:ind w:left="1080"/>
        <w:spacing w:after="0"/>
        <w:rPr>
          <w:sz w:val="20"/>
          <w:szCs w:val="20"/>
          <w:color w:val="auto"/>
        </w:rPr>
      </w:pPr>
      <w:r>
        <w:rPr>
          <w:rFonts w:ascii="Arial" w:cs="Arial" w:eastAsia="Arial" w:hAnsi="Arial"/>
          <w:sz w:val="12"/>
          <w:szCs w:val="12"/>
          <w:b w:val="1"/>
          <w:bCs w:val="1"/>
          <w:color w:val="auto"/>
        </w:rPr>
        <w:t>If I am a registered shareholder, what do I need to do to receive just one set of annual disclosure materials?</w:t>
      </w:r>
    </w:p>
    <w:p>
      <w:pPr>
        <w:spacing w:after="0" w:line="91" w:lineRule="exact"/>
        <w:rPr>
          <w:sz w:val="20"/>
          <w:szCs w:val="20"/>
          <w:color w:val="auto"/>
        </w:rPr>
      </w:pPr>
    </w:p>
    <w:p>
      <w:pPr>
        <w:ind w:left="680" w:right="20" w:firstLine="400"/>
        <w:spacing w:after="0" w:line="263" w:lineRule="auto"/>
        <w:rPr>
          <w:sz w:val="20"/>
          <w:szCs w:val="20"/>
          <w:color w:val="auto"/>
        </w:rPr>
      </w:pPr>
      <w:r>
        <w:rPr>
          <w:rFonts w:ascii="Arial" w:cs="Arial" w:eastAsia="Arial" w:hAnsi="Arial"/>
          <w:sz w:val="12"/>
          <w:szCs w:val="12"/>
          <w:color w:val="auto"/>
        </w:rPr>
        <w:t>Notify our transfer agent, Computershare, at 1-888-883-8903 or P.O. Box 43091, Providence, RI 02940-3091 to give your consent to householding. This consent is considered perpetual, which means you will continue to receive a single envelope containing each Notice of Internet Availability of Proxy Materials for the household or a single proxy statement and annual report, as applicable, in the future unless you notify Computershare otherwise.</w:t>
      </w:r>
    </w:p>
    <w:p>
      <w:pPr>
        <w:spacing w:after="0" w:line="56" w:lineRule="exact"/>
        <w:rPr>
          <w:sz w:val="20"/>
          <w:szCs w:val="20"/>
          <w:color w:val="auto"/>
        </w:rPr>
      </w:pPr>
    </w:p>
    <w:p>
      <w:pPr>
        <w:ind w:left="1080"/>
        <w:spacing w:after="0"/>
        <w:rPr>
          <w:sz w:val="20"/>
          <w:szCs w:val="20"/>
          <w:color w:val="auto"/>
        </w:rPr>
      </w:pPr>
      <w:r>
        <w:rPr>
          <w:rFonts w:ascii="Arial" w:cs="Arial" w:eastAsia="Arial" w:hAnsi="Arial"/>
          <w:sz w:val="12"/>
          <w:szCs w:val="12"/>
          <w:b w:val="1"/>
          <w:bCs w:val="1"/>
          <w:color w:val="auto"/>
        </w:rPr>
        <w:t>If I am a registered shareholder, what if I consent to have one set of materials mailed now, but change my mind later?</w:t>
      </w:r>
    </w:p>
    <w:p>
      <w:pPr>
        <w:spacing w:after="0" w:line="91" w:lineRule="exact"/>
        <w:rPr>
          <w:sz w:val="20"/>
          <w:szCs w:val="20"/>
          <w:color w:val="auto"/>
        </w:rPr>
      </w:pPr>
    </w:p>
    <w:p>
      <w:pPr>
        <w:ind w:left="680" w:firstLine="400"/>
        <w:spacing w:after="0" w:line="276" w:lineRule="auto"/>
        <w:rPr>
          <w:sz w:val="20"/>
          <w:szCs w:val="20"/>
          <w:color w:val="auto"/>
        </w:rPr>
      </w:pPr>
      <w:r>
        <w:rPr>
          <w:rFonts w:ascii="Arial" w:cs="Arial" w:eastAsia="Arial" w:hAnsi="Arial"/>
          <w:sz w:val="12"/>
          <w:szCs w:val="12"/>
          <w:color w:val="auto"/>
        </w:rPr>
        <w:t>Notify Computershare at 1-888-883-8903 or P.O. Box 43091, Providence, RI 02940-3091 to turn off the householding instructions for you. You will then be sent your Notice of Internet Availability of Proxy Materials in its own envelope or a separate proxy statement and annual report, as applicable, within 30 days of receipt of your instruction.</w:t>
      </w:r>
    </w:p>
    <w:p>
      <w:pPr>
        <w:spacing w:after="0" w:line="48" w:lineRule="exact"/>
        <w:rPr>
          <w:sz w:val="20"/>
          <w:szCs w:val="20"/>
          <w:color w:val="auto"/>
        </w:rPr>
      </w:pPr>
    </w:p>
    <w:p>
      <w:pPr>
        <w:ind w:left="1080" w:right="860"/>
        <w:spacing w:after="0" w:line="485" w:lineRule="auto"/>
        <w:rPr>
          <w:sz w:val="20"/>
          <w:szCs w:val="20"/>
          <w:color w:val="auto"/>
        </w:rPr>
      </w:pPr>
      <w:r>
        <w:rPr>
          <w:rFonts w:ascii="Arial" w:cs="Arial" w:eastAsia="Arial" w:hAnsi="Arial"/>
          <w:sz w:val="11"/>
          <w:szCs w:val="11"/>
          <w:b w:val="1"/>
          <w:bCs w:val="1"/>
          <w:color w:val="auto"/>
        </w:rPr>
        <w:t xml:space="preserve">The reason I receive multiple sets of materials is because some of the stock belongs to my children. What happens when they move out and no longer live in my household? </w:t>
      </w:r>
      <w:r>
        <w:rPr>
          <w:rFonts w:ascii="Arial" w:cs="Arial" w:eastAsia="Arial" w:hAnsi="Arial"/>
          <w:sz w:val="11"/>
          <w:szCs w:val="11"/>
          <w:color w:val="auto"/>
        </w:rPr>
        <w:t>When there is an address change for one of the members of the household, materials will be sent directly to the shareholder at his or her new address.</w:t>
      </w:r>
    </w:p>
    <w:p>
      <w:pPr>
        <w:spacing w:after="0" w:line="132"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97790</wp:posOffset>
            </wp:positionV>
            <wp:extent cx="7299325" cy="184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660"/>
          </w:cols>
          <w:pgMar w:left="220" w:top="327" w:right="1019" w:bottom="1440" w:gutter="0" w:footer="0" w:header="0"/>
        </w:sectPr>
      </w:pPr>
    </w:p>
    <w:bookmarkStart w:id="65" w:name="page66"/>
    <w:bookmarkEnd w:id="65"/>
    <w:p>
      <w:pPr>
        <w:spacing w:after="0"/>
        <w:rPr>
          <w:rFonts w:ascii="Arial" w:cs="Arial" w:eastAsia="Arial" w:hAnsi="Arial"/>
          <w:sz w:val="12"/>
          <w:szCs w:val="12"/>
          <w:b w:val="1"/>
          <w:bCs w:val="1"/>
          <w:u w:val="single" w:color="auto"/>
          <w:color w:val="0000EE"/>
        </w:rPr>
      </w:pPr>
      <w:hyperlink w:anchor="page4">
        <w:r>
          <w:rPr>
            <w:rFonts w:ascii="Arial" w:cs="Arial" w:eastAsia="Arial" w:hAnsi="Arial"/>
            <w:sz w:val="12"/>
            <w:szCs w:val="12"/>
            <w:b w:val="1"/>
            <w:bCs w:val="1"/>
            <w:u w:val="single" w:color="auto"/>
            <w:color w:val="0000EE"/>
          </w:rPr>
          <w:t>Table of Contents</w:t>
        </w:r>
      </w:hyperlink>
    </w:p>
    <w:p>
      <w:pPr>
        <w:spacing w:after="0" w:line="229" w:lineRule="exact"/>
        <w:rPr>
          <w:sz w:val="20"/>
          <w:szCs w:val="20"/>
          <w:color w:val="auto"/>
        </w:rPr>
      </w:pPr>
    </w:p>
    <w:p>
      <w:pPr>
        <w:jc w:val="center"/>
        <w:ind w:right="180"/>
        <w:spacing w:after="0"/>
        <w:rPr>
          <w:sz w:val="20"/>
          <w:szCs w:val="20"/>
          <w:color w:val="auto"/>
        </w:rPr>
      </w:pPr>
      <w:r>
        <w:rPr>
          <w:rFonts w:ascii="Arial" w:cs="Arial" w:eastAsia="Arial" w:hAnsi="Arial"/>
          <w:sz w:val="12"/>
          <w:szCs w:val="12"/>
          <w:b w:val="1"/>
          <w:bCs w:val="1"/>
          <w:color w:val="auto"/>
        </w:rPr>
        <w:t>DIRECTIONS TO THE PENNSYLVANIA CONVENTION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109220</wp:posOffset>
            </wp:positionV>
            <wp:extent cx="3122930" cy="22707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122930" cy="2270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680"/>
        <w:spacing w:after="0"/>
        <w:rPr>
          <w:sz w:val="20"/>
          <w:szCs w:val="20"/>
          <w:color w:val="auto"/>
        </w:rPr>
      </w:pPr>
      <w:r>
        <w:rPr>
          <w:rFonts w:ascii="Arial" w:cs="Arial" w:eastAsia="Arial" w:hAnsi="Arial"/>
          <w:sz w:val="12"/>
          <w:szCs w:val="12"/>
          <w:b w:val="1"/>
          <w:bCs w:val="1"/>
          <w:color w:val="auto"/>
        </w:rPr>
        <w:t>From New Jersey via the Ben Franklin Bridge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Take NJ Turnpike (North or South) to Exit 4 (Philadelphia/Camden Exit). Take Rte. 73 North and follow it to Rte. 38 West. Take 38 West to the Benjamin Franklin Bridge, crossing into Philadelphia. Follow local traffic signs fo</w:t>
      </w:r>
    </w:p>
    <w:p>
      <w:pPr>
        <w:spacing w:after="0" w:line="149" w:lineRule="exact"/>
        <w:rPr>
          <w:sz w:val="20"/>
          <w:szCs w:val="20"/>
          <w:color w:val="auto"/>
        </w:rPr>
      </w:pPr>
    </w:p>
    <w:p>
      <w:pPr>
        <w:ind w:left="680"/>
        <w:spacing w:after="0"/>
        <w:rPr>
          <w:sz w:val="20"/>
          <w:szCs w:val="20"/>
          <w:color w:val="auto"/>
        </w:rPr>
      </w:pPr>
      <w:r>
        <w:rPr>
          <w:rFonts w:ascii="Arial" w:cs="Arial" w:eastAsia="Arial" w:hAnsi="Arial"/>
          <w:sz w:val="12"/>
          <w:szCs w:val="12"/>
          <w:b w:val="1"/>
          <w:bCs w:val="1"/>
          <w:color w:val="auto"/>
        </w:rPr>
        <w:t>From Interstate 95 North and South</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Take I-95 (North or South) to Exit 22 (Central</w:t>
      </w:r>
    </w:p>
    <w:p>
      <w:pPr>
        <w:spacing w:after="0" w:line="6" w:lineRule="exact"/>
        <w:rPr>
          <w:sz w:val="20"/>
          <w:szCs w:val="20"/>
          <w:color w:val="auto"/>
        </w:rPr>
      </w:pPr>
    </w:p>
    <w:p>
      <w:pPr>
        <w:ind w:left="680"/>
        <w:spacing w:after="0"/>
        <w:rPr>
          <w:sz w:val="20"/>
          <w:szCs w:val="20"/>
          <w:color w:val="auto"/>
        </w:rPr>
      </w:pPr>
      <w:r>
        <w:rPr>
          <w:rFonts w:ascii="Arial" w:cs="Arial" w:eastAsia="Arial" w:hAnsi="Arial"/>
          <w:sz w:val="11"/>
          <w:szCs w:val="11"/>
          <w:color w:val="auto"/>
        </w:rPr>
        <w:t>Philadelphia/I-676). Stay in the left lane of this exit. Follow signs for I-676 West to the first exit (Broad Street). This exit brings you to 15th Street. Get into left lane and follow the sign for 611/Broad Street and make a left turn</w:t>
      </w:r>
    </w:p>
    <w:p>
      <w:pPr>
        <w:sectPr>
          <w:pgSz w:w="11900" w:h="16838" w:orient="portrait"/>
          <w:cols w:equalWidth="0" w:num="1">
            <w:col w:w="11540"/>
          </w:cols>
          <w:pgMar w:left="220" w:top="327" w:right="139" w:bottom="1440" w:gutter="0" w:footer="0" w:header="0"/>
        </w:sectPr>
      </w:pPr>
    </w:p>
    <w:bookmarkStart w:id="66" w:name="page67"/>
    <w:bookmarkEnd w:id="66"/>
    <w:p>
      <w:pPr>
        <w:spacing w:after="0" w:line="200" w:lineRule="exact"/>
        <w:rPr>
          <w:sz w:val="20"/>
          <w:szCs w:val="20"/>
          <w:color w:val="auto"/>
        </w:rPr>
      </w:pPr>
    </w:p>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0"/>
          <w:szCs w:val="10"/>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112395</wp:posOffset>
            </wp:positionV>
            <wp:extent cx="7299325" cy="184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7" w:name="page68"/>
    <w:bookmarkEnd w:id="67"/>
    <w:p>
      <w:pPr>
        <w:spacing w:after="0"/>
        <w:rPr>
          <w:rFonts w:ascii="Arial" w:cs="Arial" w:eastAsia="Arial" w:hAnsi="Arial"/>
          <w:sz w:val="12"/>
          <w:szCs w:val="12"/>
          <w:b w:val="1"/>
          <w:bCs w:val="1"/>
          <w:u w:val="single" w:color="auto"/>
          <w:color w:val="0000EE"/>
        </w:rPr>
      </w:pPr>
      <w:hyperlink w:anchor="page4">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Appendix A</w:t>
      </w:r>
    </w:p>
    <w:p>
      <w:pPr>
        <w:spacing w:after="0" w:line="231" w:lineRule="exact"/>
        <w:rPr>
          <w:sz w:val="20"/>
          <w:szCs w:val="20"/>
          <w:color w:val="auto"/>
        </w:rPr>
      </w:pPr>
    </w:p>
    <w:p>
      <w:pPr>
        <w:jc w:val="center"/>
        <w:ind w:right="-679"/>
        <w:spacing w:after="0"/>
        <w:rPr>
          <w:sz w:val="20"/>
          <w:szCs w:val="20"/>
          <w:color w:val="auto"/>
        </w:rPr>
      </w:pPr>
      <w:r>
        <w:rPr>
          <w:rFonts w:ascii="Arial" w:cs="Arial" w:eastAsia="Arial" w:hAnsi="Arial"/>
          <w:sz w:val="12"/>
          <w:szCs w:val="12"/>
          <w:b w:val="1"/>
          <w:bCs w:val="1"/>
          <w:color w:val="auto"/>
        </w:rPr>
        <w:t>COMCAST CORPORATION</w:t>
      </w:r>
    </w:p>
    <w:p>
      <w:pPr>
        <w:spacing w:after="0" w:line="87" w:lineRule="exact"/>
        <w:rPr>
          <w:sz w:val="20"/>
          <w:szCs w:val="20"/>
          <w:color w:val="auto"/>
        </w:rPr>
      </w:pPr>
    </w:p>
    <w:p>
      <w:pPr>
        <w:jc w:val="center"/>
        <w:ind w:right="-679"/>
        <w:spacing w:after="0"/>
        <w:rPr>
          <w:sz w:val="20"/>
          <w:szCs w:val="20"/>
          <w:color w:val="auto"/>
        </w:rPr>
      </w:pPr>
      <w:r>
        <w:rPr>
          <w:rFonts w:ascii="Arial" w:cs="Arial" w:eastAsia="Arial" w:hAnsi="Arial"/>
          <w:sz w:val="12"/>
          <w:szCs w:val="12"/>
          <w:b w:val="1"/>
          <w:bCs w:val="1"/>
          <w:color w:val="auto"/>
        </w:rPr>
        <w:t>2006 CASH BONUS PLAN</w:t>
      </w:r>
    </w:p>
    <w:p>
      <w:pPr>
        <w:spacing w:after="0" w:line="87" w:lineRule="exact"/>
        <w:rPr>
          <w:sz w:val="20"/>
          <w:szCs w:val="20"/>
          <w:color w:val="auto"/>
        </w:rPr>
      </w:pPr>
    </w:p>
    <w:p>
      <w:pPr>
        <w:jc w:val="center"/>
        <w:ind w:right="-679"/>
        <w:spacing w:after="0"/>
        <w:rPr>
          <w:sz w:val="20"/>
          <w:szCs w:val="20"/>
          <w:color w:val="auto"/>
        </w:rPr>
      </w:pPr>
      <w:r>
        <w:rPr>
          <w:rFonts w:ascii="Arial" w:cs="Arial" w:eastAsia="Arial" w:hAnsi="Arial"/>
          <w:sz w:val="12"/>
          <w:szCs w:val="12"/>
          <w:b w:val="1"/>
          <w:bCs w:val="1"/>
          <w:color w:val="auto"/>
        </w:rPr>
        <w:t>(Amended and Restated, Effective October 27, 2009)</w:t>
      </w:r>
    </w:p>
    <w:p>
      <w:pPr>
        <w:spacing w:after="0" w:line="159" w:lineRule="exact"/>
        <w:rPr>
          <w:sz w:val="20"/>
          <w:szCs w:val="20"/>
          <w:color w:val="auto"/>
        </w:rPr>
      </w:pPr>
    </w:p>
    <w:p>
      <w:pPr>
        <w:ind w:left="980" w:hanging="299"/>
        <w:spacing w:after="0"/>
        <w:tabs>
          <w:tab w:leader="none" w:pos="980" w:val="left"/>
        </w:tabs>
        <w:numPr>
          <w:ilvl w:val="0"/>
          <w:numId w:val="35"/>
        </w:numPr>
        <w:rPr>
          <w:rFonts w:ascii="Arial" w:cs="Arial" w:eastAsia="Arial" w:hAnsi="Arial"/>
          <w:sz w:val="12"/>
          <w:szCs w:val="12"/>
          <w:b w:val="1"/>
          <w:bCs w:val="1"/>
          <w:color w:val="auto"/>
        </w:rPr>
      </w:pPr>
      <w:r>
        <w:rPr>
          <w:rFonts w:ascii="Arial" w:cs="Arial" w:eastAsia="Arial" w:hAnsi="Arial"/>
          <w:sz w:val="12"/>
          <w:szCs w:val="12"/>
          <w:b w:val="1"/>
          <w:bCs w:val="1"/>
          <w:color w:val="auto"/>
        </w:rPr>
        <w:t>Background and Purpose</w:t>
      </w:r>
    </w:p>
    <w:p>
      <w:pPr>
        <w:spacing w:after="0" w:line="91" w:lineRule="exact"/>
        <w:rPr>
          <w:sz w:val="20"/>
          <w:szCs w:val="20"/>
          <w:color w:val="auto"/>
        </w:rPr>
      </w:pPr>
    </w:p>
    <w:p>
      <w:pPr>
        <w:ind w:left="680" w:right="40" w:firstLine="400"/>
        <w:spacing w:after="0" w:line="257" w:lineRule="auto"/>
        <w:rPr>
          <w:sz w:val="20"/>
          <w:szCs w:val="20"/>
          <w:color w:val="auto"/>
        </w:rPr>
      </w:pPr>
      <w:r>
        <w:rPr>
          <w:rFonts w:ascii="Arial" w:cs="Arial" w:eastAsia="Arial" w:hAnsi="Arial"/>
          <w:sz w:val="12"/>
          <w:szCs w:val="12"/>
          <w:color w:val="auto"/>
        </w:rPr>
        <w:t>Comcast Corporation, a Pennsylvania corporation, hereby amends and restates the Comcast Corporation 2006 Cash Bonus Plan (the “Plan”), effective as of October 27, 2009. The Plan was originally adopted effective January 1, 2006. The Plan is the successor to the Comcast Corporation 2002 Cash Bonus Plan (the “2002 CB Plan”), the Comcast Corporation 2002 Executive Cash Bonus Plan (the “Executive Plan”), the Comcast Corporation 2002 Supplemental Cash Bonus Plan (the “Supplemental Plan”) and the Comcast Corporation 2004 Management Achievement Plan (the “MAP”). The purpose of the Plan is to provide management employees of Comcast Corporation (the “Company”) and the Company’s Affiliates (as defined below) with an incentive to accomplish such business objectives as from time to time may be determined by the Committee.</w:t>
      </w:r>
    </w:p>
    <w:p>
      <w:pPr>
        <w:spacing w:after="0" w:line="131" w:lineRule="exact"/>
        <w:rPr>
          <w:sz w:val="20"/>
          <w:szCs w:val="20"/>
          <w:color w:val="auto"/>
        </w:rPr>
      </w:pPr>
    </w:p>
    <w:p>
      <w:pPr>
        <w:ind w:left="980" w:hanging="299"/>
        <w:spacing w:after="0"/>
        <w:tabs>
          <w:tab w:leader="none" w:pos="980" w:val="left"/>
        </w:tabs>
        <w:numPr>
          <w:ilvl w:val="0"/>
          <w:numId w:val="36"/>
        </w:numPr>
        <w:rPr>
          <w:rFonts w:ascii="Arial" w:cs="Arial" w:eastAsia="Arial" w:hAnsi="Arial"/>
          <w:sz w:val="12"/>
          <w:szCs w:val="12"/>
          <w:b w:val="1"/>
          <w:bCs w:val="1"/>
          <w:color w:val="auto"/>
        </w:rPr>
      </w:pPr>
      <w:r>
        <w:rPr>
          <w:rFonts w:ascii="Arial" w:cs="Arial" w:eastAsia="Arial" w:hAnsi="Arial"/>
          <w:sz w:val="12"/>
          <w:szCs w:val="12"/>
          <w:b w:val="1"/>
          <w:bCs w:val="1"/>
          <w:color w:val="auto"/>
        </w:rPr>
        <w:t>Definitions</w:t>
      </w:r>
    </w:p>
    <w:p>
      <w:pPr>
        <w:spacing w:after="0" w:line="91" w:lineRule="exact"/>
        <w:rPr>
          <w:rFonts w:ascii="Arial" w:cs="Arial" w:eastAsia="Arial" w:hAnsi="Arial"/>
          <w:sz w:val="12"/>
          <w:szCs w:val="12"/>
          <w:b w:val="1"/>
          <w:bCs w:val="1"/>
          <w:color w:val="auto"/>
        </w:rPr>
      </w:pPr>
    </w:p>
    <w:p>
      <w:pPr>
        <w:ind w:left="680" w:right="120" w:firstLine="401"/>
        <w:spacing w:after="0" w:line="263" w:lineRule="auto"/>
        <w:tabs>
          <w:tab w:leader="none" w:pos="1243" w:val="left"/>
        </w:tabs>
        <w:numPr>
          <w:ilvl w:val="1"/>
          <w:numId w:val="36"/>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Affiliate</w:t>
      </w:r>
      <w:r>
        <w:rPr>
          <w:rFonts w:ascii="Arial" w:cs="Arial" w:eastAsia="Arial" w:hAnsi="Arial"/>
          <w:sz w:val="12"/>
          <w:szCs w:val="12"/>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59" w:lineRule="exact"/>
        <w:rPr>
          <w:rFonts w:ascii="Arial" w:cs="Arial" w:eastAsia="Arial" w:hAnsi="Arial"/>
          <w:sz w:val="12"/>
          <w:szCs w:val="12"/>
          <w:color w:val="auto"/>
        </w:rPr>
      </w:pPr>
    </w:p>
    <w:p>
      <w:pPr>
        <w:ind w:left="680" w:right="60" w:firstLine="401"/>
        <w:spacing w:after="0" w:line="263" w:lineRule="auto"/>
        <w:tabs>
          <w:tab w:leader="none" w:pos="1250" w:val="left"/>
        </w:tabs>
        <w:numPr>
          <w:ilvl w:val="1"/>
          <w:numId w:val="36"/>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Award</w:t>
      </w:r>
      <w:r>
        <w:rPr>
          <w:rFonts w:ascii="Arial" w:cs="Arial" w:eastAsia="Arial" w:hAnsi="Arial"/>
          <w:sz w:val="12"/>
          <w:szCs w:val="12"/>
          <w:color w:val="auto"/>
        </w:rPr>
        <w:t>” means a cash bonus award granted under the Plan. An Award shall be expressed as the percentage of a Grantee’s base salary payable for a Plan Year that shall become payable if the Targets established by the Committee are satisfied. The portion of an Award that shall be payable to a Grantee shall be determined by the Committee in accordance with the rules established for the Award for each Plan Year.</w:t>
      </w:r>
    </w:p>
    <w:p>
      <w:pPr>
        <w:spacing w:after="0" w:line="59" w:lineRule="exact"/>
        <w:rPr>
          <w:rFonts w:ascii="Arial" w:cs="Arial" w:eastAsia="Arial" w:hAnsi="Arial"/>
          <w:sz w:val="12"/>
          <w:szCs w:val="12"/>
          <w:color w:val="auto"/>
        </w:rPr>
      </w:pPr>
    </w:p>
    <w:p>
      <w:pPr>
        <w:ind w:left="1240" w:hanging="159"/>
        <w:spacing w:after="0"/>
        <w:tabs>
          <w:tab w:leader="none" w:pos="1240" w:val="left"/>
        </w:tabs>
        <w:numPr>
          <w:ilvl w:val="1"/>
          <w:numId w:val="36"/>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Board</w:t>
      </w:r>
      <w:r>
        <w:rPr>
          <w:rFonts w:ascii="Arial" w:cs="Arial" w:eastAsia="Arial" w:hAnsi="Arial"/>
          <w:sz w:val="12"/>
          <w:szCs w:val="12"/>
          <w:color w:val="auto"/>
        </w:rPr>
        <w:t>” means the Board of Directors of the Company.</w:t>
      </w:r>
    </w:p>
    <w:p>
      <w:pPr>
        <w:spacing w:after="0" w:line="87" w:lineRule="exact"/>
        <w:rPr>
          <w:rFonts w:ascii="Arial" w:cs="Arial" w:eastAsia="Arial" w:hAnsi="Arial"/>
          <w:sz w:val="12"/>
          <w:szCs w:val="12"/>
          <w:color w:val="auto"/>
        </w:rPr>
      </w:pPr>
    </w:p>
    <w:p>
      <w:pPr>
        <w:ind w:left="680" w:right="20" w:firstLine="401"/>
        <w:spacing w:after="0" w:line="263" w:lineRule="auto"/>
        <w:tabs>
          <w:tab w:leader="none" w:pos="1250" w:val="left"/>
        </w:tabs>
        <w:numPr>
          <w:ilvl w:val="1"/>
          <w:numId w:val="36"/>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Change of Control</w:t>
      </w:r>
      <w:r>
        <w:rPr>
          <w:rFonts w:ascii="Arial" w:cs="Arial" w:eastAsia="Arial" w:hAnsi="Arial"/>
          <w:sz w:val="12"/>
          <w:szCs w:val="12"/>
          <w:color w:val="auto"/>
        </w:rPr>
        <w:t>” means any transaction or series of transactions as a result of which any Person who was a Third Party immediately before such transaction or series of transactions owns then-outstanding securities of the Company such that such Person has the ability to direct the management of the Company, as determined by the Board in its discretion. The Board may also determine that a Change of Control shall occur upon the completion of one or more proposed transactions. The Board’s determination shall be final and binding.</w:t>
      </w:r>
    </w:p>
    <w:p>
      <w:pPr>
        <w:spacing w:after="0" w:line="59" w:lineRule="exact"/>
        <w:rPr>
          <w:rFonts w:ascii="Arial" w:cs="Arial" w:eastAsia="Arial" w:hAnsi="Arial"/>
          <w:sz w:val="12"/>
          <w:szCs w:val="12"/>
          <w:color w:val="auto"/>
        </w:rPr>
      </w:pPr>
    </w:p>
    <w:p>
      <w:pPr>
        <w:ind w:left="1240" w:hanging="159"/>
        <w:spacing w:after="0"/>
        <w:tabs>
          <w:tab w:leader="none" w:pos="1240" w:val="left"/>
        </w:tabs>
        <w:numPr>
          <w:ilvl w:val="1"/>
          <w:numId w:val="36"/>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Committee</w:t>
      </w:r>
      <w:r>
        <w:rPr>
          <w:rFonts w:ascii="Arial" w:cs="Arial" w:eastAsia="Arial" w:hAnsi="Arial"/>
          <w:sz w:val="12"/>
          <w:szCs w:val="12"/>
          <w:color w:val="auto"/>
        </w:rPr>
        <w:t>” means the Compensation Committee of the Board or such other committee of the Board assigned by the Board to administer the Plan.</w:t>
      </w:r>
    </w:p>
    <w:p>
      <w:pPr>
        <w:spacing w:after="0" w:line="87" w:lineRule="exact"/>
        <w:rPr>
          <w:rFonts w:ascii="Arial" w:cs="Arial" w:eastAsia="Arial" w:hAnsi="Arial"/>
          <w:sz w:val="12"/>
          <w:szCs w:val="12"/>
          <w:color w:val="auto"/>
        </w:rPr>
      </w:pPr>
    </w:p>
    <w:p>
      <w:pPr>
        <w:ind w:left="1240" w:hanging="159"/>
        <w:spacing w:after="0"/>
        <w:tabs>
          <w:tab w:leader="none" w:pos="1240" w:val="left"/>
        </w:tabs>
        <w:numPr>
          <w:ilvl w:val="1"/>
          <w:numId w:val="36"/>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Company</w:t>
      </w:r>
      <w:r>
        <w:rPr>
          <w:rFonts w:ascii="Arial" w:cs="Arial" w:eastAsia="Arial" w:hAnsi="Arial"/>
          <w:sz w:val="11"/>
          <w:szCs w:val="11"/>
          <w:color w:val="auto"/>
        </w:rPr>
        <w:t>” means Comcast Corporation, a Pennsylvania corporation, including any successor thereto by merger, consolidation, acquisition of all or substantially all the assets thereof, or</w:t>
      </w:r>
    </w:p>
    <w:p>
      <w:pPr>
        <w:spacing w:after="0" w:line="26" w:lineRule="exact"/>
        <w:rPr>
          <w:rFonts w:ascii="Arial" w:cs="Arial" w:eastAsia="Arial" w:hAnsi="Arial"/>
          <w:sz w:val="11"/>
          <w:szCs w:val="11"/>
          <w:color w:val="auto"/>
        </w:rPr>
      </w:pPr>
    </w:p>
    <w:p>
      <w:pPr>
        <w:ind w:left="680"/>
        <w:spacing w:after="0"/>
        <w:rPr>
          <w:rFonts w:ascii="Arial" w:cs="Arial" w:eastAsia="Arial" w:hAnsi="Arial"/>
          <w:sz w:val="11"/>
          <w:szCs w:val="11"/>
          <w:color w:val="auto"/>
        </w:rPr>
      </w:pPr>
      <w:r>
        <w:rPr>
          <w:rFonts w:ascii="Arial" w:cs="Arial" w:eastAsia="Arial" w:hAnsi="Arial"/>
          <w:sz w:val="12"/>
          <w:szCs w:val="12"/>
          <w:color w:val="auto"/>
        </w:rPr>
        <w:t>otherwise.</w:t>
      </w:r>
    </w:p>
    <w:p>
      <w:pPr>
        <w:spacing w:after="0" w:line="78" w:lineRule="exact"/>
        <w:rPr>
          <w:rFonts w:ascii="Arial" w:cs="Arial" w:eastAsia="Arial" w:hAnsi="Arial"/>
          <w:sz w:val="11"/>
          <w:szCs w:val="11"/>
          <w:color w:val="auto"/>
        </w:rPr>
      </w:pPr>
    </w:p>
    <w:p>
      <w:pPr>
        <w:ind w:left="1260" w:hanging="179"/>
        <w:spacing w:after="0"/>
        <w:tabs>
          <w:tab w:leader="none" w:pos="1260" w:val="left"/>
        </w:tabs>
        <w:numPr>
          <w:ilvl w:val="1"/>
          <w:numId w:val="36"/>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Date of Grant</w:t>
      </w:r>
      <w:r>
        <w:rPr>
          <w:rFonts w:ascii="Arial" w:cs="Arial" w:eastAsia="Arial" w:hAnsi="Arial"/>
          <w:sz w:val="12"/>
          <w:szCs w:val="12"/>
          <w:color w:val="auto"/>
        </w:rPr>
        <w:t>” means the date on which an Award is granted.</w:t>
      </w:r>
    </w:p>
    <w:p>
      <w:pPr>
        <w:spacing w:after="0" w:line="87" w:lineRule="exact"/>
        <w:rPr>
          <w:rFonts w:ascii="Arial" w:cs="Arial" w:eastAsia="Arial" w:hAnsi="Arial"/>
          <w:sz w:val="12"/>
          <w:szCs w:val="12"/>
          <w:color w:val="auto"/>
        </w:rPr>
      </w:pPr>
    </w:p>
    <w:p>
      <w:pPr>
        <w:ind w:left="1260" w:hanging="179"/>
        <w:spacing w:after="0"/>
        <w:tabs>
          <w:tab w:leader="none" w:pos="1260" w:val="left"/>
        </w:tabs>
        <w:numPr>
          <w:ilvl w:val="1"/>
          <w:numId w:val="36"/>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Disability</w:t>
      </w:r>
      <w:r>
        <w:rPr>
          <w:rFonts w:ascii="Arial" w:cs="Arial" w:eastAsia="Arial" w:hAnsi="Arial"/>
          <w:sz w:val="12"/>
          <w:szCs w:val="12"/>
          <w:color w:val="auto"/>
        </w:rPr>
        <w:t>” means:</w:t>
      </w:r>
    </w:p>
    <w:p>
      <w:pPr>
        <w:spacing w:after="0" w:line="87" w:lineRule="exact"/>
        <w:rPr>
          <w:rFonts w:ascii="Arial" w:cs="Arial" w:eastAsia="Arial" w:hAnsi="Arial"/>
          <w:sz w:val="12"/>
          <w:szCs w:val="12"/>
          <w:color w:val="auto"/>
        </w:rPr>
      </w:pPr>
    </w:p>
    <w:p>
      <w:pPr>
        <w:ind w:left="1980" w:right="120" w:hanging="497"/>
        <w:spacing w:after="0" w:line="323" w:lineRule="auto"/>
        <w:tabs>
          <w:tab w:leader="none" w:pos="1980" w:val="left"/>
        </w:tabs>
        <w:numPr>
          <w:ilvl w:val="2"/>
          <w:numId w:val="36"/>
        </w:numPr>
        <w:rPr>
          <w:rFonts w:ascii="Arial" w:cs="Arial" w:eastAsia="Arial" w:hAnsi="Arial"/>
          <w:sz w:val="11"/>
          <w:szCs w:val="11"/>
          <w:color w:val="auto"/>
        </w:rPr>
      </w:pPr>
      <w:r>
        <w:rPr>
          <w:rFonts w:ascii="Arial" w:cs="Arial" w:eastAsia="Arial" w:hAnsi="Arial"/>
          <w:sz w:val="11"/>
          <w:szCs w:val="11"/>
          <w:color w:val="auto"/>
        </w:rPr>
        <w:t>A Grantee’s substantially inability to perform the Grantee’s employment duties due to partial or total disability or incapacity resulting from a mental or physical illness, injury or other health-related cause for a period of twelve (12) consecutive months or for a cumulative period of fifty-two (52) weeks in any twenty-four (24) consectutive-month period; or</w:t>
      </w:r>
    </w:p>
    <w:p>
      <w:pPr>
        <w:spacing w:after="0" w:line="218"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97790</wp:posOffset>
            </wp:positionV>
            <wp:extent cx="7299325" cy="184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680"/>
          </w:cols>
          <w:pgMar w:left="220" w:top="327" w:right="999" w:bottom="1440" w:gutter="0" w:footer="0" w:header="0"/>
        </w:sectPr>
      </w:pPr>
    </w:p>
    <w:bookmarkStart w:id="68" w:name="page69"/>
    <w:bookmarkEnd w:id="68"/>
    <w:p>
      <w:pPr>
        <w:spacing w:after="0"/>
        <w:rPr>
          <w:rFonts w:ascii="Arial" w:cs="Arial" w:eastAsia="Arial" w:hAnsi="Arial"/>
          <w:sz w:val="12"/>
          <w:szCs w:val="12"/>
          <w:b w:val="1"/>
          <w:bCs w:val="1"/>
          <w:u w:val="single" w:color="auto"/>
          <w:color w:val="0000EE"/>
        </w:rPr>
      </w:pPr>
      <w:hyperlink w:anchor="page4">
        <w:r>
          <w:rPr>
            <w:rFonts w:ascii="Arial" w:cs="Arial" w:eastAsia="Arial" w:hAnsi="Arial"/>
            <w:sz w:val="12"/>
            <w:szCs w:val="12"/>
            <w:b w:val="1"/>
            <w:bCs w:val="1"/>
            <w:u w:val="single" w:color="auto"/>
            <w:color w:val="0000EE"/>
          </w:rPr>
          <w:t>Table of Contents</w:t>
        </w:r>
      </w:hyperlink>
    </w:p>
    <w:p>
      <w:pPr>
        <w:spacing w:after="0" w:line="215" w:lineRule="exact"/>
        <w:rPr>
          <w:sz w:val="20"/>
          <w:szCs w:val="20"/>
          <w:color w:val="auto"/>
        </w:rPr>
      </w:pPr>
    </w:p>
    <w:p>
      <w:pPr>
        <w:ind w:left="1980" w:hanging="497"/>
        <w:spacing w:after="0"/>
        <w:tabs>
          <w:tab w:leader="none" w:pos="1980" w:val="left"/>
        </w:tabs>
        <w:numPr>
          <w:ilvl w:val="2"/>
          <w:numId w:val="37"/>
        </w:numPr>
        <w:rPr>
          <w:rFonts w:ascii="Arial" w:cs="Arial" w:eastAsia="Arial" w:hAnsi="Arial"/>
          <w:sz w:val="11"/>
          <w:szCs w:val="11"/>
          <w:color w:val="auto"/>
        </w:rPr>
      </w:pPr>
      <w:r>
        <w:rPr>
          <w:rFonts w:ascii="Arial" w:cs="Arial" w:eastAsia="Arial" w:hAnsi="Arial"/>
          <w:sz w:val="11"/>
          <w:szCs w:val="11"/>
          <w:color w:val="auto"/>
        </w:rPr>
        <w:t>If more favorable to the Grantee, “Disability” as it may be defined in such Grantee’s employment agreement between the Grantee and the Company or an Affiliate, if any.</w:t>
      </w:r>
    </w:p>
    <w:p>
      <w:pPr>
        <w:spacing w:after="0" w:line="98" w:lineRule="exact"/>
        <w:rPr>
          <w:rFonts w:ascii="Arial" w:cs="Arial" w:eastAsia="Arial" w:hAnsi="Arial"/>
          <w:sz w:val="11"/>
          <w:szCs w:val="11"/>
          <w:color w:val="auto"/>
        </w:rPr>
      </w:pPr>
    </w:p>
    <w:p>
      <w:pPr>
        <w:ind w:left="1220" w:hanging="139"/>
        <w:spacing w:after="0"/>
        <w:tabs>
          <w:tab w:leader="none" w:pos="1220" w:val="left"/>
        </w:tabs>
        <w:numPr>
          <w:ilvl w:val="1"/>
          <w:numId w:val="38"/>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Eligible Employee</w:t>
      </w:r>
      <w:r>
        <w:rPr>
          <w:rFonts w:ascii="Arial" w:cs="Arial" w:eastAsia="Arial" w:hAnsi="Arial"/>
          <w:sz w:val="12"/>
          <w:szCs w:val="12"/>
          <w:color w:val="auto"/>
        </w:rPr>
        <w:t>” means an employee of the Company or an Affiliate, as determined by the Committee.</w:t>
      </w:r>
    </w:p>
    <w:p>
      <w:pPr>
        <w:spacing w:after="0" w:line="87" w:lineRule="exact"/>
        <w:rPr>
          <w:rFonts w:ascii="Arial" w:cs="Arial" w:eastAsia="Arial" w:hAnsi="Arial"/>
          <w:sz w:val="12"/>
          <w:szCs w:val="12"/>
          <w:color w:val="auto"/>
        </w:rPr>
      </w:pPr>
    </w:p>
    <w:p>
      <w:pPr>
        <w:ind w:left="1220" w:hanging="139"/>
        <w:spacing w:after="0"/>
        <w:tabs>
          <w:tab w:leader="none" w:pos="1220" w:val="left"/>
        </w:tabs>
        <w:numPr>
          <w:ilvl w:val="1"/>
          <w:numId w:val="38"/>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Grantee</w:t>
      </w:r>
      <w:r>
        <w:rPr>
          <w:rFonts w:ascii="Arial" w:cs="Arial" w:eastAsia="Arial" w:hAnsi="Arial"/>
          <w:sz w:val="12"/>
          <w:szCs w:val="12"/>
          <w:color w:val="auto"/>
        </w:rPr>
        <w:t>” means an Eligible Employee who is granted an Award.</w:t>
      </w:r>
    </w:p>
    <w:p>
      <w:pPr>
        <w:spacing w:after="0" w:line="87" w:lineRule="exact"/>
        <w:rPr>
          <w:rFonts w:ascii="Arial" w:cs="Arial" w:eastAsia="Arial" w:hAnsi="Arial"/>
          <w:sz w:val="12"/>
          <w:szCs w:val="12"/>
          <w:color w:val="auto"/>
        </w:rPr>
      </w:pPr>
    </w:p>
    <w:p>
      <w:pPr>
        <w:ind w:left="1260" w:hanging="179"/>
        <w:spacing w:after="0"/>
        <w:tabs>
          <w:tab w:leader="none" w:pos="1260" w:val="left"/>
        </w:tabs>
        <w:numPr>
          <w:ilvl w:val="1"/>
          <w:numId w:val="38"/>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Person</w:t>
      </w:r>
      <w:r>
        <w:rPr>
          <w:rFonts w:ascii="Arial" w:cs="Arial" w:eastAsia="Arial" w:hAnsi="Arial"/>
          <w:sz w:val="12"/>
          <w:szCs w:val="12"/>
          <w:color w:val="auto"/>
        </w:rPr>
        <w:t>” means an individual, a corporation, a partnership, an association, a trust or any other entity or organization.</w:t>
      </w:r>
    </w:p>
    <w:p>
      <w:pPr>
        <w:spacing w:after="0" w:line="87" w:lineRule="exact"/>
        <w:rPr>
          <w:rFonts w:ascii="Arial" w:cs="Arial" w:eastAsia="Arial" w:hAnsi="Arial"/>
          <w:sz w:val="12"/>
          <w:szCs w:val="12"/>
          <w:color w:val="auto"/>
        </w:rPr>
      </w:pPr>
    </w:p>
    <w:p>
      <w:pPr>
        <w:ind w:left="1220" w:hanging="139"/>
        <w:spacing w:after="0"/>
        <w:tabs>
          <w:tab w:leader="none" w:pos="1220" w:val="left"/>
        </w:tabs>
        <w:numPr>
          <w:ilvl w:val="1"/>
          <w:numId w:val="38"/>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Plan</w:t>
      </w:r>
      <w:r>
        <w:rPr>
          <w:rFonts w:ascii="Arial" w:cs="Arial" w:eastAsia="Arial" w:hAnsi="Arial"/>
          <w:sz w:val="12"/>
          <w:szCs w:val="12"/>
          <w:color w:val="auto"/>
        </w:rPr>
        <w:t>” means the Comcast Corporation 2006 Cash Bonus Plan as set forth herein, and as amended from time to time.</w:t>
      </w:r>
    </w:p>
    <w:p>
      <w:pPr>
        <w:spacing w:after="0" w:line="87" w:lineRule="exact"/>
        <w:rPr>
          <w:rFonts w:ascii="Arial" w:cs="Arial" w:eastAsia="Arial" w:hAnsi="Arial"/>
          <w:sz w:val="12"/>
          <w:szCs w:val="12"/>
          <w:color w:val="auto"/>
        </w:rPr>
      </w:pPr>
    </w:p>
    <w:p>
      <w:pPr>
        <w:ind w:left="1280" w:hanging="199"/>
        <w:spacing w:after="0"/>
        <w:tabs>
          <w:tab w:leader="none" w:pos="1280" w:val="left"/>
        </w:tabs>
        <w:numPr>
          <w:ilvl w:val="1"/>
          <w:numId w:val="38"/>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Plan Year</w:t>
      </w:r>
      <w:r>
        <w:rPr>
          <w:rFonts w:ascii="Arial" w:cs="Arial" w:eastAsia="Arial" w:hAnsi="Arial"/>
          <w:sz w:val="12"/>
          <w:szCs w:val="12"/>
          <w:color w:val="auto"/>
        </w:rPr>
        <w:t>” means the calendar year.</w:t>
      </w:r>
    </w:p>
    <w:p>
      <w:pPr>
        <w:spacing w:after="0" w:line="87" w:lineRule="exact"/>
        <w:rPr>
          <w:rFonts w:ascii="Arial" w:cs="Arial" w:eastAsia="Arial" w:hAnsi="Arial"/>
          <w:sz w:val="12"/>
          <w:szCs w:val="12"/>
          <w:color w:val="auto"/>
        </w:rPr>
      </w:pPr>
    </w:p>
    <w:p>
      <w:pPr>
        <w:jc w:val="both"/>
        <w:ind w:left="680" w:right="200" w:firstLine="401"/>
        <w:spacing w:after="0" w:line="263" w:lineRule="auto"/>
        <w:tabs>
          <w:tab w:leader="none" w:pos="1250" w:val="left"/>
        </w:tabs>
        <w:numPr>
          <w:ilvl w:val="1"/>
          <w:numId w:val="38"/>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Qualitative Performance Standards</w:t>
      </w:r>
      <w:r>
        <w:rPr>
          <w:rFonts w:ascii="Arial" w:cs="Arial" w:eastAsia="Arial" w:hAnsi="Arial"/>
          <w:sz w:val="12"/>
          <w:szCs w:val="12"/>
          <w:color w:val="auto"/>
        </w:rPr>
        <w:t>” means performance standards other than Quantitative Performance Standards, including but not limited to customer service, management effectiveness, workforce diversity and other Qualitative Performance Standards relevant to the Company’s business, as may be established by the Committee, and the achievement of which shall be determined in the discretion of the Committee.</w:t>
      </w:r>
    </w:p>
    <w:p>
      <w:pPr>
        <w:spacing w:after="0" w:line="59" w:lineRule="exact"/>
        <w:rPr>
          <w:rFonts w:ascii="Arial" w:cs="Arial" w:eastAsia="Arial" w:hAnsi="Arial"/>
          <w:sz w:val="12"/>
          <w:szCs w:val="12"/>
          <w:color w:val="auto"/>
        </w:rPr>
      </w:pPr>
    </w:p>
    <w:p>
      <w:pPr>
        <w:jc w:val="both"/>
        <w:ind w:left="680" w:firstLine="401"/>
        <w:spacing w:after="0" w:line="263" w:lineRule="auto"/>
        <w:tabs>
          <w:tab w:leader="none" w:pos="1250" w:val="left"/>
        </w:tabs>
        <w:numPr>
          <w:ilvl w:val="1"/>
          <w:numId w:val="38"/>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Quantitative Performance Standards</w:t>
      </w:r>
      <w:r>
        <w:rPr>
          <w:rFonts w:ascii="Arial" w:cs="Arial" w:eastAsia="Arial" w:hAnsi="Arial"/>
          <w:sz w:val="12"/>
          <w:szCs w:val="12"/>
          <w:color w:val="auto"/>
        </w:rPr>
        <w:t>” means performance standards such as income, expense, operating cash flow, capital spending, numbers of customers of or subscribers for various services and products offered by the Company or a division, customer service measurements and other objective financial or service-based standards relevant to the Company’s business as may be established by the Committee.</w:t>
      </w:r>
    </w:p>
    <w:p>
      <w:pPr>
        <w:spacing w:after="0" w:line="59" w:lineRule="exact"/>
        <w:rPr>
          <w:rFonts w:ascii="Arial" w:cs="Arial" w:eastAsia="Arial" w:hAnsi="Arial"/>
          <w:sz w:val="12"/>
          <w:szCs w:val="12"/>
          <w:color w:val="auto"/>
        </w:rPr>
      </w:pPr>
    </w:p>
    <w:p>
      <w:pPr>
        <w:ind w:left="1260" w:hanging="179"/>
        <w:spacing w:after="0"/>
        <w:tabs>
          <w:tab w:leader="none" w:pos="1260" w:val="left"/>
        </w:tabs>
        <w:numPr>
          <w:ilvl w:val="1"/>
          <w:numId w:val="38"/>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Retirement</w:t>
      </w:r>
      <w:r>
        <w:rPr>
          <w:rFonts w:ascii="Arial" w:cs="Arial" w:eastAsia="Arial" w:hAnsi="Arial"/>
          <w:sz w:val="12"/>
          <w:szCs w:val="12"/>
          <w:color w:val="auto"/>
        </w:rPr>
        <w:t>” means termination of employment with the Company and its Affiliates after reaching age 57 and completing 10 or more years of service.</w:t>
      </w:r>
    </w:p>
    <w:p>
      <w:pPr>
        <w:spacing w:after="0" w:line="87" w:lineRule="exact"/>
        <w:rPr>
          <w:rFonts w:ascii="Arial" w:cs="Arial" w:eastAsia="Arial" w:hAnsi="Arial"/>
          <w:sz w:val="12"/>
          <w:szCs w:val="12"/>
          <w:color w:val="auto"/>
        </w:rPr>
      </w:pPr>
    </w:p>
    <w:p>
      <w:pPr>
        <w:ind w:left="1260" w:hanging="179"/>
        <w:spacing w:after="0"/>
        <w:tabs>
          <w:tab w:leader="none" w:pos="1260" w:val="left"/>
        </w:tabs>
        <w:numPr>
          <w:ilvl w:val="1"/>
          <w:numId w:val="38"/>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Section 16(b) Officer</w:t>
      </w:r>
      <w:r>
        <w:rPr>
          <w:rFonts w:ascii="Arial" w:cs="Arial" w:eastAsia="Arial" w:hAnsi="Arial"/>
          <w:sz w:val="12"/>
          <w:szCs w:val="12"/>
          <w:color w:val="auto"/>
        </w:rPr>
        <w:t>” means an officer of the Company who is subject to the short-swing profit recapture rules of section 16(b) of the 1934 Act.</w:t>
      </w:r>
    </w:p>
    <w:p>
      <w:pPr>
        <w:spacing w:after="0" w:line="87" w:lineRule="exact"/>
        <w:rPr>
          <w:rFonts w:ascii="Arial" w:cs="Arial" w:eastAsia="Arial" w:hAnsi="Arial"/>
          <w:sz w:val="12"/>
          <w:szCs w:val="12"/>
          <w:color w:val="auto"/>
        </w:rPr>
      </w:pPr>
    </w:p>
    <w:p>
      <w:pPr>
        <w:ind w:left="1240" w:hanging="159"/>
        <w:spacing w:after="0"/>
        <w:tabs>
          <w:tab w:leader="none" w:pos="1240" w:val="left"/>
        </w:tabs>
        <w:numPr>
          <w:ilvl w:val="1"/>
          <w:numId w:val="38"/>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Section 162(m) Award</w:t>
      </w:r>
      <w:r>
        <w:rPr>
          <w:rFonts w:ascii="Arial" w:cs="Arial" w:eastAsia="Arial" w:hAnsi="Arial"/>
          <w:sz w:val="12"/>
          <w:szCs w:val="12"/>
          <w:color w:val="auto"/>
        </w:rPr>
        <w:t>” means an Award granted to an individual who, at the Date of Grant, is a “covered employee” within the meaning of section 162(m)(3) of the Code.</w:t>
      </w:r>
    </w:p>
    <w:p>
      <w:pPr>
        <w:spacing w:after="0" w:line="87" w:lineRule="exact"/>
        <w:rPr>
          <w:rFonts w:ascii="Arial" w:cs="Arial" w:eastAsia="Arial" w:hAnsi="Arial"/>
          <w:sz w:val="12"/>
          <w:szCs w:val="12"/>
          <w:color w:val="auto"/>
        </w:rPr>
      </w:pPr>
    </w:p>
    <w:p>
      <w:pPr>
        <w:ind w:left="680" w:right="100" w:firstLine="401"/>
        <w:spacing w:after="0" w:line="380" w:lineRule="auto"/>
        <w:tabs>
          <w:tab w:leader="none" w:pos="1236" w:val="left"/>
        </w:tabs>
        <w:numPr>
          <w:ilvl w:val="1"/>
          <w:numId w:val="38"/>
        </w:numPr>
        <w:rPr>
          <w:rFonts w:ascii="Arial" w:cs="Arial" w:eastAsia="Arial" w:hAnsi="Arial"/>
          <w:sz w:val="10"/>
          <w:szCs w:val="10"/>
          <w:color w:val="auto"/>
        </w:rPr>
      </w:pPr>
      <w:r>
        <w:rPr>
          <w:rFonts w:ascii="Arial" w:cs="Arial" w:eastAsia="Arial" w:hAnsi="Arial"/>
          <w:sz w:val="10"/>
          <w:szCs w:val="10"/>
          <w:color w:val="auto"/>
        </w:rPr>
        <w:t>“</w:t>
      </w:r>
      <w:r>
        <w:rPr>
          <w:rFonts w:ascii="Arial" w:cs="Arial" w:eastAsia="Arial" w:hAnsi="Arial"/>
          <w:sz w:val="10"/>
          <w:szCs w:val="10"/>
          <w:u w:val="single" w:color="auto"/>
          <w:color w:val="auto"/>
        </w:rPr>
        <w:t>Target</w:t>
      </w:r>
      <w:r>
        <w:rPr>
          <w:rFonts w:ascii="Arial" w:cs="Arial" w:eastAsia="Arial" w:hAnsi="Arial"/>
          <w:sz w:val="10"/>
          <w:szCs w:val="10"/>
          <w:color w:val="auto"/>
        </w:rPr>
        <w:t>” means, for any Plan Year, the Qualitative Performance Standards and the Quantitative Performance Standards established by the Committee, in its discretion. Qualitative Performance Standards, Quantitative Performance Standards and the weighting of such Standards may differ from Plan Year to Plan Year, and within a Plan Year, may differ among Grantees or classes of Grantees.</w:t>
      </w:r>
    </w:p>
    <w:p>
      <w:pPr>
        <w:spacing w:after="0" w:line="5" w:lineRule="exact"/>
        <w:rPr>
          <w:rFonts w:ascii="Arial" w:cs="Arial" w:eastAsia="Arial" w:hAnsi="Arial"/>
          <w:sz w:val="10"/>
          <w:szCs w:val="10"/>
          <w:color w:val="auto"/>
        </w:rPr>
      </w:pPr>
    </w:p>
    <w:p>
      <w:pPr>
        <w:ind w:left="1220" w:hanging="139"/>
        <w:spacing w:after="0"/>
        <w:tabs>
          <w:tab w:leader="none" w:pos="1220" w:val="left"/>
        </w:tabs>
        <w:numPr>
          <w:ilvl w:val="1"/>
          <w:numId w:val="38"/>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Terminating Event</w:t>
      </w:r>
      <w:r>
        <w:rPr>
          <w:rFonts w:ascii="Arial" w:cs="Arial" w:eastAsia="Arial" w:hAnsi="Arial"/>
          <w:sz w:val="12"/>
          <w:szCs w:val="12"/>
          <w:color w:val="auto"/>
        </w:rPr>
        <w:t>” means any of the following events:</w:t>
      </w:r>
    </w:p>
    <w:p>
      <w:pPr>
        <w:spacing w:after="0" w:line="87" w:lineRule="exact"/>
        <w:rPr>
          <w:rFonts w:ascii="Arial" w:cs="Arial" w:eastAsia="Arial" w:hAnsi="Arial"/>
          <w:sz w:val="12"/>
          <w:szCs w:val="12"/>
          <w:color w:val="auto"/>
        </w:rPr>
      </w:pPr>
    </w:p>
    <w:p>
      <w:pPr>
        <w:ind w:left="1980" w:hanging="497"/>
        <w:spacing w:after="0"/>
        <w:tabs>
          <w:tab w:leader="none" w:pos="1980" w:val="left"/>
        </w:tabs>
        <w:numPr>
          <w:ilvl w:val="2"/>
          <w:numId w:val="38"/>
        </w:numPr>
        <w:rPr>
          <w:rFonts w:ascii="Arial" w:cs="Arial" w:eastAsia="Arial" w:hAnsi="Arial"/>
          <w:sz w:val="12"/>
          <w:szCs w:val="12"/>
          <w:color w:val="auto"/>
        </w:rPr>
      </w:pPr>
      <w:r>
        <w:rPr>
          <w:rFonts w:ascii="Arial" w:cs="Arial" w:eastAsia="Arial" w:hAnsi="Arial"/>
          <w:sz w:val="12"/>
          <w:szCs w:val="12"/>
          <w:color w:val="auto"/>
        </w:rPr>
        <w:t>the liquidation of the Company; or</w:t>
      </w:r>
    </w:p>
    <w:p>
      <w:pPr>
        <w:spacing w:after="0" w:line="78" w:lineRule="exact"/>
        <w:rPr>
          <w:rFonts w:ascii="Arial" w:cs="Arial" w:eastAsia="Arial" w:hAnsi="Arial"/>
          <w:sz w:val="12"/>
          <w:szCs w:val="12"/>
          <w:color w:val="auto"/>
        </w:rPr>
      </w:pPr>
    </w:p>
    <w:p>
      <w:pPr>
        <w:ind w:left="1980" w:hanging="497"/>
        <w:spacing w:after="0"/>
        <w:tabs>
          <w:tab w:leader="none" w:pos="1980" w:val="left"/>
        </w:tabs>
        <w:numPr>
          <w:ilvl w:val="2"/>
          <w:numId w:val="38"/>
        </w:numPr>
        <w:rPr>
          <w:rFonts w:ascii="Arial" w:cs="Arial" w:eastAsia="Arial" w:hAnsi="Arial"/>
          <w:sz w:val="12"/>
          <w:szCs w:val="12"/>
          <w:color w:val="auto"/>
        </w:rPr>
      </w:pPr>
      <w:r>
        <w:rPr>
          <w:rFonts w:ascii="Arial" w:cs="Arial" w:eastAsia="Arial" w:hAnsi="Arial"/>
          <w:sz w:val="12"/>
          <w:szCs w:val="12"/>
          <w:color w:val="auto"/>
        </w:rPr>
        <w:t>a Change of Control.</w:t>
      </w:r>
    </w:p>
    <w:p>
      <w:pPr>
        <w:spacing w:after="0" w:line="87" w:lineRule="exact"/>
        <w:rPr>
          <w:rFonts w:ascii="Arial" w:cs="Arial" w:eastAsia="Arial" w:hAnsi="Arial"/>
          <w:sz w:val="12"/>
          <w:szCs w:val="12"/>
          <w:color w:val="auto"/>
        </w:rPr>
      </w:pPr>
    </w:p>
    <w:p>
      <w:pPr>
        <w:ind w:left="1260" w:hanging="179"/>
        <w:spacing w:after="0"/>
        <w:tabs>
          <w:tab w:leader="none" w:pos="1260" w:val="left"/>
        </w:tabs>
        <w:numPr>
          <w:ilvl w:val="1"/>
          <w:numId w:val="38"/>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Third Party</w:t>
      </w:r>
      <w:r>
        <w:rPr>
          <w:rFonts w:ascii="Arial" w:cs="Arial" w:eastAsia="Arial" w:hAnsi="Arial"/>
          <w:sz w:val="12"/>
          <w:szCs w:val="12"/>
          <w:color w:val="auto"/>
        </w:rPr>
        <w:t>” means any Person, together with such Person’s Affiliates, provided that the term “Third Party” shall not include the Company or an Affiliate of the Company.</w:t>
      </w:r>
    </w:p>
    <w:p>
      <w:pPr>
        <w:spacing w:after="0" w:line="155" w:lineRule="exact"/>
        <w:rPr>
          <w:rFonts w:ascii="Arial" w:cs="Arial" w:eastAsia="Arial" w:hAnsi="Arial"/>
          <w:sz w:val="12"/>
          <w:szCs w:val="12"/>
          <w:color w:val="auto"/>
        </w:rPr>
      </w:pPr>
    </w:p>
    <w:p>
      <w:pPr>
        <w:ind w:left="980" w:hanging="299"/>
        <w:spacing w:after="0"/>
        <w:tabs>
          <w:tab w:leader="none" w:pos="980" w:val="left"/>
        </w:tabs>
        <w:numPr>
          <w:ilvl w:val="0"/>
          <w:numId w:val="39"/>
        </w:numPr>
        <w:rPr>
          <w:rFonts w:ascii="Arial" w:cs="Arial" w:eastAsia="Arial" w:hAnsi="Arial"/>
          <w:sz w:val="12"/>
          <w:szCs w:val="12"/>
          <w:b w:val="1"/>
          <w:bCs w:val="1"/>
          <w:color w:val="auto"/>
        </w:rPr>
      </w:pPr>
      <w:r>
        <w:rPr>
          <w:rFonts w:ascii="Arial" w:cs="Arial" w:eastAsia="Arial" w:hAnsi="Arial"/>
          <w:sz w:val="12"/>
          <w:szCs w:val="12"/>
          <w:b w:val="1"/>
          <w:bCs w:val="1"/>
          <w:color w:val="auto"/>
        </w:rPr>
        <w:t>Administration of the Plan</w:t>
      </w:r>
    </w:p>
    <w:p>
      <w:pPr>
        <w:spacing w:after="0" w:line="91" w:lineRule="exact"/>
        <w:rPr>
          <w:rFonts w:ascii="Arial" w:cs="Arial" w:eastAsia="Arial" w:hAnsi="Arial"/>
          <w:sz w:val="12"/>
          <w:szCs w:val="12"/>
          <w:b w:val="1"/>
          <w:bCs w:val="1"/>
          <w:color w:val="auto"/>
        </w:rPr>
      </w:pPr>
    </w:p>
    <w:p>
      <w:pPr>
        <w:ind w:left="680" w:right="40" w:firstLine="401"/>
        <w:spacing w:after="0" w:line="263" w:lineRule="auto"/>
        <w:tabs>
          <w:tab w:leader="none" w:pos="1243" w:val="left"/>
        </w:tabs>
        <w:numPr>
          <w:ilvl w:val="1"/>
          <w:numId w:val="39"/>
        </w:numPr>
        <w:rPr>
          <w:rFonts w:ascii="Arial" w:cs="Arial" w:eastAsia="Arial" w:hAnsi="Arial"/>
          <w:sz w:val="12"/>
          <w:szCs w:val="12"/>
          <w:color w:val="auto"/>
        </w:rPr>
      </w:pPr>
      <w:r>
        <w:rPr>
          <w:rFonts w:ascii="Arial" w:cs="Arial" w:eastAsia="Arial" w:hAnsi="Arial"/>
          <w:sz w:val="12"/>
          <w:szCs w:val="12"/>
          <w:u w:val="single" w:color="auto"/>
          <w:color w:val="auto"/>
        </w:rPr>
        <w:t>Administration</w:t>
      </w:r>
      <w:r>
        <w:rPr>
          <w:rFonts w:ascii="Arial" w:cs="Arial" w:eastAsia="Arial" w:hAnsi="Arial"/>
          <w:sz w:val="12"/>
          <w:szCs w:val="12"/>
          <w:color w:val="auto"/>
        </w:rPr>
        <w:t>. The Plan shall be administered by the Committee. The Committee shall have the power and duty to do all things necessary or convenient to effect the intent and purposes of the Plan and not inconsistent with any of the provisions hereof, whether or not such powers and duties are specifically set forth herein, and, by way of amplification and not limitation of the foregoing, the Committee shall have the power to:</w:t>
      </w:r>
    </w:p>
    <w:p>
      <w:pPr>
        <w:spacing w:after="0" w:line="59" w:lineRule="exact"/>
        <w:rPr>
          <w:rFonts w:ascii="Arial" w:cs="Arial" w:eastAsia="Arial" w:hAnsi="Arial"/>
          <w:sz w:val="12"/>
          <w:szCs w:val="12"/>
          <w:color w:val="auto"/>
        </w:rPr>
      </w:pPr>
    </w:p>
    <w:p>
      <w:pPr>
        <w:ind w:left="1980" w:hanging="497"/>
        <w:spacing w:after="0"/>
        <w:tabs>
          <w:tab w:leader="none" w:pos="1980" w:val="left"/>
        </w:tabs>
        <w:numPr>
          <w:ilvl w:val="2"/>
          <w:numId w:val="39"/>
        </w:numPr>
        <w:rPr>
          <w:rFonts w:ascii="Arial" w:cs="Arial" w:eastAsia="Arial" w:hAnsi="Arial"/>
          <w:sz w:val="11"/>
          <w:szCs w:val="11"/>
          <w:color w:val="auto"/>
        </w:rPr>
      </w:pPr>
      <w:r>
        <w:rPr>
          <w:rFonts w:ascii="Arial" w:cs="Arial" w:eastAsia="Arial" w:hAnsi="Arial"/>
          <w:sz w:val="11"/>
          <w:szCs w:val="11"/>
          <w:color w:val="auto"/>
        </w:rPr>
        <w:t>provide rules and regulations for the management, operation and administration of the Plan, and, from time to time, to amend or supplement such rules and regulations;</w:t>
      </w:r>
    </w:p>
    <w:p>
      <w:pPr>
        <w:spacing w:after="0" w:line="288"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97790</wp:posOffset>
            </wp:positionV>
            <wp:extent cx="7299325" cy="184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540"/>
          </w:cols>
          <w:pgMar w:left="220" w:top="327" w:right="1139" w:bottom="1440" w:gutter="0" w:footer="0" w:header="0"/>
        </w:sectPr>
      </w:pPr>
    </w:p>
    <w:bookmarkStart w:id="69" w:name="page70"/>
    <w:bookmarkEnd w:id="69"/>
    <w:p>
      <w:pPr>
        <w:spacing w:after="0"/>
        <w:rPr>
          <w:rFonts w:ascii="Arial" w:cs="Arial" w:eastAsia="Arial" w:hAnsi="Arial"/>
          <w:sz w:val="12"/>
          <w:szCs w:val="12"/>
          <w:b w:val="1"/>
          <w:bCs w:val="1"/>
          <w:u w:val="single" w:color="auto"/>
          <w:color w:val="0000EE"/>
        </w:rPr>
      </w:pPr>
      <w:hyperlink w:anchor="page4">
        <w:r>
          <w:rPr>
            <w:rFonts w:ascii="Arial" w:cs="Arial" w:eastAsia="Arial" w:hAnsi="Arial"/>
            <w:sz w:val="12"/>
            <w:szCs w:val="12"/>
            <w:b w:val="1"/>
            <w:bCs w:val="1"/>
            <w:u w:val="single" w:color="auto"/>
            <w:color w:val="0000EE"/>
          </w:rPr>
          <w:t>Table of Contents</w:t>
        </w:r>
      </w:hyperlink>
    </w:p>
    <w:p>
      <w:pPr>
        <w:spacing w:after="0" w:line="215" w:lineRule="exact"/>
        <w:rPr>
          <w:sz w:val="20"/>
          <w:szCs w:val="20"/>
          <w:color w:val="auto"/>
        </w:rPr>
      </w:pPr>
    </w:p>
    <w:p>
      <w:pPr>
        <w:ind w:left="1980" w:hanging="497"/>
        <w:spacing w:after="0"/>
        <w:tabs>
          <w:tab w:leader="none" w:pos="1980" w:val="left"/>
        </w:tabs>
        <w:numPr>
          <w:ilvl w:val="0"/>
          <w:numId w:val="40"/>
        </w:numPr>
        <w:rPr>
          <w:rFonts w:ascii="Arial" w:cs="Arial" w:eastAsia="Arial" w:hAnsi="Arial"/>
          <w:sz w:val="12"/>
          <w:szCs w:val="12"/>
          <w:color w:val="auto"/>
        </w:rPr>
      </w:pPr>
      <w:r>
        <w:rPr>
          <w:rFonts w:ascii="Arial" w:cs="Arial" w:eastAsia="Arial" w:hAnsi="Arial"/>
          <w:sz w:val="12"/>
          <w:szCs w:val="12"/>
          <w:color w:val="auto"/>
        </w:rPr>
        <w:t>construe the Plan, which construction, as long as made in good faith, shall be final and conclusive upon all parties hereto;</w:t>
      </w:r>
    </w:p>
    <w:p>
      <w:pPr>
        <w:spacing w:after="0" w:line="78" w:lineRule="exact"/>
        <w:rPr>
          <w:rFonts w:ascii="Arial" w:cs="Arial" w:eastAsia="Arial" w:hAnsi="Arial"/>
          <w:sz w:val="12"/>
          <w:szCs w:val="12"/>
          <w:color w:val="auto"/>
        </w:rPr>
      </w:pPr>
    </w:p>
    <w:p>
      <w:pPr>
        <w:ind w:left="1980" w:right="60" w:hanging="497"/>
        <w:spacing w:after="0" w:line="276" w:lineRule="auto"/>
        <w:tabs>
          <w:tab w:leader="none" w:pos="1980" w:val="left"/>
        </w:tabs>
        <w:numPr>
          <w:ilvl w:val="0"/>
          <w:numId w:val="40"/>
        </w:numPr>
        <w:rPr>
          <w:rFonts w:ascii="Arial" w:cs="Arial" w:eastAsia="Arial" w:hAnsi="Arial"/>
          <w:sz w:val="12"/>
          <w:szCs w:val="12"/>
          <w:color w:val="auto"/>
        </w:rPr>
      </w:pPr>
      <w:r>
        <w:rPr>
          <w:rFonts w:ascii="Arial" w:cs="Arial" w:eastAsia="Arial" w:hAnsi="Arial"/>
          <w:sz w:val="12"/>
          <w:szCs w:val="12"/>
          <w:color w:val="auto"/>
        </w:rPr>
        <w:t>correct any defect, supply any omission, or reconcile any inconsistency in the Plan in such manner and to such extent as it shall deem expedient to carry the same into effect, and it shall be the sole and final judge of when such action shall be appropriate; and</w:t>
      </w:r>
    </w:p>
    <w:p>
      <w:pPr>
        <w:spacing w:after="0" w:line="42" w:lineRule="exact"/>
        <w:rPr>
          <w:rFonts w:ascii="Arial" w:cs="Arial" w:eastAsia="Arial" w:hAnsi="Arial"/>
          <w:sz w:val="12"/>
          <w:szCs w:val="12"/>
          <w:color w:val="auto"/>
        </w:rPr>
      </w:pPr>
    </w:p>
    <w:p>
      <w:pPr>
        <w:ind w:left="1980" w:hanging="497"/>
        <w:spacing w:after="0"/>
        <w:tabs>
          <w:tab w:leader="none" w:pos="1980" w:val="left"/>
        </w:tabs>
        <w:numPr>
          <w:ilvl w:val="0"/>
          <w:numId w:val="40"/>
        </w:numPr>
        <w:rPr>
          <w:rFonts w:ascii="Arial" w:cs="Arial" w:eastAsia="Arial" w:hAnsi="Arial"/>
          <w:sz w:val="12"/>
          <w:szCs w:val="12"/>
          <w:color w:val="auto"/>
        </w:rPr>
      </w:pPr>
      <w:r>
        <w:rPr>
          <w:rFonts w:ascii="Arial" w:cs="Arial" w:eastAsia="Arial" w:hAnsi="Arial"/>
          <w:sz w:val="12"/>
          <w:szCs w:val="12"/>
          <w:color w:val="auto"/>
        </w:rPr>
        <w:t>determine whether the conditions to the payment of a cash bonus pursuant to an Award have been satisfied.</w:t>
      </w:r>
    </w:p>
    <w:p>
      <w:pPr>
        <w:spacing w:after="0" w:line="87" w:lineRule="exact"/>
        <w:rPr>
          <w:sz w:val="20"/>
          <w:szCs w:val="20"/>
          <w:color w:val="auto"/>
        </w:rPr>
      </w:pPr>
    </w:p>
    <w:p>
      <w:pPr>
        <w:ind w:left="680" w:right="80" w:firstLine="400"/>
        <w:spacing w:after="0" w:line="276" w:lineRule="auto"/>
        <w:rPr>
          <w:sz w:val="20"/>
          <w:szCs w:val="20"/>
          <w:color w:val="auto"/>
        </w:rPr>
      </w:pPr>
      <w:r>
        <w:rPr>
          <w:rFonts w:ascii="Arial" w:cs="Arial" w:eastAsia="Arial" w:hAnsi="Arial"/>
          <w:sz w:val="12"/>
          <w:szCs w:val="12"/>
          <w:color w:val="auto"/>
        </w:rPr>
        <w:t>The resolution of any questions with respect to payments and entitlements pursuant to the provisions of the Plan shall be determined by the Committee, and all such determinations shall be final and conclusive.</w:t>
      </w:r>
    </w:p>
    <w:p>
      <w:pPr>
        <w:spacing w:after="0" w:line="52" w:lineRule="exact"/>
        <w:rPr>
          <w:sz w:val="20"/>
          <w:szCs w:val="20"/>
          <w:color w:val="auto"/>
        </w:rPr>
      </w:pPr>
    </w:p>
    <w:p>
      <w:pPr>
        <w:ind w:left="680" w:right="280" w:firstLine="401"/>
        <w:spacing w:after="0" w:line="323" w:lineRule="auto"/>
        <w:tabs>
          <w:tab w:leader="none" w:pos="1249" w:val="left"/>
        </w:tabs>
        <w:numPr>
          <w:ilvl w:val="0"/>
          <w:numId w:val="41"/>
        </w:numPr>
        <w:rPr>
          <w:rFonts w:ascii="Arial" w:cs="Arial" w:eastAsia="Arial" w:hAnsi="Arial"/>
          <w:sz w:val="11"/>
          <w:szCs w:val="11"/>
          <w:color w:val="auto"/>
        </w:rPr>
      </w:pPr>
      <w:r>
        <w:rPr>
          <w:rFonts w:ascii="Arial" w:cs="Arial" w:eastAsia="Arial" w:hAnsi="Arial"/>
          <w:sz w:val="11"/>
          <w:szCs w:val="11"/>
          <w:u w:val="single" w:color="auto"/>
          <w:color w:val="auto"/>
        </w:rPr>
        <w:t>Grants</w:t>
      </w:r>
      <w:r>
        <w:rPr>
          <w:rFonts w:ascii="Arial" w:cs="Arial" w:eastAsia="Arial" w:hAnsi="Arial"/>
          <w:sz w:val="11"/>
          <w:szCs w:val="11"/>
          <w:color w:val="auto"/>
        </w:rPr>
        <w:t>. Subject to the express terms and conditions set forth in the Plan, the Committee shall have the power, from time to time, to select those Eligible Employees to whom Awards shall be granted under the Plan, to determine the amount of cash to be paid pursuant to each Award, and, pursuant to the provisions of the Plan, to determine the terms and conditions of each Award.</w:t>
      </w:r>
    </w:p>
    <w:p>
      <w:pPr>
        <w:spacing w:after="0" w:line="28" w:lineRule="exact"/>
        <w:rPr>
          <w:rFonts w:ascii="Arial" w:cs="Arial" w:eastAsia="Arial" w:hAnsi="Arial"/>
          <w:sz w:val="11"/>
          <w:szCs w:val="11"/>
          <w:color w:val="auto"/>
        </w:rPr>
      </w:pPr>
    </w:p>
    <w:p>
      <w:pPr>
        <w:ind w:left="1240" w:hanging="159"/>
        <w:spacing w:after="0"/>
        <w:tabs>
          <w:tab w:leader="none" w:pos="1240" w:val="left"/>
        </w:tabs>
        <w:numPr>
          <w:ilvl w:val="0"/>
          <w:numId w:val="41"/>
        </w:numPr>
        <w:rPr>
          <w:rFonts w:ascii="Arial" w:cs="Arial" w:eastAsia="Arial" w:hAnsi="Arial"/>
          <w:sz w:val="12"/>
          <w:szCs w:val="12"/>
          <w:color w:val="auto"/>
        </w:rPr>
      </w:pPr>
      <w:r>
        <w:rPr>
          <w:rFonts w:ascii="Arial" w:cs="Arial" w:eastAsia="Arial" w:hAnsi="Arial"/>
          <w:sz w:val="12"/>
          <w:szCs w:val="12"/>
          <w:u w:val="single" w:color="auto"/>
          <w:color w:val="auto"/>
        </w:rPr>
        <w:t>Delegation of Authority.</w:t>
      </w:r>
    </w:p>
    <w:p>
      <w:pPr>
        <w:spacing w:after="0" w:line="87" w:lineRule="exact"/>
        <w:rPr>
          <w:rFonts w:ascii="Arial" w:cs="Arial" w:eastAsia="Arial" w:hAnsi="Arial"/>
          <w:sz w:val="12"/>
          <w:szCs w:val="12"/>
          <w:color w:val="auto"/>
        </w:rPr>
      </w:pPr>
    </w:p>
    <w:p>
      <w:pPr>
        <w:ind w:left="1980" w:hanging="497"/>
        <w:spacing w:after="0" w:line="263" w:lineRule="auto"/>
        <w:tabs>
          <w:tab w:leader="none" w:pos="1980" w:val="left"/>
        </w:tabs>
        <w:numPr>
          <w:ilvl w:val="1"/>
          <w:numId w:val="41"/>
        </w:numPr>
        <w:rPr>
          <w:rFonts w:ascii="Arial" w:cs="Arial" w:eastAsia="Arial" w:hAnsi="Arial"/>
          <w:sz w:val="12"/>
          <w:szCs w:val="12"/>
          <w:color w:val="auto"/>
        </w:rPr>
      </w:pPr>
      <w:r>
        <w:rPr>
          <w:rFonts w:ascii="Arial" w:cs="Arial" w:eastAsia="Arial" w:hAnsi="Arial"/>
          <w:sz w:val="12"/>
          <w:szCs w:val="12"/>
          <w:u w:val="single" w:color="auto"/>
          <w:color w:val="auto"/>
        </w:rPr>
        <w:t>Named Executive Officers and Section 16(b) Officers</w:t>
      </w:r>
      <w:r>
        <w:rPr>
          <w:rFonts w:ascii="Arial" w:cs="Arial" w:eastAsia="Arial" w:hAnsi="Arial"/>
          <w:sz w:val="12"/>
          <w:szCs w:val="12"/>
          <w:color w:val="auto"/>
        </w:rPr>
        <w:t>. All authority with respect to the grant, amendment, interpretation and administration of Awards with respect to any Eligible Employee who is either (x) a Named Executive Officer (</w:t>
      </w:r>
      <w:r>
        <w:rPr>
          <w:rFonts w:ascii="Arial" w:cs="Arial" w:eastAsia="Arial" w:hAnsi="Arial"/>
          <w:sz w:val="12"/>
          <w:szCs w:val="12"/>
          <w:i w:val="1"/>
          <w:iCs w:val="1"/>
          <w:color w:val="auto"/>
        </w:rPr>
        <w:t>i.e.</w:t>
      </w:r>
      <w:r>
        <w:rPr>
          <w:rFonts w:ascii="Arial" w:cs="Arial" w:eastAsia="Arial" w:hAnsi="Arial"/>
          <w:sz w:val="12"/>
          <w:szCs w:val="12"/>
          <w:color w:val="auto"/>
        </w:rPr>
        <w:t>, an officer who is required to be listed in the Company’s Proxy Statement Compensation Table) or (y) is a Section 16(b) Officer is reserved to the Committee.</w:t>
      </w:r>
    </w:p>
    <w:p>
      <w:pPr>
        <w:spacing w:after="0" w:line="50" w:lineRule="exact"/>
        <w:rPr>
          <w:rFonts w:ascii="Arial" w:cs="Arial" w:eastAsia="Arial" w:hAnsi="Arial"/>
          <w:sz w:val="12"/>
          <w:szCs w:val="12"/>
          <w:color w:val="auto"/>
        </w:rPr>
      </w:pPr>
    </w:p>
    <w:p>
      <w:pPr>
        <w:ind w:left="1980" w:right="60" w:hanging="497"/>
        <w:spacing w:after="0" w:line="298" w:lineRule="auto"/>
        <w:tabs>
          <w:tab w:leader="none" w:pos="1980" w:val="left"/>
        </w:tabs>
        <w:numPr>
          <w:ilvl w:val="1"/>
          <w:numId w:val="41"/>
        </w:numPr>
        <w:rPr>
          <w:rFonts w:ascii="Arial" w:cs="Arial" w:eastAsia="Arial" w:hAnsi="Arial"/>
          <w:sz w:val="11"/>
          <w:szCs w:val="11"/>
          <w:color w:val="auto"/>
        </w:rPr>
      </w:pPr>
      <w:r>
        <w:rPr>
          <w:rFonts w:ascii="Arial" w:cs="Arial" w:eastAsia="Arial" w:hAnsi="Arial"/>
          <w:sz w:val="11"/>
          <w:szCs w:val="11"/>
          <w:u w:val="single" w:color="auto"/>
          <w:color w:val="auto"/>
        </w:rPr>
        <w:t>Senior Officers and Highly Compensated Employees</w:t>
      </w:r>
      <w:r>
        <w:rPr>
          <w:rFonts w:ascii="Arial" w:cs="Arial" w:eastAsia="Arial" w:hAnsi="Arial"/>
          <w:sz w:val="11"/>
          <w:szCs w:val="11"/>
          <w:color w:val="auto"/>
        </w:rPr>
        <w:t>. The Committee may delegate to a committee consisting of the Chairman of the Committee and one or more officers of the Company designated by the Committee, discretion under the Plan to grant, amend, interpret and administer Awards with respect to any Eligible Employee who (x) holds a position with Comcast Corporation of Senior Vice President or a position of higher rank than Senior Vice President or (y) has a base salary of $500,000 or more.</w:t>
      </w:r>
    </w:p>
    <w:p>
      <w:pPr>
        <w:spacing w:after="0" w:line="33" w:lineRule="exact"/>
        <w:rPr>
          <w:rFonts w:ascii="Arial" w:cs="Arial" w:eastAsia="Arial" w:hAnsi="Arial"/>
          <w:sz w:val="11"/>
          <w:szCs w:val="11"/>
          <w:color w:val="auto"/>
        </w:rPr>
      </w:pPr>
    </w:p>
    <w:p>
      <w:pPr>
        <w:ind w:left="1980" w:right="120" w:hanging="497"/>
        <w:spacing w:after="0" w:line="323" w:lineRule="auto"/>
        <w:tabs>
          <w:tab w:leader="none" w:pos="1980" w:val="left"/>
        </w:tabs>
        <w:numPr>
          <w:ilvl w:val="1"/>
          <w:numId w:val="41"/>
        </w:numPr>
        <w:rPr>
          <w:rFonts w:ascii="Arial" w:cs="Arial" w:eastAsia="Arial" w:hAnsi="Arial"/>
          <w:sz w:val="11"/>
          <w:szCs w:val="11"/>
          <w:color w:val="auto"/>
        </w:rPr>
      </w:pPr>
      <w:r>
        <w:rPr>
          <w:rFonts w:ascii="Arial" w:cs="Arial" w:eastAsia="Arial" w:hAnsi="Arial"/>
          <w:sz w:val="11"/>
          <w:szCs w:val="11"/>
          <w:u w:val="single" w:color="auto"/>
          <w:color w:val="auto"/>
        </w:rPr>
        <w:t>Other Employees</w:t>
      </w:r>
      <w:r>
        <w:rPr>
          <w:rFonts w:ascii="Arial" w:cs="Arial" w:eastAsia="Arial" w:hAnsi="Arial"/>
          <w:sz w:val="11"/>
          <w:szCs w:val="11"/>
          <w:color w:val="auto"/>
        </w:rPr>
        <w:t>. The Committee may delegate to an officer of the Company, or a committee of two or more officers of the Company, discretion under the Plan to grant, amend, interpret and administer Awards with respect to any Eligible Employee other than an Eligible Employee described in Paragraph 3(c)(i) or Paragraph 3(c)(ii).</w:t>
      </w:r>
    </w:p>
    <w:p>
      <w:pPr>
        <w:spacing w:after="0" w:line="19" w:lineRule="exact"/>
        <w:rPr>
          <w:rFonts w:ascii="Arial" w:cs="Arial" w:eastAsia="Arial" w:hAnsi="Arial"/>
          <w:sz w:val="11"/>
          <w:szCs w:val="11"/>
          <w:color w:val="auto"/>
        </w:rPr>
      </w:pPr>
    </w:p>
    <w:p>
      <w:pPr>
        <w:ind w:left="1980" w:hanging="497"/>
        <w:spacing w:after="0"/>
        <w:tabs>
          <w:tab w:leader="none" w:pos="1980" w:val="left"/>
        </w:tabs>
        <w:numPr>
          <w:ilvl w:val="1"/>
          <w:numId w:val="41"/>
        </w:numPr>
        <w:rPr>
          <w:rFonts w:ascii="Arial" w:cs="Arial" w:eastAsia="Arial" w:hAnsi="Arial"/>
          <w:sz w:val="12"/>
          <w:szCs w:val="12"/>
          <w:color w:val="auto"/>
        </w:rPr>
      </w:pPr>
      <w:r>
        <w:rPr>
          <w:rFonts w:ascii="Arial" w:cs="Arial" w:eastAsia="Arial" w:hAnsi="Arial"/>
          <w:sz w:val="12"/>
          <w:szCs w:val="12"/>
          <w:u w:val="single" w:color="auto"/>
          <w:color w:val="auto"/>
        </w:rPr>
        <w:t>Termination of Delegation of Authority</w:t>
      </w:r>
      <w:r>
        <w:rPr>
          <w:rFonts w:ascii="Arial" w:cs="Arial" w:eastAsia="Arial" w:hAnsi="Arial"/>
          <w:sz w:val="12"/>
          <w:szCs w:val="12"/>
          <w:color w:val="auto"/>
        </w:rPr>
        <w:t>. Delegation of authority as provided under this Paragraph 3(c) shall continue in effect until the earliest of:</w:t>
      </w:r>
    </w:p>
    <w:p>
      <w:pPr>
        <w:spacing w:after="0" w:line="87" w:lineRule="exact"/>
        <w:rPr>
          <w:rFonts w:ascii="Arial" w:cs="Arial" w:eastAsia="Arial" w:hAnsi="Arial"/>
          <w:sz w:val="12"/>
          <w:szCs w:val="12"/>
          <w:color w:val="auto"/>
        </w:rPr>
      </w:pPr>
    </w:p>
    <w:p>
      <w:pPr>
        <w:ind w:left="2380" w:hanging="393"/>
        <w:spacing w:after="0"/>
        <w:tabs>
          <w:tab w:leader="none" w:pos="2380" w:val="left"/>
        </w:tabs>
        <w:numPr>
          <w:ilvl w:val="2"/>
          <w:numId w:val="41"/>
        </w:numPr>
        <w:rPr>
          <w:rFonts w:ascii="Arial" w:cs="Arial" w:eastAsia="Arial" w:hAnsi="Arial"/>
          <w:sz w:val="12"/>
          <w:szCs w:val="12"/>
          <w:color w:val="auto"/>
        </w:rPr>
      </w:pPr>
      <w:r>
        <w:rPr>
          <w:rFonts w:ascii="Arial" w:cs="Arial" w:eastAsia="Arial" w:hAnsi="Arial"/>
          <w:sz w:val="12"/>
          <w:szCs w:val="12"/>
          <w:color w:val="auto"/>
        </w:rPr>
        <w:t>such time as the Committee shall, in its discretion, revoke such delegation of authority;</w:t>
      </w:r>
    </w:p>
    <w:p>
      <w:pPr>
        <w:spacing w:after="0" w:line="78" w:lineRule="exact"/>
        <w:rPr>
          <w:rFonts w:ascii="Arial" w:cs="Arial" w:eastAsia="Arial" w:hAnsi="Arial"/>
          <w:sz w:val="12"/>
          <w:szCs w:val="12"/>
          <w:color w:val="auto"/>
        </w:rPr>
      </w:pPr>
    </w:p>
    <w:p>
      <w:pPr>
        <w:ind w:left="2380" w:right="80" w:hanging="393"/>
        <w:spacing w:after="0" w:line="375" w:lineRule="auto"/>
        <w:tabs>
          <w:tab w:leader="none" w:pos="2380" w:val="left"/>
        </w:tabs>
        <w:numPr>
          <w:ilvl w:val="2"/>
          <w:numId w:val="41"/>
        </w:numPr>
        <w:rPr>
          <w:rFonts w:ascii="Arial" w:cs="Arial" w:eastAsia="Arial" w:hAnsi="Arial"/>
          <w:sz w:val="10"/>
          <w:szCs w:val="10"/>
          <w:color w:val="auto"/>
        </w:rPr>
      </w:pPr>
      <w:r>
        <w:rPr>
          <w:rFonts w:ascii="Arial" w:cs="Arial" w:eastAsia="Arial" w:hAnsi="Arial"/>
          <w:sz w:val="10"/>
          <w:szCs w:val="10"/>
          <w:color w:val="auto"/>
        </w:rPr>
        <w:t>in the case of delegation under Paragraph 5(c)(ii), the delegate shall cease to serve as Chairman of the Committee or serve as an employee of the Company for any reason, as the case may be and in the case of delegation under Paragraph 5(c)(iii), the delegate shall cease to serve as an employee of the Company for any reason; or</w:t>
      </w:r>
    </w:p>
    <w:p>
      <w:pPr>
        <w:ind w:left="2380" w:hanging="393"/>
        <w:spacing w:after="0"/>
        <w:tabs>
          <w:tab w:leader="none" w:pos="2380" w:val="left"/>
        </w:tabs>
        <w:numPr>
          <w:ilvl w:val="2"/>
          <w:numId w:val="41"/>
        </w:numPr>
        <w:rPr>
          <w:rFonts w:ascii="Arial" w:cs="Arial" w:eastAsia="Arial" w:hAnsi="Arial"/>
          <w:sz w:val="12"/>
          <w:szCs w:val="12"/>
          <w:color w:val="auto"/>
        </w:rPr>
      </w:pPr>
      <w:r>
        <w:rPr>
          <w:rFonts w:ascii="Arial" w:cs="Arial" w:eastAsia="Arial" w:hAnsi="Arial"/>
          <w:sz w:val="12"/>
          <w:szCs w:val="12"/>
          <w:color w:val="auto"/>
        </w:rPr>
        <w:t>the delegate shall notify the Committee that he declines to continue to exercise such authority.</w:t>
      </w:r>
    </w:p>
    <w:p>
      <w:pPr>
        <w:spacing w:after="0" w:line="87" w:lineRule="exact"/>
        <w:rPr>
          <w:rFonts w:ascii="Arial" w:cs="Arial" w:eastAsia="Arial" w:hAnsi="Arial"/>
          <w:sz w:val="12"/>
          <w:szCs w:val="12"/>
          <w:color w:val="auto"/>
        </w:rPr>
      </w:pPr>
    </w:p>
    <w:p>
      <w:pPr>
        <w:ind w:left="680" w:right="80" w:firstLine="401"/>
        <w:spacing w:after="0" w:line="263" w:lineRule="auto"/>
        <w:tabs>
          <w:tab w:leader="none" w:pos="1249" w:val="left"/>
        </w:tabs>
        <w:numPr>
          <w:ilvl w:val="0"/>
          <w:numId w:val="41"/>
        </w:numPr>
        <w:rPr>
          <w:rFonts w:ascii="Arial" w:cs="Arial" w:eastAsia="Arial" w:hAnsi="Arial"/>
          <w:sz w:val="12"/>
          <w:szCs w:val="12"/>
          <w:color w:val="auto"/>
        </w:rPr>
      </w:pPr>
      <w:r>
        <w:rPr>
          <w:rFonts w:ascii="Arial" w:cs="Arial" w:eastAsia="Arial" w:hAnsi="Arial"/>
          <w:sz w:val="12"/>
          <w:szCs w:val="12"/>
          <w:u w:val="single" w:color="auto"/>
          <w:color w:val="auto"/>
        </w:rPr>
        <w:t>Grantee Information</w:t>
      </w:r>
      <w:r>
        <w:rPr>
          <w:rFonts w:ascii="Arial" w:cs="Arial" w:eastAsia="Arial" w:hAnsi="Arial"/>
          <w:sz w:val="12"/>
          <w:szCs w:val="12"/>
          <w:color w:val="auto"/>
        </w:rPr>
        <w:t>. The Company shall furnish to the Committee in writing all information the Company deems appropriate for the Committee to exercise its powers and duties in administration of the Plan. Such information shall be conclusive for all purposes of the Plan and the Committee shall be entitled to rely thereon without any investigation thereof; provided, however, that the Committee may correct any errors discovered in any such information.</w:t>
      </w:r>
    </w:p>
    <w:p>
      <w:pPr>
        <w:spacing w:after="0" w:line="249"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97790</wp:posOffset>
            </wp:positionV>
            <wp:extent cx="7299325" cy="184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640"/>
          </w:cols>
          <w:pgMar w:left="220" w:top="327" w:right="1039" w:bottom="1440" w:gutter="0" w:footer="0" w:header="0"/>
        </w:sectPr>
      </w:pPr>
    </w:p>
    <w:bookmarkStart w:id="70" w:name="page71"/>
    <w:bookmarkEnd w:id="70"/>
    <w:p>
      <w:pPr>
        <w:spacing w:after="0"/>
        <w:rPr>
          <w:rFonts w:ascii="Arial" w:cs="Arial" w:eastAsia="Arial" w:hAnsi="Arial"/>
          <w:sz w:val="12"/>
          <w:szCs w:val="12"/>
          <w:b w:val="1"/>
          <w:bCs w:val="1"/>
          <w:u w:val="single" w:color="auto"/>
          <w:color w:val="0000EE"/>
        </w:rPr>
      </w:pPr>
      <w:hyperlink w:anchor="page4">
        <w:r>
          <w:rPr>
            <w:rFonts w:ascii="Arial" w:cs="Arial" w:eastAsia="Arial" w:hAnsi="Arial"/>
            <w:sz w:val="12"/>
            <w:szCs w:val="12"/>
            <w:b w:val="1"/>
            <w:bCs w:val="1"/>
            <w:u w:val="single" w:color="auto"/>
            <w:color w:val="0000EE"/>
          </w:rPr>
          <w:t>Table of Contents</w:t>
        </w:r>
      </w:hyperlink>
    </w:p>
    <w:p>
      <w:pPr>
        <w:spacing w:after="0" w:line="211" w:lineRule="exact"/>
        <w:rPr>
          <w:sz w:val="20"/>
          <w:szCs w:val="20"/>
          <w:color w:val="auto"/>
        </w:rPr>
      </w:pPr>
    </w:p>
    <w:p>
      <w:pPr>
        <w:ind w:left="980" w:hanging="299"/>
        <w:spacing w:after="0"/>
        <w:tabs>
          <w:tab w:leader="none" w:pos="980" w:val="left"/>
        </w:tabs>
        <w:numPr>
          <w:ilvl w:val="0"/>
          <w:numId w:val="42"/>
        </w:numPr>
        <w:rPr>
          <w:rFonts w:ascii="Arial" w:cs="Arial" w:eastAsia="Arial" w:hAnsi="Arial"/>
          <w:sz w:val="12"/>
          <w:szCs w:val="12"/>
          <w:b w:val="1"/>
          <w:bCs w:val="1"/>
          <w:color w:val="auto"/>
        </w:rPr>
      </w:pPr>
      <w:r>
        <w:rPr>
          <w:rFonts w:ascii="Arial" w:cs="Arial" w:eastAsia="Arial" w:hAnsi="Arial"/>
          <w:sz w:val="12"/>
          <w:szCs w:val="12"/>
          <w:b w:val="1"/>
          <w:bCs w:val="1"/>
          <w:color w:val="auto"/>
        </w:rPr>
        <w:t>Eligibility</w:t>
      </w:r>
    </w:p>
    <w:p>
      <w:pPr>
        <w:spacing w:after="0" w:line="91" w:lineRule="exact"/>
        <w:rPr>
          <w:sz w:val="20"/>
          <w:szCs w:val="20"/>
          <w:color w:val="auto"/>
        </w:rPr>
      </w:pPr>
    </w:p>
    <w:p>
      <w:pPr>
        <w:ind w:left="680" w:right="80" w:firstLine="400"/>
        <w:spacing w:after="0" w:line="276" w:lineRule="auto"/>
        <w:rPr>
          <w:sz w:val="20"/>
          <w:szCs w:val="20"/>
          <w:color w:val="auto"/>
        </w:rPr>
      </w:pPr>
      <w:r>
        <w:rPr>
          <w:rFonts w:ascii="Arial" w:cs="Arial" w:eastAsia="Arial" w:hAnsi="Arial"/>
          <w:sz w:val="12"/>
          <w:szCs w:val="12"/>
          <w:color w:val="auto"/>
        </w:rPr>
        <w:t>Awards may be granted only to Eligible Employees of the Company and its Affiliates, as determined by the Committee. No Awards shall be granted to an individual who is not an Eligible Employee of the Company or an Affiliate of the Company.</w:t>
      </w:r>
    </w:p>
    <w:p>
      <w:pPr>
        <w:spacing w:after="0" w:line="120" w:lineRule="exact"/>
        <w:rPr>
          <w:sz w:val="20"/>
          <w:szCs w:val="20"/>
          <w:color w:val="auto"/>
        </w:rPr>
      </w:pPr>
    </w:p>
    <w:p>
      <w:pPr>
        <w:ind w:left="980" w:hanging="299"/>
        <w:spacing w:after="0"/>
        <w:tabs>
          <w:tab w:leader="none" w:pos="980" w:val="left"/>
        </w:tabs>
        <w:numPr>
          <w:ilvl w:val="0"/>
          <w:numId w:val="43"/>
        </w:numPr>
        <w:rPr>
          <w:rFonts w:ascii="Arial" w:cs="Arial" w:eastAsia="Arial" w:hAnsi="Arial"/>
          <w:sz w:val="12"/>
          <w:szCs w:val="12"/>
          <w:b w:val="1"/>
          <w:bCs w:val="1"/>
          <w:color w:val="auto"/>
        </w:rPr>
      </w:pPr>
      <w:r>
        <w:rPr>
          <w:rFonts w:ascii="Arial" w:cs="Arial" w:eastAsia="Arial" w:hAnsi="Arial"/>
          <w:sz w:val="12"/>
          <w:szCs w:val="12"/>
          <w:b w:val="1"/>
          <w:bCs w:val="1"/>
          <w:color w:val="auto"/>
        </w:rPr>
        <w:t>Awards</w:t>
      </w:r>
    </w:p>
    <w:p>
      <w:pPr>
        <w:spacing w:after="0" w:line="91" w:lineRule="exact"/>
        <w:rPr>
          <w:sz w:val="20"/>
          <w:szCs w:val="20"/>
          <w:color w:val="auto"/>
        </w:rPr>
      </w:pPr>
    </w:p>
    <w:p>
      <w:pPr>
        <w:ind w:left="680" w:right="440" w:firstLine="400"/>
        <w:spacing w:after="0" w:line="276" w:lineRule="auto"/>
        <w:rPr>
          <w:sz w:val="20"/>
          <w:szCs w:val="20"/>
          <w:color w:val="auto"/>
        </w:rPr>
      </w:pPr>
      <w:r>
        <w:rPr>
          <w:rFonts w:ascii="Arial" w:cs="Arial" w:eastAsia="Arial" w:hAnsi="Arial"/>
          <w:sz w:val="12"/>
          <w:szCs w:val="12"/>
          <w:color w:val="auto"/>
        </w:rPr>
        <w:t>The Committee may grant Awards in accordance with the Plan. The terms and conditions of Awards shall be as determined from time to time by the Committee, consistent, however, with the following:</w:t>
      </w:r>
    </w:p>
    <w:p>
      <w:pPr>
        <w:spacing w:after="0" w:line="52" w:lineRule="exact"/>
        <w:rPr>
          <w:sz w:val="20"/>
          <w:szCs w:val="20"/>
          <w:color w:val="auto"/>
        </w:rPr>
      </w:pPr>
    </w:p>
    <w:p>
      <w:pPr>
        <w:ind w:left="1240" w:hanging="159"/>
        <w:spacing w:after="0"/>
        <w:tabs>
          <w:tab w:leader="none" w:pos="1240" w:val="left"/>
        </w:tabs>
        <w:numPr>
          <w:ilvl w:val="0"/>
          <w:numId w:val="44"/>
        </w:numPr>
        <w:rPr>
          <w:rFonts w:ascii="Arial" w:cs="Arial" w:eastAsia="Arial" w:hAnsi="Arial"/>
          <w:sz w:val="12"/>
          <w:szCs w:val="12"/>
          <w:color w:val="auto"/>
        </w:rPr>
      </w:pPr>
      <w:r>
        <w:rPr>
          <w:rFonts w:ascii="Arial" w:cs="Arial" w:eastAsia="Arial" w:hAnsi="Arial"/>
          <w:sz w:val="12"/>
          <w:szCs w:val="12"/>
          <w:u w:val="single" w:color="auto"/>
          <w:color w:val="auto"/>
        </w:rPr>
        <w:t>Time of Grant</w:t>
      </w:r>
      <w:r>
        <w:rPr>
          <w:rFonts w:ascii="Arial" w:cs="Arial" w:eastAsia="Arial" w:hAnsi="Arial"/>
          <w:sz w:val="12"/>
          <w:szCs w:val="12"/>
          <w:color w:val="auto"/>
        </w:rPr>
        <w:t>. Awards may be granted at any time from the date of adoption of the Plan by the Board until the Plan is terminated by the Board or the Committee.</w:t>
      </w:r>
    </w:p>
    <w:p>
      <w:pPr>
        <w:spacing w:after="0" w:line="87" w:lineRule="exact"/>
        <w:rPr>
          <w:rFonts w:ascii="Arial" w:cs="Arial" w:eastAsia="Arial" w:hAnsi="Arial"/>
          <w:sz w:val="12"/>
          <w:szCs w:val="12"/>
          <w:color w:val="auto"/>
        </w:rPr>
      </w:pPr>
    </w:p>
    <w:p>
      <w:pPr>
        <w:ind w:left="1260" w:hanging="179"/>
        <w:spacing w:after="0"/>
        <w:tabs>
          <w:tab w:leader="none" w:pos="1260" w:val="left"/>
        </w:tabs>
        <w:numPr>
          <w:ilvl w:val="0"/>
          <w:numId w:val="44"/>
        </w:numPr>
        <w:rPr>
          <w:rFonts w:ascii="Arial" w:cs="Arial" w:eastAsia="Arial" w:hAnsi="Arial"/>
          <w:sz w:val="12"/>
          <w:szCs w:val="12"/>
          <w:color w:val="auto"/>
        </w:rPr>
      </w:pPr>
      <w:r>
        <w:rPr>
          <w:rFonts w:ascii="Arial" w:cs="Arial" w:eastAsia="Arial" w:hAnsi="Arial"/>
          <w:sz w:val="12"/>
          <w:szCs w:val="12"/>
          <w:u w:val="single" w:color="auto"/>
          <w:color w:val="auto"/>
        </w:rPr>
        <w:t>Non-uniformity of Awards</w:t>
      </w:r>
      <w:r>
        <w:rPr>
          <w:rFonts w:ascii="Arial" w:cs="Arial" w:eastAsia="Arial" w:hAnsi="Arial"/>
          <w:sz w:val="12"/>
          <w:szCs w:val="12"/>
          <w:color w:val="auto"/>
        </w:rPr>
        <w:t>. The provisions of Awards need not be the same with respect to each Grantee.</w:t>
      </w:r>
    </w:p>
    <w:p>
      <w:pPr>
        <w:spacing w:after="0" w:line="87" w:lineRule="exact"/>
        <w:rPr>
          <w:rFonts w:ascii="Arial" w:cs="Arial" w:eastAsia="Arial" w:hAnsi="Arial"/>
          <w:sz w:val="12"/>
          <w:szCs w:val="12"/>
          <w:color w:val="auto"/>
        </w:rPr>
      </w:pPr>
    </w:p>
    <w:p>
      <w:pPr>
        <w:ind w:left="1240" w:hanging="159"/>
        <w:spacing w:after="0"/>
        <w:tabs>
          <w:tab w:leader="none" w:pos="1240" w:val="left"/>
        </w:tabs>
        <w:numPr>
          <w:ilvl w:val="0"/>
          <w:numId w:val="44"/>
        </w:numPr>
        <w:rPr>
          <w:rFonts w:ascii="Arial" w:cs="Arial" w:eastAsia="Arial" w:hAnsi="Arial"/>
          <w:sz w:val="12"/>
          <w:szCs w:val="12"/>
          <w:color w:val="auto"/>
        </w:rPr>
      </w:pPr>
      <w:r>
        <w:rPr>
          <w:rFonts w:ascii="Arial" w:cs="Arial" w:eastAsia="Arial" w:hAnsi="Arial"/>
          <w:sz w:val="12"/>
          <w:szCs w:val="12"/>
          <w:u w:val="single" w:color="auto"/>
          <w:color w:val="auto"/>
        </w:rPr>
        <w:t>Establishment of Targets and Conditions to Payment of Awards.</w:t>
      </w:r>
    </w:p>
    <w:p>
      <w:pPr>
        <w:spacing w:after="0" w:line="87" w:lineRule="exact"/>
        <w:rPr>
          <w:rFonts w:ascii="Arial" w:cs="Arial" w:eastAsia="Arial" w:hAnsi="Arial"/>
          <w:sz w:val="12"/>
          <w:szCs w:val="12"/>
          <w:color w:val="auto"/>
        </w:rPr>
      </w:pPr>
    </w:p>
    <w:p>
      <w:pPr>
        <w:ind w:left="1980" w:hanging="497"/>
        <w:spacing w:after="0"/>
        <w:tabs>
          <w:tab w:leader="none" w:pos="1980" w:val="left"/>
        </w:tabs>
        <w:numPr>
          <w:ilvl w:val="1"/>
          <w:numId w:val="44"/>
        </w:numPr>
        <w:rPr>
          <w:rFonts w:ascii="Arial" w:cs="Arial" w:eastAsia="Arial" w:hAnsi="Arial"/>
          <w:sz w:val="12"/>
          <w:szCs w:val="12"/>
          <w:color w:val="auto"/>
        </w:rPr>
      </w:pPr>
      <w:r>
        <w:rPr>
          <w:rFonts w:ascii="Arial" w:cs="Arial" w:eastAsia="Arial" w:hAnsi="Arial"/>
          <w:sz w:val="12"/>
          <w:szCs w:val="12"/>
          <w:color w:val="auto"/>
        </w:rPr>
        <w:t>Awards shall be expressed as a percentage of a Grantee’s base salary.</w:t>
      </w:r>
    </w:p>
    <w:p>
      <w:pPr>
        <w:spacing w:after="0" w:line="78" w:lineRule="exact"/>
        <w:rPr>
          <w:rFonts w:ascii="Arial" w:cs="Arial" w:eastAsia="Arial" w:hAnsi="Arial"/>
          <w:sz w:val="12"/>
          <w:szCs w:val="12"/>
          <w:color w:val="auto"/>
        </w:rPr>
      </w:pPr>
    </w:p>
    <w:p>
      <w:pPr>
        <w:ind w:left="1980" w:hanging="497"/>
        <w:spacing w:after="0"/>
        <w:tabs>
          <w:tab w:leader="none" w:pos="1980" w:val="left"/>
        </w:tabs>
        <w:numPr>
          <w:ilvl w:val="1"/>
          <w:numId w:val="44"/>
        </w:numPr>
        <w:rPr>
          <w:rFonts w:ascii="Arial" w:cs="Arial" w:eastAsia="Arial" w:hAnsi="Arial"/>
          <w:sz w:val="12"/>
          <w:szCs w:val="12"/>
          <w:color w:val="auto"/>
        </w:rPr>
      </w:pPr>
      <w:r>
        <w:rPr>
          <w:rFonts w:ascii="Arial" w:cs="Arial" w:eastAsia="Arial" w:hAnsi="Arial"/>
          <w:sz w:val="12"/>
          <w:szCs w:val="12"/>
          <w:color w:val="auto"/>
        </w:rPr>
        <w:t>The Committee shall establish such conditions on the payment of a bonus pursuant to an Award as it may, in its sole discretion, deem appropriate.</w:t>
      </w:r>
    </w:p>
    <w:p>
      <w:pPr>
        <w:spacing w:after="0" w:line="78" w:lineRule="exact"/>
        <w:rPr>
          <w:rFonts w:ascii="Arial" w:cs="Arial" w:eastAsia="Arial" w:hAnsi="Arial"/>
          <w:sz w:val="12"/>
          <w:szCs w:val="12"/>
          <w:color w:val="auto"/>
        </w:rPr>
      </w:pPr>
    </w:p>
    <w:p>
      <w:pPr>
        <w:ind w:left="1980" w:right="220" w:hanging="497"/>
        <w:spacing w:after="0" w:line="276" w:lineRule="auto"/>
        <w:tabs>
          <w:tab w:leader="none" w:pos="1980" w:val="left"/>
        </w:tabs>
        <w:numPr>
          <w:ilvl w:val="1"/>
          <w:numId w:val="44"/>
        </w:numPr>
        <w:rPr>
          <w:rFonts w:ascii="Arial" w:cs="Arial" w:eastAsia="Arial" w:hAnsi="Arial"/>
          <w:sz w:val="12"/>
          <w:szCs w:val="12"/>
          <w:color w:val="auto"/>
        </w:rPr>
      </w:pPr>
      <w:r>
        <w:rPr>
          <w:rFonts w:ascii="Arial" w:cs="Arial" w:eastAsia="Arial" w:hAnsi="Arial"/>
          <w:sz w:val="12"/>
          <w:szCs w:val="12"/>
          <w:color w:val="auto"/>
        </w:rPr>
        <w:t>The Award may provide for the payment of Awards in installments, or upon the satisfaction of Qualitative Performance Standards or Quantitative Performance Standards, on an individual, divisional or Company-wide basis, as determined by the Committee.</w:t>
      </w:r>
    </w:p>
    <w:p>
      <w:pPr>
        <w:spacing w:after="0" w:line="42" w:lineRule="exact"/>
        <w:rPr>
          <w:rFonts w:ascii="Arial" w:cs="Arial" w:eastAsia="Arial" w:hAnsi="Arial"/>
          <w:sz w:val="12"/>
          <w:szCs w:val="12"/>
          <w:color w:val="auto"/>
        </w:rPr>
      </w:pPr>
    </w:p>
    <w:p>
      <w:pPr>
        <w:ind w:left="1980" w:hanging="497"/>
        <w:spacing w:after="0" w:line="263" w:lineRule="auto"/>
        <w:tabs>
          <w:tab w:leader="none" w:pos="1980" w:val="left"/>
        </w:tabs>
        <w:numPr>
          <w:ilvl w:val="1"/>
          <w:numId w:val="44"/>
        </w:numPr>
        <w:rPr>
          <w:rFonts w:ascii="Arial" w:cs="Arial" w:eastAsia="Arial" w:hAnsi="Arial"/>
          <w:sz w:val="12"/>
          <w:szCs w:val="12"/>
          <w:color w:val="auto"/>
        </w:rPr>
      </w:pPr>
      <w:r>
        <w:rPr>
          <w:rFonts w:ascii="Arial" w:cs="Arial" w:eastAsia="Arial" w:hAnsi="Arial"/>
          <w:sz w:val="12"/>
          <w:szCs w:val="12"/>
          <w:color w:val="auto"/>
        </w:rPr>
        <w:t>For any Section 162(m) Award, the Committee shall establish the Targets for each Plan Year no later than 90 days after the first day of the Plan Year, or, if sooner, within the first 25% of the Plan Year, provided, however, that the Committee must determine that, as of the date the Quantitative Performance Standards are established, it is substantially uncertain whether the Quantitative Performance Standards will be achieved.</w:t>
      </w:r>
    </w:p>
    <w:p>
      <w:pPr>
        <w:spacing w:after="0" w:line="50" w:lineRule="exact"/>
        <w:rPr>
          <w:rFonts w:ascii="Arial" w:cs="Arial" w:eastAsia="Arial" w:hAnsi="Arial"/>
          <w:sz w:val="12"/>
          <w:szCs w:val="12"/>
          <w:color w:val="auto"/>
        </w:rPr>
      </w:pPr>
    </w:p>
    <w:p>
      <w:pPr>
        <w:ind w:left="1980" w:right="20" w:hanging="497"/>
        <w:spacing w:after="0" w:line="263" w:lineRule="auto"/>
        <w:tabs>
          <w:tab w:leader="none" w:pos="1980" w:val="left"/>
        </w:tabs>
        <w:numPr>
          <w:ilvl w:val="1"/>
          <w:numId w:val="44"/>
        </w:numPr>
        <w:rPr>
          <w:rFonts w:ascii="Arial" w:cs="Arial" w:eastAsia="Arial" w:hAnsi="Arial"/>
          <w:sz w:val="12"/>
          <w:szCs w:val="12"/>
          <w:color w:val="auto"/>
        </w:rPr>
      </w:pPr>
      <w:r>
        <w:rPr>
          <w:rFonts w:ascii="Arial" w:cs="Arial" w:eastAsia="Arial" w:hAnsi="Arial"/>
          <w:sz w:val="12"/>
          <w:szCs w:val="12"/>
          <w:color w:val="auto"/>
        </w:rPr>
        <w:t>Each Grantee shall be entitled to receive payment of the Award for a Plan Year only after certification by the Committee that the Targets established by the Committee for such Plan Year have been satisfied. The Company shall pay the Awards under the Plan to each Grantee as soon as reasonably practicable following the end of each Plan Year, but not later than 2</w:t>
      </w:r>
      <w:r>
        <w:rPr>
          <w:rFonts w:ascii="Arial" w:cs="Arial" w:eastAsia="Arial" w:hAnsi="Arial"/>
          <w:sz w:val="16"/>
          <w:szCs w:val="16"/>
          <w:color w:val="auto"/>
          <w:vertAlign w:val="superscript"/>
        </w:rPr>
        <w:t>1</w:t>
      </w:r>
      <w:r>
        <w:rPr>
          <w:rFonts w:ascii="Arial" w:cs="Arial" w:eastAsia="Arial" w:hAnsi="Arial"/>
          <w:sz w:val="12"/>
          <w:szCs w:val="12"/>
          <w:color w:val="auto"/>
        </w:rPr>
        <w:t>/</w:t>
      </w:r>
      <w:r>
        <w:rPr>
          <w:rFonts w:ascii="Arial" w:cs="Arial" w:eastAsia="Arial" w:hAnsi="Arial"/>
          <w:sz w:val="8"/>
          <w:szCs w:val="8"/>
          <w:color w:val="auto"/>
        </w:rPr>
        <w:t>2</w:t>
      </w:r>
      <w:r>
        <w:rPr>
          <w:rFonts w:ascii="Arial" w:cs="Arial" w:eastAsia="Arial" w:hAnsi="Arial"/>
          <w:sz w:val="12"/>
          <w:szCs w:val="12"/>
          <w:color w:val="auto"/>
        </w:rPr>
        <w:t xml:space="preserve"> months following the close of such Plan Year.</w:t>
      </w:r>
    </w:p>
    <w:p>
      <w:pPr>
        <w:spacing w:after="0" w:line="1" w:lineRule="exact"/>
        <w:rPr>
          <w:rFonts w:ascii="Arial" w:cs="Arial" w:eastAsia="Arial" w:hAnsi="Arial"/>
          <w:sz w:val="12"/>
          <w:szCs w:val="12"/>
          <w:color w:val="auto"/>
        </w:rPr>
      </w:pPr>
    </w:p>
    <w:p>
      <w:pPr>
        <w:ind w:left="1980" w:hanging="497"/>
        <w:spacing w:after="0" w:line="311" w:lineRule="auto"/>
        <w:tabs>
          <w:tab w:leader="none" w:pos="1980" w:val="left"/>
        </w:tabs>
        <w:numPr>
          <w:ilvl w:val="1"/>
          <w:numId w:val="44"/>
        </w:numPr>
        <w:rPr>
          <w:rFonts w:ascii="Arial" w:cs="Arial" w:eastAsia="Arial" w:hAnsi="Arial"/>
          <w:sz w:val="10"/>
          <w:szCs w:val="10"/>
          <w:color w:val="auto"/>
        </w:rPr>
      </w:pPr>
      <w:r>
        <w:rPr>
          <w:rFonts w:ascii="Arial" w:cs="Arial" w:eastAsia="Arial" w:hAnsi="Arial"/>
          <w:sz w:val="10"/>
          <w:szCs w:val="10"/>
          <w:color w:val="auto"/>
        </w:rPr>
        <w:t>For purposes of calculating whether any Quantitative Performance Standard has been met, in the event there is a significant acquisition or disposition of any assets, business division, company or other business operations of the Company or such division or business unit that is reasonably expected to have an effect on the Quantitative Performance Standard as otherwise determined under the terms of the Plan, the relevant performance objectives shall be adjusted to take into account the impact of such acquisition or disposition by increasing or decreasing such goals in the same proportion as the relevant performance measure of the Company or such division or business unit would have been affected for the prior performance measurement period on a pro forma basis had such an acquisition or disposition occurred on the same date during the prior performance measurement period; provided further that such adjustment shall be based upon the historical equivalent of the relevant performance measure of the business or assets so acquired or disposed of for the prior performance measurement period, as shown by such records as are available to the Company, as further adjusted to reflect any aspects of the transaction that should be taken into account to ensure comparability between amounts in the prior performance measurement period and the current performance measurement period.</w:t>
      </w:r>
    </w:p>
    <w:p>
      <w:pPr>
        <w:spacing w:after="0" w:line="31" w:lineRule="exact"/>
        <w:rPr>
          <w:rFonts w:ascii="Arial" w:cs="Arial" w:eastAsia="Arial" w:hAnsi="Arial"/>
          <w:sz w:val="10"/>
          <w:szCs w:val="10"/>
          <w:color w:val="auto"/>
        </w:rPr>
      </w:pPr>
    </w:p>
    <w:p>
      <w:pPr>
        <w:ind w:left="1980" w:right="160" w:hanging="497"/>
        <w:spacing w:after="0" w:line="276" w:lineRule="auto"/>
        <w:tabs>
          <w:tab w:leader="none" w:pos="1980" w:val="left"/>
        </w:tabs>
        <w:numPr>
          <w:ilvl w:val="1"/>
          <w:numId w:val="44"/>
        </w:numPr>
        <w:rPr>
          <w:rFonts w:ascii="Arial" w:cs="Arial" w:eastAsia="Arial" w:hAnsi="Arial"/>
          <w:sz w:val="12"/>
          <w:szCs w:val="12"/>
          <w:color w:val="auto"/>
        </w:rPr>
      </w:pPr>
      <w:r>
        <w:rPr>
          <w:rFonts w:ascii="Arial" w:cs="Arial" w:eastAsia="Arial" w:hAnsi="Arial"/>
          <w:sz w:val="12"/>
          <w:szCs w:val="12"/>
          <w:color w:val="auto"/>
        </w:rPr>
        <w:t>Notwithstanding the determination of the amount of a Grantee’s bonus payable with respect to any Plan Year under the Plan, the Committee shall have the discretion to reduce or eliminate the bonus otherwise payable to a Grantee if it determines that such a reduction or elimination of</w:t>
      </w: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97790</wp:posOffset>
            </wp:positionV>
            <wp:extent cx="7299325" cy="184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660"/>
          </w:cols>
          <w:pgMar w:left="220" w:top="327" w:right="1019" w:bottom="1440" w:gutter="0" w:footer="0" w:header="0"/>
        </w:sectPr>
      </w:pPr>
    </w:p>
    <w:bookmarkStart w:id="71" w:name="page72"/>
    <w:bookmarkEnd w:id="71"/>
    <w:p>
      <w:pPr>
        <w:spacing w:after="0"/>
        <w:rPr>
          <w:rFonts w:ascii="Arial" w:cs="Arial" w:eastAsia="Arial" w:hAnsi="Arial"/>
          <w:sz w:val="12"/>
          <w:szCs w:val="12"/>
          <w:b w:val="1"/>
          <w:bCs w:val="1"/>
          <w:u w:val="single" w:color="auto"/>
          <w:color w:val="0000EE"/>
        </w:rPr>
      </w:pP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bonus is in the best interests of the Company. The Committee may not waive, in whole or in part, any remaining conditions to payment of a Section 162(m) Award.</w:t>
      </w:r>
    </w:p>
    <w:p>
      <w:pPr>
        <w:spacing w:after="0" w:line="99" w:lineRule="exact"/>
        <w:rPr>
          <w:sz w:val="20"/>
          <w:szCs w:val="20"/>
          <w:color w:val="auto"/>
        </w:rPr>
      </w:pPr>
    </w:p>
    <w:p>
      <w:pPr>
        <w:ind w:left="1240" w:hanging="159"/>
        <w:spacing w:after="0"/>
        <w:tabs>
          <w:tab w:leader="none" w:pos="1240" w:val="left"/>
        </w:tabs>
        <w:numPr>
          <w:ilvl w:val="0"/>
          <w:numId w:val="45"/>
        </w:numPr>
        <w:rPr>
          <w:rFonts w:ascii="Arial" w:cs="Arial" w:eastAsia="Arial" w:hAnsi="Arial"/>
          <w:sz w:val="12"/>
          <w:szCs w:val="12"/>
          <w:color w:val="auto"/>
        </w:rPr>
      </w:pPr>
      <w:r>
        <w:rPr>
          <w:rFonts w:ascii="Arial" w:cs="Arial" w:eastAsia="Arial" w:hAnsi="Arial"/>
          <w:sz w:val="12"/>
          <w:szCs w:val="12"/>
          <w:u w:val="single" w:color="auto"/>
          <w:color w:val="auto"/>
        </w:rPr>
        <w:t>Transfer and Termination of Grantee’s Employment.</w:t>
      </w:r>
    </w:p>
    <w:p>
      <w:pPr>
        <w:spacing w:after="0" w:line="87" w:lineRule="exact"/>
        <w:rPr>
          <w:rFonts w:ascii="Arial" w:cs="Arial" w:eastAsia="Arial" w:hAnsi="Arial"/>
          <w:sz w:val="12"/>
          <w:szCs w:val="12"/>
          <w:color w:val="auto"/>
        </w:rPr>
      </w:pPr>
    </w:p>
    <w:p>
      <w:pPr>
        <w:ind w:left="1980" w:hanging="497"/>
        <w:spacing w:after="0" w:line="283" w:lineRule="auto"/>
        <w:tabs>
          <w:tab w:leader="none" w:pos="1980" w:val="left"/>
        </w:tabs>
        <w:numPr>
          <w:ilvl w:val="1"/>
          <w:numId w:val="45"/>
        </w:numPr>
        <w:rPr>
          <w:rFonts w:ascii="Arial" w:cs="Arial" w:eastAsia="Arial" w:hAnsi="Arial"/>
          <w:sz w:val="11"/>
          <w:szCs w:val="11"/>
          <w:color w:val="auto"/>
        </w:rPr>
      </w:pPr>
      <w:r>
        <w:rPr>
          <w:rFonts w:ascii="Arial" w:cs="Arial" w:eastAsia="Arial" w:hAnsi="Arial"/>
          <w:sz w:val="11"/>
          <w:szCs w:val="11"/>
          <w:u w:val="single" w:color="auto"/>
          <w:color w:val="auto"/>
        </w:rPr>
        <w:t>Transfer of Employment</w:t>
      </w:r>
      <w:r>
        <w:rPr>
          <w:rFonts w:ascii="Arial" w:cs="Arial" w:eastAsia="Arial" w:hAnsi="Arial"/>
          <w:sz w:val="11"/>
          <w:szCs w:val="11"/>
          <w:color w:val="auto"/>
        </w:rPr>
        <w:t>. A transfer of an Eligible Employee between two employers, each of which is the Company or an Affiliate of the Company (a “Transfer”), shall not be deemed a termination of employment. The Committee may grant Awards pursuant to which the Committee reserves the right to modify the calculation of an Award in connection with a Transfer. In general, except as otherwise provided by the Committee at the time an Award is granted or in connection with a Transfer, upon the Transfer of a Grantee between divisions while an Award is outstanding and unexpired, the outstanding Award shall be treated as having terminated and expired, and a new Award shall be treated as having been made, effective as of the effective date of the Transfer, for the portion of the Award which had not expired or been paid, but subject to the performance and payment conditions applicable generally to Awards for Grantees who are employees of the transferee division, all as shall be determined by the Committee in an equitable manner.</w:t>
      </w:r>
    </w:p>
    <w:p>
      <w:pPr>
        <w:spacing w:after="0" w:line="41" w:lineRule="exact"/>
        <w:rPr>
          <w:rFonts w:ascii="Arial" w:cs="Arial" w:eastAsia="Arial" w:hAnsi="Arial"/>
          <w:sz w:val="11"/>
          <w:szCs w:val="11"/>
          <w:color w:val="auto"/>
        </w:rPr>
      </w:pPr>
    </w:p>
    <w:p>
      <w:pPr>
        <w:ind w:left="1980" w:hanging="497"/>
        <w:spacing w:after="0"/>
        <w:tabs>
          <w:tab w:leader="none" w:pos="1980" w:val="left"/>
        </w:tabs>
        <w:numPr>
          <w:ilvl w:val="1"/>
          <w:numId w:val="45"/>
        </w:numPr>
        <w:rPr>
          <w:rFonts w:ascii="Arial" w:cs="Arial" w:eastAsia="Arial" w:hAnsi="Arial"/>
          <w:sz w:val="12"/>
          <w:szCs w:val="12"/>
          <w:color w:val="auto"/>
        </w:rPr>
      </w:pPr>
      <w:r>
        <w:rPr>
          <w:rFonts w:ascii="Arial" w:cs="Arial" w:eastAsia="Arial" w:hAnsi="Arial"/>
          <w:sz w:val="12"/>
          <w:szCs w:val="12"/>
          <w:u w:val="single" w:color="auto"/>
          <w:color w:val="auto"/>
        </w:rPr>
        <w:t>Termination of Employment.</w:t>
      </w:r>
    </w:p>
    <w:p>
      <w:pPr>
        <w:spacing w:after="0" w:line="87" w:lineRule="exact"/>
        <w:rPr>
          <w:rFonts w:ascii="Arial" w:cs="Arial" w:eastAsia="Arial" w:hAnsi="Arial"/>
          <w:sz w:val="12"/>
          <w:szCs w:val="12"/>
          <w:color w:val="auto"/>
        </w:rPr>
      </w:pPr>
    </w:p>
    <w:p>
      <w:pPr>
        <w:ind w:left="2380" w:right="180" w:hanging="393"/>
        <w:spacing w:after="0" w:line="323" w:lineRule="auto"/>
        <w:tabs>
          <w:tab w:leader="none" w:pos="2380" w:val="left"/>
        </w:tabs>
        <w:numPr>
          <w:ilvl w:val="2"/>
          <w:numId w:val="45"/>
        </w:numPr>
        <w:rPr>
          <w:rFonts w:ascii="Arial" w:cs="Arial" w:eastAsia="Arial" w:hAnsi="Arial"/>
          <w:sz w:val="11"/>
          <w:szCs w:val="11"/>
          <w:color w:val="auto"/>
        </w:rPr>
      </w:pPr>
      <w:r>
        <w:rPr>
          <w:rFonts w:ascii="Arial" w:cs="Arial" w:eastAsia="Arial" w:hAnsi="Arial"/>
          <w:sz w:val="11"/>
          <w:szCs w:val="11"/>
          <w:u w:val="single" w:color="auto"/>
          <w:color w:val="auto"/>
        </w:rPr>
        <w:t>Termination For Any Reason Other Than Death, Disability or Retirement</w:t>
      </w:r>
      <w:r>
        <w:rPr>
          <w:rFonts w:ascii="Arial" w:cs="Arial" w:eastAsia="Arial" w:hAnsi="Arial"/>
          <w:sz w:val="11"/>
          <w:szCs w:val="11"/>
          <w:color w:val="auto"/>
        </w:rPr>
        <w:t>. If a Grantee terminates employment with the Company and its Affiliates for any reason other than death, Disability or Retirement, all Awards remaining subject to conditions to payment shall be forfeited by the Grantee and deemed canceled by the Company.</w:t>
      </w:r>
    </w:p>
    <w:p>
      <w:pPr>
        <w:spacing w:after="0" w:line="19" w:lineRule="exact"/>
        <w:rPr>
          <w:rFonts w:ascii="Arial" w:cs="Arial" w:eastAsia="Arial" w:hAnsi="Arial"/>
          <w:sz w:val="11"/>
          <w:szCs w:val="11"/>
          <w:color w:val="auto"/>
        </w:rPr>
      </w:pPr>
    </w:p>
    <w:p>
      <w:pPr>
        <w:ind w:left="2380" w:right="40" w:hanging="393"/>
        <w:spacing w:after="0" w:line="259" w:lineRule="auto"/>
        <w:tabs>
          <w:tab w:leader="none" w:pos="2380" w:val="left"/>
        </w:tabs>
        <w:numPr>
          <w:ilvl w:val="2"/>
          <w:numId w:val="45"/>
        </w:numPr>
        <w:rPr>
          <w:rFonts w:ascii="Arial" w:cs="Arial" w:eastAsia="Arial" w:hAnsi="Arial"/>
          <w:sz w:val="12"/>
          <w:szCs w:val="12"/>
          <w:color w:val="auto"/>
        </w:rPr>
      </w:pPr>
      <w:r>
        <w:rPr>
          <w:rFonts w:ascii="Arial" w:cs="Arial" w:eastAsia="Arial" w:hAnsi="Arial"/>
          <w:sz w:val="12"/>
          <w:szCs w:val="12"/>
          <w:u w:val="single" w:color="auto"/>
          <w:color w:val="auto"/>
        </w:rPr>
        <w:t>Termination Because of Death</w:t>
      </w:r>
      <w:r>
        <w:rPr>
          <w:rFonts w:ascii="Arial" w:cs="Arial" w:eastAsia="Arial" w:hAnsi="Arial"/>
          <w:sz w:val="12"/>
          <w:szCs w:val="12"/>
          <w:color w:val="auto"/>
        </w:rPr>
        <w:t>. If a Grantee terminates employment with the Company and its Affiliates because of death, the Company shall pay the Award to the Grantee’s estate as soon as practicable following the Grantee’s death, but not later than the 15th day of the third month beginning after calendar year in which the Grantee dies. The Award shall be calculated based on the assumption that the applicable Targets were satisfied, and based on the Grantee’s compensation earned through the date of the Grantee’s death.</w:t>
      </w:r>
    </w:p>
    <w:p>
      <w:pPr>
        <w:spacing w:after="0" w:line="52" w:lineRule="exact"/>
        <w:rPr>
          <w:rFonts w:ascii="Arial" w:cs="Arial" w:eastAsia="Arial" w:hAnsi="Arial"/>
          <w:sz w:val="12"/>
          <w:szCs w:val="12"/>
          <w:color w:val="auto"/>
        </w:rPr>
      </w:pPr>
    </w:p>
    <w:p>
      <w:pPr>
        <w:ind w:left="2380" w:right="140" w:hanging="393"/>
        <w:spacing w:after="0" w:line="259" w:lineRule="auto"/>
        <w:tabs>
          <w:tab w:leader="none" w:pos="2380" w:val="left"/>
        </w:tabs>
        <w:numPr>
          <w:ilvl w:val="2"/>
          <w:numId w:val="45"/>
        </w:numPr>
        <w:rPr>
          <w:rFonts w:ascii="Arial" w:cs="Arial" w:eastAsia="Arial" w:hAnsi="Arial"/>
          <w:sz w:val="12"/>
          <w:szCs w:val="12"/>
          <w:color w:val="auto"/>
        </w:rPr>
      </w:pPr>
      <w:r>
        <w:rPr>
          <w:rFonts w:ascii="Arial" w:cs="Arial" w:eastAsia="Arial" w:hAnsi="Arial"/>
          <w:sz w:val="12"/>
          <w:szCs w:val="12"/>
          <w:u w:val="single" w:color="auto"/>
          <w:color w:val="auto"/>
        </w:rPr>
        <w:t>Termination Because of Disability or Retirement</w:t>
      </w:r>
      <w:r>
        <w:rPr>
          <w:rFonts w:ascii="Arial" w:cs="Arial" w:eastAsia="Arial" w:hAnsi="Arial"/>
          <w:sz w:val="12"/>
          <w:szCs w:val="12"/>
          <w:color w:val="auto"/>
        </w:rPr>
        <w:t>. If a Grantee terminates employment with the Company and its Affiliates because of Disability or Retirement, the Company shall pay the Award to the Grantee at the same time that Awards are payable to Grantees whose employment has not terminated. The Award shall be calculated based on the extent to which the applicable Targets are actually satisfied for the calendar year in which the Grantee’s employment terminated, and based on the Grantee’s compensation earned through the date of the Grantee’s termination of employment.</w:t>
      </w:r>
    </w:p>
    <w:p>
      <w:pPr>
        <w:spacing w:after="0" w:line="61" w:lineRule="exact"/>
        <w:rPr>
          <w:rFonts w:ascii="Arial" w:cs="Arial" w:eastAsia="Arial" w:hAnsi="Arial"/>
          <w:sz w:val="12"/>
          <w:szCs w:val="12"/>
          <w:color w:val="auto"/>
        </w:rPr>
      </w:pPr>
    </w:p>
    <w:p>
      <w:pPr>
        <w:ind w:left="1240" w:hanging="159"/>
        <w:spacing w:after="0"/>
        <w:tabs>
          <w:tab w:leader="none" w:pos="1240" w:val="left"/>
        </w:tabs>
        <w:numPr>
          <w:ilvl w:val="0"/>
          <w:numId w:val="45"/>
        </w:numPr>
        <w:rPr>
          <w:rFonts w:ascii="Arial" w:cs="Arial" w:eastAsia="Arial" w:hAnsi="Arial"/>
          <w:sz w:val="12"/>
          <w:szCs w:val="12"/>
          <w:color w:val="auto"/>
        </w:rPr>
      </w:pPr>
      <w:r>
        <w:rPr>
          <w:rFonts w:ascii="Arial" w:cs="Arial" w:eastAsia="Arial" w:hAnsi="Arial"/>
          <w:sz w:val="12"/>
          <w:szCs w:val="12"/>
          <w:u w:val="single" w:color="auto"/>
          <w:color w:val="auto"/>
        </w:rPr>
        <w:t>Maximum Grant</w:t>
      </w:r>
      <w:r>
        <w:rPr>
          <w:rFonts w:ascii="Arial" w:cs="Arial" w:eastAsia="Arial" w:hAnsi="Arial"/>
          <w:sz w:val="12"/>
          <w:szCs w:val="12"/>
          <w:color w:val="auto"/>
        </w:rPr>
        <w:t>. In no event shall the amount paid to any Grantee pursuant to an Award for any Plan Year exceed $12 million.</w:t>
      </w:r>
    </w:p>
    <w:p>
      <w:pPr>
        <w:spacing w:after="0" w:line="87" w:lineRule="exact"/>
        <w:rPr>
          <w:rFonts w:ascii="Arial" w:cs="Arial" w:eastAsia="Arial" w:hAnsi="Arial"/>
          <w:sz w:val="12"/>
          <w:szCs w:val="12"/>
          <w:color w:val="auto"/>
        </w:rPr>
      </w:pPr>
    </w:p>
    <w:p>
      <w:pPr>
        <w:ind w:left="680" w:right="60" w:firstLine="401"/>
        <w:spacing w:after="0" w:line="276" w:lineRule="auto"/>
        <w:tabs>
          <w:tab w:leader="none" w:pos="1249" w:val="left"/>
        </w:tabs>
        <w:numPr>
          <w:ilvl w:val="0"/>
          <w:numId w:val="45"/>
        </w:numPr>
        <w:rPr>
          <w:rFonts w:ascii="Arial" w:cs="Arial" w:eastAsia="Arial" w:hAnsi="Arial"/>
          <w:sz w:val="12"/>
          <w:szCs w:val="12"/>
          <w:color w:val="auto"/>
        </w:rPr>
      </w:pPr>
      <w:r>
        <w:rPr>
          <w:rFonts w:ascii="Arial" w:cs="Arial" w:eastAsia="Arial" w:hAnsi="Arial"/>
          <w:sz w:val="12"/>
          <w:szCs w:val="12"/>
          <w:u w:val="single" w:color="auto"/>
          <w:color w:val="auto"/>
        </w:rPr>
        <w:t>Shareholder Approval</w:t>
      </w:r>
      <w:r>
        <w:rPr>
          <w:rFonts w:ascii="Arial" w:cs="Arial" w:eastAsia="Arial" w:hAnsi="Arial"/>
          <w:sz w:val="12"/>
          <w:szCs w:val="12"/>
          <w:color w:val="auto"/>
        </w:rPr>
        <w:t>. The effectiveness of the grants of Section 162(m) Awards under the Plan relating to payments on the satisfaction of the Quantitative Performance Standards established by the Committee from time to time shall be conditioned on the approval of the Plan by the Company’s shareholders.</w:t>
      </w:r>
    </w:p>
    <w:p>
      <w:pPr>
        <w:spacing w:after="0" w:line="120" w:lineRule="exact"/>
        <w:rPr>
          <w:sz w:val="20"/>
          <w:szCs w:val="20"/>
          <w:color w:val="auto"/>
        </w:rPr>
      </w:pPr>
    </w:p>
    <w:p>
      <w:pPr>
        <w:ind w:left="980" w:hanging="299"/>
        <w:spacing w:after="0"/>
        <w:tabs>
          <w:tab w:leader="none" w:pos="980" w:val="left"/>
        </w:tabs>
        <w:numPr>
          <w:ilvl w:val="0"/>
          <w:numId w:val="46"/>
        </w:numPr>
        <w:rPr>
          <w:rFonts w:ascii="Arial" w:cs="Arial" w:eastAsia="Arial" w:hAnsi="Arial"/>
          <w:sz w:val="12"/>
          <w:szCs w:val="12"/>
          <w:b w:val="1"/>
          <w:bCs w:val="1"/>
          <w:color w:val="auto"/>
        </w:rPr>
      </w:pPr>
      <w:r>
        <w:rPr>
          <w:rFonts w:ascii="Arial" w:cs="Arial" w:eastAsia="Arial" w:hAnsi="Arial"/>
          <w:sz w:val="12"/>
          <w:szCs w:val="12"/>
          <w:b w:val="1"/>
          <w:bCs w:val="1"/>
          <w:color w:val="auto"/>
        </w:rPr>
        <w:t>Terminating Events</w:t>
      </w:r>
    </w:p>
    <w:p>
      <w:pPr>
        <w:spacing w:after="0" w:line="91" w:lineRule="exact"/>
        <w:rPr>
          <w:sz w:val="20"/>
          <w:szCs w:val="20"/>
          <w:color w:val="auto"/>
        </w:rPr>
      </w:pPr>
    </w:p>
    <w:p>
      <w:pPr>
        <w:jc w:val="both"/>
        <w:ind w:left="680" w:right="120" w:firstLine="400"/>
        <w:spacing w:after="0" w:line="263" w:lineRule="auto"/>
        <w:rPr>
          <w:sz w:val="20"/>
          <w:szCs w:val="20"/>
          <w:color w:val="auto"/>
        </w:rPr>
      </w:pPr>
      <w:r>
        <w:rPr>
          <w:rFonts w:ascii="Arial" w:cs="Arial" w:eastAsia="Arial" w:hAnsi="Arial"/>
          <w:sz w:val="12"/>
          <w:szCs w:val="12"/>
          <w:color w:val="auto"/>
        </w:rPr>
        <w:t>The Committee shall give Grantees at least thirty (30) days’ notice (or, if not practicable, such shorter notice as may be reasonably practicable) prior to the anticipated date of the consummation of a Terminating Event. The Committee may, in its discretion, provide in such notice that upon the consummation of such Terminating Event, any remaining conditions to payment of a Grantee’s Award shall be waived, in whole or in part.</w:t>
      </w:r>
    </w:p>
    <w:p>
      <w:pPr>
        <w:spacing w:after="0" w:line="249"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97790</wp:posOffset>
            </wp:positionV>
            <wp:extent cx="7299325" cy="184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660"/>
          </w:cols>
          <w:pgMar w:left="220" w:top="327" w:right="1019" w:bottom="1440" w:gutter="0" w:footer="0" w:header="0"/>
        </w:sectPr>
      </w:pPr>
    </w:p>
    <w:bookmarkStart w:id="72" w:name="page73"/>
    <w:bookmarkEnd w:id="72"/>
    <w:p>
      <w:pPr>
        <w:spacing w:after="0"/>
        <w:rPr>
          <w:rFonts w:ascii="Arial" w:cs="Arial" w:eastAsia="Arial" w:hAnsi="Arial"/>
          <w:sz w:val="12"/>
          <w:szCs w:val="12"/>
          <w:b w:val="1"/>
          <w:bCs w:val="1"/>
          <w:u w:val="single" w:color="auto"/>
          <w:color w:val="0000EE"/>
        </w:rPr>
      </w:pPr>
      <w:hyperlink w:anchor="page4">
        <w:r>
          <w:rPr>
            <w:rFonts w:ascii="Arial" w:cs="Arial" w:eastAsia="Arial" w:hAnsi="Arial"/>
            <w:sz w:val="12"/>
            <w:szCs w:val="12"/>
            <w:b w:val="1"/>
            <w:bCs w:val="1"/>
            <w:u w:val="single" w:color="auto"/>
            <w:color w:val="0000EE"/>
          </w:rPr>
          <w:t>Table of Contents</w:t>
        </w:r>
      </w:hyperlink>
    </w:p>
    <w:p>
      <w:pPr>
        <w:spacing w:after="0" w:line="211" w:lineRule="exact"/>
        <w:rPr>
          <w:sz w:val="20"/>
          <w:szCs w:val="20"/>
          <w:color w:val="auto"/>
        </w:rPr>
      </w:pPr>
    </w:p>
    <w:p>
      <w:pPr>
        <w:ind w:left="980" w:hanging="299"/>
        <w:spacing w:after="0"/>
        <w:tabs>
          <w:tab w:leader="none" w:pos="980" w:val="left"/>
        </w:tabs>
        <w:numPr>
          <w:ilvl w:val="0"/>
          <w:numId w:val="47"/>
        </w:numPr>
        <w:rPr>
          <w:rFonts w:ascii="Arial" w:cs="Arial" w:eastAsia="Arial" w:hAnsi="Arial"/>
          <w:sz w:val="12"/>
          <w:szCs w:val="12"/>
          <w:b w:val="1"/>
          <w:bCs w:val="1"/>
          <w:color w:val="auto"/>
        </w:rPr>
      </w:pPr>
      <w:r>
        <w:rPr>
          <w:rFonts w:ascii="Arial" w:cs="Arial" w:eastAsia="Arial" w:hAnsi="Arial"/>
          <w:sz w:val="12"/>
          <w:szCs w:val="12"/>
          <w:b w:val="1"/>
          <w:bCs w:val="1"/>
          <w:color w:val="auto"/>
        </w:rPr>
        <w:t>Amendment and Termination</w:t>
      </w:r>
    </w:p>
    <w:p>
      <w:pPr>
        <w:spacing w:after="0" w:line="91" w:lineRule="exact"/>
        <w:rPr>
          <w:sz w:val="20"/>
          <w:szCs w:val="20"/>
          <w:color w:val="auto"/>
        </w:rPr>
      </w:pPr>
    </w:p>
    <w:p>
      <w:pPr>
        <w:ind w:left="680" w:right="200" w:firstLine="400"/>
        <w:spacing w:after="0" w:line="286" w:lineRule="auto"/>
        <w:rPr>
          <w:sz w:val="20"/>
          <w:szCs w:val="20"/>
          <w:color w:val="auto"/>
        </w:rPr>
      </w:pPr>
      <w:r>
        <w:rPr>
          <w:rFonts w:ascii="Arial" w:cs="Arial" w:eastAsia="Arial" w:hAnsi="Arial"/>
          <w:sz w:val="11"/>
          <w:szCs w:val="11"/>
          <w:color w:val="auto"/>
        </w:rPr>
        <w:t>No Awards shall be granted for any period commencing after December 31, 2015, provided that the effectiveness of the grants of Section 162(m) Awards under the Plan after December 31, 2010 relating to payments on the satisfaction of the Quantitative Performance Standards established by the Committee from time to time shall be conditioned on the approval of the Plan by the Company’s shareholders. To the extent that awards are or have been made pursuant to the terms of the 2002 CB Plan, the Executive Plan, the Supplemental Plan or the MAP, the Committee may, in its discretion, treat such awards as Awards under this Plan. The Plan may be terminated by the Board or the Committee at any time. The Plan may be amended by the Board or the Committee at any time. No Award shall be affected by any such termination or amendment without the written consent of the Grantee.</w:t>
      </w:r>
    </w:p>
    <w:p>
      <w:pPr>
        <w:spacing w:after="0" w:line="116" w:lineRule="exact"/>
        <w:rPr>
          <w:sz w:val="20"/>
          <w:szCs w:val="20"/>
          <w:color w:val="auto"/>
        </w:rPr>
      </w:pPr>
    </w:p>
    <w:p>
      <w:pPr>
        <w:ind w:left="980" w:hanging="299"/>
        <w:spacing w:after="0"/>
        <w:tabs>
          <w:tab w:leader="none" w:pos="980" w:val="left"/>
        </w:tabs>
        <w:numPr>
          <w:ilvl w:val="0"/>
          <w:numId w:val="48"/>
        </w:numPr>
        <w:rPr>
          <w:rFonts w:ascii="Arial" w:cs="Arial" w:eastAsia="Arial" w:hAnsi="Arial"/>
          <w:sz w:val="12"/>
          <w:szCs w:val="12"/>
          <w:b w:val="1"/>
          <w:bCs w:val="1"/>
          <w:color w:val="auto"/>
        </w:rPr>
      </w:pPr>
      <w:r>
        <w:rPr>
          <w:rFonts w:ascii="Arial" w:cs="Arial" w:eastAsia="Arial" w:hAnsi="Arial"/>
          <w:sz w:val="12"/>
          <w:szCs w:val="12"/>
          <w:b w:val="1"/>
          <w:bCs w:val="1"/>
          <w:color w:val="auto"/>
        </w:rPr>
        <w:t>Miscellaneous Provisions</w:t>
      </w:r>
    </w:p>
    <w:p>
      <w:pPr>
        <w:spacing w:after="0" w:line="91" w:lineRule="exact"/>
        <w:rPr>
          <w:rFonts w:ascii="Arial" w:cs="Arial" w:eastAsia="Arial" w:hAnsi="Arial"/>
          <w:sz w:val="12"/>
          <w:szCs w:val="12"/>
          <w:b w:val="1"/>
          <w:bCs w:val="1"/>
          <w:color w:val="auto"/>
        </w:rPr>
      </w:pPr>
    </w:p>
    <w:p>
      <w:pPr>
        <w:ind w:left="680" w:right="20" w:firstLine="401"/>
        <w:spacing w:after="0" w:line="340" w:lineRule="auto"/>
        <w:tabs>
          <w:tab w:leader="none" w:pos="1243" w:val="left"/>
        </w:tabs>
        <w:numPr>
          <w:ilvl w:val="1"/>
          <w:numId w:val="48"/>
        </w:numPr>
        <w:rPr>
          <w:rFonts w:ascii="Arial" w:cs="Arial" w:eastAsia="Arial" w:hAnsi="Arial"/>
          <w:sz w:val="10"/>
          <w:szCs w:val="10"/>
          <w:color w:val="auto"/>
        </w:rPr>
      </w:pPr>
      <w:r>
        <w:rPr>
          <w:rFonts w:ascii="Arial" w:cs="Arial" w:eastAsia="Arial" w:hAnsi="Arial"/>
          <w:sz w:val="10"/>
          <w:szCs w:val="10"/>
          <w:u w:val="single" w:color="auto"/>
          <w:color w:val="auto"/>
        </w:rPr>
        <w:t>Unsecured Creditor Status</w:t>
      </w:r>
      <w:r>
        <w:rPr>
          <w:rFonts w:ascii="Arial" w:cs="Arial" w:eastAsia="Arial" w:hAnsi="Arial"/>
          <w:sz w:val="10"/>
          <w:szCs w:val="10"/>
          <w:color w:val="auto"/>
        </w:rPr>
        <w:t>. A Grantee entitled to payment of an Award hereunder shall rely solely upon the unsecured promise of the Company, as set forth herein, for the payment thereof, and nothing herein contained shall be construed to give to or vest in a Grantee or any other person now or at any time in the future, any right, title, interest, or claim in or to any specific asset, fund, reserve, account, insurance or annuity policy or contract, or other property of any kind whatever owned by the Company, or in which the Company may have any right, title, or interest, nor or at any time in the future.</w:t>
      </w:r>
    </w:p>
    <w:p>
      <w:pPr>
        <w:spacing w:after="0" w:line="24" w:lineRule="exact"/>
        <w:rPr>
          <w:rFonts w:ascii="Arial" w:cs="Arial" w:eastAsia="Arial" w:hAnsi="Arial"/>
          <w:sz w:val="10"/>
          <w:szCs w:val="10"/>
          <w:color w:val="auto"/>
        </w:rPr>
      </w:pPr>
    </w:p>
    <w:p>
      <w:pPr>
        <w:ind w:left="680" w:right="120" w:firstLine="401"/>
        <w:spacing w:after="0" w:line="276" w:lineRule="auto"/>
        <w:tabs>
          <w:tab w:leader="none" w:pos="1249" w:val="left"/>
        </w:tabs>
        <w:numPr>
          <w:ilvl w:val="1"/>
          <w:numId w:val="48"/>
        </w:numPr>
        <w:rPr>
          <w:rFonts w:ascii="Arial" w:cs="Arial" w:eastAsia="Arial" w:hAnsi="Arial"/>
          <w:sz w:val="12"/>
          <w:szCs w:val="12"/>
          <w:color w:val="auto"/>
        </w:rPr>
      </w:pPr>
      <w:r>
        <w:rPr>
          <w:rFonts w:ascii="Arial" w:cs="Arial" w:eastAsia="Arial" w:hAnsi="Arial"/>
          <w:sz w:val="12"/>
          <w:szCs w:val="12"/>
          <w:u w:val="single" w:color="auto"/>
          <w:color w:val="auto"/>
        </w:rPr>
        <w:t>Non-Assignment of Awards</w:t>
      </w:r>
      <w:r>
        <w:rPr>
          <w:rFonts w:ascii="Arial" w:cs="Arial" w:eastAsia="Arial" w:hAnsi="Arial"/>
          <w:sz w:val="12"/>
          <w:szCs w:val="12"/>
          <w:color w:val="auto"/>
        </w:rPr>
        <w:t>. The Grantee shall not be permitted to sell, transfer, pledge or assign any amount payable pursuant to the Plan or an Award, provided that the right to payment under an Award may pass by will or the laws of descent and distribution.</w:t>
      </w:r>
    </w:p>
    <w:p>
      <w:pPr>
        <w:spacing w:after="0" w:line="51" w:lineRule="exact"/>
        <w:rPr>
          <w:rFonts w:ascii="Arial" w:cs="Arial" w:eastAsia="Arial" w:hAnsi="Arial"/>
          <w:sz w:val="12"/>
          <w:szCs w:val="12"/>
          <w:color w:val="auto"/>
        </w:rPr>
      </w:pPr>
    </w:p>
    <w:p>
      <w:pPr>
        <w:ind w:left="680" w:right="140" w:firstLine="401"/>
        <w:spacing w:after="0" w:line="263" w:lineRule="auto"/>
        <w:tabs>
          <w:tab w:leader="none" w:pos="1243" w:val="left"/>
        </w:tabs>
        <w:numPr>
          <w:ilvl w:val="1"/>
          <w:numId w:val="48"/>
        </w:numPr>
        <w:rPr>
          <w:rFonts w:ascii="Arial" w:cs="Arial" w:eastAsia="Arial" w:hAnsi="Arial"/>
          <w:sz w:val="12"/>
          <w:szCs w:val="12"/>
          <w:color w:val="auto"/>
        </w:rPr>
      </w:pPr>
      <w:r>
        <w:rPr>
          <w:rFonts w:ascii="Arial" w:cs="Arial" w:eastAsia="Arial" w:hAnsi="Arial"/>
          <w:sz w:val="12"/>
          <w:szCs w:val="12"/>
          <w:u w:val="single" w:color="auto"/>
          <w:color w:val="auto"/>
        </w:rPr>
        <w:t>Other Company Plans</w:t>
      </w:r>
      <w:r>
        <w:rPr>
          <w:rFonts w:ascii="Arial" w:cs="Arial" w:eastAsia="Arial" w:hAnsi="Arial"/>
          <w:sz w:val="12"/>
          <w:szCs w:val="12"/>
          <w:color w:val="auto"/>
        </w:rPr>
        <w:t>. It is agreed and understood that any benefits under this Plan are in addition to any and all benefits to which a Grantee may otherwise be entitled under any other contract, arrangement, or voluntary pension, profit sharing or other compensation plan of the Company, whether funded or unfunded, and that this Plan shall not affect or impair the rights or obligations of the Company or a Grantee under any other such contract, arrangement, or voluntary pension, profit sharing or other compensation plan.</w:t>
      </w:r>
    </w:p>
    <w:p>
      <w:pPr>
        <w:spacing w:after="0" w:line="59" w:lineRule="exact"/>
        <w:rPr>
          <w:rFonts w:ascii="Arial" w:cs="Arial" w:eastAsia="Arial" w:hAnsi="Arial"/>
          <w:sz w:val="12"/>
          <w:szCs w:val="12"/>
          <w:color w:val="auto"/>
        </w:rPr>
      </w:pPr>
    </w:p>
    <w:p>
      <w:pPr>
        <w:ind w:left="680" w:right="440" w:firstLine="401"/>
        <w:spacing w:after="0" w:line="276" w:lineRule="auto"/>
        <w:tabs>
          <w:tab w:leader="none" w:pos="1249" w:val="left"/>
        </w:tabs>
        <w:numPr>
          <w:ilvl w:val="1"/>
          <w:numId w:val="48"/>
        </w:numPr>
        <w:rPr>
          <w:rFonts w:ascii="Arial" w:cs="Arial" w:eastAsia="Arial" w:hAnsi="Arial"/>
          <w:sz w:val="12"/>
          <w:szCs w:val="12"/>
          <w:color w:val="auto"/>
        </w:rPr>
      </w:pPr>
      <w:r>
        <w:rPr>
          <w:rFonts w:ascii="Arial" w:cs="Arial" w:eastAsia="Arial" w:hAnsi="Arial"/>
          <w:sz w:val="12"/>
          <w:szCs w:val="12"/>
          <w:u w:val="single" w:color="auto"/>
          <w:color w:val="auto"/>
        </w:rPr>
        <w:t>Separability</w:t>
      </w:r>
      <w:r>
        <w:rPr>
          <w:rFonts w:ascii="Arial" w:cs="Arial" w:eastAsia="Arial" w:hAnsi="Arial"/>
          <w:sz w:val="12"/>
          <w:szCs w:val="12"/>
          <w:color w:val="auto"/>
        </w:rPr>
        <w:t>. If any term or condition of the Plan shall be invalid or unenforceable to any extent or in any application, then the remainder of the Plan, with the exception of such invalid or unenforceable provision, shall not be affected thereby, and shall continue in effect and application to its fullest extent.</w:t>
      </w:r>
    </w:p>
    <w:p>
      <w:pPr>
        <w:spacing w:after="0" w:line="51" w:lineRule="exact"/>
        <w:rPr>
          <w:rFonts w:ascii="Arial" w:cs="Arial" w:eastAsia="Arial" w:hAnsi="Arial"/>
          <w:sz w:val="12"/>
          <w:szCs w:val="12"/>
          <w:color w:val="auto"/>
        </w:rPr>
      </w:pPr>
    </w:p>
    <w:p>
      <w:pPr>
        <w:ind w:left="680" w:right="20" w:firstLine="401"/>
        <w:spacing w:after="0" w:line="263" w:lineRule="auto"/>
        <w:tabs>
          <w:tab w:leader="none" w:pos="1243" w:val="left"/>
        </w:tabs>
        <w:numPr>
          <w:ilvl w:val="1"/>
          <w:numId w:val="48"/>
        </w:numPr>
        <w:rPr>
          <w:rFonts w:ascii="Arial" w:cs="Arial" w:eastAsia="Arial" w:hAnsi="Arial"/>
          <w:sz w:val="12"/>
          <w:szCs w:val="12"/>
          <w:color w:val="auto"/>
        </w:rPr>
      </w:pPr>
      <w:r>
        <w:rPr>
          <w:rFonts w:ascii="Arial" w:cs="Arial" w:eastAsia="Arial" w:hAnsi="Arial"/>
          <w:sz w:val="12"/>
          <w:szCs w:val="12"/>
          <w:u w:val="single" w:color="auto"/>
          <w:color w:val="auto"/>
        </w:rPr>
        <w:t>Continued Employment</w:t>
      </w:r>
      <w:r>
        <w:rPr>
          <w:rFonts w:ascii="Arial" w:cs="Arial" w:eastAsia="Arial" w:hAnsi="Arial"/>
          <w:sz w:val="12"/>
          <w:szCs w:val="12"/>
          <w:color w:val="auto"/>
        </w:rPr>
        <w:t>. Neither the establishment of the Plan, any provisions of the Plan, nor any action of the Committee shall be held or construed to confer upon any Grantee the right to a continuation of employment by the Company. The Company reserves the right to dismiss any employee (including a Grantee), or otherwise deal with any employee (including a Grantee) to the same extent as though the Plan had not been adopted.</w:t>
      </w:r>
    </w:p>
    <w:p>
      <w:pPr>
        <w:spacing w:after="0" w:line="59" w:lineRule="exact"/>
        <w:rPr>
          <w:rFonts w:ascii="Arial" w:cs="Arial" w:eastAsia="Arial" w:hAnsi="Arial"/>
          <w:sz w:val="12"/>
          <w:szCs w:val="12"/>
          <w:color w:val="auto"/>
        </w:rPr>
      </w:pPr>
    </w:p>
    <w:p>
      <w:pPr>
        <w:ind w:left="680" w:firstLine="401"/>
        <w:spacing w:after="0" w:line="263" w:lineRule="auto"/>
        <w:tabs>
          <w:tab w:leader="none" w:pos="1230" w:val="left"/>
        </w:tabs>
        <w:numPr>
          <w:ilvl w:val="1"/>
          <w:numId w:val="48"/>
        </w:numPr>
        <w:rPr>
          <w:rFonts w:ascii="Arial" w:cs="Arial" w:eastAsia="Arial" w:hAnsi="Arial"/>
          <w:sz w:val="12"/>
          <w:szCs w:val="12"/>
          <w:color w:val="auto"/>
        </w:rPr>
      </w:pPr>
      <w:r>
        <w:rPr>
          <w:rFonts w:ascii="Arial" w:cs="Arial" w:eastAsia="Arial" w:hAnsi="Arial"/>
          <w:sz w:val="12"/>
          <w:szCs w:val="12"/>
          <w:u w:val="single" w:color="auto"/>
          <w:color w:val="auto"/>
        </w:rPr>
        <w:t>Incapacity</w:t>
      </w:r>
      <w:r>
        <w:rPr>
          <w:rFonts w:ascii="Arial" w:cs="Arial" w:eastAsia="Arial" w:hAnsi="Arial"/>
          <w:sz w:val="12"/>
          <w:szCs w:val="12"/>
          <w:color w:val="auto"/>
        </w:rPr>
        <w:t>. If the Committee determines that a Grantee is unable to care for his affairs because of illness or accident, any benefit due such Grantee under the Plan may be paid to his spouse, child, parent, or any other person deemed by the Committee to have incurred expense for such Grantee (including a duly appointed guardian, committee, or other legal representative), and any such payment shall be a complete discharge of the Company’s obligation hereunder.</w:t>
      </w:r>
    </w:p>
    <w:p>
      <w:pPr>
        <w:spacing w:after="0" w:line="59" w:lineRule="exact"/>
        <w:rPr>
          <w:rFonts w:ascii="Arial" w:cs="Arial" w:eastAsia="Arial" w:hAnsi="Arial"/>
          <w:sz w:val="12"/>
          <w:szCs w:val="12"/>
          <w:color w:val="auto"/>
        </w:rPr>
      </w:pPr>
    </w:p>
    <w:p>
      <w:pPr>
        <w:ind w:left="680" w:right="40" w:firstLine="401"/>
        <w:spacing w:after="0" w:line="276" w:lineRule="auto"/>
        <w:tabs>
          <w:tab w:leader="none" w:pos="1249" w:val="left"/>
        </w:tabs>
        <w:numPr>
          <w:ilvl w:val="1"/>
          <w:numId w:val="48"/>
        </w:numPr>
        <w:rPr>
          <w:rFonts w:ascii="Arial" w:cs="Arial" w:eastAsia="Arial" w:hAnsi="Arial"/>
          <w:sz w:val="12"/>
          <w:szCs w:val="12"/>
          <w:color w:val="auto"/>
        </w:rPr>
      </w:pPr>
      <w:r>
        <w:rPr>
          <w:rFonts w:ascii="Arial" w:cs="Arial" w:eastAsia="Arial" w:hAnsi="Arial"/>
          <w:sz w:val="12"/>
          <w:szCs w:val="12"/>
          <w:u w:val="single" w:color="auto"/>
          <w:color w:val="auto"/>
        </w:rPr>
        <w:t>Withholding</w:t>
      </w:r>
      <w:r>
        <w:rPr>
          <w:rFonts w:ascii="Arial" w:cs="Arial" w:eastAsia="Arial" w:hAnsi="Arial"/>
          <w:sz w:val="12"/>
          <w:szCs w:val="12"/>
          <w:color w:val="auto"/>
        </w:rPr>
        <w:t>. The Company shall withhold the amount of any federal, state, local or other tax, charge or assessment attributable to the grant of any Award or lapse of restrictions under any Award as it may deem necessary or appropriate, in its sole discretion.</w:t>
      </w:r>
    </w:p>
    <w:p>
      <w:pPr>
        <w:spacing w:after="0" w:line="51" w:lineRule="exact"/>
        <w:rPr>
          <w:rFonts w:ascii="Arial" w:cs="Arial" w:eastAsia="Arial" w:hAnsi="Arial"/>
          <w:sz w:val="12"/>
          <w:szCs w:val="12"/>
          <w:color w:val="auto"/>
        </w:rPr>
      </w:pPr>
    </w:p>
    <w:p>
      <w:pPr>
        <w:ind w:left="680" w:right="180" w:firstLine="401"/>
        <w:spacing w:after="0" w:line="259" w:lineRule="auto"/>
        <w:tabs>
          <w:tab w:leader="none" w:pos="1249" w:val="left"/>
        </w:tabs>
        <w:numPr>
          <w:ilvl w:val="1"/>
          <w:numId w:val="48"/>
        </w:numPr>
        <w:rPr>
          <w:rFonts w:ascii="Arial" w:cs="Arial" w:eastAsia="Arial" w:hAnsi="Arial"/>
          <w:sz w:val="12"/>
          <w:szCs w:val="12"/>
          <w:color w:val="auto"/>
        </w:rPr>
      </w:pPr>
      <w:r>
        <w:rPr>
          <w:rFonts w:ascii="Arial" w:cs="Arial" w:eastAsia="Arial" w:hAnsi="Arial"/>
          <w:sz w:val="12"/>
          <w:szCs w:val="12"/>
          <w:u w:val="single" w:color="auto"/>
          <w:color w:val="auto"/>
        </w:rPr>
        <w:t>Repayment</w:t>
      </w:r>
      <w:r>
        <w:rPr>
          <w:rFonts w:ascii="Arial" w:cs="Arial" w:eastAsia="Arial" w:hAnsi="Arial"/>
          <w:sz w:val="12"/>
          <w:szCs w:val="12"/>
          <w:color w:val="auto"/>
        </w:rPr>
        <w:t>. If it is determined by the Board that gross negligence, intentional misconduct or fraud by a Section 16(b) Officer or a former Section 16(b) Officer caused or partially caused the Company to have to restate all or a portion of its financial statements, the Board, in its sole discretion, may, to the extent permitted by law and to the extent it determines in its sole judgment that it is in the best interests of the Company to do so, require repayment of any Award (or a portion thereof) granted after February 28, 2007 to such Section 16(b) Officer or former Section 16(b) Officer if (i) the Award was calculated based upon, or</w:t>
      </w:r>
    </w:p>
    <w:p>
      <w:pPr>
        <w:spacing w:after="0" w:line="251"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97790</wp:posOffset>
            </wp:positionV>
            <wp:extent cx="7299325" cy="184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660"/>
          </w:cols>
          <w:pgMar w:left="220" w:top="327" w:right="1019" w:bottom="1440" w:gutter="0" w:footer="0" w:header="0"/>
        </w:sectPr>
      </w:pPr>
    </w:p>
    <w:bookmarkStart w:id="73" w:name="page74"/>
    <w:bookmarkEnd w:id="73"/>
    <w:p>
      <w:pPr>
        <w:spacing w:after="0"/>
        <w:rPr>
          <w:rFonts w:ascii="Arial" w:cs="Arial" w:eastAsia="Arial" w:hAnsi="Arial"/>
          <w:sz w:val="12"/>
          <w:szCs w:val="12"/>
          <w:b w:val="1"/>
          <w:bCs w:val="1"/>
          <w:u w:val="single" w:color="auto"/>
          <w:color w:val="0000EE"/>
        </w:rPr>
      </w:pP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both"/>
        <w:ind w:left="680"/>
        <w:spacing w:after="0" w:line="298" w:lineRule="auto"/>
        <w:rPr>
          <w:sz w:val="20"/>
          <w:szCs w:val="20"/>
          <w:color w:val="auto"/>
        </w:rPr>
      </w:pPr>
      <w:r>
        <w:rPr>
          <w:rFonts w:ascii="Arial" w:cs="Arial" w:eastAsia="Arial" w:hAnsi="Arial"/>
          <w:sz w:val="11"/>
          <w:szCs w:val="11"/>
          <w:color w:val="auto"/>
        </w:rPr>
        <w:t>contingent on, the achievement of financial or operating results that were the subject of or affected by the restatement, and (ii) the amount of the Award would have been less had the financial statements been correct. In addition, to the extent that the receipt of an Award subject to repayment under this Paragraph 8(h) has been deferred pursuant to the Comcast Corporation 2005 Deferred Compensation Plan (or any other plan, program or arrangement that permits the deferral of receipt of an Award), such Award (and any earnings credited with respect thereto) shall be forfeited in lieu of repayment.</w:t>
      </w:r>
    </w:p>
    <w:p>
      <w:pPr>
        <w:spacing w:after="0" w:line="110" w:lineRule="exact"/>
        <w:rPr>
          <w:sz w:val="20"/>
          <w:szCs w:val="20"/>
          <w:color w:val="auto"/>
        </w:rPr>
      </w:pPr>
    </w:p>
    <w:p>
      <w:pPr>
        <w:ind w:left="980" w:hanging="299"/>
        <w:spacing w:after="0"/>
        <w:tabs>
          <w:tab w:leader="none" w:pos="980" w:val="left"/>
        </w:tabs>
        <w:numPr>
          <w:ilvl w:val="0"/>
          <w:numId w:val="49"/>
        </w:numPr>
        <w:rPr>
          <w:rFonts w:ascii="Arial" w:cs="Arial" w:eastAsia="Arial" w:hAnsi="Arial"/>
          <w:sz w:val="12"/>
          <w:szCs w:val="12"/>
          <w:b w:val="1"/>
          <w:bCs w:val="1"/>
          <w:color w:val="auto"/>
        </w:rPr>
      </w:pPr>
      <w:r>
        <w:rPr>
          <w:rFonts w:ascii="Arial" w:cs="Arial" w:eastAsia="Arial" w:hAnsi="Arial"/>
          <w:sz w:val="12"/>
          <w:szCs w:val="12"/>
          <w:b w:val="1"/>
          <w:bCs w:val="1"/>
          <w:color w:val="auto"/>
        </w:rPr>
        <w:t>Governing Law</w:t>
      </w:r>
    </w:p>
    <w:p>
      <w:pPr>
        <w:spacing w:after="0" w:line="91"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Plan and all determinations made and actions taken pursuant to the Plan shall be governed in accordance with Pennsylvania law.</w:t>
      </w:r>
    </w:p>
    <w:p>
      <w:pPr>
        <w:spacing w:after="0" w:line="155" w:lineRule="exact"/>
        <w:rPr>
          <w:sz w:val="20"/>
          <w:szCs w:val="20"/>
          <w:color w:val="auto"/>
        </w:rPr>
      </w:pPr>
    </w:p>
    <w:p>
      <w:pPr>
        <w:ind w:left="1180" w:hanging="499"/>
        <w:spacing w:after="0"/>
        <w:tabs>
          <w:tab w:leader="none" w:pos="1180" w:val="left"/>
        </w:tabs>
        <w:numPr>
          <w:ilvl w:val="0"/>
          <w:numId w:val="50"/>
        </w:numPr>
        <w:rPr>
          <w:rFonts w:ascii="Arial" w:cs="Arial" w:eastAsia="Arial" w:hAnsi="Arial"/>
          <w:sz w:val="12"/>
          <w:szCs w:val="12"/>
          <w:b w:val="1"/>
          <w:bCs w:val="1"/>
          <w:color w:val="auto"/>
        </w:rPr>
      </w:pPr>
      <w:r>
        <w:rPr>
          <w:rFonts w:ascii="Arial" w:cs="Arial" w:eastAsia="Arial" w:hAnsi="Arial"/>
          <w:sz w:val="12"/>
          <w:szCs w:val="12"/>
          <w:b w:val="1"/>
          <w:bCs w:val="1"/>
          <w:color w:val="auto"/>
        </w:rPr>
        <w:t>Effective Date</w:t>
      </w:r>
    </w:p>
    <w:p>
      <w:pPr>
        <w:spacing w:after="0" w:line="91"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effective date of this amendment and restatement of the Plan is October 27, 2009.</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Executed as of the 27th day of October, 2009</w:t>
      </w:r>
    </w:p>
    <w:p>
      <w:pPr>
        <w:spacing w:after="0" w:line="299" w:lineRule="exact"/>
        <w:rPr>
          <w:sz w:val="20"/>
          <w:szCs w:val="20"/>
          <w:color w:val="auto"/>
        </w:rPr>
      </w:pPr>
    </w:p>
    <w:p>
      <w:pPr>
        <w:ind w:left="5580"/>
        <w:spacing w:after="0"/>
        <w:rPr>
          <w:sz w:val="20"/>
          <w:szCs w:val="20"/>
          <w:color w:val="auto"/>
        </w:rPr>
      </w:pPr>
      <w:r>
        <w:rPr>
          <w:rFonts w:ascii="Arial" w:cs="Arial" w:eastAsia="Arial" w:hAnsi="Arial"/>
          <w:sz w:val="12"/>
          <w:szCs w:val="12"/>
          <w:b w:val="1"/>
          <w:bCs w:val="1"/>
          <w:color w:val="auto"/>
        </w:rPr>
        <w:t>COMCAST CORPORATION</w:t>
      </w:r>
    </w:p>
    <w:p>
      <w:pPr>
        <w:spacing w:after="0" w:line="200" w:lineRule="exact"/>
        <w:rPr>
          <w:sz w:val="20"/>
          <w:szCs w:val="20"/>
          <w:color w:val="auto"/>
        </w:rPr>
      </w:pPr>
    </w:p>
    <w:p>
      <w:pPr>
        <w:spacing w:after="0" w:line="392"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2"/>
          <w:szCs w:val="12"/>
          <w:b w:val="1"/>
          <w:bCs w:val="1"/>
          <w:color w:val="auto"/>
        </w:rPr>
        <w:t>BY:</w:t>
      </w:r>
      <w:r>
        <w:rPr>
          <w:sz w:val="20"/>
          <w:szCs w:val="20"/>
          <w:color w:val="auto"/>
        </w:rPr>
        <w:tab/>
      </w:r>
      <w:r>
        <w:rPr>
          <w:rFonts w:ascii="Arial" w:cs="Arial" w:eastAsia="Arial" w:hAnsi="Arial"/>
          <w:sz w:val="12"/>
          <w:szCs w:val="12"/>
          <w:color w:val="auto"/>
        </w:rPr>
        <w:t>/s/ David 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3792855</wp:posOffset>
            </wp:positionH>
            <wp:positionV relativeFrom="paragraph">
              <wp:posOffset>17780</wp:posOffset>
            </wp:positionV>
            <wp:extent cx="3535045"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535045" cy="5715"/>
                    </a:xfrm>
                    <a:prstGeom prst="rect">
                      <a:avLst/>
                    </a:prstGeom>
                    <a:noFill/>
                  </pic:spPr>
                </pic:pic>
              </a:graphicData>
            </a:graphic>
          </wp:anchor>
        </w:drawing>
      </w:r>
    </w:p>
    <w:p>
      <w:pPr>
        <w:spacing w:after="0" w:line="301" w:lineRule="exact"/>
        <w:rPr>
          <w:sz w:val="20"/>
          <w:szCs w:val="20"/>
          <w:color w:val="auto"/>
        </w:rPr>
      </w:pPr>
    </w:p>
    <w:p>
      <w:pPr>
        <w:ind w:left="5580"/>
        <w:spacing w:after="0"/>
        <w:tabs>
          <w:tab w:leader="none" w:pos="6560" w:val="left"/>
        </w:tabs>
        <w:rPr>
          <w:sz w:val="20"/>
          <w:szCs w:val="20"/>
          <w:color w:val="auto"/>
        </w:rPr>
      </w:pPr>
      <w:r>
        <w:rPr>
          <w:rFonts w:ascii="Arial" w:cs="Arial" w:eastAsia="Arial" w:hAnsi="Arial"/>
          <w:sz w:val="12"/>
          <w:szCs w:val="12"/>
          <w:b w:val="1"/>
          <w:bCs w:val="1"/>
          <w:color w:val="auto"/>
        </w:rPr>
        <w:t>ATTEST:</w:t>
      </w:r>
      <w:r>
        <w:rPr>
          <w:sz w:val="20"/>
          <w:szCs w:val="20"/>
          <w:color w:val="auto"/>
        </w:rPr>
        <w:tab/>
      </w:r>
      <w:r>
        <w:rPr>
          <w:rFonts w:ascii="Arial" w:cs="Arial" w:eastAsia="Arial" w:hAnsi="Arial"/>
          <w:sz w:val="12"/>
          <w:szCs w:val="12"/>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12065</wp:posOffset>
            </wp:positionV>
            <wp:extent cx="3152140"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152140" cy="5715"/>
                    </a:xfrm>
                    <a:prstGeom prst="rect">
                      <a:avLst/>
                    </a:prstGeom>
                    <a:noFill/>
                  </pic:spPr>
                </pic:pic>
              </a:graphicData>
            </a:graphic>
          </wp:anchor>
        </w:drawing>
      </w:r>
    </w:p>
    <w:p>
      <w:pPr>
        <w:spacing w:after="0" w:line="26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97790</wp:posOffset>
            </wp:positionV>
            <wp:extent cx="7299325" cy="184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640"/>
          </w:cols>
          <w:pgMar w:left="220" w:top="327" w:right="1039" w:bottom="1440" w:gutter="0" w:footer="0" w:header="0"/>
        </w:sectPr>
      </w:pPr>
    </w:p>
    <w:bookmarkStart w:id="74" w:name="page75"/>
    <w:bookmarkEnd w:id="74"/>
    <w:p>
      <w:pPr>
        <w:spacing w:after="0"/>
        <w:rPr>
          <w:rFonts w:ascii="Arial" w:cs="Arial" w:eastAsia="Arial" w:hAnsi="Arial"/>
          <w:sz w:val="12"/>
          <w:szCs w:val="12"/>
          <w:b w:val="1"/>
          <w:bCs w:val="1"/>
          <w:u w:val="single" w:color="auto"/>
          <w:color w:val="0000EE"/>
        </w:rPr>
      </w:pPr>
      <w:hyperlink w:anchor="page4">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2298065</wp:posOffset>
            </wp:positionV>
            <wp:extent cx="972185" cy="2514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972185" cy="251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CO-PS-2010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wp:posOffset>
            </wp:positionH>
            <wp:positionV relativeFrom="paragraph">
              <wp:posOffset>97790</wp:posOffset>
            </wp:positionV>
            <wp:extent cx="6350000" cy="184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350000" cy="18415"/>
                    </a:xfrm>
                    <a:prstGeom prst="rect">
                      <a:avLst/>
                    </a:prstGeom>
                    <a:noFill/>
                  </pic:spPr>
                </pic:pic>
              </a:graphicData>
            </a:graphic>
          </wp:anchor>
        </w:drawing>
      </w:r>
    </w:p>
    <w:p>
      <w:pPr>
        <w:sectPr>
          <w:pgSz w:w="11900" w:h="16838" w:orient="portrait"/>
          <w:cols w:equalWidth="0" w:num="1">
            <w:col w:w="10680"/>
          </w:cols>
          <w:pgMar w:left="220" w:top="327" w:right="999" w:bottom="1440" w:gutter="0" w:footer="0" w:header="0"/>
        </w:sectPr>
      </w:pPr>
    </w:p>
    <w:bookmarkStart w:id="75" w:name="page76"/>
    <w:bookmarkEnd w:id="75"/>
    <w:p>
      <w:pPr>
        <w:spacing w:after="0"/>
        <w:rPr>
          <w:rFonts w:ascii="Arial" w:cs="Arial" w:eastAsia="Arial" w:hAnsi="Arial"/>
          <w:sz w:val="12"/>
          <w:szCs w:val="12"/>
          <w:b w:val="1"/>
          <w:bCs w:val="1"/>
          <w:u w:val="single" w:color="auto"/>
          <w:color w:val="0000EE"/>
        </w:rPr>
      </w:pPr>
      <w:hyperlink w:anchor="page4">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227965</wp:posOffset>
            </wp:positionV>
            <wp:extent cx="1395730" cy="4178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395730" cy="417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ONE COMCAST CENTER</w:t>
      </w:r>
    </w:p>
    <w:p>
      <w:pPr>
        <w:spacing w:after="0" w:line="12"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PHILADELPHIA, PA 19103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8"/>
          <w:szCs w:val="8"/>
          <w:color w:val="auto"/>
        </w:rPr>
        <w:t>TO VOTE, MARK BLOCKS BELOW IN BLUE OR BLACK INK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7" w:lineRule="exact"/>
        <w:rPr>
          <w:sz w:val="20"/>
          <w:szCs w:val="20"/>
          <w:color w:val="auto"/>
        </w:rPr>
      </w:pPr>
    </w:p>
    <w:p>
      <w:pPr>
        <w:ind w:left="3260"/>
        <w:spacing w:after="0"/>
        <w:rPr>
          <w:sz w:val="20"/>
          <w:szCs w:val="20"/>
          <w:color w:val="auto"/>
        </w:rPr>
      </w:pPr>
      <w:r>
        <w:rPr>
          <w:rFonts w:ascii="Arial" w:cs="Arial" w:eastAsia="Arial" w:hAnsi="Arial"/>
          <w:sz w:val="14"/>
          <w:szCs w:val="14"/>
          <w:b w:val="1"/>
          <w:bCs w:val="1"/>
          <w:color w:val="auto"/>
        </w:rPr>
        <w:t>Admission Ticket</w:t>
      </w:r>
    </w:p>
    <w:p>
      <w:pPr>
        <w:spacing w:after="0" w:line="82" w:lineRule="exact"/>
        <w:rPr>
          <w:sz w:val="20"/>
          <w:szCs w:val="20"/>
          <w:color w:val="auto"/>
        </w:rPr>
      </w:pPr>
    </w:p>
    <w:p>
      <w:pPr>
        <w:ind w:left="1460"/>
        <w:spacing w:after="0"/>
        <w:rPr>
          <w:sz w:val="20"/>
          <w:szCs w:val="20"/>
          <w:color w:val="auto"/>
        </w:rPr>
      </w:pPr>
      <w:r>
        <w:rPr>
          <w:rFonts w:ascii="Arial" w:cs="Arial" w:eastAsia="Arial" w:hAnsi="Arial"/>
          <w:sz w:val="8"/>
          <w:szCs w:val="8"/>
          <w:b w:val="1"/>
          <w:bCs w:val="1"/>
          <w:color w:val="auto"/>
        </w:rPr>
        <w:t>VOTE BY INTERNET — www.proxyvote.com</w:t>
      </w:r>
    </w:p>
    <w:p>
      <w:pPr>
        <w:spacing w:after="0" w:line="8" w:lineRule="exact"/>
        <w:rPr>
          <w:sz w:val="20"/>
          <w:szCs w:val="20"/>
          <w:color w:val="auto"/>
        </w:rPr>
      </w:pPr>
    </w:p>
    <w:p>
      <w:pPr>
        <w:jc w:val="both"/>
        <w:ind w:left="1460" w:right="200"/>
        <w:spacing w:after="0" w:line="245" w:lineRule="auto"/>
        <w:rPr>
          <w:sz w:val="20"/>
          <w:szCs w:val="20"/>
          <w:color w:val="auto"/>
        </w:rPr>
      </w:pPr>
      <w:r>
        <w:rPr>
          <w:rFonts w:ascii="Arial" w:cs="Arial" w:eastAsia="Arial" w:hAnsi="Arial"/>
          <w:sz w:val="8"/>
          <w:szCs w:val="8"/>
          <w:color w:val="auto"/>
        </w:rPr>
        <w:t>Use the Internet to transmit your voting instructions up until 11:59 P.M. Eastern Daylight Time on May 19, 2010. Please have your proxy card in hand when you access the website and follow the instructions to obtain your records and to create an electronic voting instruction form.</w:t>
      </w:r>
    </w:p>
    <w:p>
      <w:pPr>
        <w:spacing w:after="0" w:line="51" w:lineRule="exact"/>
        <w:rPr>
          <w:sz w:val="20"/>
          <w:szCs w:val="20"/>
          <w:color w:val="auto"/>
        </w:rPr>
      </w:pPr>
    </w:p>
    <w:p>
      <w:pPr>
        <w:ind w:left="1460"/>
        <w:spacing w:after="0"/>
        <w:rPr>
          <w:sz w:val="20"/>
          <w:szCs w:val="20"/>
          <w:color w:val="auto"/>
        </w:rPr>
      </w:pPr>
      <w:r>
        <w:rPr>
          <w:rFonts w:ascii="Arial" w:cs="Arial" w:eastAsia="Arial" w:hAnsi="Arial"/>
          <w:sz w:val="8"/>
          <w:szCs w:val="8"/>
          <w:b w:val="1"/>
          <w:bCs w:val="1"/>
          <w:color w:val="auto"/>
        </w:rPr>
        <w:t>VOTE BY PHONE — 1-800-690-6903</w:t>
      </w:r>
    </w:p>
    <w:p>
      <w:pPr>
        <w:spacing w:after="0" w:line="6" w:lineRule="exact"/>
        <w:rPr>
          <w:sz w:val="20"/>
          <w:szCs w:val="20"/>
          <w:color w:val="auto"/>
        </w:rPr>
      </w:pPr>
    </w:p>
    <w:p>
      <w:pPr>
        <w:ind w:left="1460"/>
        <w:spacing w:after="0"/>
        <w:rPr>
          <w:sz w:val="20"/>
          <w:szCs w:val="20"/>
          <w:color w:val="auto"/>
        </w:rPr>
      </w:pPr>
      <w:r>
        <w:rPr>
          <w:rFonts w:ascii="Arial" w:cs="Arial" w:eastAsia="Arial" w:hAnsi="Arial"/>
          <w:sz w:val="8"/>
          <w:szCs w:val="8"/>
          <w:color w:val="auto"/>
        </w:rPr>
        <w:t>Use any touch-tone telephone to transmit your voting instructions up until 11:59 P.M. Eastern Daylight Time on May 19, 2010.</w:t>
      </w:r>
    </w:p>
    <w:p>
      <w:pPr>
        <w:ind w:left="1460"/>
        <w:spacing w:after="0"/>
        <w:rPr>
          <w:sz w:val="20"/>
          <w:szCs w:val="20"/>
          <w:color w:val="auto"/>
        </w:rPr>
      </w:pPr>
      <w:r>
        <w:rPr>
          <w:rFonts w:ascii="Arial" w:cs="Arial" w:eastAsia="Arial" w:hAnsi="Arial"/>
          <w:sz w:val="8"/>
          <w:szCs w:val="8"/>
          <w:color w:val="auto"/>
        </w:rPr>
        <w:t>Please have your proxy card in hand when you call and then follow the instructions.</w:t>
      </w:r>
    </w:p>
    <w:p>
      <w:pPr>
        <w:spacing w:after="0" w:line="60" w:lineRule="exact"/>
        <w:rPr>
          <w:sz w:val="20"/>
          <w:szCs w:val="20"/>
          <w:color w:val="auto"/>
        </w:rPr>
      </w:pPr>
    </w:p>
    <w:p>
      <w:pPr>
        <w:ind w:left="1460"/>
        <w:spacing w:after="0"/>
        <w:rPr>
          <w:sz w:val="20"/>
          <w:szCs w:val="20"/>
          <w:color w:val="auto"/>
        </w:rPr>
      </w:pPr>
      <w:r>
        <w:rPr>
          <w:rFonts w:ascii="Arial" w:cs="Arial" w:eastAsia="Arial" w:hAnsi="Arial"/>
          <w:sz w:val="8"/>
          <w:szCs w:val="8"/>
          <w:b w:val="1"/>
          <w:bCs w:val="1"/>
          <w:color w:val="auto"/>
        </w:rPr>
        <w:t>VOTE BY MAIL</w:t>
      </w:r>
    </w:p>
    <w:p>
      <w:pPr>
        <w:spacing w:after="0" w:line="6" w:lineRule="exact"/>
        <w:rPr>
          <w:sz w:val="20"/>
          <w:szCs w:val="20"/>
          <w:color w:val="auto"/>
        </w:rPr>
      </w:pPr>
    </w:p>
    <w:p>
      <w:pPr>
        <w:ind w:left="1460"/>
        <w:spacing w:after="0"/>
        <w:rPr>
          <w:sz w:val="20"/>
          <w:szCs w:val="20"/>
          <w:color w:val="auto"/>
        </w:rPr>
      </w:pPr>
      <w:r>
        <w:rPr>
          <w:rFonts w:ascii="Arial" w:cs="Arial" w:eastAsia="Arial" w:hAnsi="Arial"/>
          <w:sz w:val="8"/>
          <w:szCs w:val="8"/>
          <w:color w:val="auto"/>
        </w:rPr>
        <w:t>Mark, sign and date your proxy card and return it in the postage-paid envelope we have provided or return it to Vote Processing,</w:t>
      </w:r>
    </w:p>
    <w:p>
      <w:pPr>
        <w:ind w:left="1460"/>
        <w:spacing w:after="0"/>
        <w:rPr>
          <w:sz w:val="20"/>
          <w:szCs w:val="20"/>
          <w:color w:val="auto"/>
        </w:rPr>
      </w:pPr>
      <w:r>
        <w:rPr>
          <w:rFonts w:ascii="Arial" w:cs="Arial" w:eastAsia="Arial" w:hAnsi="Arial"/>
          <w:sz w:val="8"/>
          <w:szCs w:val="8"/>
          <w:color w:val="auto"/>
        </w:rPr>
        <w:t>Comcast Corporation, c/o Broadridge Financial Solutions, 51 Mercedes Way, Edgewood, NY 11717.</w:t>
      </w:r>
    </w:p>
    <w:p>
      <w:pPr>
        <w:spacing w:after="0" w:line="60" w:lineRule="exact"/>
        <w:rPr>
          <w:sz w:val="20"/>
          <w:szCs w:val="20"/>
          <w:color w:val="auto"/>
        </w:rPr>
      </w:pPr>
    </w:p>
    <w:p>
      <w:pPr>
        <w:ind w:left="1460"/>
        <w:spacing w:after="0"/>
        <w:rPr>
          <w:sz w:val="20"/>
          <w:szCs w:val="20"/>
          <w:color w:val="auto"/>
        </w:rPr>
      </w:pPr>
      <w:r>
        <w:rPr>
          <w:rFonts w:ascii="Arial" w:cs="Arial" w:eastAsia="Arial" w:hAnsi="Arial"/>
          <w:sz w:val="8"/>
          <w:szCs w:val="8"/>
          <w:b w:val="1"/>
          <w:bCs w:val="1"/>
          <w:color w:val="auto"/>
        </w:rPr>
        <w:t>ELECTRONIC DELIVERY OF FUTURE PROXY MATERIALS</w:t>
      </w:r>
    </w:p>
    <w:p>
      <w:pPr>
        <w:spacing w:after="0" w:line="8" w:lineRule="exact"/>
        <w:rPr>
          <w:sz w:val="20"/>
          <w:szCs w:val="20"/>
          <w:color w:val="auto"/>
        </w:rPr>
      </w:pPr>
    </w:p>
    <w:p>
      <w:pPr>
        <w:jc w:val="both"/>
        <w:ind w:left="1460" w:right="200"/>
        <w:spacing w:after="0" w:line="239" w:lineRule="auto"/>
        <w:rPr>
          <w:sz w:val="20"/>
          <w:szCs w:val="20"/>
          <w:color w:val="auto"/>
        </w:rPr>
      </w:pPr>
      <w:r>
        <w:rPr>
          <w:rFonts w:ascii="Arial" w:cs="Arial" w:eastAsia="Arial" w:hAnsi="Arial"/>
          <w:sz w:val="8"/>
          <w:szCs w:val="8"/>
          <w:color w:val="auto"/>
        </w:rPr>
        <w:t>If you would like to reduce the costs incurred by our company in mailing proxy materials, you can consent to receiving all future Notices of Internet Availability of Proxy Materials, proxy statements, proxy cards and Annual Reports on Form 10-K electronically via e-mail or the Internet. To sign up for electronic delivery, please follow the instructions above to vote using the Internet and, when prompted, indicate that you agree to receive or access shareholder communications electronically in future years. For further details regarding the election of electronic delivery, please see the “General Information — Notice of Electronic Availability of Proxy Materials” section of our proxy statement.</w:t>
      </w:r>
    </w:p>
    <w:p>
      <w:pPr>
        <w:spacing w:after="0" w:line="200" w:lineRule="exact"/>
        <w:rPr>
          <w:sz w:val="20"/>
          <w:szCs w:val="20"/>
          <w:color w:val="auto"/>
        </w:rPr>
      </w:pPr>
    </w:p>
    <w:p>
      <w:pPr>
        <w:spacing w:after="0" w:line="259" w:lineRule="exact"/>
        <w:rPr>
          <w:sz w:val="20"/>
          <w:szCs w:val="20"/>
          <w:color w:val="auto"/>
        </w:rPr>
      </w:pPr>
    </w:p>
    <w:p>
      <w:pPr>
        <w:ind w:left="3540"/>
        <w:spacing w:after="0"/>
        <w:tabs>
          <w:tab w:leader="none" w:pos="4680" w:val="left"/>
        </w:tabs>
        <w:rPr>
          <w:sz w:val="20"/>
          <w:szCs w:val="20"/>
          <w:color w:val="auto"/>
        </w:rPr>
      </w:pPr>
      <w:r>
        <w:rPr>
          <w:rFonts w:ascii="Arial" w:cs="Arial" w:eastAsia="Arial" w:hAnsi="Arial"/>
          <w:sz w:val="8"/>
          <w:szCs w:val="8"/>
          <w:color w:val="auto"/>
        </w:rPr>
        <w:t>M20428-P90314-Z51911</w:t>
      </w:r>
      <w:r>
        <w:rPr>
          <w:sz w:val="20"/>
          <w:szCs w:val="20"/>
          <w:color w:val="auto"/>
        </w:rPr>
        <w:tab/>
      </w:r>
      <w:r>
        <w:rPr>
          <w:rFonts w:ascii="Arial" w:cs="Arial" w:eastAsia="Arial" w:hAnsi="Arial"/>
          <w:sz w:val="8"/>
          <w:szCs w:val="8"/>
          <w:color w:val="auto"/>
        </w:rPr>
        <w:t>KEEP THIS PORTION FOR YOUR RECORDS</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8"/>
          <w:szCs w:val="8"/>
          <w:color w:val="auto"/>
        </w:rPr>
        <w:t>DETACH AND RETURN THIS PORTION ONLY</w:t>
      </w:r>
    </w:p>
    <w:p>
      <w:pPr>
        <w:spacing w:after="0" w:line="5"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-2241550</wp:posOffset>
            </wp:positionH>
            <wp:positionV relativeFrom="paragraph">
              <wp:posOffset>87630</wp:posOffset>
            </wp:positionV>
            <wp:extent cx="6487160" cy="26149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487160" cy="26149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00" w:space="640"/>
            <w:col w:w="6460"/>
          </w:cols>
          <w:pgMar w:left="900" w:top="327" w:right="999" w:bottom="1440" w:gutter="0" w:footer="0" w:header="0"/>
        </w:sectPr>
      </w:pPr>
    </w:p>
    <w:p>
      <w:pPr>
        <w:spacing w:after="0" w:line="286" w:lineRule="exact"/>
        <w:rPr>
          <w:sz w:val="20"/>
          <w:szCs w:val="20"/>
          <w:color w:val="auto"/>
        </w:rPr>
      </w:pPr>
    </w:p>
    <w:p>
      <w:pPr>
        <w:ind w:left="120"/>
        <w:spacing w:after="0"/>
        <w:rPr>
          <w:sz w:val="20"/>
          <w:szCs w:val="20"/>
          <w:color w:val="auto"/>
        </w:rPr>
      </w:pPr>
      <w:r>
        <w:rPr>
          <w:rFonts w:ascii="Arial" w:cs="Arial" w:eastAsia="Arial" w:hAnsi="Arial"/>
          <w:sz w:val="10"/>
          <w:szCs w:val="10"/>
          <w:b w:val="1"/>
          <w:bCs w:val="1"/>
          <w:color w:val="auto"/>
        </w:rPr>
        <w:t>COMCAST CORPORATION</w:t>
      </w:r>
    </w:p>
    <w:p>
      <w:pPr>
        <w:spacing w:after="0" w:line="78" w:lineRule="exact"/>
        <w:rPr>
          <w:sz w:val="20"/>
          <w:szCs w:val="20"/>
          <w:color w:val="auto"/>
        </w:rPr>
      </w:pPr>
    </w:p>
    <w:p>
      <w:pPr>
        <w:ind w:left="520"/>
        <w:spacing w:after="0" w:line="282" w:lineRule="auto"/>
        <w:rPr>
          <w:sz w:val="20"/>
          <w:szCs w:val="20"/>
          <w:color w:val="auto"/>
        </w:rPr>
      </w:pPr>
      <w:r>
        <w:rPr>
          <w:rFonts w:ascii="Arial" w:cs="Arial" w:eastAsia="Arial" w:hAnsi="Arial"/>
          <w:sz w:val="8"/>
          <w:szCs w:val="8"/>
          <w:b w:val="1"/>
          <w:bCs w:val="1"/>
          <w:color w:val="auto"/>
        </w:rPr>
        <w:t>Company Proposals — The Board of Directors recommends a vote “FOR” all the nominees listed in Proposal 1 and “FOR” Proposals 2-3.</w:t>
      </w:r>
    </w:p>
    <w:p>
      <w:pPr>
        <w:spacing w:after="0" w:line="172" w:lineRule="exact"/>
        <w:rPr>
          <w:sz w:val="20"/>
          <w:szCs w:val="20"/>
          <w:color w:val="auto"/>
        </w:rPr>
      </w:pPr>
    </w:p>
    <w:p>
      <w:pPr>
        <w:ind w:left="520" w:hanging="400"/>
        <w:spacing w:after="0"/>
        <w:tabs>
          <w:tab w:leader="none" w:pos="520" w:val="left"/>
        </w:tabs>
        <w:numPr>
          <w:ilvl w:val="0"/>
          <w:numId w:val="51"/>
        </w:numPr>
        <w:rPr>
          <w:rFonts w:ascii="Arial" w:cs="Arial" w:eastAsia="Arial" w:hAnsi="Arial"/>
          <w:sz w:val="8"/>
          <w:szCs w:val="8"/>
          <w:color w:val="auto"/>
        </w:rPr>
      </w:pPr>
      <w:r>
        <w:rPr>
          <w:rFonts w:ascii="Arial" w:cs="Arial" w:eastAsia="Arial" w:hAnsi="Arial"/>
          <w:sz w:val="8"/>
          <w:szCs w:val="8"/>
          <w:color w:val="auto"/>
        </w:rPr>
        <w:t>Election of Directors</w:t>
      </w:r>
    </w:p>
    <w:p>
      <w:pPr>
        <w:spacing w:after="0" w:line="86" w:lineRule="exact"/>
        <w:rPr>
          <w:sz w:val="20"/>
          <w:szCs w:val="20"/>
          <w:color w:val="auto"/>
        </w:rPr>
      </w:pPr>
    </w:p>
    <w:tbl>
      <w:tblPr>
        <w:tblLayout w:type="fixed"/>
        <w:tblInd w:w="520" w:type="dxa"/>
        <w:tblCellMar>
          <w:top w:w="0" w:type="dxa"/>
          <w:left w:w="0" w:type="dxa"/>
          <w:bottom w:w="0" w:type="dxa"/>
          <w:right w:w="0" w:type="dxa"/>
        </w:tblCellMar>
      </w:tblPr>
      <w:tr>
        <w:trPr>
          <w:trHeight w:val="92"/>
        </w:trPr>
        <w:tc>
          <w:tcPr>
            <w:tcW w:w="240" w:type="dxa"/>
            <w:vAlign w:val="bottom"/>
          </w:tcPr>
          <w:p>
            <w:pPr>
              <w:jc w:val="right"/>
              <w:ind w:right="38"/>
              <w:spacing w:after="0"/>
              <w:rPr>
                <w:sz w:val="20"/>
                <w:szCs w:val="20"/>
                <w:color w:val="auto"/>
              </w:rPr>
            </w:pPr>
            <w:r>
              <w:rPr>
                <w:rFonts w:ascii="Arial" w:cs="Arial" w:eastAsia="Arial" w:hAnsi="Arial"/>
                <w:sz w:val="8"/>
                <w:szCs w:val="8"/>
                <w:color w:val="auto"/>
              </w:rPr>
              <w:t>01 -</w:t>
            </w:r>
          </w:p>
        </w:tc>
        <w:tc>
          <w:tcPr>
            <w:tcW w:w="1080" w:type="dxa"/>
            <w:vAlign w:val="bottom"/>
          </w:tcPr>
          <w:p>
            <w:pPr>
              <w:ind w:left="80"/>
              <w:spacing w:after="0"/>
              <w:rPr>
                <w:sz w:val="20"/>
                <w:szCs w:val="20"/>
                <w:color w:val="auto"/>
              </w:rPr>
            </w:pPr>
            <w:r>
              <w:rPr>
                <w:rFonts w:ascii="Arial" w:cs="Arial" w:eastAsia="Arial" w:hAnsi="Arial"/>
                <w:sz w:val="8"/>
                <w:szCs w:val="8"/>
                <w:color w:val="auto"/>
              </w:rPr>
              <w:t>S. Decker Anstrom</w:t>
            </w:r>
          </w:p>
        </w:tc>
        <w:tc>
          <w:tcPr>
            <w:tcW w:w="480" w:type="dxa"/>
            <w:vAlign w:val="bottom"/>
          </w:tcPr>
          <w:p>
            <w:pPr>
              <w:jc w:val="right"/>
              <w:ind w:right="58"/>
              <w:spacing w:after="0"/>
              <w:rPr>
                <w:sz w:val="20"/>
                <w:szCs w:val="20"/>
                <w:color w:val="auto"/>
              </w:rPr>
            </w:pPr>
            <w:r>
              <w:rPr>
                <w:rFonts w:ascii="Arial" w:cs="Arial" w:eastAsia="Arial" w:hAnsi="Arial"/>
                <w:sz w:val="8"/>
                <w:szCs w:val="8"/>
                <w:color w:val="auto"/>
              </w:rPr>
              <w:t>08 -</w:t>
            </w:r>
          </w:p>
        </w:tc>
        <w:tc>
          <w:tcPr>
            <w:tcW w:w="880" w:type="dxa"/>
            <w:vAlign w:val="bottom"/>
          </w:tcPr>
          <w:p>
            <w:pPr>
              <w:ind w:left="80"/>
              <w:spacing w:after="0"/>
              <w:rPr>
                <w:sz w:val="20"/>
                <w:szCs w:val="20"/>
                <w:color w:val="auto"/>
              </w:rPr>
            </w:pPr>
            <w:r>
              <w:rPr>
                <w:rFonts w:ascii="Arial" w:cs="Arial" w:eastAsia="Arial" w:hAnsi="Arial"/>
                <w:sz w:val="8"/>
                <w:szCs w:val="8"/>
                <w:color w:val="auto"/>
              </w:rPr>
              <w:t>Gerald L. Hassell</w:t>
            </w:r>
          </w:p>
        </w:tc>
      </w:tr>
      <w:tr>
        <w:trPr>
          <w:trHeight w:val="90"/>
        </w:trPr>
        <w:tc>
          <w:tcPr>
            <w:tcW w:w="240" w:type="dxa"/>
            <w:vAlign w:val="bottom"/>
          </w:tcPr>
          <w:p>
            <w:pPr>
              <w:jc w:val="right"/>
              <w:ind w:right="38"/>
              <w:spacing w:after="0" w:line="90" w:lineRule="exact"/>
              <w:rPr>
                <w:sz w:val="20"/>
                <w:szCs w:val="20"/>
                <w:color w:val="auto"/>
              </w:rPr>
            </w:pPr>
            <w:r>
              <w:rPr>
                <w:rFonts w:ascii="Arial" w:cs="Arial" w:eastAsia="Arial" w:hAnsi="Arial"/>
                <w:sz w:val="8"/>
                <w:szCs w:val="8"/>
                <w:color w:val="auto"/>
              </w:rPr>
              <w:t>02 -</w:t>
            </w:r>
          </w:p>
        </w:tc>
        <w:tc>
          <w:tcPr>
            <w:tcW w:w="1080" w:type="dxa"/>
            <w:vAlign w:val="bottom"/>
          </w:tcPr>
          <w:p>
            <w:pPr>
              <w:ind w:left="80"/>
              <w:spacing w:after="0" w:line="90" w:lineRule="exact"/>
              <w:rPr>
                <w:sz w:val="20"/>
                <w:szCs w:val="20"/>
                <w:color w:val="auto"/>
              </w:rPr>
            </w:pPr>
            <w:r>
              <w:rPr>
                <w:rFonts w:ascii="Arial" w:cs="Arial" w:eastAsia="Arial" w:hAnsi="Arial"/>
                <w:sz w:val="8"/>
                <w:szCs w:val="8"/>
                <w:color w:val="auto"/>
              </w:rPr>
              <w:t>Kenneth J. Bacon</w:t>
            </w:r>
          </w:p>
        </w:tc>
        <w:tc>
          <w:tcPr>
            <w:tcW w:w="480" w:type="dxa"/>
            <w:vAlign w:val="bottom"/>
          </w:tcPr>
          <w:p>
            <w:pPr>
              <w:jc w:val="right"/>
              <w:ind w:right="58"/>
              <w:spacing w:after="0" w:line="90" w:lineRule="exact"/>
              <w:rPr>
                <w:sz w:val="20"/>
                <w:szCs w:val="20"/>
                <w:color w:val="auto"/>
              </w:rPr>
            </w:pPr>
            <w:r>
              <w:rPr>
                <w:rFonts w:ascii="Arial" w:cs="Arial" w:eastAsia="Arial" w:hAnsi="Arial"/>
                <w:sz w:val="8"/>
                <w:szCs w:val="8"/>
                <w:color w:val="auto"/>
              </w:rPr>
              <w:t>09 -</w:t>
            </w:r>
          </w:p>
        </w:tc>
        <w:tc>
          <w:tcPr>
            <w:tcW w:w="880" w:type="dxa"/>
            <w:vAlign w:val="bottom"/>
          </w:tcPr>
          <w:p>
            <w:pPr>
              <w:ind w:left="80"/>
              <w:spacing w:after="0" w:line="90" w:lineRule="exact"/>
              <w:rPr>
                <w:sz w:val="20"/>
                <w:szCs w:val="20"/>
                <w:color w:val="auto"/>
              </w:rPr>
            </w:pPr>
            <w:r>
              <w:rPr>
                <w:rFonts w:ascii="Arial" w:cs="Arial" w:eastAsia="Arial" w:hAnsi="Arial"/>
                <w:sz w:val="8"/>
                <w:szCs w:val="8"/>
                <w:color w:val="auto"/>
              </w:rPr>
              <w:t>Jeffrey A. Honickman</w:t>
            </w:r>
          </w:p>
        </w:tc>
      </w:tr>
      <w:tr>
        <w:trPr>
          <w:trHeight w:val="90"/>
        </w:trPr>
        <w:tc>
          <w:tcPr>
            <w:tcW w:w="240" w:type="dxa"/>
            <w:vAlign w:val="bottom"/>
          </w:tcPr>
          <w:p>
            <w:pPr>
              <w:jc w:val="right"/>
              <w:ind w:right="38"/>
              <w:spacing w:after="0" w:line="90" w:lineRule="exact"/>
              <w:rPr>
                <w:sz w:val="20"/>
                <w:szCs w:val="20"/>
                <w:color w:val="auto"/>
              </w:rPr>
            </w:pPr>
            <w:r>
              <w:rPr>
                <w:rFonts w:ascii="Arial" w:cs="Arial" w:eastAsia="Arial" w:hAnsi="Arial"/>
                <w:sz w:val="8"/>
                <w:szCs w:val="8"/>
                <w:color w:val="auto"/>
              </w:rPr>
              <w:t>03 -</w:t>
            </w:r>
          </w:p>
        </w:tc>
        <w:tc>
          <w:tcPr>
            <w:tcW w:w="1080" w:type="dxa"/>
            <w:vAlign w:val="bottom"/>
          </w:tcPr>
          <w:p>
            <w:pPr>
              <w:ind w:left="80"/>
              <w:spacing w:after="0" w:line="90" w:lineRule="exact"/>
              <w:rPr>
                <w:sz w:val="20"/>
                <w:szCs w:val="20"/>
                <w:color w:val="auto"/>
              </w:rPr>
            </w:pPr>
            <w:r>
              <w:rPr>
                <w:rFonts w:ascii="Arial" w:cs="Arial" w:eastAsia="Arial" w:hAnsi="Arial"/>
                <w:sz w:val="8"/>
                <w:szCs w:val="8"/>
                <w:color w:val="auto"/>
              </w:rPr>
              <w:t>Sheldon M. Bonovitz</w:t>
            </w:r>
          </w:p>
        </w:tc>
        <w:tc>
          <w:tcPr>
            <w:tcW w:w="480" w:type="dxa"/>
            <w:vAlign w:val="bottom"/>
          </w:tcPr>
          <w:p>
            <w:pPr>
              <w:jc w:val="right"/>
              <w:ind w:right="58"/>
              <w:spacing w:after="0" w:line="90" w:lineRule="exact"/>
              <w:rPr>
                <w:sz w:val="20"/>
                <w:szCs w:val="20"/>
                <w:color w:val="auto"/>
              </w:rPr>
            </w:pPr>
            <w:r>
              <w:rPr>
                <w:rFonts w:ascii="Arial" w:cs="Arial" w:eastAsia="Arial" w:hAnsi="Arial"/>
                <w:sz w:val="8"/>
                <w:szCs w:val="8"/>
                <w:color w:val="auto"/>
              </w:rPr>
              <w:t>10 -</w:t>
            </w:r>
          </w:p>
        </w:tc>
        <w:tc>
          <w:tcPr>
            <w:tcW w:w="880" w:type="dxa"/>
            <w:vAlign w:val="bottom"/>
          </w:tcPr>
          <w:p>
            <w:pPr>
              <w:ind w:left="80"/>
              <w:spacing w:after="0" w:line="90" w:lineRule="exact"/>
              <w:rPr>
                <w:sz w:val="20"/>
                <w:szCs w:val="20"/>
                <w:color w:val="auto"/>
              </w:rPr>
            </w:pPr>
            <w:r>
              <w:rPr>
                <w:rFonts w:ascii="Arial" w:cs="Arial" w:eastAsia="Arial" w:hAnsi="Arial"/>
                <w:sz w:val="8"/>
                <w:szCs w:val="8"/>
                <w:color w:val="auto"/>
              </w:rPr>
              <w:t>Brian L. Roberts</w:t>
            </w:r>
          </w:p>
        </w:tc>
      </w:tr>
      <w:tr>
        <w:trPr>
          <w:trHeight w:val="90"/>
        </w:trPr>
        <w:tc>
          <w:tcPr>
            <w:tcW w:w="240" w:type="dxa"/>
            <w:vAlign w:val="bottom"/>
          </w:tcPr>
          <w:p>
            <w:pPr>
              <w:jc w:val="right"/>
              <w:ind w:right="38"/>
              <w:spacing w:after="0" w:line="90" w:lineRule="exact"/>
              <w:rPr>
                <w:sz w:val="20"/>
                <w:szCs w:val="20"/>
                <w:color w:val="auto"/>
              </w:rPr>
            </w:pPr>
            <w:r>
              <w:rPr>
                <w:rFonts w:ascii="Arial" w:cs="Arial" w:eastAsia="Arial" w:hAnsi="Arial"/>
                <w:sz w:val="8"/>
                <w:szCs w:val="8"/>
                <w:color w:val="auto"/>
              </w:rPr>
              <w:t>04 -</w:t>
            </w:r>
          </w:p>
        </w:tc>
        <w:tc>
          <w:tcPr>
            <w:tcW w:w="1080" w:type="dxa"/>
            <w:vAlign w:val="bottom"/>
          </w:tcPr>
          <w:p>
            <w:pPr>
              <w:ind w:left="80"/>
              <w:spacing w:after="0" w:line="90" w:lineRule="exact"/>
              <w:rPr>
                <w:sz w:val="20"/>
                <w:szCs w:val="20"/>
                <w:color w:val="auto"/>
              </w:rPr>
            </w:pPr>
            <w:r>
              <w:rPr>
                <w:rFonts w:ascii="Arial" w:cs="Arial" w:eastAsia="Arial" w:hAnsi="Arial"/>
                <w:sz w:val="8"/>
                <w:szCs w:val="8"/>
                <w:color w:val="auto"/>
              </w:rPr>
              <w:t>Edward D. Breen</w:t>
            </w:r>
          </w:p>
        </w:tc>
        <w:tc>
          <w:tcPr>
            <w:tcW w:w="480" w:type="dxa"/>
            <w:vAlign w:val="bottom"/>
          </w:tcPr>
          <w:p>
            <w:pPr>
              <w:jc w:val="right"/>
              <w:ind w:right="58"/>
              <w:spacing w:after="0" w:line="90" w:lineRule="exact"/>
              <w:rPr>
                <w:sz w:val="20"/>
                <w:szCs w:val="20"/>
                <w:color w:val="auto"/>
              </w:rPr>
            </w:pPr>
            <w:r>
              <w:rPr>
                <w:rFonts w:ascii="Arial" w:cs="Arial" w:eastAsia="Arial" w:hAnsi="Arial"/>
                <w:sz w:val="8"/>
                <w:szCs w:val="8"/>
                <w:color w:val="auto"/>
              </w:rPr>
              <w:t>11 -</w:t>
            </w:r>
          </w:p>
        </w:tc>
        <w:tc>
          <w:tcPr>
            <w:tcW w:w="880" w:type="dxa"/>
            <w:vAlign w:val="bottom"/>
          </w:tcPr>
          <w:p>
            <w:pPr>
              <w:ind w:left="80"/>
              <w:spacing w:after="0" w:line="90" w:lineRule="exact"/>
              <w:rPr>
                <w:sz w:val="20"/>
                <w:szCs w:val="20"/>
                <w:color w:val="auto"/>
              </w:rPr>
            </w:pPr>
            <w:r>
              <w:rPr>
                <w:rFonts w:ascii="Arial" w:cs="Arial" w:eastAsia="Arial" w:hAnsi="Arial"/>
                <w:sz w:val="8"/>
                <w:szCs w:val="8"/>
                <w:color w:val="auto"/>
              </w:rPr>
              <w:t>Ralph J. Roberts</w:t>
            </w:r>
          </w:p>
        </w:tc>
      </w:tr>
      <w:tr>
        <w:trPr>
          <w:trHeight w:val="90"/>
        </w:trPr>
        <w:tc>
          <w:tcPr>
            <w:tcW w:w="240" w:type="dxa"/>
            <w:vAlign w:val="bottom"/>
          </w:tcPr>
          <w:p>
            <w:pPr>
              <w:jc w:val="right"/>
              <w:ind w:right="38"/>
              <w:spacing w:after="0" w:line="90" w:lineRule="exact"/>
              <w:rPr>
                <w:sz w:val="20"/>
                <w:szCs w:val="20"/>
                <w:color w:val="auto"/>
              </w:rPr>
            </w:pPr>
            <w:r>
              <w:rPr>
                <w:rFonts w:ascii="Arial" w:cs="Arial" w:eastAsia="Arial" w:hAnsi="Arial"/>
                <w:sz w:val="8"/>
                <w:szCs w:val="8"/>
                <w:color w:val="auto"/>
              </w:rPr>
              <w:t>05 -</w:t>
            </w:r>
          </w:p>
        </w:tc>
        <w:tc>
          <w:tcPr>
            <w:tcW w:w="1080" w:type="dxa"/>
            <w:vAlign w:val="bottom"/>
          </w:tcPr>
          <w:p>
            <w:pPr>
              <w:ind w:left="80"/>
              <w:spacing w:after="0" w:line="90" w:lineRule="exact"/>
              <w:rPr>
                <w:sz w:val="20"/>
                <w:szCs w:val="20"/>
                <w:color w:val="auto"/>
              </w:rPr>
            </w:pPr>
            <w:r>
              <w:rPr>
                <w:rFonts w:ascii="Arial" w:cs="Arial" w:eastAsia="Arial" w:hAnsi="Arial"/>
                <w:sz w:val="8"/>
                <w:szCs w:val="8"/>
                <w:color w:val="auto"/>
              </w:rPr>
              <w:t>Julian A. Brodsky</w:t>
            </w:r>
          </w:p>
        </w:tc>
        <w:tc>
          <w:tcPr>
            <w:tcW w:w="480" w:type="dxa"/>
            <w:vAlign w:val="bottom"/>
          </w:tcPr>
          <w:p>
            <w:pPr>
              <w:jc w:val="right"/>
              <w:ind w:right="58"/>
              <w:spacing w:after="0" w:line="90" w:lineRule="exact"/>
              <w:rPr>
                <w:sz w:val="20"/>
                <w:szCs w:val="20"/>
                <w:color w:val="auto"/>
              </w:rPr>
            </w:pPr>
            <w:r>
              <w:rPr>
                <w:rFonts w:ascii="Arial" w:cs="Arial" w:eastAsia="Arial" w:hAnsi="Arial"/>
                <w:sz w:val="8"/>
                <w:szCs w:val="8"/>
                <w:color w:val="auto"/>
              </w:rPr>
              <w:t>12 -</w:t>
            </w:r>
          </w:p>
        </w:tc>
        <w:tc>
          <w:tcPr>
            <w:tcW w:w="880" w:type="dxa"/>
            <w:vAlign w:val="bottom"/>
          </w:tcPr>
          <w:p>
            <w:pPr>
              <w:ind w:left="80"/>
              <w:spacing w:after="0" w:line="90" w:lineRule="exact"/>
              <w:rPr>
                <w:sz w:val="20"/>
                <w:szCs w:val="20"/>
                <w:color w:val="auto"/>
              </w:rPr>
            </w:pPr>
            <w:r>
              <w:rPr>
                <w:rFonts w:ascii="Arial" w:cs="Arial" w:eastAsia="Arial" w:hAnsi="Arial"/>
                <w:sz w:val="8"/>
                <w:szCs w:val="8"/>
                <w:color w:val="auto"/>
              </w:rPr>
              <w:t>Dr. Judith Rodin</w:t>
            </w:r>
          </w:p>
        </w:tc>
      </w:tr>
      <w:tr>
        <w:trPr>
          <w:trHeight w:val="90"/>
        </w:trPr>
        <w:tc>
          <w:tcPr>
            <w:tcW w:w="240" w:type="dxa"/>
            <w:vAlign w:val="bottom"/>
          </w:tcPr>
          <w:p>
            <w:pPr>
              <w:jc w:val="right"/>
              <w:ind w:right="38"/>
              <w:spacing w:after="0" w:line="90" w:lineRule="exact"/>
              <w:rPr>
                <w:sz w:val="20"/>
                <w:szCs w:val="20"/>
                <w:color w:val="auto"/>
              </w:rPr>
            </w:pPr>
            <w:r>
              <w:rPr>
                <w:rFonts w:ascii="Arial" w:cs="Arial" w:eastAsia="Arial" w:hAnsi="Arial"/>
                <w:sz w:val="8"/>
                <w:szCs w:val="8"/>
                <w:color w:val="auto"/>
              </w:rPr>
              <w:t>06 -</w:t>
            </w:r>
          </w:p>
        </w:tc>
        <w:tc>
          <w:tcPr>
            <w:tcW w:w="1080" w:type="dxa"/>
            <w:vAlign w:val="bottom"/>
          </w:tcPr>
          <w:p>
            <w:pPr>
              <w:ind w:left="80"/>
              <w:spacing w:after="0" w:line="90" w:lineRule="exact"/>
              <w:rPr>
                <w:sz w:val="20"/>
                <w:szCs w:val="20"/>
                <w:color w:val="auto"/>
              </w:rPr>
            </w:pPr>
            <w:r>
              <w:rPr>
                <w:rFonts w:ascii="Arial" w:cs="Arial" w:eastAsia="Arial" w:hAnsi="Arial"/>
                <w:sz w:val="8"/>
                <w:szCs w:val="8"/>
                <w:color w:val="auto"/>
              </w:rPr>
              <w:t>Joseph J. Collins</w:t>
            </w:r>
          </w:p>
        </w:tc>
        <w:tc>
          <w:tcPr>
            <w:tcW w:w="480" w:type="dxa"/>
            <w:vAlign w:val="bottom"/>
          </w:tcPr>
          <w:p>
            <w:pPr>
              <w:jc w:val="right"/>
              <w:ind w:right="58"/>
              <w:spacing w:after="0" w:line="90" w:lineRule="exact"/>
              <w:rPr>
                <w:sz w:val="20"/>
                <w:szCs w:val="20"/>
                <w:color w:val="auto"/>
              </w:rPr>
            </w:pPr>
            <w:r>
              <w:rPr>
                <w:rFonts w:ascii="Arial" w:cs="Arial" w:eastAsia="Arial" w:hAnsi="Arial"/>
                <w:sz w:val="8"/>
                <w:szCs w:val="8"/>
                <w:color w:val="auto"/>
              </w:rPr>
              <w:t>13 -</w:t>
            </w:r>
          </w:p>
        </w:tc>
        <w:tc>
          <w:tcPr>
            <w:tcW w:w="880" w:type="dxa"/>
            <w:vAlign w:val="bottom"/>
          </w:tcPr>
          <w:p>
            <w:pPr>
              <w:ind w:left="80"/>
              <w:spacing w:after="0" w:line="90" w:lineRule="exact"/>
              <w:rPr>
                <w:sz w:val="20"/>
                <w:szCs w:val="20"/>
                <w:color w:val="auto"/>
              </w:rPr>
            </w:pPr>
            <w:r>
              <w:rPr>
                <w:rFonts w:ascii="Arial" w:cs="Arial" w:eastAsia="Arial" w:hAnsi="Arial"/>
                <w:sz w:val="8"/>
                <w:szCs w:val="8"/>
                <w:color w:val="auto"/>
              </w:rPr>
              <w:t>Michael I. Sovern</w:t>
            </w:r>
          </w:p>
        </w:tc>
      </w:tr>
      <w:tr>
        <w:trPr>
          <w:trHeight w:val="100"/>
        </w:trPr>
        <w:tc>
          <w:tcPr>
            <w:tcW w:w="240" w:type="dxa"/>
            <w:vAlign w:val="bottom"/>
          </w:tcPr>
          <w:p>
            <w:pPr>
              <w:jc w:val="right"/>
              <w:ind w:right="38"/>
              <w:spacing w:after="0"/>
              <w:rPr>
                <w:sz w:val="20"/>
                <w:szCs w:val="20"/>
                <w:color w:val="auto"/>
              </w:rPr>
            </w:pPr>
            <w:r>
              <w:rPr>
                <w:rFonts w:ascii="Arial" w:cs="Arial" w:eastAsia="Arial" w:hAnsi="Arial"/>
                <w:sz w:val="8"/>
                <w:szCs w:val="8"/>
                <w:color w:val="auto"/>
              </w:rPr>
              <w:t>07 -</w:t>
            </w:r>
          </w:p>
        </w:tc>
        <w:tc>
          <w:tcPr>
            <w:tcW w:w="1080" w:type="dxa"/>
            <w:vAlign w:val="bottom"/>
          </w:tcPr>
          <w:p>
            <w:pPr>
              <w:ind w:left="80"/>
              <w:spacing w:after="0"/>
              <w:rPr>
                <w:sz w:val="20"/>
                <w:szCs w:val="20"/>
                <w:color w:val="auto"/>
              </w:rPr>
            </w:pPr>
            <w:r>
              <w:rPr>
                <w:rFonts w:ascii="Arial" w:cs="Arial" w:eastAsia="Arial" w:hAnsi="Arial"/>
                <w:sz w:val="8"/>
                <w:szCs w:val="8"/>
                <w:color w:val="auto"/>
              </w:rPr>
              <w:t>J. Michael Cook</w:t>
            </w:r>
          </w:p>
        </w:tc>
        <w:tc>
          <w:tcPr>
            <w:tcW w:w="480" w:type="dxa"/>
            <w:vAlign w:val="bottom"/>
          </w:tcPr>
          <w:p>
            <w:pPr>
              <w:spacing w:after="0"/>
              <w:rPr>
                <w:sz w:val="8"/>
                <w:szCs w:val="8"/>
                <w:color w:val="auto"/>
              </w:rPr>
            </w:pPr>
          </w:p>
        </w:tc>
        <w:tc>
          <w:tcPr>
            <w:tcW w:w="880" w:type="dxa"/>
            <w:vAlign w:val="bottom"/>
          </w:tcPr>
          <w:p>
            <w:pPr>
              <w:spacing w:after="0"/>
              <w:rPr>
                <w:sz w:val="8"/>
                <w:szCs w:val="8"/>
                <w:color w:val="auto"/>
              </w:rPr>
            </w:pPr>
          </w:p>
        </w:tc>
      </w:tr>
    </w:tbl>
    <w:p>
      <w:pPr>
        <w:spacing w:after="0" w:line="260" w:lineRule="exact"/>
        <w:rPr>
          <w:sz w:val="20"/>
          <w:szCs w:val="20"/>
          <w:color w:val="auto"/>
        </w:rPr>
      </w:pPr>
    </w:p>
    <w:p>
      <w:pPr>
        <w:ind w:left="520" w:hanging="400"/>
        <w:spacing w:after="0"/>
        <w:tabs>
          <w:tab w:leader="none" w:pos="520" w:val="left"/>
        </w:tabs>
        <w:numPr>
          <w:ilvl w:val="0"/>
          <w:numId w:val="52"/>
        </w:numPr>
        <w:rPr>
          <w:rFonts w:ascii="Arial" w:cs="Arial" w:eastAsia="Arial" w:hAnsi="Arial"/>
          <w:sz w:val="8"/>
          <w:szCs w:val="8"/>
          <w:color w:val="auto"/>
        </w:rPr>
      </w:pPr>
      <w:r>
        <w:rPr>
          <w:rFonts w:ascii="Arial" w:cs="Arial" w:eastAsia="Arial" w:hAnsi="Arial"/>
          <w:sz w:val="8"/>
          <w:szCs w:val="8"/>
          <w:color w:val="auto"/>
        </w:rPr>
        <w:t>Ratification of the appointment of independent auditors</w:t>
      </w:r>
    </w:p>
    <w:p>
      <w:pPr>
        <w:spacing w:after="0" w:line="232" w:lineRule="exact"/>
        <w:rPr>
          <w:rFonts w:ascii="Arial" w:cs="Arial" w:eastAsia="Arial" w:hAnsi="Arial"/>
          <w:sz w:val="8"/>
          <w:szCs w:val="8"/>
          <w:color w:val="auto"/>
        </w:rPr>
      </w:pPr>
    </w:p>
    <w:p>
      <w:pPr>
        <w:ind w:left="520" w:hanging="400"/>
        <w:spacing w:after="0"/>
        <w:tabs>
          <w:tab w:leader="none" w:pos="520" w:val="left"/>
        </w:tabs>
        <w:numPr>
          <w:ilvl w:val="0"/>
          <w:numId w:val="52"/>
        </w:numPr>
        <w:rPr>
          <w:rFonts w:ascii="Arial" w:cs="Arial" w:eastAsia="Arial" w:hAnsi="Arial"/>
          <w:sz w:val="8"/>
          <w:szCs w:val="8"/>
          <w:color w:val="auto"/>
        </w:rPr>
      </w:pPr>
      <w:r>
        <w:rPr>
          <w:rFonts w:ascii="Arial" w:cs="Arial" w:eastAsia="Arial" w:hAnsi="Arial"/>
          <w:sz w:val="8"/>
          <w:szCs w:val="8"/>
          <w:color w:val="auto"/>
        </w:rPr>
        <w:t>Approval of our 2006 Cash Bonus Plan</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92"/>
        </w:trPr>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540" w:type="dxa"/>
            <w:vAlign w:val="bottom"/>
            <w:gridSpan w:val="2"/>
          </w:tcPr>
          <w:p>
            <w:pPr>
              <w:ind w:left="220"/>
              <w:spacing w:after="0"/>
              <w:rPr>
                <w:sz w:val="20"/>
                <w:szCs w:val="20"/>
                <w:color w:val="auto"/>
              </w:rPr>
            </w:pPr>
            <w:r>
              <w:rPr>
                <w:rFonts w:ascii="Arial" w:cs="Arial" w:eastAsia="Arial" w:hAnsi="Arial"/>
                <w:sz w:val="8"/>
                <w:szCs w:val="8"/>
                <w:color w:val="auto"/>
              </w:rPr>
              <w:t>To withhold authority to vote for any individual nominee(s),</w:t>
            </w:r>
          </w:p>
        </w:tc>
        <w:tc>
          <w:tcPr>
            <w:tcW w:w="0" w:type="dxa"/>
            <w:vAlign w:val="bottom"/>
          </w:tcPr>
          <w:p>
            <w:pPr>
              <w:spacing w:after="0"/>
              <w:rPr>
                <w:sz w:val="1"/>
                <w:szCs w:val="1"/>
                <w:color w:val="auto"/>
              </w:rPr>
            </w:pPr>
          </w:p>
        </w:tc>
      </w:tr>
      <w:tr>
        <w:trPr>
          <w:trHeight w:val="90"/>
        </w:trPr>
        <w:tc>
          <w:tcPr>
            <w:tcW w:w="240" w:type="dxa"/>
            <w:vAlign w:val="bottom"/>
            <w:vMerge w:val="restart"/>
          </w:tcPr>
          <w:p>
            <w:pPr>
              <w:jc w:val="center"/>
              <w:ind w:right="28"/>
              <w:spacing w:after="0"/>
              <w:rPr>
                <w:sz w:val="20"/>
                <w:szCs w:val="20"/>
                <w:color w:val="auto"/>
              </w:rPr>
            </w:pPr>
            <w:r>
              <w:rPr>
                <w:rFonts w:ascii="Arial" w:cs="Arial" w:eastAsia="Arial" w:hAnsi="Arial"/>
                <w:sz w:val="8"/>
                <w:szCs w:val="8"/>
                <w:b w:val="1"/>
                <w:bCs w:val="1"/>
                <w:color w:val="auto"/>
              </w:rPr>
              <w:t>For</w:t>
            </w:r>
          </w:p>
        </w:tc>
        <w:tc>
          <w:tcPr>
            <w:tcW w:w="540" w:type="dxa"/>
            <w:vAlign w:val="bottom"/>
            <w:vMerge w:val="restart"/>
          </w:tcPr>
          <w:p>
            <w:pPr>
              <w:jc w:val="center"/>
              <w:spacing w:after="0"/>
              <w:rPr>
                <w:sz w:val="20"/>
                <w:szCs w:val="20"/>
                <w:color w:val="auto"/>
              </w:rPr>
            </w:pPr>
            <w:r>
              <w:rPr>
                <w:rFonts w:ascii="Arial" w:cs="Arial" w:eastAsia="Arial" w:hAnsi="Arial"/>
                <w:sz w:val="8"/>
                <w:szCs w:val="8"/>
                <w:b w:val="1"/>
                <w:bCs w:val="1"/>
                <w:color w:val="auto"/>
              </w:rPr>
              <w:t>Withhold</w:t>
            </w:r>
          </w:p>
        </w:tc>
        <w:tc>
          <w:tcPr>
            <w:tcW w:w="1100" w:type="dxa"/>
            <w:vAlign w:val="bottom"/>
            <w:vMerge w:val="restart"/>
          </w:tcPr>
          <w:p>
            <w:pPr>
              <w:jc w:val="center"/>
              <w:ind w:right="578"/>
              <w:spacing w:after="0"/>
              <w:rPr>
                <w:sz w:val="20"/>
                <w:szCs w:val="20"/>
                <w:color w:val="auto"/>
              </w:rPr>
            </w:pPr>
            <w:r>
              <w:rPr>
                <w:rFonts w:ascii="Arial" w:cs="Arial" w:eastAsia="Arial" w:hAnsi="Arial"/>
                <w:sz w:val="8"/>
                <w:szCs w:val="8"/>
                <w:b w:val="1"/>
                <w:bCs w:val="1"/>
                <w:color w:val="auto"/>
              </w:rPr>
              <w:t>For All</w:t>
            </w:r>
          </w:p>
        </w:tc>
        <w:tc>
          <w:tcPr>
            <w:tcW w:w="2540" w:type="dxa"/>
            <w:vAlign w:val="bottom"/>
            <w:gridSpan w:val="2"/>
          </w:tcPr>
          <w:p>
            <w:pPr>
              <w:ind w:left="220"/>
              <w:spacing w:after="0" w:line="90" w:lineRule="exact"/>
              <w:rPr>
                <w:sz w:val="20"/>
                <w:szCs w:val="20"/>
                <w:color w:val="auto"/>
              </w:rPr>
            </w:pPr>
            <w:r>
              <w:rPr>
                <w:rFonts w:ascii="Arial" w:cs="Arial" w:eastAsia="Arial" w:hAnsi="Arial"/>
                <w:sz w:val="8"/>
                <w:szCs w:val="8"/>
                <w:color w:val="auto"/>
              </w:rPr>
              <w:t>mark “For All Except” and write the number(s) of the</w:t>
            </w:r>
          </w:p>
        </w:tc>
        <w:tc>
          <w:tcPr>
            <w:tcW w:w="0" w:type="dxa"/>
            <w:vAlign w:val="bottom"/>
          </w:tcPr>
          <w:p>
            <w:pPr>
              <w:spacing w:after="0"/>
              <w:rPr>
                <w:sz w:val="1"/>
                <w:szCs w:val="1"/>
                <w:color w:val="auto"/>
              </w:rPr>
            </w:pPr>
          </w:p>
        </w:tc>
      </w:tr>
      <w:tr>
        <w:trPr>
          <w:trHeight w:val="89"/>
        </w:trPr>
        <w:tc>
          <w:tcPr>
            <w:tcW w:w="24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2540" w:type="dxa"/>
            <w:vAlign w:val="bottom"/>
            <w:gridSpan w:val="2"/>
          </w:tcPr>
          <w:p>
            <w:pPr>
              <w:ind w:left="220"/>
              <w:spacing w:after="0" w:line="89" w:lineRule="exact"/>
              <w:rPr>
                <w:sz w:val="20"/>
                <w:szCs w:val="20"/>
                <w:color w:val="auto"/>
              </w:rPr>
            </w:pPr>
            <w:r>
              <w:rPr>
                <w:rFonts w:ascii="Arial" w:cs="Arial" w:eastAsia="Arial" w:hAnsi="Arial"/>
                <w:sz w:val="8"/>
                <w:szCs w:val="8"/>
                <w:color w:val="auto"/>
              </w:rPr>
              <w:t>nominee(s) on the line below.</w:t>
            </w:r>
          </w:p>
        </w:tc>
        <w:tc>
          <w:tcPr>
            <w:tcW w:w="0" w:type="dxa"/>
            <w:vAlign w:val="bottom"/>
          </w:tcPr>
          <w:p>
            <w:pPr>
              <w:spacing w:after="0"/>
              <w:rPr>
                <w:sz w:val="1"/>
                <w:szCs w:val="1"/>
                <w:color w:val="auto"/>
              </w:rPr>
            </w:pPr>
          </w:p>
        </w:tc>
      </w:tr>
      <w:tr>
        <w:trPr>
          <w:trHeight w:val="110"/>
        </w:trPr>
        <w:tc>
          <w:tcPr>
            <w:tcW w:w="240" w:type="dxa"/>
            <w:vAlign w:val="bottom"/>
          </w:tcPr>
          <w:p>
            <w:pPr>
              <w:jc w:val="center"/>
              <w:ind w:right="28"/>
              <w:spacing w:after="0"/>
              <w:rPr>
                <w:sz w:val="20"/>
                <w:szCs w:val="20"/>
                <w:color w:val="auto"/>
              </w:rPr>
            </w:pPr>
            <w:r>
              <w:rPr>
                <w:rFonts w:ascii="Arial" w:cs="Arial" w:eastAsia="Arial" w:hAnsi="Arial"/>
                <w:sz w:val="8"/>
                <w:szCs w:val="8"/>
                <w:b w:val="1"/>
                <w:bCs w:val="1"/>
                <w:color w:val="auto"/>
                <w:w w:val="97"/>
              </w:rPr>
              <w:t>All</w:t>
            </w:r>
          </w:p>
        </w:tc>
        <w:tc>
          <w:tcPr>
            <w:tcW w:w="540" w:type="dxa"/>
            <w:vAlign w:val="bottom"/>
          </w:tcPr>
          <w:p>
            <w:pPr>
              <w:jc w:val="center"/>
              <w:spacing w:after="0"/>
              <w:rPr>
                <w:sz w:val="20"/>
                <w:szCs w:val="20"/>
                <w:color w:val="auto"/>
              </w:rPr>
            </w:pPr>
            <w:r>
              <w:rPr>
                <w:rFonts w:ascii="Arial" w:cs="Arial" w:eastAsia="Arial" w:hAnsi="Arial"/>
                <w:sz w:val="8"/>
                <w:szCs w:val="8"/>
                <w:b w:val="1"/>
                <w:bCs w:val="1"/>
                <w:color w:val="auto"/>
              </w:rPr>
              <w:t>All</w:t>
            </w:r>
          </w:p>
        </w:tc>
        <w:tc>
          <w:tcPr>
            <w:tcW w:w="1100" w:type="dxa"/>
            <w:vAlign w:val="bottom"/>
          </w:tcPr>
          <w:p>
            <w:pPr>
              <w:jc w:val="center"/>
              <w:ind w:right="578"/>
              <w:spacing w:after="0"/>
              <w:rPr>
                <w:sz w:val="20"/>
                <w:szCs w:val="20"/>
                <w:color w:val="auto"/>
              </w:rPr>
            </w:pPr>
            <w:r>
              <w:rPr>
                <w:rFonts w:ascii="Arial" w:cs="Arial" w:eastAsia="Arial" w:hAnsi="Arial"/>
                <w:sz w:val="8"/>
                <w:szCs w:val="8"/>
                <w:b w:val="1"/>
                <w:bCs w:val="1"/>
                <w:color w:val="auto"/>
                <w:w w:val="98"/>
              </w:rPr>
              <w:t>Except</w:t>
            </w:r>
          </w:p>
        </w:tc>
        <w:tc>
          <w:tcPr>
            <w:tcW w:w="220" w:type="dxa"/>
            <w:vAlign w:val="bottom"/>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240" w:type="dxa"/>
            <w:vAlign w:val="bottom"/>
          </w:tcPr>
          <w:p>
            <w:pPr>
              <w:jc w:val="center"/>
              <w:ind w:right="28"/>
              <w:spacing w:after="0" w:line="208" w:lineRule="exact"/>
              <w:rPr>
                <w:sz w:val="20"/>
                <w:szCs w:val="20"/>
                <w:color w:val="auto"/>
              </w:rPr>
            </w:pPr>
            <w:r>
              <w:rPr>
                <w:rFonts w:ascii="Arial" w:cs="Arial" w:eastAsia="Arial" w:hAnsi="Arial"/>
                <w:sz w:val="20"/>
                <w:szCs w:val="20"/>
                <w:b w:val="1"/>
                <w:bCs w:val="1"/>
                <w:color w:val="auto"/>
                <w:w w:val="81"/>
              </w:rPr>
              <w:t>o</w:t>
            </w:r>
          </w:p>
        </w:tc>
        <w:tc>
          <w:tcPr>
            <w:tcW w:w="540" w:type="dxa"/>
            <w:vAlign w:val="bottom"/>
          </w:tcPr>
          <w:p>
            <w:pPr>
              <w:jc w:val="center"/>
              <w:spacing w:after="0" w:line="208" w:lineRule="exact"/>
              <w:rPr>
                <w:sz w:val="20"/>
                <w:szCs w:val="20"/>
                <w:color w:val="auto"/>
              </w:rPr>
            </w:pPr>
            <w:r>
              <w:rPr>
                <w:rFonts w:ascii="Arial" w:cs="Arial" w:eastAsia="Arial" w:hAnsi="Arial"/>
                <w:sz w:val="20"/>
                <w:szCs w:val="20"/>
                <w:b w:val="1"/>
                <w:bCs w:val="1"/>
                <w:color w:val="auto"/>
                <w:w w:val="97"/>
              </w:rPr>
              <w:t>o</w:t>
            </w:r>
          </w:p>
        </w:tc>
        <w:tc>
          <w:tcPr>
            <w:tcW w:w="1100" w:type="dxa"/>
            <w:vAlign w:val="bottom"/>
          </w:tcPr>
          <w:p>
            <w:pPr>
              <w:jc w:val="center"/>
              <w:ind w:right="578"/>
              <w:spacing w:after="0" w:line="208" w:lineRule="exact"/>
              <w:rPr>
                <w:sz w:val="20"/>
                <w:szCs w:val="20"/>
                <w:color w:val="auto"/>
              </w:rPr>
            </w:pPr>
            <w:r>
              <w:rPr>
                <w:rFonts w:ascii="Arial" w:cs="Arial" w:eastAsia="Arial" w:hAnsi="Arial"/>
                <w:sz w:val="20"/>
                <w:szCs w:val="20"/>
                <w:b w:val="1"/>
                <w:bCs w:val="1"/>
                <w:color w:val="auto"/>
                <w:w w:val="81"/>
              </w:rPr>
              <w:t>o</w:t>
            </w:r>
          </w:p>
        </w:tc>
        <w:tc>
          <w:tcPr>
            <w:tcW w:w="220" w:type="dxa"/>
            <w:vAlign w:val="bottom"/>
          </w:tcPr>
          <w:p>
            <w:pPr>
              <w:spacing w:after="0"/>
              <w:rPr>
                <w:sz w:val="19"/>
                <w:szCs w:val="19"/>
                <w:color w:val="auto"/>
              </w:rPr>
            </w:pPr>
          </w:p>
        </w:tc>
        <w:tc>
          <w:tcPr>
            <w:tcW w:w="2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540" w:type="dxa"/>
            <w:vAlign w:val="bottom"/>
            <w:gridSpan w:val="2"/>
          </w:tcPr>
          <w:p>
            <w:pPr>
              <w:ind w:left="220"/>
              <w:spacing w:after="0"/>
              <w:rPr>
                <w:sz w:val="20"/>
                <w:szCs w:val="20"/>
                <w:color w:val="auto"/>
              </w:rPr>
            </w:pPr>
            <w:r>
              <w:rPr>
                <w:rFonts w:ascii="Arial" w:cs="Arial" w:eastAsia="Arial" w:hAnsi="Arial"/>
                <w:sz w:val="8"/>
                <w:szCs w:val="8"/>
                <w:b w:val="1"/>
                <w:bCs w:val="1"/>
                <w:color w:val="auto"/>
              </w:rPr>
              <w:t>Shareholder Proposals — The Board of Directors</w:t>
            </w:r>
          </w:p>
        </w:tc>
        <w:tc>
          <w:tcPr>
            <w:tcW w:w="0" w:type="dxa"/>
            <w:vAlign w:val="bottom"/>
          </w:tcPr>
          <w:p>
            <w:pPr>
              <w:spacing w:after="0"/>
              <w:rPr>
                <w:sz w:val="1"/>
                <w:szCs w:val="1"/>
                <w:color w:val="auto"/>
              </w:rPr>
            </w:pPr>
          </w:p>
        </w:tc>
      </w:tr>
      <w:tr>
        <w:trPr>
          <w:trHeight w:val="90"/>
        </w:trPr>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540" w:type="dxa"/>
            <w:vAlign w:val="bottom"/>
            <w:gridSpan w:val="2"/>
          </w:tcPr>
          <w:p>
            <w:pPr>
              <w:ind w:left="220"/>
              <w:spacing w:after="0" w:line="90" w:lineRule="exact"/>
              <w:rPr>
                <w:sz w:val="20"/>
                <w:szCs w:val="20"/>
                <w:color w:val="auto"/>
              </w:rPr>
            </w:pPr>
            <w:r>
              <w:rPr>
                <w:rFonts w:ascii="Arial" w:cs="Arial" w:eastAsia="Arial" w:hAnsi="Arial"/>
                <w:sz w:val="8"/>
                <w:szCs w:val="8"/>
                <w:b w:val="1"/>
                <w:bCs w:val="1"/>
                <w:color w:val="auto"/>
              </w:rPr>
              <w:t>recommends a vote “AGAINST” Proposals 4-6, if properly</w:t>
            </w:r>
          </w:p>
        </w:tc>
        <w:tc>
          <w:tcPr>
            <w:tcW w:w="0" w:type="dxa"/>
            <w:vAlign w:val="bottom"/>
          </w:tcPr>
          <w:p>
            <w:pPr>
              <w:spacing w:after="0"/>
              <w:rPr>
                <w:sz w:val="1"/>
                <w:szCs w:val="1"/>
                <w:color w:val="auto"/>
              </w:rPr>
            </w:pPr>
          </w:p>
        </w:tc>
      </w:tr>
      <w:tr>
        <w:trPr>
          <w:trHeight w:val="110"/>
        </w:trPr>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540" w:type="dxa"/>
            <w:vAlign w:val="bottom"/>
            <w:gridSpan w:val="2"/>
          </w:tcPr>
          <w:p>
            <w:pPr>
              <w:ind w:left="220"/>
              <w:spacing w:after="0"/>
              <w:rPr>
                <w:sz w:val="20"/>
                <w:szCs w:val="20"/>
                <w:color w:val="auto"/>
              </w:rPr>
            </w:pPr>
            <w:r>
              <w:rPr>
                <w:rFonts w:ascii="Arial" w:cs="Arial" w:eastAsia="Arial" w:hAnsi="Arial"/>
                <w:sz w:val="8"/>
                <w:szCs w:val="8"/>
                <w:b w:val="1"/>
                <w:bCs w:val="1"/>
                <w:color w:val="auto"/>
              </w:rPr>
              <w:t>presented at the annual meeting.</w:t>
            </w:r>
          </w:p>
        </w:tc>
        <w:tc>
          <w:tcPr>
            <w:tcW w:w="0" w:type="dxa"/>
            <w:vAlign w:val="bottom"/>
          </w:tcPr>
          <w:p>
            <w:pPr>
              <w:spacing w:after="0"/>
              <w:rPr>
                <w:sz w:val="1"/>
                <w:szCs w:val="1"/>
                <w:color w:val="auto"/>
              </w:rPr>
            </w:pPr>
          </w:p>
        </w:tc>
      </w:tr>
      <w:tr>
        <w:trPr>
          <w:trHeight w:val="198"/>
        </w:trPr>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jc w:val="right"/>
              <w:ind w:right="158"/>
              <w:spacing w:after="0"/>
              <w:rPr>
                <w:sz w:val="20"/>
                <w:szCs w:val="20"/>
                <w:color w:val="auto"/>
              </w:rPr>
            </w:pPr>
            <w:r>
              <w:rPr>
                <w:rFonts w:ascii="Arial" w:cs="Arial" w:eastAsia="Arial" w:hAnsi="Arial"/>
                <w:sz w:val="8"/>
                <w:szCs w:val="8"/>
                <w:color w:val="auto"/>
              </w:rPr>
              <w:t>4.</w:t>
            </w:r>
          </w:p>
        </w:tc>
        <w:tc>
          <w:tcPr>
            <w:tcW w:w="2540" w:type="dxa"/>
            <w:vAlign w:val="bottom"/>
            <w:gridSpan w:val="2"/>
          </w:tcPr>
          <w:p>
            <w:pPr>
              <w:ind w:left="220"/>
              <w:spacing w:after="0"/>
              <w:rPr>
                <w:sz w:val="20"/>
                <w:szCs w:val="20"/>
                <w:color w:val="auto"/>
              </w:rPr>
            </w:pPr>
            <w:r>
              <w:rPr>
                <w:rFonts w:ascii="Arial" w:cs="Arial" w:eastAsia="Arial" w:hAnsi="Arial"/>
                <w:sz w:val="8"/>
                <w:szCs w:val="8"/>
                <w:color w:val="auto"/>
              </w:rPr>
              <w:t>To provide for cumulative voting in the election of directors</w:t>
            </w:r>
          </w:p>
        </w:tc>
        <w:tc>
          <w:tcPr>
            <w:tcW w:w="0" w:type="dxa"/>
            <w:vAlign w:val="bottom"/>
          </w:tcPr>
          <w:p>
            <w:pPr>
              <w:spacing w:after="0"/>
              <w:rPr>
                <w:sz w:val="1"/>
                <w:szCs w:val="1"/>
                <w:color w:val="auto"/>
              </w:rPr>
            </w:pPr>
          </w:p>
        </w:tc>
      </w:tr>
      <w:tr>
        <w:trPr>
          <w:trHeight w:val="314"/>
        </w:trPr>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jc w:val="right"/>
              <w:ind w:right="158"/>
              <w:spacing w:after="0"/>
              <w:rPr>
                <w:sz w:val="20"/>
                <w:szCs w:val="20"/>
                <w:color w:val="auto"/>
              </w:rPr>
            </w:pPr>
            <w:r>
              <w:rPr>
                <w:rFonts w:ascii="Arial" w:cs="Arial" w:eastAsia="Arial" w:hAnsi="Arial"/>
                <w:sz w:val="8"/>
                <w:szCs w:val="8"/>
                <w:color w:val="auto"/>
              </w:rPr>
              <w:t>5.</w:t>
            </w:r>
          </w:p>
        </w:tc>
        <w:tc>
          <w:tcPr>
            <w:tcW w:w="2540" w:type="dxa"/>
            <w:vAlign w:val="bottom"/>
            <w:gridSpan w:val="2"/>
          </w:tcPr>
          <w:p>
            <w:pPr>
              <w:ind w:left="220"/>
              <w:spacing w:after="0"/>
              <w:rPr>
                <w:sz w:val="20"/>
                <w:szCs w:val="20"/>
                <w:color w:val="auto"/>
              </w:rPr>
            </w:pPr>
            <w:r>
              <w:rPr>
                <w:rFonts w:ascii="Arial" w:cs="Arial" w:eastAsia="Arial" w:hAnsi="Arial"/>
                <w:sz w:val="8"/>
                <w:szCs w:val="8"/>
                <w:color w:val="auto"/>
              </w:rPr>
              <w:t>To adopt and disclose a succession planning policy and issue</w:t>
            </w:r>
          </w:p>
        </w:tc>
        <w:tc>
          <w:tcPr>
            <w:tcW w:w="0" w:type="dxa"/>
            <w:vAlign w:val="bottom"/>
          </w:tcPr>
          <w:p>
            <w:pPr>
              <w:spacing w:after="0"/>
              <w:rPr>
                <w:sz w:val="1"/>
                <w:szCs w:val="1"/>
                <w:color w:val="auto"/>
              </w:rPr>
            </w:pPr>
          </w:p>
        </w:tc>
      </w:tr>
      <w:tr>
        <w:trPr>
          <w:trHeight w:val="100"/>
        </w:trPr>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540" w:type="dxa"/>
            <w:vAlign w:val="bottom"/>
            <w:gridSpan w:val="2"/>
          </w:tcPr>
          <w:p>
            <w:pPr>
              <w:ind w:left="220"/>
              <w:spacing w:after="0"/>
              <w:rPr>
                <w:sz w:val="20"/>
                <w:szCs w:val="20"/>
                <w:color w:val="auto"/>
              </w:rPr>
            </w:pPr>
            <w:r>
              <w:rPr>
                <w:rFonts w:ascii="Arial" w:cs="Arial" w:eastAsia="Arial" w:hAnsi="Arial"/>
                <w:sz w:val="8"/>
                <w:szCs w:val="8"/>
                <w:color w:val="auto"/>
              </w:rPr>
              <w:t>annual reports on succession plan</w:t>
            </w:r>
          </w:p>
        </w:tc>
        <w:tc>
          <w:tcPr>
            <w:tcW w:w="0" w:type="dxa"/>
            <w:vAlign w:val="bottom"/>
          </w:tcPr>
          <w:p>
            <w:pPr>
              <w:spacing w:after="0"/>
              <w:rPr>
                <w:sz w:val="1"/>
                <w:szCs w:val="1"/>
                <w:color w:val="auto"/>
              </w:rPr>
            </w:pPr>
          </w:p>
        </w:tc>
      </w:tr>
      <w:tr>
        <w:trPr>
          <w:trHeight w:val="134"/>
        </w:trPr>
        <w:tc>
          <w:tcPr>
            <w:tcW w:w="240" w:type="dxa"/>
            <w:vAlign w:val="bottom"/>
          </w:tcPr>
          <w:p>
            <w:pPr>
              <w:jc w:val="center"/>
              <w:ind w:right="28"/>
              <w:spacing w:after="0"/>
              <w:rPr>
                <w:sz w:val="20"/>
                <w:szCs w:val="20"/>
                <w:color w:val="auto"/>
              </w:rPr>
            </w:pPr>
            <w:r>
              <w:rPr>
                <w:rFonts w:ascii="Arial" w:cs="Arial" w:eastAsia="Arial" w:hAnsi="Arial"/>
                <w:sz w:val="8"/>
                <w:szCs w:val="8"/>
                <w:b w:val="1"/>
                <w:bCs w:val="1"/>
                <w:color w:val="auto"/>
              </w:rPr>
              <w:t>For</w:t>
            </w:r>
          </w:p>
        </w:tc>
        <w:tc>
          <w:tcPr>
            <w:tcW w:w="540" w:type="dxa"/>
            <w:vAlign w:val="bottom"/>
          </w:tcPr>
          <w:p>
            <w:pPr>
              <w:jc w:val="center"/>
              <w:spacing w:after="0"/>
              <w:rPr>
                <w:sz w:val="20"/>
                <w:szCs w:val="20"/>
                <w:color w:val="auto"/>
              </w:rPr>
            </w:pPr>
            <w:r>
              <w:rPr>
                <w:rFonts w:ascii="Arial" w:cs="Arial" w:eastAsia="Arial" w:hAnsi="Arial"/>
                <w:sz w:val="8"/>
                <w:szCs w:val="8"/>
                <w:b w:val="1"/>
                <w:bCs w:val="1"/>
                <w:color w:val="auto"/>
              </w:rPr>
              <w:t>Against</w:t>
            </w:r>
          </w:p>
        </w:tc>
        <w:tc>
          <w:tcPr>
            <w:tcW w:w="1100" w:type="dxa"/>
            <w:vAlign w:val="bottom"/>
          </w:tcPr>
          <w:p>
            <w:pPr>
              <w:jc w:val="center"/>
              <w:ind w:right="578"/>
              <w:spacing w:after="0"/>
              <w:rPr>
                <w:sz w:val="20"/>
                <w:szCs w:val="20"/>
                <w:color w:val="auto"/>
              </w:rPr>
            </w:pPr>
            <w:r>
              <w:rPr>
                <w:rFonts w:ascii="Arial" w:cs="Arial" w:eastAsia="Arial" w:hAnsi="Arial"/>
                <w:sz w:val="8"/>
                <w:szCs w:val="8"/>
                <w:b w:val="1"/>
                <w:bCs w:val="1"/>
                <w:color w:val="auto"/>
              </w:rPr>
              <w:t>Abstain</w:t>
            </w:r>
          </w:p>
        </w:tc>
        <w:tc>
          <w:tcPr>
            <w:tcW w:w="2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00" w:type="dxa"/>
            <w:vAlign w:val="bottom"/>
          </w:tcPr>
          <w:p>
            <w:pPr>
              <w:jc w:val="right"/>
              <w:ind w:right="158"/>
              <w:spacing w:after="0" w:line="76" w:lineRule="exact"/>
              <w:rPr>
                <w:sz w:val="20"/>
                <w:szCs w:val="20"/>
                <w:color w:val="auto"/>
              </w:rPr>
            </w:pPr>
            <w:r>
              <w:rPr>
                <w:rFonts w:ascii="Arial" w:cs="Arial" w:eastAsia="Arial" w:hAnsi="Arial"/>
                <w:sz w:val="8"/>
                <w:szCs w:val="8"/>
                <w:color w:val="auto"/>
              </w:rPr>
              <w:t>6.</w:t>
            </w:r>
          </w:p>
        </w:tc>
        <w:tc>
          <w:tcPr>
            <w:tcW w:w="2540" w:type="dxa"/>
            <w:vAlign w:val="bottom"/>
            <w:gridSpan w:val="2"/>
          </w:tcPr>
          <w:p>
            <w:pPr>
              <w:ind w:left="220"/>
              <w:spacing w:after="0" w:line="76" w:lineRule="exact"/>
              <w:rPr>
                <w:sz w:val="20"/>
                <w:szCs w:val="20"/>
                <w:color w:val="auto"/>
              </w:rPr>
            </w:pPr>
            <w:r>
              <w:rPr>
                <w:rFonts w:ascii="Arial" w:cs="Arial" w:eastAsia="Arial" w:hAnsi="Arial"/>
                <w:sz w:val="8"/>
                <w:szCs w:val="8"/>
                <w:color w:val="auto"/>
              </w:rPr>
              <w:t>To require that the Chairman of the Board not be a current or</w:t>
            </w:r>
          </w:p>
        </w:tc>
        <w:tc>
          <w:tcPr>
            <w:tcW w:w="0" w:type="dxa"/>
            <w:vAlign w:val="bottom"/>
          </w:tcPr>
          <w:p>
            <w:pPr>
              <w:spacing w:after="0"/>
              <w:rPr>
                <w:sz w:val="1"/>
                <w:szCs w:val="1"/>
                <w:color w:val="auto"/>
              </w:rPr>
            </w:pPr>
          </w:p>
        </w:tc>
      </w:tr>
      <w:tr>
        <w:trPr>
          <w:trHeight w:val="114"/>
        </w:trPr>
        <w:tc>
          <w:tcPr>
            <w:tcW w:w="240" w:type="dxa"/>
            <w:vAlign w:val="bottom"/>
            <w:vMerge w:val="restart"/>
          </w:tcPr>
          <w:p>
            <w:pPr>
              <w:jc w:val="center"/>
              <w:ind w:right="28"/>
              <w:spacing w:after="0"/>
              <w:rPr>
                <w:sz w:val="20"/>
                <w:szCs w:val="20"/>
                <w:color w:val="auto"/>
              </w:rPr>
            </w:pPr>
            <w:r>
              <w:rPr>
                <w:rFonts w:ascii="Arial" w:cs="Arial" w:eastAsia="Arial" w:hAnsi="Arial"/>
                <w:sz w:val="20"/>
                <w:szCs w:val="20"/>
                <w:b w:val="1"/>
                <w:bCs w:val="1"/>
                <w:color w:val="auto"/>
                <w:w w:val="81"/>
              </w:rPr>
              <w:t>o</w:t>
            </w:r>
          </w:p>
        </w:tc>
        <w:tc>
          <w:tcPr>
            <w:tcW w:w="54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7"/>
              </w:rPr>
              <w:t>o</w:t>
            </w:r>
          </w:p>
        </w:tc>
        <w:tc>
          <w:tcPr>
            <w:tcW w:w="1100" w:type="dxa"/>
            <w:vAlign w:val="bottom"/>
            <w:vMerge w:val="restart"/>
          </w:tcPr>
          <w:p>
            <w:pPr>
              <w:jc w:val="center"/>
              <w:ind w:right="578"/>
              <w:spacing w:after="0"/>
              <w:rPr>
                <w:sz w:val="20"/>
                <w:szCs w:val="20"/>
                <w:color w:val="auto"/>
              </w:rPr>
            </w:pPr>
            <w:r>
              <w:rPr>
                <w:rFonts w:ascii="Arial" w:cs="Arial" w:eastAsia="Arial" w:hAnsi="Arial"/>
                <w:sz w:val="20"/>
                <w:szCs w:val="20"/>
                <w:b w:val="1"/>
                <w:bCs w:val="1"/>
                <w:color w:val="auto"/>
                <w:w w:val="81"/>
              </w:rPr>
              <w:t>o</w:t>
            </w:r>
          </w:p>
        </w:tc>
        <w:tc>
          <w:tcPr>
            <w:tcW w:w="2540" w:type="dxa"/>
            <w:vAlign w:val="bottom"/>
            <w:gridSpan w:val="2"/>
          </w:tcPr>
          <w:p>
            <w:pPr>
              <w:ind w:left="220"/>
              <w:spacing w:after="0"/>
              <w:rPr>
                <w:sz w:val="20"/>
                <w:szCs w:val="20"/>
                <w:color w:val="auto"/>
              </w:rPr>
            </w:pPr>
            <w:r>
              <w:rPr>
                <w:rFonts w:ascii="Arial" w:cs="Arial" w:eastAsia="Arial" w:hAnsi="Arial"/>
                <w:sz w:val="8"/>
                <w:szCs w:val="8"/>
                <w:color w:val="auto"/>
              </w:rPr>
              <w:t>former executive officer</w:t>
            </w:r>
          </w:p>
        </w:tc>
        <w:tc>
          <w:tcPr>
            <w:tcW w:w="0" w:type="dxa"/>
            <w:vAlign w:val="bottom"/>
          </w:tcPr>
          <w:p>
            <w:pPr>
              <w:spacing w:after="0"/>
              <w:rPr>
                <w:sz w:val="1"/>
                <w:szCs w:val="1"/>
                <w:color w:val="auto"/>
              </w:rPr>
            </w:pPr>
          </w:p>
        </w:tc>
      </w:tr>
      <w:tr>
        <w:trPr>
          <w:trHeight w:val="150"/>
        </w:trPr>
        <w:tc>
          <w:tcPr>
            <w:tcW w:w="24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9"/>
        </w:trPr>
        <w:tc>
          <w:tcPr>
            <w:tcW w:w="240" w:type="dxa"/>
            <w:vAlign w:val="bottom"/>
          </w:tcPr>
          <w:p>
            <w:pPr>
              <w:jc w:val="center"/>
              <w:ind w:right="28"/>
              <w:spacing w:after="0"/>
              <w:rPr>
                <w:sz w:val="20"/>
                <w:szCs w:val="20"/>
                <w:color w:val="auto"/>
              </w:rPr>
            </w:pPr>
            <w:r>
              <w:rPr>
                <w:rFonts w:ascii="Arial" w:cs="Arial" w:eastAsia="Arial" w:hAnsi="Arial"/>
                <w:sz w:val="20"/>
                <w:szCs w:val="20"/>
                <w:b w:val="1"/>
                <w:bCs w:val="1"/>
                <w:color w:val="auto"/>
                <w:w w:val="81"/>
              </w:rPr>
              <w:t>o</w:t>
            </w:r>
          </w:p>
        </w:tc>
        <w:tc>
          <w:tcPr>
            <w:tcW w:w="540" w:type="dxa"/>
            <w:vAlign w:val="bottom"/>
          </w:tcPr>
          <w:p>
            <w:pPr>
              <w:jc w:val="center"/>
              <w:spacing w:after="0"/>
              <w:rPr>
                <w:sz w:val="20"/>
                <w:szCs w:val="20"/>
                <w:color w:val="auto"/>
              </w:rPr>
            </w:pPr>
            <w:r>
              <w:rPr>
                <w:rFonts w:ascii="Arial" w:cs="Arial" w:eastAsia="Arial" w:hAnsi="Arial"/>
                <w:sz w:val="20"/>
                <w:szCs w:val="20"/>
                <w:b w:val="1"/>
                <w:bCs w:val="1"/>
                <w:color w:val="auto"/>
                <w:w w:val="97"/>
              </w:rPr>
              <w:t>o</w:t>
            </w:r>
          </w:p>
        </w:tc>
        <w:tc>
          <w:tcPr>
            <w:tcW w:w="1100" w:type="dxa"/>
            <w:vAlign w:val="bottom"/>
          </w:tcPr>
          <w:p>
            <w:pPr>
              <w:jc w:val="center"/>
              <w:ind w:right="578"/>
              <w:spacing w:after="0"/>
              <w:rPr>
                <w:sz w:val="20"/>
                <w:szCs w:val="20"/>
                <w:color w:val="auto"/>
              </w:rPr>
            </w:pPr>
            <w:r>
              <w:rPr>
                <w:rFonts w:ascii="Arial" w:cs="Arial" w:eastAsia="Arial" w:hAnsi="Arial"/>
                <w:sz w:val="20"/>
                <w:szCs w:val="20"/>
                <w:b w:val="1"/>
                <w:bCs w:val="1"/>
                <w:color w:val="auto"/>
                <w:w w:val="81"/>
              </w:rPr>
              <w:t>o</w:t>
            </w:r>
          </w:p>
        </w:tc>
        <w:tc>
          <w:tcPr>
            <w:tcW w:w="2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tabs>
          <w:tab w:leader="none" w:pos="500" w:val="left"/>
          <w:tab w:leader="none" w:pos="1120" w:val="left"/>
        </w:tabs>
        <w:rPr>
          <w:sz w:val="20"/>
          <w:szCs w:val="20"/>
          <w:color w:val="auto"/>
        </w:rPr>
      </w:pPr>
      <w:r>
        <w:rPr>
          <w:rFonts w:ascii="Arial" w:cs="Arial" w:eastAsia="Arial" w:hAnsi="Arial"/>
          <w:sz w:val="8"/>
          <w:szCs w:val="8"/>
          <w:b w:val="1"/>
          <w:bCs w:val="1"/>
          <w:color w:val="auto"/>
        </w:rPr>
        <w:t>For</w:t>
      </w:r>
      <w:r>
        <w:rPr>
          <w:sz w:val="20"/>
          <w:szCs w:val="20"/>
          <w:color w:val="auto"/>
        </w:rPr>
        <w:tab/>
      </w:r>
      <w:r>
        <w:rPr>
          <w:rFonts w:ascii="Arial" w:cs="Arial" w:eastAsia="Arial" w:hAnsi="Arial"/>
          <w:sz w:val="8"/>
          <w:szCs w:val="8"/>
          <w:b w:val="1"/>
          <w:bCs w:val="1"/>
          <w:color w:val="auto"/>
        </w:rPr>
        <w:t>Against</w:t>
      </w:r>
      <w:r>
        <w:rPr>
          <w:sz w:val="20"/>
          <w:szCs w:val="20"/>
          <w:color w:val="auto"/>
        </w:rPr>
        <w:tab/>
      </w:r>
      <w:r>
        <w:rPr>
          <w:rFonts w:ascii="Arial" w:cs="Arial" w:eastAsia="Arial" w:hAnsi="Arial"/>
          <w:sz w:val="8"/>
          <w:szCs w:val="8"/>
          <w:b w:val="1"/>
          <w:bCs w:val="1"/>
          <w:color w:val="auto"/>
        </w:rPr>
        <w:t>Abstain</w:t>
      </w:r>
    </w:p>
    <w:p>
      <w:pPr>
        <w:spacing w:after="0" w:line="277" w:lineRule="exact"/>
        <w:rPr>
          <w:sz w:val="20"/>
          <w:szCs w:val="20"/>
          <w:color w:val="auto"/>
        </w:rPr>
      </w:pPr>
    </w:p>
    <w:p>
      <w:pPr>
        <w:spacing w:after="0"/>
        <w:tabs>
          <w:tab w:leader="none" w:pos="500" w:val="left"/>
          <w:tab w:leader="none" w:pos="1120" w:val="left"/>
        </w:tabs>
        <w:rPr>
          <w:sz w:val="20"/>
          <w:szCs w:val="20"/>
          <w:color w:val="auto"/>
        </w:rPr>
      </w:pPr>
      <w:r>
        <w:rPr>
          <w:rFonts w:ascii="Arial" w:cs="Arial" w:eastAsia="Arial" w:hAnsi="Arial"/>
          <w:sz w:val="20"/>
          <w:szCs w:val="20"/>
          <w:b w:val="1"/>
          <w:bCs w:val="1"/>
          <w:color w:val="auto"/>
        </w:rPr>
        <w:t>o</w:t>
      </w:r>
      <w:r>
        <w:rPr>
          <w:sz w:val="20"/>
          <w:szCs w:val="20"/>
          <w:color w:val="auto"/>
        </w:rPr>
        <w:tab/>
      </w:r>
      <w:r>
        <w:rPr>
          <w:rFonts w:ascii="Arial" w:cs="Arial" w:eastAsia="Arial" w:hAnsi="Arial"/>
          <w:sz w:val="20"/>
          <w:szCs w:val="20"/>
          <w:b w:val="1"/>
          <w:bCs w:val="1"/>
          <w:color w:val="auto"/>
        </w:rPr>
        <w:t>o</w:t>
      </w:r>
      <w:r>
        <w:rPr>
          <w:sz w:val="20"/>
          <w:szCs w:val="20"/>
          <w:color w:val="auto"/>
        </w:rPr>
        <w:tab/>
      </w:r>
      <w:r>
        <w:rPr>
          <w:rFonts w:ascii="Arial" w:cs="Arial" w:eastAsia="Arial" w:hAnsi="Arial"/>
          <w:sz w:val="16"/>
          <w:szCs w:val="16"/>
          <w:b w:val="1"/>
          <w:bCs w:val="1"/>
          <w:color w:val="auto"/>
        </w:rPr>
        <w:t>o</w:t>
      </w:r>
    </w:p>
    <w:p>
      <w:pPr>
        <w:spacing w:after="0" w:line="94" w:lineRule="exact"/>
        <w:rPr>
          <w:sz w:val="20"/>
          <w:szCs w:val="20"/>
          <w:color w:val="auto"/>
        </w:rPr>
      </w:pPr>
    </w:p>
    <w:p>
      <w:pPr>
        <w:spacing w:after="0"/>
        <w:tabs>
          <w:tab w:leader="none" w:pos="500" w:val="left"/>
          <w:tab w:leader="none" w:pos="1120" w:val="left"/>
        </w:tabs>
        <w:rPr>
          <w:sz w:val="20"/>
          <w:szCs w:val="20"/>
          <w:color w:val="auto"/>
        </w:rPr>
      </w:pPr>
      <w:r>
        <w:rPr>
          <w:rFonts w:ascii="Arial" w:cs="Arial" w:eastAsia="Arial" w:hAnsi="Arial"/>
          <w:sz w:val="20"/>
          <w:szCs w:val="20"/>
          <w:b w:val="1"/>
          <w:bCs w:val="1"/>
          <w:color w:val="auto"/>
        </w:rPr>
        <w:t>o</w:t>
      </w:r>
      <w:r>
        <w:rPr>
          <w:sz w:val="20"/>
          <w:szCs w:val="20"/>
          <w:color w:val="auto"/>
        </w:rPr>
        <w:tab/>
      </w:r>
      <w:r>
        <w:rPr>
          <w:rFonts w:ascii="Arial" w:cs="Arial" w:eastAsia="Arial" w:hAnsi="Arial"/>
          <w:sz w:val="20"/>
          <w:szCs w:val="20"/>
          <w:b w:val="1"/>
          <w:bCs w:val="1"/>
          <w:color w:val="auto"/>
        </w:rPr>
        <w:t>o</w:t>
      </w:r>
      <w:r>
        <w:rPr>
          <w:sz w:val="20"/>
          <w:szCs w:val="20"/>
          <w:color w:val="auto"/>
        </w:rPr>
        <w:tab/>
      </w:r>
      <w:r>
        <w:rPr>
          <w:rFonts w:ascii="Arial" w:cs="Arial" w:eastAsia="Arial" w:hAnsi="Arial"/>
          <w:sz w:val="16"/>
          <w:szCs w:val="16"/>
          <w:b w:val="1"/>
          <w:bCs w:val="1"/>
          <w:color w:val="auto"/>
        </w:rPr>
        <w:t>o</w:t>
      </w:r>
    </w:p>
    <w:p>
      <w:pPr>
        <w:spacing w:after="0" w:line="94" w:lineRule="exact"/>
        <w:rPr>
          <w:sz w:val="20"/>
          <w:szCs w:val="20"/>
          <w:color w:val="auto"/>
        </w:rPr>
      </w:pPr>
    </w:p>
    <w:p>
      <w:pPr>
        <w:spacing w:after="0"/>
        <w:tabs>
          <w:tab w:leader="none" w:pos="500" w:val="left"/>
          <w:tab w:leader="none" w:pos="1120" w:val="left"/>
        </w:tabs>
        <w:rPr>
          <w:sz w:val="20"/>
          <w:szCs w:val="20"/>
          <w:color w:val="auto"/>
        </w:rPr>
      </w:pPr>
      <w:r>
        <w:rPr>
          <w:rFonts w:ascii="Arial" w:cs="Arial" w:eastAsia="Arial" w:hAnsi="Arial"/>
          <w:sz w:val="20"/>
          <w:szCs w:val="20"/>
          <w:b w:val="1"/>
          <w:bCs w:val="1"/>
          <w:color w:val="auto"/>
        </w:rPr>
        <w:t>o</w:t>
      </w:r>
      <w:r>
        <w:rPr>
          <w:sz w:val="20"/>
          <w:szCs w:val="20"/>
          <w:color w:val="auto"/>
        </w:rPr>
        <w:tab/>
      </w:r>
      <w:r>
        <w:rPr>
          <w:rFonts w:ascii="Arial" w:cs="Arial" w:eastAsia="Arial" w:hAnsi="Arial"/>
          <w:sz w:val="20"/>
          <w:szCs w:val="20"/>
          <w:b w:val="1"/>
          <w:bCs w:val="1"/>
          <w:color w:val="auto"/>
        </w:rPr>
        <w:t>o</w:t>
      </w:r>
      <w:r>
        <w:rPr>
          <w:sz w:val="20"/>
          <w:szCs w:val="20"/>
          <w:color w:val="auto"/>
        </w:rPr>
        <w:tab/>
      </w:r>
      <w:r>
        <w:rPr>
          <w:rFonts w:ascii="Arial" w:cs="Arial" w:eastAsia="Arial" w:hAnsi="Arial"/>
          <w:sz w:val="16"/>
          <w:szCs w:val="16"/>
          <w:b w:val="1"/>
          <w:bCs w:val="1"/>
          <w:color w:val="auto"/>
        </w:rPr>
        <w:t>o</w:t>
      </w:r>
    </w:p>
    <w:p>
      <w:pPr>
        <w:spacing w:after="0" w:line="648" w:lineRule="exact"/>
        <w:rPr>
          <w:sz w:val="20"/>
          <w:szCs w:val="20"/>
          <w:color w:val="auto"/>
        </w:rPr>
      </w:pPr>
    </w:p>
    <w:p>
      <w:pPr>
        <w:sectPr>
          <w:pgSz w:w="11900" w:h="16838" w:orient="portrait"/>
          <w:cols w:equalWidth="0" w:num="3">
            <w:col w:w="3480" w:space="240"/>
            <w:col w:w="4420" w:space="140"/>
            <w:col w:w="1720"/>
          </w:cols>
          <w:pgMar w:left="900" w:top="327" w:right="999" w:bottom="1440" w:gutter="0" w:footer="0" w:header="0"/>
          <w:type w:val="continuous"/>
        </w:sectPr>
      </w:pPr>
    </w:p>
    <w:p>
      <w:pPr>
        <w:spacing w:after="0" w:line="78" w:lineRule="exact"/>
        <w:rPr>
          <w:sz w:val="20"/>
          <w:szCs w:val="20"/>
          <w:color w:val="auto"/>
        </w:rPr>
      </w:pPr>
    </w:p>
    <w:p>
      <w:pPr>
        <w:ind w:left="520" w:right="440"/>
        <w:spacing w:after="0" w:line="256" w:lineRule="auto"/>
        <w:rPr>
          <w:sz w:val="20"/>
          <w:szCs w:val="20"/>
          <w:color w:val="auto"/>
        </w:rPr>
      </w:pPr>
      <w:r>
        <w:rPr>
          <w:rFonts w:ascii="Arial" w:cs="Arial" w:eastAsia="Arial" w:hAnsi="Arial"/>
          <w:sz w:val="8"/>
          <w:szCs w:val="8"/>
          <w:color w:val="auto"/>
        </w:rPr>
        <w:t>For address changes and/or comments, please check this box and write them on the back where indicated.</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w:t>
      </w:r>
    </w:p>
    <w:p>
      <w:pPr>
        <w:spacing w:after="0" w:line="231" w:lineRule="exact"/>
        <w:rPr>
          <w:sz w:val="20"/>
          <w:szCs w:val="20"/>
          <w:color w:val="auto"/>
        </w:rPr>
      </w:pPr>
    </w:p>
    <w:p>
      <w:pPr>
        <w:sectPr>
          <w:pgSz w:w="11900" w:h="16838" w:orient="portrait"/>
          <w:cols w:equalWidth="0" w:num="2">
            <w:col w:w="3960" w:space="720"/>
            <w:col w:w="5320"/>
          </w:cols>
          <w:pgMar w:left="900" w:top="327" w:right="999" w:bottom="1440" w:gutter="0" w:footer="0" w:header="0"/>
          <w:type w:val="continuous"/>
        </w:sectPr>
      </w:pPr>
    </w:p>
    <w:p>
      <w:pPr>
        <w:spacing w:after="0" w:line="80" w:lineRule="exact"/>
        <w:rPr>
          <w:sz w:val="20"/>
          <w:szCs w:val="20"/>
          <w:color w:val="auto"/>
        </w:rPr>
      </w:pPr>
    </w:p>
    <w:p>
      <w:pPr>
        <w:ind w:left="580"/>
        <w:spacing w:after="0"/>
        <w:rPr>
          <w:sz w:val="20"/>
          <w:szCs w:val="20"/>
          <w:color w:val="auto"/>
        </w:rPr>
      </w:pPr>
      <w:r>
        <w:rPr>
          <w:rFonts w:ascii="Arial" w:cs="Arial" w:eastAsia="Arial" w:hAnsi="Arial"/>
          <w:sz w:val="8"/>
          <w:szCs w:val="8"/>
          <w:b w:val="1"/>
          <w:bCs w:val="1"/>
          <w:color w:val="auto"/>
        </w:rPr>
        <w:t>Authorized Signatures — This section must be completed for your vote to be counted — Date and Sign Within the Box Below</w:t>
      </w:r>
    </w:p>
    <w:p>
      <w:pPr>
        <w:spacing w:after="0" w:line="98" w:lineRule="exact"/>
        <w:rPr>
          <w:sz w:val="20"/>
          <w:szCs w:val="20"/>
          <w:color w:val="auto"/>
        </w:rPr>
      </w:pPr>
    </w:p>
    <w:p>
      <w:pPr>
        <w:ind w:left="580"/>
        <w:spacing w:after="0"/>
        <w:rPr>
          <w:sz w:val="20"/>
          <w:szCs w:val="20"/>
          <w:color w:val="auto"/>
        </w:rPr>
      </w:pPr>
      <w:r>
        <w:rPr>
          <w:rFonts w:ascii="Arial" w:cs="Arial" w:eastAsia="Arial" w:hAnsi="Arial"/>
          <w:sz w:val="8"/>
          <w:szCs w:val="8"/>
          <w:color w:val="auto"/>
        </w:rPr>
        <w:t>Please sign as name(s) appear(s) hereon. Give full title if you are signing for a corporation, partnership or other entity, or as an attorney, administrator, executor, guardian, trustee or in any other representative capacity.</w:t>
      </w:r>
    </w:p>
    <w:p>
      <w:pPr>
        <w:spacing w:after="0" w:line="306" w:lineRule="exact"/>
        <w:rPr>
          <w:sz w:val="20"/>
          <w:szCs w:val="20"/>
          <w:color w:val="auto"/>
        </w:rPr>
      </w:pPr>
    </w:p>
    <w:p>
      <w:pPr>
        <w:ind w:left="200"/>
        <w:spacing w:after="0"/>
        <w:tabs>
          <w:tab w:leader="none" w:pos="3540" w:val="left"/>
          <w:tab w:leader="none" w:pos="5600" w:val="left"/>
          <w:tab w:leader="none" w:pos="8560" w:val="left"/>
        </w:tabs>
        <w:rPr>
          <w:sz w:val="20"/>
          <w:szCs w:val="20"/>
          <w:color w:val="auto"/>
        </w:rPr>
      </w:pPr>
      <w:r>
        <w:rPr>
          <w:rFonts w:ascii="Arial" w:cs="Arial" w:eastAsia="Arial" w:hAnsi="Arial"/>
          <w:sz w:val="7"/>
          <w:szCs w:val="7"/>
          <w:color w:val="auto"/>
        </w:rPr>
        <w:t>Signature [PLEASE SIGN WITHIN BOX]</w:t>
      </w:r>
      <w:r>
        <w:rPr>
          <w:sz w:val="20"/>
          <w:szCs w:val="20"/>
          <w:color w:val="auto"/>
        </w:rPr>
        <w:tab/>
      </w:r>
      <w:r>
        <w:rPr>
          <w:rFonts w:ascii="Arial" w:cs="Arial" w:eastAsia="Arial" w:hAnsi="Arial"/>
          <w:sz w:val="7"/>
          <w:szCs w:val="7"/>
          <w:color w:val="auto"/>
        </w:rPr>
        <w:t>Date</w:t>
      </w:r>
      <w:r>
        <w:rPr>
          <w:sz w:val="20"/>
          <w:szCs w:val="20"/>
          <w:color w:val="auto"/>
        </w:rPr>
        <w:tab/>
      </w:r>
      <w:r>
        <w:rPr>
          <w:rFonts w:ascii="Arial" w:cs="Arial" w:eastAsia="Arial" w:hAnsi="Arial"/>
          <w:sz w:val="7"/>
          <w:szCs w:val="7"/>
          <w:color w:val="auto"/>
        </w:rPr>
        <w:t>Signature (Joint Owners) [PLEASE SIGN WITHIN BOX]</w:t>
      </w:r>
      <w:r>
        <w:rPr>
          <w:sz w:val="20"/>
          <w:szCs w:val="20"/>
          <w:color w:val="auto"/>
        </w:rPr>
        <w:tab/>
      </w:r>
      <w:r>
        <w:rPr>
          <w:rFonts w:ascii="Arial" w:cs="Arial" w:eastAsia="Arial" w:hAnsi="Arial"/>
          <w:sz w:val="7"/>
          <w:szCs w:val="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163830</wp:posOffset>
            </wp:positionV>
            <wp:extent cx="6350000" cy="184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350000" cy="18415"/>
                    </a:xfrm>
                    <a:prstGeom prst="rect">
                      <a:avLst/>
                    </a:prstGeom>
                    <a:noFill/>
                  </pic:spPr>
                </pic:pic>
              </a:graphicData>
            </a:graphic>
          </wp:anchor>
        </w:drawing>
      </w:r>
    </w:p>
    <w:p>
      <w:pPr>
        <w:sectPr>
          <w:pgSz w:w="11900" w:h="16838" w:orient="portrait"/>
          <w:cols w:equalWidth="0" w:num="1">
            <w:col w:w="10000"/>
          </w:cols>
          <w:pgMar w:left="900" w:top="327" w:right="999" w:bottom="1440" w:gutter="0" w:footer="0" w:header="0"/>
          <w:type w:val="continuous"/>
        </w:sectPr>
      </w:pPr>
    </w:p>
    <w:bookmarkStart w:id="76" w:name="page77"/>
    <w:bookmarkEnd w:id="76"/>
    <w:p>
      <w:pPr>
        <w:spacing w:after="0"/>
        <w:rPr>
          <w:rFonts w:ascii="Arial" w:cs="Arial" w:eastAsia="Arial" w:hAnsi="Arial"/>
          <w:sz w:val="12"/>
          <w:szCs w:val="12"/>
          <w:b w:val="1"/>
          <w:bCs w:val="1"/>
          <w:u w:val="single" w:color="auto"/>
          <w:color w:val="0000EE"/>
        </w:rPr>
      </w:pPr>
      <w:hyperlink w:anchor="page4">
        <w:r>
          <w:rPr>
            <w:rFonts w:ascii="Arial" w:cs="Arial" w:eastAsia="Arial" w:hAnsi="Arial"/>
            <w:sz w:val="12"/>
            <w:szCs w:val="12"/>
            <w:b w:val="1"/>
            <w:bCs w:val="1"/>
            <w:u w:val="single" w:color="auto"/>
            <w:color w:val="0000EE"/>
          </w:rPr>
          <w:t>Table of Contents</w:t>
        </w:r>
      </w:hyperlink>
    </w:p>
    <w:p>
      <w:pPr>
        <w:spacing w:after="0" w:line="219" w:lineRule="exact"/>
        <w:rPr>
          <w:sz w:val="20"/>
          <w:szCs w:val="20"/>
          <w:color w:val="auto"/>
        </w:rPr>
      </w:pPr>
    </w:p>
    <w:p>
      <w:pPr>
        <w:ind w:left="4060"/>
        <w:spacing w:after="0"/>
        <w:rPr>
          <w:sz w:val="20"/>
          <w:szCs w:val="20"/>
          <w:color w:val="auto"/>
        </w:rPr>
      </w:pPr>
      <w:r>
        <w:rPr>
          <w:rFonts w:ascii="Arial" w:cs="Arial" w:eastAsia="Arial" w:hAnsi="Arial"/>
          <w:sz w:val="8"/>
          <w:szCs w:val="8"/>
          <w:b w:val="1"/>
          <w:bCs w:val="1"/>
          <w:color w:val="auto"/>
        </w:rPr>
        <w:t>Notice of 2010 Annual Meeting of Shareholders</w:t>
      </w:r>
    </w:p>
    <w:p>
      <w:pPr>
        <w:spacing w:after="0" w:line="6" w:lineRule="exact"/>
        <w:rPr>
          <w:sz w:val="20"/>
          <w:szCs w:val="20"/>
          <w:color w:val="auto"/>
        </w:rPr>
      </w:pPr>
    </w:p>
    <w:p>
      <w:pPr>
        <w:ind w:left="4240"/>
        <w:spacing w:after="0"/>
        <w:rPr>
          <w:sz w:val="20"/>
          <w:szCs w:val="20"/>
          <w:color w:val="auto"/>
        </w:rPr>
      </w:pPr>
      <w:r>
        <w:rPr>
          <w:rFonts w:ascii="Arial" w:cs="Arial" w:eastAsia="Arial" w:hAnsi="Arial"/>
          <w:sz w:val="8"/>
          <w:szCs w:val="8"/>
          <w:b w:val="1"/>
          <w:bCs w:val="1"/>
          <w:color w:val="auto"/>
        </w:rPr>
        <w:t>Thursday, May 20, 2010, 9:00 a.m. EDT</w:t>
      </w:r>
    </w:p>
    <w:p>
      <w:pPr>
        <w:ind w:left="4340"/>
        <w:spacing w:after="0" w:line="234" w:lineRule="auto"/>
        <w:rPr>
          <w:sz w:val="20"/>
          <w:szCs w:val="20"/>
          <w:color w:val="auto"/>
        </w:rPr>
      </w:pPr>
      <w:r>
        <w:rPr>
          <w:rFonts w:ascii="Arial" w:cs="Arial" w:eastAsia="Arial" w:hAnsi="Arial"/>
          <w:sz w:val="8"/>
          <w:szCs w:val="8"/>
          <w:b w:val="1"/>
          <w:bCs w:val="1"/>
          <w:color w:val="auto"/>
        </w:rPr>
        <w:t>Pennsylvania Convention Center</w:t>
      </w:r>
    </w:p>
    <w:p>
      <w:pPr>
        <w:ind w:left="4400"/>
        <w:spacing w:after="0" w:line="235" w:lineRule="auto"/>
        <w:rPr>
          <w:sz w:val="20"/>
          <w:szCs w:val="20"/>
          <w:color w:val="auto"/>
        </w:rPr>
      </w:pPr>
      <w:r>
        <w:rPr>
          <w:rFonts w:ascii="Arial" w:cs="Arial" w:eastAsia="Arial" w:hAnsi="Arial"/>
          <w:sz w:val="8"/>
          <w:szCs w:val="8"/>
          <w:b w:val="1"/>
          <w:bCs w:val="1"/>
          <w:color w:val="auto"/>
        </w:rPr>
        <w:t>One Convention Center Place</w:t>
      </w:r>
    </w:p>
    <w:p>
      <w:pPr>
        <w:ind w:left="4540"/>
        <w:spacing w:after="0" w:line="235" w:lineRule="auto"/>
        <w:rPr>
          <w:sz w:val="20"/>
          <w:szCs w:val="20"/>
          <w:color w:val="auto"/>
        </w:rPr>
      </w:pPr>
      <w:r>
        <w:rPr>
          <w:rFonts w:ascii="Arial" w:cs="Arial" w:eastAsia="Arial" w:hAnsi="Arial"/>
          <w:sz w:val="8"/>
          <w:szCs w:val="8"/>
          <w:b w:val="1"/>
          <w:bCs w:val="1"/>
          <w:color w:val="auto"/>
        </w:rPr>
        <w:t>Philadelphia, PA 19107</w:t>
      </w:r>
    </w:p>
    <w:p>
      <w:pPr>
        <w:ind w:left="600"/>
        <w:spacing w:after="0"/>
        <w:rPr>
          <w:sz w:val="20"/>
          <w:szCs w:val="20"/>
          <w:color w:val="auto"/>
        </w:rPr>
      </w:pPr>
      <w:r>
        <w:rPr>
          <w:rFonts w:ascii="Arial" w:cs="Arial" w:eastAsia="Arial" w:hAnsi="Arial"/>
          <w:sz w:val="8"/>
          <w:szCs w:val="8"/>
          <w:b w:val="1"/>
          <w:bCs w:val="1"/>
          <w:color w:val="auto"/>
        </w:rPr>
        <w:t>Please present this ticket for admittance of shareholder(s) named on the front, together with one guest per shareholder.</w:t>
      </w:r>
    </w:p>
    <w:p>
      <w:pPr>
        <w:spacing w:after="0" w:line="60" w:lineRule="exact"/>
        <w:rPr>
          <w:sz w:val="20"/>
          <w:szCs w:val="20"/>
          <w:color w:val="auto"/>
        </w:rPr>
      </w:pPr>
    </w:p>
    <w:p>
      <w:pPr>
        <w:ind w:left="600"/>
        <w:spacing w:after="0"/>
        <w:rPr>
          <w:sz w:val="20"/>
          <w:szCs w:val="20"/>
          <w:color w:val="auto"/>
        </w:rPr>
      </w:pPr>
      <w:r>
        <w:rPr>
          <w:rFonts w:ascii="Arial" w:cs="Arial" w:eastAsia="Arial" w:hAnsi="Arial"/>
          <w:sz w:val="8"/>
          <w:szCs w:val="8"/>
          <w:b w:val="1"/>
          <w:bCs w:val="1"/>
          <w:color w:val="auto"/>
        </w:rPr>
        <w:t>Annual Meeting Agenda</w:t>
      </w:r>
    </w:p>
    <w:p>
      <w:pPr>
        <w:spacing w:after="0" w:line="6" w:lineRule="exact"/>
        <w:rPr>
          <w:sz w:val="20"/>
          <w:szCs w:val="20"/>
          <w:color w:val="auto"/>
        </w:rPr>
      </w:pPr>
    </w:p>
    <w:p>
      <w:pPr>
        <w:ind w:left="600"/>
        <w:spacing w:after="0"/>
        <w:rPr>
          <w:sz w:val="20"/>
          <w:szCs w:val="20"/>
          <w:color w:val="auto"/>
        </w:rPr>
      </w:pPr>
      <w:r>
        <w:rPr>
          <w:rFonts w:ascii="Arial" w:cs="Arial" w:eastAsia="Arial" w:hAnsi="Arial"/>
          <w:sz w:val="8"/>
          <w:szCs w:val="8"/>
          <w:b w:val="1"/>
          <w:bCs w:val="1"/>
          <w:color w:val="auto"/>
        </w:rPr>
        <w:t>8:00 a.m. Doors Open to Meeting Room</w:t>
      </w:r>
    </w:p>
    <w:p>
      <w:pPr>
        <w:ind w:left="600"/>
        <w:spacing w:after="0"/>
        <w:rPr>
          <w:sz w:val="20"/>
          <w:szCs w:val="20"/>
          <w:color w:val="auto"/>
        </w:rPr>
      </w:pPr>
      <w:r>
        <w:rPr>
          <w:rFonts w:ascii="Arial" w:cs="Arial" w:eastAsia="Arial" w:hAnsi="Arial"/>
          <w:sz w:val="8"/>
          <w:szCs w:val="8"/>
          <w:b w:val="1"/>
          <w:bCs w:val="1"/>
          <w:color w:val="auto"/>
        </w:rPr>
        <w:t>9:00 a.m. Welcome and Introduction; Matters for Shareholder Vote</w:t>
      </w:r>
    </w:p>
    <w:p>
      <w:pPr>
        <w:spacing w:after="0" w:line="60" w:lineRule="exact"/>
        <w:rPr>
          <w:sz w:val="20"/>
          <w:szCs w:val="20"/>
          <w:color w:val="auto"/>
        </w:rPr>
      </w:pPr>
    </w:p>
    <w:p>
      <w:pPr>
        <w:jc w:val="center"/>
        <w:ind w:right="120"/>
        <w:spacing w:after="0"/>
        <w:rPr>
          <w:sz w:val="20"/>
          <w:szCs w:val="20"/>
          <w:color w:val="auto"/>
        </w:rPr>
      </w:pPr>
      <w:r>
        <w:rPr>
          <w:rFonts w:ascii="Arial" w:cs="Arial" w:eastAsia="Arial" w:hAnsi="Arial"/>
          <w:sz w:val="8"/>
          <w:szCs w:val="8"/>
          <w:b w:val="1"/>
          <w:bCs w:val="1"/>
          <w:color w:val="auto"/>
        </w:rPr>
        <w:t>DIRECTIONS TO THE PENNSYLVANIA CONVENTION CENTER</w:t>
      </w:r>
    </w:p>
    <w:p>
      <w:pPr>
        <w:spacing w:after="0" w:line="70" w:lineRule="exact"/>
        <w:rPr>
          <w:sz w:val="20"/>
          <w:szCs w:val="20"/>
          <w:color w:val="auto"/>
        </w:rPr>
      </w:pPr>
    </w:p>
    <w:p>
      <w:pPr>
        <w:ind w:left="600"/>
        <w:spacing w:after="0"/>
        <w:rPr>
          <w:sz w:val="20"/>
          <w:szCs w:val="20"/>
          <w:color w:val="auto"/>
        </w:rPr>
      </w:pPr>
      <w:r>
        <w:rPr>
          <w:rFonts w:ascii="Arial" w:cs="Arial" w:eastAsia="Arial" w:hAnsi="Arial"/>
          <w:sz w:val="8"/>
          <w:szCs w:val="8"/>
          <w:b w:val="1"/>
          <w:bCs w:val="1"/>
          <w:color w:val="auto"/>
        </w:rPr>
        <w:t>From New Jersey via the Ben Franklin Bridge</w:t>
      </w:r>
    </w:p>
    <w:p>
      <w:pPr>
        <w:spacing w:after="0" w:line="8" w:lineRule="exact"/>
        <w:rPr>
          <w:sz w:val="20"/>
          <w:szCs w:val="20"/>
          <w:color w:val="auto"/>
        </w:rPr>
      </w:pPr>
    </w:p>
    <w:p>
      <w:pPr>
        <w:jc w:val="both"/>
        <w:ind w:left="600" w:right="140"/>
        <w:spacing w:after="0" w:line="242" w:lineRule="auto"/>
        <w:rPr>
          <w:sz w:val="20"/>
          <w:szCs w:val="20"/>
          <w:color w:val="auto"/>
        </w:rPr>
      </w:pPr>
      <w:r>
        <w:rPr>
          <w:rFonts w:ascii="Arial" w:cs="Arial" w:eastAsia="Arial" w:hAnsi="Arial"/>
          <w:sz w:val="8"/>
          <w:szCs w:val="8"/>
          <w:color w:val="auto"/>
        </w:rPr>
        <w:t>Take NJ Turnpike (North or South) to Exit 4 (Philadelphia/Camden Exit). Take Rte. 73 North and follow it to Rte. 38 West. Take 38 West to the Benjamin Franklin Bridge, crossing into Philadelphia. Follow local traffic signs for Vine Street/PA Convention Center. Continue West on Vine Street for approximately 6 blocks and make a left turn onto 12th Street. The main entrances are located two blocks ahead at the NW corner of 12th and Arch Streets, along with most parking garages. Shareholders should enter through the Market Street Entrance, which is located on Market Street between 11th and 12th Streets. The meeting room is conveniently located within walking distance to the Market Street Entrance. There will be signs directing shareholders to the meeting location.</w:t>
      </w:r>
    </w:p>
    <w:p>
      <w:pPr>
        <w:spacing w:after="0" w:line="144" w:lineRule="exact"/>
        <w:rPr>
          <w:sz w:val="20"/>
          <w:szCs w:val="20"/>
          <w:color w:val="auto"/>
        </w:rPr>
      </w:pPr>
    </w:p>
    <w:p>
      <w:pPr>
        <w:ind w:left="600"/>
        <w:spacing w:after="0"/>
        <w:rPr>
          <w:sz w:val="20"/>
          <w:szCs w:val="20"/>
          <w:color w:val="auto"/>
        </w:rPr>
      </w:pPr>
      <w:r>
        <w:rPr>
          <w:rFonts w:ascii="Arial" w:cs="Arial" w:eastAsia="Arial" w:hAnsi="Arial"/>
          <w:sz w:val="8"/>
          <w:szCs w:val="8"/>
          <w:b w:val="1"/>
          <w:bCs w:val="1"/>
          <w:color w:val="auto"/>
        </w:rPr>
        <w:t>From Interstate 76/Schuylkill Expressway</w:t>
      </w:r>
    </w:p>
    <w:p>
      <w:pPr>
        <w:spacing w:after="0" w:line="8" w:lineRule="exact"/>
        <w:rPr>
          <w:sz w:val="20"/>
          <w:szCs w:val="20"/>
          <w:color w:val="auto"/>
        </w:rPr>
      </w:pPr>
    </w:p>
    <w:p>
      <w:pPr>
        <w:jc w:val="both"/>
        <w:ind w:left="600" w:right="120"/>
        <w:spacing w:after="0" w:line="245" w:lineRule="auto"/>
        <w:rPr>
          <w:sz w:val="20"/>
          <w:szCs w:val="20"/>
          <w:color w:val="auto"/>
        </w:rPr>
      </w:pPr>
      <w:r>
        <w:rPr>
          <w:rFonts w:ascii="Arial" w:cs="Arial" w:eastAsia="Arial" w:hAnsi="Arial"/>
          <w:sz w:val="8"/>
          <w:szCs w:val="8"/>
          <w:color w:val="auto"/>
        </w:rPr>
        <w:t>Take Rte. 76 East to Exit 344/I-676 East. Take I- 676 East and exit at Broad Street/Rte. 611. You will be on Vine Street. Follow local signs for Vine Street/PA Convention Center. Continue East on Vine Street to 12th Street. Make a right turn onto 12th Street. The main entrances are located two blocks ahead at the NW corner of 12th and Arch Streets, along with most parking garages. Shareholders should enter through the Market Street Entrance, which is located on Market Street between 11th and 12th Streets. The meeting room is conveniently located within walking distance to the Market Street Entrance. There will be signs directing shareholders to the meeting location.</w:t>
      </w:r>
    </w:p>
    <w:p>
      <w:pPr>
        <w:spacing w:after="0" w:line="51" w:lineRule="exact"/>
        <w:rPr>
          <w:sz w:val="20"/>
          <w:szCs w:val="20"/>
          <w:color w:val="auto"/>
        </w:rPr>
      </w:pPr>
    </w:p>
    <w:p>
      <w:pPr>
        <w:ind w:left="600"/>
        <w:spacing w:after="0"/>
        <w:rPr>
          <w:sz w:val="20"/>
          <w:szCs w:val="20"/>
          <w:color w:val="auto"/>
        </w:rPr>
      </w:pPr>
      <w:r>
        <w:rPr>
          <w:rFonts w:ascii="Arial" w:cs="Arial" w:eastAsia="Arial" w:hAnsi="Arial"/>
          <w:sz w:val="8"/>
          <w:szCs w:val="8"/>
          <w:b w:val="1"/>
          <w:bCs w:val="1"/>
          <w:color w:val="auto"/>
        </w:rPr>
        <w:t>From Interstate 95 North and South</w:t>
      </w:r>
    </w:p>
    <w:p>
      <w:pPr>
        <w:spacing w:after="0" w:line="8" w:lineRule="exact"/>
        <w:rPr>
          <w:sz w:val="20"/>
          <w:szCs w:val="20"/>
          <w:color w:val="auto"/>
        </w:rPr>
      </w:pPr>
    </w:p>
    <w:p>
      <w:pPr>
        <w:jc w:val="both"/>
        <w:ind w:left="600" w:right="140"/>
        <w:spacing w:after="0" w:line="241" w:lineRule="auto"/>
        <w:rPr>
          <w:sz w:val="20"/>
          <w:szCs w:val="20"/>
          <w:color w:val="auto"/>
        </w:rPr>
      </w:pPr>
      <w:r>
        <w:rPr>
          <w:rFonts w:ascii="Arial" w:cs="Arial" w:eastAsia="Arial" w:hAnsi="Arial"/>
          <w:sz w:val="8"/>
          <w:szCs w:val="8"/>
          <w:color w:val="auto"/>
        </w:rPr>
        <w:t>Take I-95 (North or South) to Exit 22 (Central Philadelphia/I- 676). Stay in the left lane of this exit. Follow signs for I-676 West to the first exit (Broad Street). This exit brings you to 15th Street. Get into left lane and follow the sign for 611/Broad Street and make a left turn onto Vine Street. Follow signs for Vine Street/ PA Convention Center. Continue East on Vine Street to 12th Street. Make a right turn onto 12th Street. The main entrances are located two blocks ahead at the NW corner of 12th and Arch Streets, along with most parking garages. Shareholders should enter through the Market Street Entrance, which is located on Market Street between 11th and 12th Streets. The meeting room is conveniently located within walking distance to the Market Street Entrance. There will be signs directing shareholders to the meeting location.</w:t>
      </w:r>
    </w:p>
    <w:p>
      <w:pPr>
        <w:spacing w:after="0" w:line="53" w:lineRule="exact"/>
        <w:rPr>
          <w:sz w:val="20"/>
          <w:szCs w:val="20"/>
          <w:color w:val="auto"/>
        </w:rPr>
      </w:pPr>
    </w:p>
    <w:p>
      <w:pPr>
        <w:ind w:left="600"/>
        <w:spacing w:after="0"/>
        <w:rPr>
          <w:sz w:val="20"/>
          <w:szCs w:val="20"/>
          <w:color w:val="auto"/>
        </w:rPr>
      </w:pPr>
      <w:r>
        <w:rPr>
          <w:rFonts w:ascii="Arial" w:cs="Arial" w:eastAsia="Arial" w:hAnsi="Arial"/>
          <w:sz w:val="8"/>
          <w:szCs w:val="8"/>
          <w:b w:val="1"/>
          <w:bCs w:val="1"/>
          <w:color w:val="auto"/>
        </w:rPr>
        <w:t>Public Transportation</w:t>
      </w:r>
    </w:p>
    <w:p>
      <w:pPr>
        <w:spacing w:after="0" w:line="8" w:lineRule="exact"/>
        <w:rPr>
          <w:sz w:val="20"/>
          <w:szCs w:val="20"/>
          <w:color w:val="auto"/>
        </w:rPr>
      </w:pPr>
    </w:p>
    <w:p>
      <w:pPr>
        <w:jc w:val="both"/>
        <w:ind w:left="600" w:right="120"/>
        <w:spacing w:after="0" w:line="256" w:lineRule="auto"/>
        <w:rPr>
          <w:sz w:val="20"/>
          <w:szCs w:val="20"/>
          <w:color w:val="auto"/>
        </w:rPr>
      </w:pPr>
      <w:r>
        <w:rPr>
          <w:rFonts w:ascii="Arial" w:cs="Arial" w:eastAsia="Arial" w:hAnsi="Arial"/>
          <w:sz w:val="8"/>
          <w:szCs w:val="8"/>
          <w:color w:val="auto"/>
        </w:rPr>
        <w:t>SEPTA (Southeastern Pennsylvania Transportation Authority). The Regional rail lines, R1, R2, R3, R5, R6, R7 and R8, connect directly to the Convention Center, which is connected to the Market-East/Pennsylvania Convention Center Station. Elevators are available. Please follow signs to the Pennsylvania Convention Center. Once inside the Convention Center, there will be signs directing shareholders to the meeting location.</w:t>
      </w:r>
    </w:p>
    <w:p>
      <w:pPr>
        <w:spacing w:after="0" w:line="46" w:lineRule="exact"/>
        <w:rPr>
          <w:sz w:val="20"/>
          <w:szCs w:val="20"/>
          <w:color w:val="auto"/>
        </w:rPr>
      </w:pPr>
    </w:p>
    <w:p>
      <w:pPr>
        <w:ind w:left="600"/>
        <w:spacing w:after="0"/>
        <w:rPr>
          <w:sz w:val="20"/>
          <w:szCs w:val="20"/>
          <w:color w:val="auto"/>
        </w:rPr>
      </w:pPr>
      <w:r>
        <w:rPr>
          <w:rFonts w:ascii="Arial" w:cs="Arial" w:eastAsia="Arial" w:hAnsi="Arial"/>
          <w:sz w:val="8"/>
          <w:szCs w:val="8"/>
          <w:b w:val="1"/>
          <w:bCs w:val="1"/>
          <w:color w:val="auto"/>
        </w:rPr>
        <w:t>Parking Information</w:t>
      </w:r>
    </w:p>
    <w:p>
      <w:pPr>
        <w:spacing w:after="0" w:line="8" w:lineRule="exact"/>
        <w:rPr>
          <w:sz w:val="20"/>
          <w:szCs w:val="20"/>
          <w:color w:val="auto"/>
        </w:rPr>
      </w:pPr>
    </w:p>
    <w:p>
      <w:pPr>
        <w:jc w:val="both"/>
        <w:ind w:left="600" w:right="120"/>
        <w:spacing w:after="0" w:line="256" w:lineRule="auto"/>
        <w:rPr>
          <w:sz w:val="20"/>
          <w:szCs w:val="20"/>
          <w:color w:val="auto"/>
        </w:rPr>
      </w:pPr>
      <w:r>
        <w:rPr>
          <w:rFonts w:ascii="Arial" w:cs="Arial" w:eastAsia="Arial" w:hAnsi="Arial"/>
          <w:sz w:val="8"/>
          <w:szCs w:val="8"/>
          <w:color w:val="auto"/>
        </w:rPr>
        <w:t>Several parking garages are available within blocks of the Convention Center and are indicated on the map included in the proxy statement. Shareholders should enter through the Market Street Entrance, which is located on Market Street between 11th and 12th Streets. The meeting room is conveniently located within walking distance to the Market Street Entrance. There will be signs directing shareholders to the meeting location.</w:t>
      </w:r>
    </w:p>
    <w:p>
      <w:pPr>
        <w:spacing w:after="0" w:line="46" w:lineRule="exact"/>
        <w:rPr>
          <w:sz w:val="20"/>
          <w:szCs w:val="20"/>
          <w:color w:val="auto"/>
        </w:rPr>
      </w:pPr>
    </w:p>
    <w:p>
      <w:pPr>
        <w:jc w:val="both"/>
        <w:ind w:left="600" w:right="120"/>
        <w:spacing w:after="0" w:line="282" w:lineRule="auto"/>
        <w:rPr>
          <w:sz w:val="20"/>
          <w:szCs w:val="20"/>
          <w:color w:val="auto"/>
        </w:rPr>
      </w:pPr>
      <w:r>
        <w:rPr>
          <w:rFonts w:ascii="Arial" w:cs="Arial" w:eastAsia="Arial" w:hAnsi="Arial"/>
          <w:sz w:val="8"/>
          <w:szCs w:val="8"/>
          <w:b w:val="1"/>
          <w:bCs w:val="1"/>
          <w:u w:val="single" w:color="auto"/>
          <w:color w:val="auto"/>
        </w:rPr>
        <w:t>IMPORTANT NOTICE</w:t>
      </w:r>
      <w:r>
        <w:rPr>
          <w:rFonts w:ascii="Arial" w:cs="Arial" w:eastAsia="Arial" w:hAnsi="Arial"/>
          <w:sz w:val="8"/>
          <w:szCs w:val="8"/>
          <w:b w:val="1"/>
          <w:bCs w:val="1"/>
          <w:color w:val="auto"/>
        </w:rPr>
        <w:t>: All annual meeting attendees may be asked to present a valid government-issued photo identification, such as a driver’s license or passport, before entering the meeting. In addition, video and audio recording devices will not be permitted at the annual meeting, and attendees will be subject to security inspections.</w:t>
      </w:r>
    </w:p>
    <w:p>
      <w:pPr>
        <w:spacing w:after="0" w:line="36" w:lineRule="exact"/>
        <w:rPr>
          <w:sz w:val="20"/>
          <w:szCs w:val="20"/>
          <w:color w:val="auto"/>
        </w:rPr>
      </w:pPr>
    </w:p>
    <w:p>
      <w:pPr>
        <w:ind w:left="600"/>
        <w:spacing w:after="0"/>
        <w:rPr>
          <w:sz w:val="20"/>
          <w:szCs w:val="20"/>
          <w:color w:val="auto"/>
        </w:rPr>
      </w:pPr>
      <w:r>
        <w:rPr>
          <w:rFonts w:ascii="Arial" w:cs="Arial" w:eastAsia="Arial" w:hAnsi="Arial"/>
          <w:sz w:val="8"/>
          <w:szCs w:val="8"/>
          <w:b w:val="1"/>
          <w:bCs w:val="1"/>
          <w:u w:val="single" w:color="auto"/>
          <w:color w:val="auto"/>
        </w:rPr>
        <w:t>Important Notice Regarding the Availability of Proxy Materials for the Annual Meeting:</w:t>
      </w:r>
    </w:p>
    <w:p>
      <w:pPr>
        <w:spacing w:after="0" w:line="8" w:lineRule="exact"/>
        <w:rPr>
          <w:sz w:val="20"/>
          <w:szCs w:val="20"/>
          <w:color w:val="auto"/>
        </w:rPr>
      </w:pPr>
    </w:p>
    <w:p>
      <w:pPr>
        <w:ind w:left="600"/>
        <w:spacing w:after="0"/>
        <w:rPr>
          <w:sz w:val="20"/>
          <w:szCs w:val="20"/>
          <w:color w:val="auto"/>
        </w:rPr>
      </w:pPr>
      <w:r>
        <w:rPr>
          <w:rFonts w:ascii="Arial" w:cs="Arial" w:eastAsia="Arial" w:hAnsi="Arial"/>
          <w:sz w:val="8"/>
          <w:szCs w:val="8"/>
          <w:color w:val="auto"/>
        </w:rPr>
        <w:t>Proxy Statement and the Annual Report on Form 10-K are available at www.proxyvote.com.</w:t>
      </w:r>
    </w:p>
    <w:p>
      <w:pPr>
        <w:spacing w:after="0" w:line="208" w:lineRule="exact"/>
        <w:rPr>
          <w:sz w:val="20"/>
          <w:szCs w:val="20"/>
          <w:color w:val="auto"/>
        </w:rPr>
      </w:pPr>
    </w:p>
    <w:p>
      <w:pPr>
        <w:jc w:val="center"/>
        <w:ind w:right="120"/>
        <w:spacing w:after="0"/>
        <w:rPr>
          <w:sz w:val="20"/>
          <w:szCs w:val="20"/>
          <w:color w:val="auto"/>
        </w:rPr>
      </w:pPr>
      <w:r>
        <w:rPr>
          <w:rFonts w:ascii="Arial" w:cs="Arial" w:eastAsia="Arial" w:hAnsi="Arial"/>
          <w:sz w:val="7"/>
          <w:szCs w:val="7"/>
          <w:color w:val="auto"/>
        </w:rPr>
        <w:t xml:space="preserve">6 </w:t>
      </w:r>
      <w:r>
        <w:rPr>
          <w:rFonts w:ascii="Arial" w:cs="Arial" w:eastAsia="Arial" w:hAnsi="Arial"/>
          <w:sz w:val="7"/>
          <w:szCs w:val="7"/>
          <w:b w:val="1"/>
          <w:bCs w:val="1"/>
          <w:color w:val="auto"/>
        </w:rPr>
        <w:t>IF YOU HAVE NOT VOTED VIA THE INTERNET OR TELEPHONE, FOLD ALONG THE PERFORATION, DETACH AND RETURN THE BOTTOM PORTION IN THE ENCLOSED ENVELOPE.</w:t>
      </w:r>
      <w:r>
        <w:rPr>
          <w:rFonts w:ascii="Arial" w:cs="Arial" w:eastAsia="Arial" w:hAnsi="Arial"/>
          <w:sz w:val="7"/>
          <w:szCs w:val="7"/>
          <w:color w:val="auto"/>
        </w:rPr>
        <w:t xml:space="preserve"> 6</w:t>
      </w:r>
    </w:p>
    <w:p>
      <w:pPr>
        <w:spacing w:after="0" w:line="25" w:lineRule="exact"/>
        <w:rPr>
          <w:sz w:val="20"/>
          <w:szCs w:val="20"/>
          <w:color w:val="auto"/>
        </w:rPr>
      </w:pPr>
    </w:p>
    <w:p>
      <w:pPr>
        <w:ind w:left="9060"/>
        <w:spacing w:after="0"/>
        <w:rPr>
          <w:sz w:val="20"/>
          <w:szCs w:val="20"/>
          <w:color w:val="auto"/>
        </w:rPr>
      </w:pPr>
      <w:r>
        <w:rPr>
          <w:rFonts w:ascii="Arial" w:cs="Arial" w:eastAsia="Arial" w:hAnsi="Arial"/>
          <w:sz w:val="8"/>
          <w:szCs w:val="8"/>
          <w:color w:val="auto"/>
        </w:rPr>
        <w:t>M20429-P90314-Z51911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95250</wp:posOffset>
            </wp:positionV>
            <wp:extent cx="6498590" cy="23348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498590" cy="233489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jc w:val="center"/>
        <w:ind w:right="-119"/>
        <w:spacing w:after="0"/>
        <w:rPr>
          <w:sz w:val="20"/>
          <w:szCs w:val="20"/>
          <w:color w:val="auto"/>
        </w:rPr>
      </w:pPr>
      <w:r>
        <w:rPr>
          <w:rFonts w:ascii="Arial" w:cs="Arial" w:eastAsia="Arial" w:hAnsi="Arial"/>
          <w:sz w:val="12"/>
          <w:szCs w:val="12"/>
          <w:b w:val="1"/>
          <w:bCs w:val="1"/>
          <w:color w:val="auto"/>
        </w:rPr>
        <w:t>THIS PROXY IS SOLICITED ON BEHALF OF THE BOARD OF DIRECTORS FOR</w:t>
      </w:r>
    </w:p>
    <w:p>
      <w:pPr>
        <w:spacing w:after="0" w:line="11" w:lineRule="exact"/>
        <w:rPr>
          <w:sz w:val="20"/>
          <w:szCs w:val="20"/>
          <w:color w:val="auto"/>
        </w:rPr>
      </w:pPr>
    </w:p>
    <w:p>
      <w:pPr>
        <w:jc w:val="center"/>
        <w:ind w:right="-119"/>
        <w:spacing w:after="0"/>
        <w:rPr>
          <w:sz w:val="20"/>
          <w:szCs w:val="20"/>
          <w:color w:val="auto"/>
        </w:rPr>
      </w:pPr>
      <w:r>
        <w:rPr>
          <w:rFonts w:ascii="Arial" w:cs="Arial" w:eastAsia="Arial" w:hAnsi="Arial"/>
          <w:sz w:val="12"/>
          <w:szCs w:val="12"/>
          <w:b w:val="1"/>
          <w:bCs w:val="1"/>
          <w:color w:val="auto"/>
        </w:rPr>
        <w:t>THE ANNUAL MEETING OF SHAREHOLDERS ON MAY 20, 2010.</w:t>
      </w:r>
    </w:p>
    <w:p>
      <w:pPr>
        <w:spacing w:after="0" w:line="71" w:lineRule="exact"/>
        <w:rPr>
          <w:sz w:val="20"/>
          <w:szCs w:val="20"/>
          <w:color w:val="auto"/>
        </w:rPr>
      </w:pPr>
    </w:p>
    <w:p>
      <w:pPr>
        <w:jc w:val="both"/>
        <w:ind w:left="120"/>
        <w:spacing w:after="0"/>
        <w:rPr>
          <w:sz w:val="20"/>
          <w:szCs w:val="20"/>
          <w:color w:val="auto"/>
        </w:rPr>
      </w:pPr>
      <w:r>
        <w:rPr>
          <w:rFonts w:ascii="Arial" w:cs="Arial" w:eastAsia="Arial" w:hAnsi="Arial"/>
          <w:sz w:val="11"/>
          <w:szCs w:val="11"/>
          <w:color w:val="auto"/>
        </w:rPr>
        <w:t>I hereby appoint David L. Cohen and Arthur R. Block, and each of them acting individually, as proxies, with the powers I would possess if personally present, and with full power of substitution, to vote all shares in Comcast Corporation at the annual meeting of shareholders to be held at the Pennsylvania Convention Center at 9:00 a.m. Eastern Daylight Time on May 20, 2010, and at any adjournment or postponement thereof, upon all matters that may properly come before the meeting, including the matters described in the proxy statement, and in accordance with my instructions on the reverse side of this proxy card. In the event that any other matter may properly come before the meeting, or any adjournment or postponement thereof, the proxies are each authorized to vote such matter in their discretion. I hereby revoke all previous proxies given to vote at the annual meeting or any adjournment or postponement thereof.</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11"/>
          <w:szCs w:val="11"/>
          <w:color w:val="auto"/>
        </w:rPr>
        <w:t>I acknowledge receipt of the notice of annual meeting of shareholders, the proxy statement and the Annual Report on Form 10-K of Comcast Corporation.</w:t>
      </w:r>
    </w:p>
    <w:p>
      <w:pPr>
        <w:spacing w:after="0" w:line="72" w:lineRule="exact"/>
        <w:rPr>
          <w:sz w:val="20"/>
          <w:szCs w:val="20"/>
          <w:color w:val="auto"/>
        </w:rPr>
      </w:pPr>
    </w:p>
    <w:p>
      <w:pPr>
        <w:jc w:val="both"/>
        <w:ind w:left="120"/>
        <w:spacing w:after="0" w:line="263" w:lineRule="auto"/>
        <w:rPr>
          <w:sz w:val="20"/>
          <w:szCs w:val="20"/>
          <w:color w:val="auto"/>
        </w:rPr>
      </w:pPr>
      <w:r>
        <w:rPr>
          <w:rFonts w:ascii="Arial" w:cs="Arial" w:eastAsia="Arial" w:hAnsi="Arial"/>
          <w:sz w:val="10"/>
          <w:szCs w:val="10"/>
          <w:color w:val="auto"/>
        </w:rPr>
        <w:t>The shares represented by this proxy card will be voted in accordance with your instructions if the card is signed and returned. If you are voting with this proxy card, please mark your choices on the other side of this proxy card, sign it where indicated on the other side and return it promptly to Vote Processing, Comcast Corporation, c/o Broadridge Financial Solutions, 51 Mercedes Way, Edgewood, NY 11717.</w:t>
      </w:r>
    </w:p>
    <w:p>
      <w:pPr>
        <w:jc w:val="both"/>
        <w:ind w:left="120"/>
        <w:spacing w:after="0"/>
        <w:rPr>
          <w:sz w:val="20"/>
          <w:szCs w:val="20"/>
          <w:color w:val="auto"/>
        </w:rPr>
      </w:pPr>
      <w:r>
        <w:rPr>
          <w:rFonts w:ascii="Arial" w:cs="Arial" w:eastAsia="Arial" w:hAnsi="Arial"/>
          <w:sz w:val="11"/>
          <w:szCs w:val="11"/>
          <w:b w:val="1"/>
          <w:bCs w:val="1"/>
          <w:color w:val="auto"/>
        </w:rPr>
        <w:t xml:space="preserve">Except in the case of shares held in the Comcast Corporation Retirement-Investment Plan or the Comcast Spectacor 401(k) Plan, if your card is signed and returned without instructions, the shares will be voted in favor of all of the director nominees, in favor of Proposals 2-3 and against Proposals 4-6. </w:t>
      </w:r>
      <w:r>
        <w:rPr>
          <w:rFonts w:ascii="Arial" w:cs="Arial" w:eastAsia="Arial" w:hAnsi="Arial"/>
          <w:sz w:val="11"/>
          <w:szCs w:val="11"/>
          <w:color w:val="auto"/>
        </w:rPr>
        <w:t>If you hold shares in the Comcast Corporation Retirement-Investment Plan or the</w:t>
      </w:r>
      <w:r>
        <w:rPr>
          <w:rFonts w:ascii="Arial" w:cs="Arial" w:eastAsia="Arial" w:hAnsi="Arial"/>
          <w:sz w:val="11"/>
          <w:szCs w:val="11"/>
          <w:b w:val="1"/>
          <w:bCs w:val="1"/>
          <w:color w:val="auto"/>
        </w:rPr>
        <w:t xml:space="preserve"> </w:t>
      </w:r>
      <w:r>
        <w:rPr>
          <w:rFonts w:ascii="Arial" w:cs="Arial" w:eastAsia="Arial" w:hAnsi="Arial"/>
          <w:sz w:val="11"/>
          <w:szCs w:val="11"/>
          <w:color w:val="auto"/>
        </w:rPr>
        <w:t>Comcast Spectacor 401(k) Plan and do not vote, or you sign and return your proxy card without voting instructions, the plan trustee will vote these shares in the same proportion on each matter as it votes shares held in the plan for which voting instructions were received. If you are voting shares held in the Comcast Corporation Retirement-Investment Plan, the Comcast Spectacor 401(k) Plan or the Employee Stock Purchase Plan, voting by Internet, telephone, mail or in person by ballot will vote all of the shares held in the respective plans, as well as shares held as a shareholder of record. If you hold shares that are not represented by this proxy card, you will receive additional proxy card(s) by mail that will allow you to vote the remaining shares.</w:t>
      </w:r>
    </w:p>
    <w:p>
      <w:pPr>
        <w:spacing w:after="0" w:line="378" w:lineRule="exact"/>
        <w:rPr>
          <w:sz w:val="20"/>
          <w:szCs w:val="20"/>
          <w:color w:val="auto"/>
        </w:rPr>
      </w:pPr>
    </w:p>
    <w:p>
      <w:pPr>
        <w:ind w:left="820"/>
        <w:spacing w:after="0"/>
        <w:rPr>
          <w:sz w:val="20"/>
          <w:szCs w:val="20"/>
          <w:color w:val="auto"/>
        </w:rPr>
      </w:pPr>
      <w:r>
        <w:rPr>
          <w:rFonts w:ascii="Arial" w:cs="Arial" w:eastAsia="Arial" w:hAnsi="Arial"/>
          <w:sz w:val="12"/>
          <w:szCs w:val="12"/>
          <w:b w:val="1"/>
          <w:bCs w:val="1"/>
          <w:color w:val="auto"/>
        </w:rPr>
        <w:t>Address Changes/Comments:</w:t>
      </w:r>
    </w:p>
    <w:p>
      <w:pPr>
        <w:spacing w:after="0" w:line="350" w:lineRule="exact"/>
        <w:rPr>
          <w:sz w:val="20"/>
          <w:szCs w:val="20"/>
          <w:color w:val="auto"/>
        </w:rPr>
      </w:pPr>
    </w:p>
    <w:p>
      <w:pPr>
        <w:jc w:val="center"/>
        <w:ind w:right="-119"/>
        <w:spacing w:after="0"/>
        <w:rPr>
          <w:sz w:val="20"/>
          <w:szCs w:val="20"/>
          <w:color w:val="auto"/>
        </w:rPr>
      </w:pPr>
      <w:r>
        <w:rPr>
          <w:rFonts w:ascii="Arial" w:cs="Arial" w:eastAsia="Arial" w:hAnsi="Arial"/>
          <w:sz w:val="8"/>
          <w:szCs w:val="8"/>
          <w:color w:val="auto"/>
        </w:rPr>
        <w:t>(If you noted any Address Changes/Comments above, please mark corresponding box on the reverse side.)</w:t>
      </w:r>
    </w:p>
    <w:sectPr>
      <w:pgSz w:w="11900" w:h="16838" w:orient="portrait"/>
      <w:cols w:equalWidth="0" w:num="1">
        <w:col w:w="10120"/>
      </w:cols>
      <w:pgMar w:left="900" w:top="327"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o"/>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o"/>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o"/>
      <w:numFmt w:val="bullet"/>
      <w:start w:val="1"/>
    </w:lvl>
    <w:lvl w:ilvl="1">
      <w:lvlJc w:val="left"/>
      <w:lvlText w:val="(%2)"/>
      <w:numFmt w:val="decimal"/>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1)"/>
      <w:numFmt w:val="decimal"/>
      <w:start w:val="1"/>
    </w:lvl>
  </w:abstractNum>
  <w:abstractNum w:abstractNumId="9">
    <w:nsid w:val="7C3DBD3D"/>
    <w:multiLevelType w:val="hybridMultilevel"/>
    <w:lvl w:ilvl="0">
      <w:lvlJc w:val="left"/>
      <w:lvlText w:val="(%1)"/>
      <w:numFmt w:val="decimal"/>
      <w:start w:val="2"/>
    </w:lvl>
  </w:abstractNum>
  <w:abstractNum w:abstractNumId="10">
    <w:nsid w:val="737B8DDC"/>
    <w:multiLevelType w:val="hybridMultilevel"/>
    <w:lvl w:ilvl="0">
      <w:lvlJc w:val="left"/>
      <w:lvlText w:val="(%1)"/>
      <w:numFmt w:val="decimal"/>
      <w:start w:val="1"/>
    </w:lvl>
  </w:abstractNum>
  <w:abstractNum w:abstractNumId="11">
    <w:nsid w:val="6CEAF087"/>
    <w:multiLevelType w:val="hybridMultilevel"/>
    <w:lvl w:ilvl="0">
      <w:lvlJc w:val="left"/>
      <w:lvlText w:val="(%1)"/>
      <w:numFmt w:val="decimal"/>
      <w:start w:val="3"/>
    </w:lvl>
  </w:abstractNum>
  <w:abstractNum w:abstractNumId="12">
    <w:nsid w:val="22221A70"/>
    <w:multiLevelType w:val="hybridMultilevel"/>
    <w:lvl w:ilvl="0">
      <w:lvlJc w:val="left"/>
      <w:lvlText w:val="(%1)"/>
      <w:numFmt w:val="decimal"/>
      <w:start w:val="18"/>
    </w:lvl>
  </w:abstractNum>
  <w:abstractNum w:abstractNumId="13">
    <w:nsid w:val="4516DDE9"/>
    <w:multiLevelType w:val="hybridMultilevel"/>
    <w:lvl w:ilvl="0">
      <w:lvlJc w:val="left"/>
      <w:lvlText w:val="(%1)"/>
      <w:numFmt w:val="decimal"/>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1)"/>
      <w:numFmt w:val="lowerRoman"/>
      <w:start w:val="1"/>
    </w:lvl>
  </w:abstractNum>
  <w:abstractNum w:abstractNumId="16">
    <w:nsid w:val="419AC241"/>
    <w:multiLevelType w:val="hybridMultilevel"/>
    <w:lvl w:ilvl="0">
      <w:lvlJc w:val="left"/>
      <w:lvlText w:val="(%1)"/>
      <w:numFmt w:val="decimal"/>
      <w:start w:val="1"/>
    </w:lvl>
  </w:abstractNum>
  <w:abstractNum w:abstractNumId="17">
    <w:nsid w:val="5577F8E1"/>
    <w:multiLevelType w:val="hybridMultilevel"/>
    <w:lvl w:ilvl="0">
      <w:lvlJc w:val="left"/>
      <w:lvlText w:val="(%1)"/>
      <w:numFmt w:val="decimal"/>
      <w:start w:val="4"/>
    </w:lvl>
  </w:abstractNum>
  <w:abstractNum w:abstractNumId="18">
    <w:nsid w:val="440BADFC"/>
    <w:multiLevelType w:val="hybridMultilevel"/>
    <w:lvl w:ilvl="0">
      <w:lvlJc w:val="left"/>
      <w:lvlText w:val="(%1)"/>
      <w:numFmt w:val="decimal"/>
      <w:start w:val="6"/>
    </w:lvl>
    <w:lvl w:ilvl="1">
      <w:lvlJc w:val="left"/>
      <w:lvlText w:val="(%2)"/>
      <w:numFmt w:val="decimal"/>
      <w:start w:val="10"/>
    </w:lvl>
  </w:abstractNum>
  <w:abstractNum w:abstractNumId="19">
    <w:nsid w:val="5072367"/>
    <w:multiLevelType w:val="hybridMultilevel"/>
    <w:lvl w:ilvl="0">
      <w:lvlJc w:val="left"/>
      <w:lvlText w:val="(%1)"/>
      <w:numFmt w:val="decimal"/>
      <w:start w:val="1"/>
    </w:lvl>
  </w:abstractNum>
  <w:abstractNum w:abstractNumId="20">
    <w:nsid w:val="3804823E"/>
    <w:multiLevelType w:val="hybridMultilevel"/>
    <w:lvl w:ilvl="0">
      <w:lvlJc w:val="left"/>
      <w:lvlText w:val="(%1)"/>
      <w:numFmt w:val="decimal"/>
      <w:start w:val="3"/>
    </w:lvl>
  </w:abstractNum>
  <w:abstractNum w:abstractNumId="21">
    <w:nsid w:val="77465F01"/>
    <w:multiLevelType w:val="hybridMultilevel"/>
    <w:lvl w:ilvl="0">
      <w:lvlJc w:val="left"/>
      <w:lvlText w:val="(%1)"/>
      <w:numFmt w:val="decimal"/>
      <w:start w:val="1"/>
    </w:lvl>
  </w:abstractNum>
  <w:abstractNum w:abstractNumId="22">
    <w:nsid w:val="7724C67E"/>
    <w:multiLevelType w:val="hybridMultilevel"/>
    <w:lvl w:ilvl="0">
      <w:lvlJc w:val="left"/>
      <w:lvlText w:val="%1"/>
      <w:numFmt w:val="decimal"/>
      <w:start w:val="1"/>
    </w:lvl>
    <w:lvl w:ilvl="1">
      <w:lvlJc w:val="left"/>
      <w:lvlText w:val="(%2)"/>
      <w:numFmt w:val="lowerLetter"/>
      <w:start w:val="1"/>
    </w:lvl>
  </w:abstractNum>
  <w:abstractNum w:abstractNumId="23">
    <w:nsid w:val="5C482A97"/>
    <w:multiLevelType w:val="hybridMultilevel"/>
    <w:lvl w:ilvl="0">
      <w:lvlJc w:val="left"/>
      <w:lvlText w:val="(%1)"/>
      <w:numFmt w:val="decimal"/>
      <w:start w:val="8"/>
    </w:lvl>
    <w:lvl w:ilvl="1">
      <w:lvlJc w:val="left"/>
      <w:lvlText w:val="%2"/>
      <w:numFmt w:val="lowerLetter"/>
      <w:start w:val="1"/>
    </w:lvl>
  </w:abstractNum>
  <w:abstractNum w:abstractNumId="24">
    <w:nsid w:val="2463B9EA"/>
    <w:multiLevelType w:val="hybridMultilevel"/>
    <w:lvl w:ilvl="0">
      <w:lvlJc w:val="left"/>
      <w:lvlText w:val="(%1)"/>
      <w:numFmt w:val="decimal"/>
      <w:start w:val="1"/>
    </w:lvl>
  </w:abstractNum>
  <w:abstractNum w:abstractNumId="25">
    <w:nsid w:val="5E884ADC"/>
    <w:multiLevelType w:val="hybridMultilevel"/>
    <w:lvl w:ilvl="0">
      <w:lvlJc w:val="left"/>
      <w:lvlText w:val="(%1)"/>
      <w:numFmt w:val="decimal"/>
      <w:start w:val="4"/>
    </w:lvl>
  </w:abstractNum>
  <w:abstractNum w:abstractNumId="26">
    <w:nsid w:val="51EAD36B"/>
    <w:multiLevelType w:val="hybridMultilevel"/>
    <w:lvl w:ilvl="0">
      <w:lvlJc w:val="left"/>
      <w:lvlText w:val="(%1)"/>
      <w:numFmt w:val="decimal"/>
      <w:start w:val="1"/>
    </w:lvl>
  </w:abstractNum>
  <w:abstractNum w:abstractNumId="27">
    <w:nsid w:val="2D517796"/>
    <w:multiLevelType w:val="hybridMultilevel"/>
    <w:lvl w:ilvl="0">
      <w:lvlJc w:val="left"/>
      <w:lvlText w:val="(%1)"/>
      <w:numFmt w:val="decimal"/>
      <w:start w:val="3"/>
    </w:lvl>
  </w:abstractNum>
  <w:abstractNum w:abstractNumId="28">
    <w:nsid w:val="580BD78F"/>
    <w:multiLevelType w:val="hybridMultilevel"/>
    <w:lvl w:ilvl="0">
      <w:lvlJc w:val="left"/>
      <w:lvlText w:val="(%1)"/>
      <w:numFmt w:val="decimal"/>
      <w:start w:val="8"/>
    </w:lvl>
  </w:abstractNum>
  <w:abstractNum w:abstractNumId="29">
    <w:nsid w:val="153EA438"/>
    <w:multiLevelType w:val="hybridMultilevel"/>
    <w:lvl w:ilvl="0">
      <w:lvlJc w:val="left"/>
      <w:lvlText w:val="(%1)"/>
      <w:numFmt w:val="decimal"/>
      <w:start w:val="1"/>
    </w:lvl>
  </w:abstractNum>
  <w:abstractNum w:abstractNumId="30">
    <w:nsid w:val="3855585C"/>
    <w:multiLevelType w:val="hybridMultilevel"/>
    <w:lvl w:ilvl="0">
      <w:lvlJc w:val="left"/>
      <w:lvlText w:val="(%1)"/>
      <w:numFmt w:val="decimal"/>
      <w:start w:val="1"/>
    </w:lvl>
  </w:abstractNum>
  <w:abstractNum w:abstractNumId="31">
    <w:nsid w:val="70A64E2A"/>
    <w:multiLevelType w:val="hybridMultilevel"/>
    <w:lvl w:ilvl="0">
      <w:lvlJc w:val="left"/>
      <w:lvlText w:val="(%1)"/>
      <w:numFmt w:val="decimal"/>
      <w:start w:val="4"/>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1."/>
      <w:numFmt w:val="decimal"/>
      <w:start w:val="1"/>
    </w:lvl>
  </w:abstractNum>
  <w:abstractNum w:abstractNumId="35">
    <w:nsid w:val="725A06FB"/>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6">
    <w:nsid w:val="2CD89A3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37">
    <w:nsid w:val="57E4CCAF"/>
    <w:multiLevelType w:val="hybridMultilevel"/>
    <w:lvl w:ilvl="0">
      <w:lvlJc w:val="left"/>
      <w:lvlText w:val="%1"/>
      <w:numFmt w:val="decimal"/>
      <w:start w:val="1"/>
    </w:lvl>
    <w:lvl w:ilvl="1">
      <w:lvlJc w:val="left"/>
      <w:lvlText w:val="(%2)"/>
      <w:numFmt w:val="lowerLetter"/>
      <w:start w:val="9"/>
    </w:lvl>
    <w:lvl w:ilvl="2">
      <w:lvlJc w:val="left"/>
      <w:lvlText w:val="(%3)"/>
      <w:numFmt w:val="lowerRoman"/>
      <w:start w:val="1"/>
    </w:lvl>
  </w:abstractNum>
  <w:abstractNum w:abstractNumId="38">
    <w:nsid w:val="7A6D8D3C"/>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9">
    <w:nsid w:val="4B588F54"/>
    <w:multiLevelType w:val="hybridMultilevel"/>
    <w:lvl w:ilvl="0">
      <w:lvlJc w:val="left"/>
      <w:lvlText w:val="(%1)"/>
      <w:numFmt w:val="lowerRoman"/>
      <w:start w:val="2"/>
    </w:lvl>
  </w:abstractNum>
  <w:abstractNum w:abstractNumId="40">
    <w:nsid w:val="542289EC"/>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24"/>
    </w:lvl>
  </w:abstractNum>
  <w:abstractNum w:abstractNumId="41">
    <w:nsid w:val="6DE91B18"/>
    <w:multiLevelType w:val="hybridMultilevel"/>
    <w:lvl w:ilvl="0">
      <w:lvlJc w:val="left"/>
      <w:lvlText w:val="%1."/>
      <w:numFmt w:val="decimal"/>
      <w:start w:val="4"/>
    </w:lvl>
  </w:abstractNum>
  <w:abstractNum w:abstractNumId="42">
    <w:nsid w:val="38437FDB"/>
    <w:multiLevelType w:val="hybridMultilevel"/>
    <w:lvl w:ilvl="0">
      <w:lvlJc w:val="left"/>
      <w:lvlText w:val="%1."/>
      <w:numFmt w:val="decimal"/>
      <w:start w:val="5"/>
    </w:lvl>
  </w:abstractNum>
  <w:abstractNum w:abstractNumId="43">
    <w:nsid w:val="7644A45C"/>
    <w:multiLevelType w:val="hybridMultilevel"/>
    <w:lvl w:ilvl="0">
      <w:lvlJc w:val="left"/>
      <w:lvlText w:val="(%1)"/>
      <w:numFmt w:val="lowerLetter"/>
      <w:start w:val="1"/>
    </w:lvl>
    <w:lvl w:ilvl="1">
      <w:lvlJc w:val="left"/>
      <w:lvlText w:val="(%2)"/>
      <w:numFmt w:val="lowerRoman"/>
      <w:start w:val="1"/>
    </w:lvl>
  </w:abstractNum>
  <w:abstractNum w:abstractNumId="44">
    <w:nsid w:val="32FFF902"/>
    <w:multiLevelType w:val="hybridMultilevel"/>
    <w:lvl w:ilvl="0">
      <w:lvlJc w:val="left"/>
      <w:lvlText w:val="(%1)"/>
      <w:numFmt w:val="lowerLetter"/>
      <w:start w:val="5"/>
    </w:lvl>
    <w:lvl w:ilvl="1">
      <w:lvlJc w:val="left"/>
      <w:lvlText w:val="(%2)"/>
      <w:numFmt w:val="decimal"/>
      <w:start w:val="1"/>
    </w:lvl>
    <w:lvl w:ilvl="2">
      <w:lvlJc w:val="left"/>
      <w:lvlText w:val="(%3)"/>
      <w:numFmt w:val="lowerRoman"/>
      <w:start w:val="1"/>
    </w:lvl>
  </w:abstractNum>
  <w:abstractNum w:abstractNumId="45">
    <w:nsid w:val="684A481A"/>
    <w:multiLevelType w:val="hybridMultilevel"/>
    <w:lvl w:ilvl="0">
      <w:lvlJc w:val="left"/>
      <w:lvlText w:val="%1."/>
      <w:numFmt w:val="decimal"/>
      <w:start w:val="6"/>
    </w:lvl>
  </w:abstractNum>
  <w:abstractNum w:abstractNumId="46">
    <w:nsid w:val="579478FE"/>
    <w:multiLevelType w:val="hybridMultilevel"/>
    <w:lvl w:ilvl="0">
      <w:lvlJc w:val="left"/>
      <w:lvlText w:val="%1."/>
      <w:numFmt w:val="decimal"/>
      <w:start w:val="7"/>
    </w:lvl>
  </w:abstractNum>
  <w:abstractNum w:abstractNumId="47">
    <w:nsid w:val="749ABB43"/>
    <w:multiLevelType w:val="hybridMultilevel"/>
    <w:lvl w:ilvl="0">
      <w:lvlJc w:val="left"/>
      <w:lvlText w:val="%1."/>
      <w:numFmt w:val="decimal"/>
      <w:start w:val="8"/>
    </w:lvl>
    <w:lvl w:ilvl="1">
      <w:lvlJc w:val="left"/>
      <w:lvlText w:val="(%2)"/>
      <w:numFmt w:val="lowerLetter"/>
      <w:start w:val="1"/>
    </w:lvl>
  </w:abstractNum>
  <w:abstractNum w:abstractNumId="48">
    <w:nsid w:val="3DC240FB"/>
    <w:multiLevelType w:val="hybridMultilevel"/>
    <w:lvl w:ilvl="0">
      <w:lvlJc w:val="left"/>
      <w:lvlText w:val="%1."/>
      <w:numFmt w:val="decimal"/>
      <w:start w:val="9"/>
    </w:lvl>
  </w:abstractNum>
  <w:abstractNum w:abstractNumId="49">
    <w:nsid w:val="1BA026FA"/>
    <w:multiLevelType w:val="hybridMultilevel"/>
    <w:lvl w:ilvl="0">
      <w:lvlJc w:val="left"/>
      <w:lvlText w:val="%1."/>
      <w:numFmt w:val="decimal"/>
      <w:start w:val="10"/>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2019-12-10T21:58:45Z</dcterms:created>
  <dcterms:modified xsi:type="dcterms:W3CDTF">2019-12-10T21:58:45Z</dcterms:modified>
</cp:coreProperties>
</file>