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226060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38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Exchange Act of 1934</w:t>
      </w:r>
    </w:p>
    <w:p>
      <w:pPr>
        <w:spacing w:after="0" w:line="28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23, 2018</w:t>
      </w:r>
    </w:p>
    <w:p>
      <w:pPr>
        <w:spacing w:after="0" w:line="217" w:lineRule="exact"/>
        <w:rPr>
          <w:sz w:val="24"/>
          <w:szCs w:val="24"/>
          <w:color w:val="auto"/>
        </w:rPr>
      </w:pPr>
    </w:p>
    <w:tbl>
      <w:tblPr>
        <w:tblLayout w:type="fixed"/>
        <w:tblInd w:w="440" w:type="dxa"/>
        <w:tblCellMar>
          <w:top w:w="0" w:type="dxa"/>
          <w:left w:w="0" w:type="dxa"/>
          <w:bottom w:w="0" w:type="dxa"/>
          <w:right w:w="0" w:type="dxa"/>
        </w:tblCellMar>
      </w:tblPr>
      <w:tr>
        <w:trPr>
          <w:trHeight w:val="306"/>
        </w:trPr>
        <w:tc>
          <w:tcPr>
            <w:tcW w:w="3300" w:type="dxa"/>
            <w:vAlign w:val="bottom"/>
          </w:tcPr>
          <w:p>
            <w:pPr>
              <w:spacing w:after="0"/>
              <w:rPr>
                <w:sz w:val="24"/>
                <w:szCs w:val="24"/>
                <w:color w:val="auto"/>
              </w:rPr>
            </w:pPr>
          </w:p>
        </w:tc>
        <w:tc>
          <w:tcPr>
            <w:tcW w:w="7020" w:type="dxa"/>
            <w:vAlign w:val="bottom"/>
          </w:tcPr>
          <w:p>
            <w:pPr>
              <w:jc w:val="center"/>
              <w:ind w:right="2986"/>
              <w:spacing w:after="0"/>
              <w:rPr>
                <w:sz w:val="20"/>
                <w:szCs w:val="20"/>
                <w:color w:val="auto"/>
              </w:rPr>
            </w:pPr>
            <w:r>
              <w:rPr>
                <w:rFonts w:ascii="Arial" w:cs="Arial" w:eastAsia="Arial" w:hAnsi="Arial"/>
                <w:sz w:val="25"/>
                <w:szCs w:val="25"/>
                <w:b w:val="1"/>
                <w:bCs w:val="1"/>
                <w:color w:val="auto"/>
                <w:w w:val="91"/>
              </w:rPr>
              <w:t>Comcast Corporation</w:t>
            </w:r>
          </w:p>
        </w:tc>
      </w:tr>
      <w:tr>
        <w:trPr>
          <w:trHeight w:val="216"/>
        </w:trPr>
        <w:tc>
          <w:tcPr>
            <w:tcW w:w="3300" w:type="dxa"/>
            <w:vAlign w:val="bottom"/>
          </w:tcPr>
          <w:p>
            <w:pPr>
              <w:spacing w:after="0"/>
              <w:rPr>
                <w:sz w:val="18"/>
                <w:szCs w:val="18"/>
                <w:color w:val="auto"/>
              </w:rPr>
            </w:pPr>
          </w:p>
        </w:tc>
        <w:tc>
          <w:tcPr>
            <w:tcW w:w="7020" w:type="dxa"/>
            <w:vAlign w:val="bottom"/>
          </w:tcPr>
          <w:p>
            <w:pPr>
              <w:jc w:val="center"/>
              <w:ind w:right="2966"/>
              <w:spacing w:after="0"/>
              <w:rPr>
                <w:sz w:val="20"/>
                <w:szCs w:val="20"/>
                <w:color w:val="auto"/>
              </w:rPr>
            </w:pPr>
            <w:r>
              <w:rPr>
                <w:rFonts w:ascii="Arial" w:cs="Arial" w:eastAsia="Arial" w:hAnsi="Arial"/>
                <w:sz w:val="18"/>
                <w:szCs w:val="18"/>
                <w:color w:val="auto"/>
                <w:w w:val="90"/>
              </w:rPr>
              <w:t>(Exact Name of Registrant</w:t>
            </w:r>
          </w:p>
        </w:tc>
      </w:tr>
      <w:tr>
        <w:trPr>
          <w:trHeight w:val="230"/>
        </w:trPr>
        <w:tc>
          <w:tcPr>
            <w:tcW w:w="3300" w:type="dxa"/>
            <w:vAlign w:val="bottom"/>
          </w:tcPr>
          <w:p>
            <w:pPr>
              <w:spacing w:after="0"/>
              <w:rPr>
                <w:sz w:val="20"/>
                <w:szCs w:val="20"/>
                <w:color w:val="auto"/>
              </w:rPr>
            </w:pPr>
          </w:p>
        </w:tc>
        <w:tc>
          <w:tcPr>
            <w:tcW w:w="7020" w:type="dxa"/>
            <w:vAlign w:val="bottom"/>
          </w:tcPr>
          <w:p>
            <w:pPr>
              <w:jc w:val="center"/>
              <w:ind w:right="2986"/>
              <w:spacing w:after="0"/>
              <w:rPr>
                <w:sz w:val="20"/>
                <w:szCs w:val="20"/>
                <w:color w:val="auto"/>
              </w:rPr>
            </w:pPr>
            <w:r>
              <w:rPr>
                <w:rFonts w:ascii="Arial" w:cs="Arial" w:eastAsia="Arial" w:hAnsi="Arial"/>
                <w:sz w:val="18"/>
                <w:szCs w:val="18"/>
                <w:color w:val="auto"/>
                <w:w w:val="90"/>
              </w:rPr>
              <w:t>as Specified in Charter)</w:t>
            </w:r>
          </w:p>
        </w:tc>
      </w:tr>
      <w:tr>
        <w:trPr>
          <w:trHeight w:val="418"/>
        </w:trPr>
        <w:tc>
          <w:tcPr>
            <w:tcW w:w="3300" w:type="dxa"/>
            <w:vAlign w:val="bottom"/>
          </w:tcPr>
          <w:p>
            <w:pPr>
              <w:spacing w:after="0"/>
              <w:rPr>
                <w:sz w:val="24"/>
                <w:szCs w:val="24"/>
                <w:color w:val="auto"/>
              </w:rPr>
            </w:pPr>
          </w:p>
        </w:tc>
        <w:tc>
          <w:tcPr>
            <w:tcW w:w="7020" w:type="dxa"/>
            <w:vAlign w:val="bottom"/>
          </w:tcPr>
          <w:p>
            <w:pPr>
              <w:jc w:val="center"/>
              <w:ind w:right="2986"/>
              <w:spacing w:after="0"/>
              <w:rPr>
                <w:sz w:val="20"/>
                <w:szCs w:val="20"/>
                <w:color w:val="auto"/>
              </w:rPr>
            </w:pPr>
            <w:r>
              <w:rPr>
                <w:rFonts w:ascii="Arial" w:cs="Arial" w:eastAsia="Arial" w:hAnsi="Arial"/>
                <w:sz w:val="18"/>
                <w:szCs w:val="18"/>
                <w:b w:val="1"/>
                <w:bCs w:val="1"/>
                <w:color w:val="auto"/>
                <w:w w:val="88"/>
              </w:rPr>
              <w:t>Pennsylvania</w:t>
            </w:r>
          </w:p>
        </w:tc>
      </w:tr>
      <w:tr>
        <w:trPr>
          <w:trHeight w:val="230"/>
        </w:trPr>
        <w:tc>
          <w:tcPr>
            <w:tcW w:w="3300" w:type="dxa"/>
            <w:vAlign w:val="bottom"/>
          </w:tcPr>
          <w:p>
            <w:pPr>
              <w:spacing w:after="0"/>
              <w:rPr>
                <w:sz w:val="20"/>
                <w:szCs w:val="20"/>
                <w:color w:val="auto"/>
              </w:rPr>
            </w:pPr>
          </w:p>
        </w:tc>
        <w:tc>
          <w:tcPr>
            <w:tcW w:w="7020" w:type="dxa"/>
            <w:vAlign w:val="bottom"/>
          </w:tcPr>
          <w:p>
            <w:pPr>
              <w:jc w:val="center"/>
              <w:ind w:right="2986"/>
              <w:spacing w:after="0"/>
              <w:rPr>
                <w:sz w:val="20"/>
                <w:szCs w:val="20"/>
                <w:color w:val="auto"/>
              </w:rPr>
            </w:pPr>
            <w:r>
              <w:rPr>
                <w:rFonts w:ascii="Arial" w:cs="Arial" w:eastAsia="Arial" w:hAnsi="Arial"/>
                <w:sz w:val="18"/>
                <w:szCs w:val="18"/>
                <w:color w:val="auto"/>
                <w:w w:val="91"/>
              </w:rPr>
              <w:t>(State or Other Jurisdiction of Incorporation)</w:t>
            </w:r>
          </w:p>
        </w:tc>
      </w:tr>
      <w:tr>
        <w:trPr>
          <w:trHeight w:val="418"/>
        </w:trPr>
        <w:tc>
          <w:tcPr>
            <w:tcW w:w="330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001-32871</w:t>
            </w:r>
          </w:p>
        </w:tc>
        <w:tc>
          <w:tcPr>
            <w:tcW w:w="7020" w:type="dxa"/>
            <w:vAlign w:val="bottom"/>
          </w:tcPr>
          <w:p>
            <w:pPr>
              <w:jc w:val="center"/>
              <w:ind w:left="4446"/>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3300" w:type="dxa"/>
            <w:vAlign w:val="bottom"/>
          </w:tcPr>
          <w:p>
            <w:pPr>
              <w:jc w:val="center"/>
              <w:ind w:right="270"/>
              <w:spacing w:after="0"/>
              <w:rPr>
                <w:sz w:val="20"/>
                <w:szCs w:val="20"/>
                <w:color w:val="auto"/>
              </w:rPr>
            </w:pPr>
            <w:r>
              <w:rPr>
                <w:rFonts w:ascii="Arial" w:cs="Arial" w:eastAsia="Arial" w:hAnsi="Arial"/>
                <w:sz w:val="18"/>
                <w:szCs w:val="18"/>
                <w:color w:val="auto"/>
                <w:w w:val="92"/>
              </w:rPr>
              <w:t>(Commission File Number)</w:t>
            </w:r>
          </w:p>
        </w:tc>
        <w:tc>
          <w:tcPr>
            <w:tcW w:w="7020" w:type="dxa"/>
            <w:vAlign w:val="bottom"/>
          </w:tcPr>
          <w:p>
            <w:pPr>
              <w:jc w:val="center"/>
              <w:ind w:left="4446"/>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0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One Comcast Center</w:t>
            </w:r>
          </w:p>
        </w:tc>
        <w:tc>
          <w:tcPr>
            <w:tcW w:w="7020" w:type="dxa"/>
            <w:vAlign w:val="bottom"/>
          </w:tcPr>
          <w:p>
            <w:pPr>
              <w:spacing w:after="0"/>
              <w:rPr>
                <w:sz w:val="24"/>
                <w:szCs w:val="24"/>
                <w:color w:val="auto"/>
              </w:rPr>
            </w:pPr>
          </w:p>
        </w:tc>
      </w:tr>
      <w:tr>
        <w:trPr>
          <w:trHeight w:val="220"/>
        </w:trPr>
        <w:tc>
          <w:tcPr>
            <w:tcW w:w="330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Philadelphia, PA</w:t>
            </w:r>
          </w:p>
        </w:tc>
        <w:tc>
          <w:tcPr>
            <w:tcW w:w="7020" w:type="dxa"/>
            <w:vAlign w:val="bottom"/>
          </w:tcPr>
          <w:p>
            <w:pPr>
              <w:jc w:val="center"/>
              <w:ind w:left="4446"/>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3300" w:type="dxa"/>
            <w:vAlign w:val="bottom"/>
          </w:tcPr>
          <w:p>
            <w:pPr>
              <w:jc w:val="center"/>
              <w:ind w:right="270"/>
              <w:spacing w:after="0"/>
              <w:rPr>
                <w:sz w:val="20"/>
                <w:szCs w:val="20"/>
                <w:color w:val="auto"/>
              </w:rPr>
            </w:pPr>
            <w:r>
              <w:rPr>
                <w:rFonts w:ascii="Arial" w:cs="Arial" w:eastAsia="Arial" w:hAnsi="Arial"/>
                <w:sz w:val="18"/>
                <w:szCs w:val="18"/>
                <w:color w:val="auto"/>
                <w:w w:val="92"/>
              </w:rPr>
              <w:t>(Address of Principal Executive Offices)</w:t>
            </w:r>
          </w:p>
        </w:tc>
        <w:tc>
          <w:tcPr>
            <w:tcW w:w="7020" w:type="dxa"/>
            <w:vAlign w:val="bottom"/>
          </w:tcPr>
          <w:p>
            <w:pPr>
              <w:jc w:val="center"/>
              <w:ind w:left="4446"/>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23, 2018, Comcast Corporation issued a press release relating to its consideration of a possible offer for Twenty-First Century Fox, Inc. A copy of the press release is attached hereto as Exhibit 99.1 and incorporated by reference herein. The information contained in this report, including Exhibit 99.1, shall not be deemed “filed” with the U.S. Securities and Exchange Commission nor incorporated by reference in any registration statement filed by Comcast Corporation under the Securities Act of 1933, as amended.</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Comcast Corporation, dated May 23,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2"/>
          </w:tcPr>
          <w:p>
            <w:pPr>
              <w:ind w:left="214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820" w:type="dxa"/>
            <w:vAlign w:val="bottom"/>
          </w:tcPr>
          <w:p>
            <w:pPr>
              <w:spacing w:after="0"/>
              <w:rPr>
                <w:sz w:val="20"/>
                <w:szCs w:val="20"/>
                <w:color w:val="auto"/>
              </w:rPr>
            </w:pPr>
            <w:r>
              <w:rPr>
                <w:rFonts w:ascii="Arial" w:cs="Arial" w:eastAsia="Arial" w:hAnsi="Arial"/>
                <w:sz w:val="18"/>
                <w:szCs w:val="18"/>
                <w:color w:val="auto"/>
              </w:rPr>
              <w:t>Date:    May 23, 2018</w:t>
            </w:r>
          </w:p>
        </w:tc>
        <w:tc>
          <w:tcPr>
            <w:tcW w:w="7600" w:type="dxa"/>
            <w:vAlign w:val="bottom"/>
            <w:gridSpan w:val="2"/>
          </w:tcPr>
          <w:p>
            <w:pPr>
              <w:ind w:left="2140"/>
              <w:spacing w:after="0"/>
              <w:rPr>
                <w:sz w:val="20"/>
                <w:szCs w:val="20"/>
                <w:color w:val="auto"/>
              </w:rPr>
            </w:pPr>
            <w:r>
              <w:rPr>
                <w:rFonts w:ascii="Arial" w:cs="Arial" w:eastAsia="Arial" w:hAnsi="Arial"/>
                <w:sz w:val="18"/>
                <w:szCs w:val="18"/>
                <w:color w:val="auto"/>
              </w:rPr>
              <w:t>By:    /s/ Arthur R. Block</w:t>
            </w:r>
          </w:p>
        </w:tc>
      </w:tr>
      <w:tr>
        <w:trPr>
          <w:trHeight w:val="195"/>
        </w:trPr>
        <w:tc>
          <w:tcPr>
            <w:tcW w:w="38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9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Name: Arthur R. Block</w:t>
            </w:r>
          </w:p>
        </w:tc>
      </w:tr>
      <w:tr>
        <w:trPr>
          <w:trHeight w:val="230"/>
        </w:trPr>
        <w:tc>
          <w:tcPr>
            <w:tcW w:w="38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4"/>
              </w:rPr>
              <w:t>Title:  Executive Vice President, General Counsel and Secretary</w:t>
            </w:r>
          </w:p>
        </w:tc>
      </w:tr>
      <w:tr>
        <w:trPr>
          <w:trHeight w:val="783"/>
        </w:trPr>
        <w:tc>
          <w:tcPr>
            <w:tcW w:w="38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280" w:type="dxa"/>
            <w:vAlign w:val="bottom"/>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dated May 23, 2018.</w:t>
            </w:r>
          </w:p>
        </w:tc>
      </w:tr>
      <w:tr>
        <w:trPr>
          <w:trHeight w:val="837"/>
        </w:trPr>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ind w:left="10220"/>
        <w:spacing w:after="0"/>
        <w:rPr>
          <w:sz w:val="20"/>
          <w:szCs w:val="20"/>
          <w:color w:val="auto"/>
        </w:rPr>
      </w:pPr>
      <w:r>
        <w:rPr>
          <w:rFonts w:ascii="Arial" w:cs="Arial" w:eastAsia="Arial" w:hAnsi="Arial"/>
          <w:sz w:val="21"/>
          <w:szCs w:val="21"/>
          <w:b w:val="1"/>
          <w:bCs w:val="1"/>
          <w:color w:val="auto"/>
        </w:rPr>
        <w:t>Exhibit 99.1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left="902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-116205</wp:posOffset>
            </wp:positionV>
            <wp:extent cx="1749425"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9425" cy="754380"/>
                    </a:xfrm>
                    <a:prstGeom prst="rect">
                      <a:avLst/>
                    </a:prstGeom>
                    <a:noFill/>
                  </pic:spPr>
                </pic:pic>
              </a:graphicData>
            </a:graphic>
          </wp:anchor>
        </w:drawing>
      </w:r>
    </w:p>
    <w:p>
      <w:pPr>
        <w:ind w:left="9020"/>
        <w:spacing w:after="0"/>
        <w:rPr>
          <w:sz w:val="20"/>
          <w:szCs w:val="20"/>
          <w:color w:val="auto"/>
        </w:rPr>
      </w:pPr>
      <w:r>
        <w:rPr>
          <w:rFonts w:ascii="Arial" w:cs="Arial" w:eastAsia="Arial" w:hAnsi="Arial"/>
          <w:sz w:val="18"/>
          <w:szCs w:val="18"/>
          <w:color w:val="auto"/>
        </w:rPr>
        <w:t>Comcast Corporation</w:t>
      </w:r>
    </w:p>
    <w:p>
      <w:pPr>
        <w:ind w:left="9020"/>
        <w:spacing w:after="0" w:line="234" w:lineRule="auto"/>
        <w:rPr>
          <w:sz w:val="20"/>
          <w:szCs w:val="20"/>
          <w:color w:val="auto"/>
        </w:rPr>
      </w:pPr>
      <w:r>
        <w:rPr>
          <w:rFonts w:ascii="Arial" w:cs="Arial" w:eastAsia="Arial" w:hAnsi="Arial"/>
          <w:sz w:val="18"/>
          <w:szCs w:val="18"/>
          <w:color w:val="auto"/>
        </w:rPr>
        <w:t>One Comcast Center</w:t>
      </w:r>
    </w:p>
    <w:p>
      <w:pPr>
        <w:ind w:left="9020"/>
        <w:spacing w:after="0" w:line="235" w:lineRule="auto"/>
        <w:rPr>
          <w:sz w:val="20"/>
          <w:szCs w:val="20"/>
          <w:color w:val="auto"/>
        </w:rPr>
      </w:pPr>
      <w:r>
        <w:rPr>
          <w:rFonts w:ascii="Arial" w:cs="Arial" w:eastAsia="Arial" w:hAnsi="Arial"/>
          <w:sz w:val="18"/>
          <w:szCs w:val="18"/>
          <w:color w:val="auto"/>
        </w:rPr>
        <w:t>Philadelphia, PA 19103</w:t>
      </w:r>
    </w:p>
    <w:p>
      <w:pPr>
        <w:spacing w:after="0" w:line="1" w:lineRule="exact"/>
        <w:rPr>
          <w:sz w:val="20"/>
          <w:szCs w:val="20"/>
          <w:color w:val="auto"/>
        </w:rPr>
      </w:pPr>
    </w:p>
    <w:p>
      <w:pPr>
        <w:ind w:left="9020"/>
        <w:spacing w:after="0"/>
        <w:rPr>
          <w:sz w:val="20"/>
          <w:szCs w:val="20"/>
          <w:color w:val="auto"/>
        </w:rPr>
      </w:pPr>
      <w:r>
        <w:rPr>
          <w:rFonts w:ascii="Arial" w:cs="Arial" w:eastAsia="Arial" w:hAnsi="Arial"/>
          <w:sz w:val="17"/>
          <w:szCs w:val="17"/>
          <w:color w:val="auto"/>
        </w:rPr>
        <w:t>www.comcastcorporation.com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260" w:right="160"/>
        <w:spacing w:after="0" w:line="271" w:lineRule="auto"/>
        <w:rPr>
          <w:sz w:val="20"/>
          <w:szCs w:val="20"/>
          <w:color w:val="auto"/>
        </w:rPr>
      </w:pPr>
      <w:r>
        <w:rPr>
          <w:rFonts w:ascii="Arial" w:cs="Arial" w:eastAsia="Arial" w:hAnsi="Arial"/>
          <w:sz w:val="18"/>
          <w:szCs w:val="18"/>
          <w:b w:val="1"/>
          <w:bCs w:val="1"/>
          <w:color w:val="auto"/>
        </w:rPr>
        <w:t>COMCAST CONSIDERING SUPERIOR ALL-CASH OFFER TO ACQUIRE TWENTY-FIRST CENTURY FOX AFTER SPINOFF OF “NEW FOX”</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PHILADELPHIA – May 23, 2018 – </w:t>
      </w:r>
      <w:r>
        <w:rPr>
          <w:rFonts w:ascii="Arial" w:cs="Arial" w:eastAsia="Arial" w:hAnsi="Arial"/>
          <w:sz w:val="18"/>
          <w:szCs w:val="18"/>
          <w:color w:val="auto"/>
        </w:rPr>
        <w:t>Comcast Corporation (Nasdaq: CMCSA) today issued the following statement:</w:t>
      </w:r>
    </w:p>
    <w:p>
      <w:pPr>
        <w:spacing w:after="0" w:line="22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view of the recent filings with the U.S. Securities and Exchange Commission by The Walt Disney Company (“Disney”) and Twenty-First Century Fox, Inc. (“Fox”) in preparation for their upcoming shareholder meetings to consider the acquisition of Fox by Disney, Comcast Corporation (“Comcast”) confirms that it is considering, and is in advanced stages of preparing, an offer for the businesses that Fox has agreed to sell to Disney (which do not include the Fox News Channel, Fox Business Network, Fox Broadcasting Company and certain other assets). Any offer for Fox would be all-cash and at a premium to the value of the current all-share offer from Disney. The structure and terms of any offer by Comcast, including with respect to both the spin-off of “New Fox” and the regulatory risk provisions and the related termination fee, would be at least as favorable to Fox shareholders as the Disney offer.</w:t>
      </w:r>
    </w:p>
    <w:p>
      <w:pPr>
        <w:spacing w:after="0" w:line="190" w:lineRule="exact"/>
        <w:rPr>
          <w:sz w:val="20"/>
          <w:szCs w:val="20"/>
          <w:color w:val="auto"/>
        </w:rPr>
      </w:pPr>
    </w:p>
    <w:p>
      <w:pPr>
        <w:ind w:right="120"/>
        <w:spacing w:after="0" w:line="469" w:lineRule="auto"/>
        <w:rPr>
          <w:sz w:val="20"/>
          <w:szCs w:val="20"/>
          <w:color w:val="auto"/>
        </w:rPr>
      </w:pPr>
      <w:r>
        <w:rPr>
          <w:rFonts w:ascii="Arial" w:cs="Arial" w:eastAsia="Arial" w:hAnsi="Arial"/>
          <w:sz w:val="18"/>
          <w:szCs w:val="18"/>
          <w:color w:val="auto"/>
        </w:rPr>
        <w:t xml:space="preserve">While no final decision has been made, at this point the work to finance the all-cash offer and make the key regulatory filings is well advanced. </w:t>
      </w:r>
      <w:r>
        <w:rPr>
          <w:rFonts w:ascii="Arial" w:cs="Arial" w:eastAsia="Arial" w:hAnsi="Arial"/>
          <w:sz w:val="18"/>
          <w:szCs w:val="18"/>
          <w:b w:val="1"/>
          <w:bCs w:val="1"/>
          <w:color w:val="auto"/>
        </w:rPr>
        <w:t>About Comcast Corporation</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 and Telemundo broadcast networks, television production operations, television station groups, Universal Pictures and Universal Parks and Resorts. Visit www.comcastcorporation.com for more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00" w:type="dxa"/>
            <w:vAlign w:val="bottom"/>
          </w:tcPr>
          <w:p>
            <w:pPr>
              <w:spacing w:after="0"/>
              <w:rPr>
                <w:sz w:val="20"/>
                <w:szCs w:val="20"/>
                <w:color w:val="auto"/>
              </w:rPr>
            </w:pPr>
            <w:r>
              <w:rPr>
                <w:rFonts w:ascii="Arial" w:cs="Arial" w:eastAsia="Arial" w:hAnsi="Arial"/>
                <w:sz w:val="18"/>
                <w:szCs w:val="18"/>
                <w:b w:val="1"/>
                <w:bCs w:val="1"/>
                <w:color w:val="auto"/>
              </w:rPr>
              <w:t>Investor and Media Contacts:</w:t>
            </w:r>
          </w:p>
        </w:tc>
        <w:tc>
          <w:tcPr>
            <w:tcW w:w="2060" w:type="dxa"/>
            <w:vAlign w:val="bottom"/>
          </w:tcPr>
          <w:p>
            <w:pPr>
              <w:spacing w:after="0"/>
              <w:rPr>
                <w:sz w:val="20"/>
                <w:szCs w:val="20"/>
                <w:color w:val="auto"/>
              </w:rPr>
            </w:pPr>
          </w:p>
        </w:tc>
      </w:tr>
      <w:tr>
        <w:trPr>
          <w:trHeight w:val="391"/>
        </w:trPr>
        <w:tc>
          <w:tcPr>
            <w:tcW w:w="2800" w:type="dxa"/>
            <w:vAlign w:val="bottom"/>
          </w:tcPr>
          <w:p>
            <w:pPr>
              <w:spacing w:after="0"/>
              <w:rPr>
                <w:sz w:val="20"/>
                <w:szCs w:val="20"/>
                <w:color w:val="auto"/>
              </w:rPr>
            </w:pPr>
            <w:r>
              <w:rPr>
                <w:rFonts w:ascii="Arial" w:cs="Arial" w:eastAsia="Arial" w:hAnsi="Arial"/>
                <w:sz w:val="18"/>
                <w:szCs w:val="18"/>
                <w:b w:val="1"/>
                <w:bCs w:val="1"/>
                <w:color w:val="auto"/>
              </w:rPr>
              <w:t>Comcast Corporation</w:t>
            </w:r>
          </w:p>
        </w:tc>
        <w:tc>
          <w:tcPr>
            <w:tcW w:w="2060" w:type="dxa"/>
            <w:vAlign w:val="bottom"/>
          </w:tcPr>
          <w:p>
            <w:pPr>
              <w:spacing w:after="0"/>
              <w:rPr>
                <w:sz w:val="24"/>
                <w:szCs w:val="24"/>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D’Arcy Rudnay (Media)</w:t>
            </w:r>
          </w:p>
        </w:tc>
        <w:tc>
          <w:tcPr>
            <w:tcW w:w="2060" w:type="dxa"/>
            <w:vAlign w:val="bottom"/>
          </w:tcPr>
          <w:p>
            <w:pPr>
              <w:ind w:left="300"/>
              <w:spacing w:after="0" w:line="202" w:lineRule="exact"/>
              <w:rPr>
                <w:sz w:val="20"/>
                <w:szCs w:val="20"/>
                <w:color w:val="auto"/>
              </w:rPr>
            </w:pPr>
            <w:r>
              <w:rPr>
                <w:rFonts w:ascii="Arial" w:cs="Arial" w:eastAsia="Arial" w:hAnsi="Arial"/>
                <w:sz w:val="18"/>
                <w:szCs w:val="18"/>
                <w:color w:val="auto"/>
                <w:w w:val="97"/>
              </w:rPr>
              <w:t>Tel +1 (215) 286-8582</w:t>
            </w: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John Demming (Media)</w:t>
            </w:r>
          </w:p>
        </w:tc>
        <w:tc>
          <w:tcPr>
            <w:tcW w:w="2060" w:type="dxa"/>
            <w:vAlign w:val="bottom"/>
          </w:tcPr>
          <w:p>
            <w:pPr>
              <w:ind w:left="300"/>
              <w:spacing w:after="0" w:line="202" w:lineRule="exact"/>
              <w:rPr>
                <w:sz w:val="20"/>
                <w:szCs w:val="20"/>
                <w:color w:val="auto"/>
              </w:rPr>
            </w:pPr>
            <w:r>
              <w:rPr>
                <w:rFonts w:ascii="Arial" w:cs="Arial" w:eastAsia="Arial" w:hAnsi="Arial"/>
                <w:sz w:val="18"/>
                <w:szCs w:val="18"/>
                <w:color w:val="auto"/>
                <w:w w:val="97"/>
              </w:rPr>
              <w:t>Tel +1 (215) 286-8011</w:t>
            </w:r>
          </w:p>
        </w:tc>
      </w:tr>
      <w:tr>
        <w:trPr>
          <w:trHeight w:val="217"/>
        </w:trPr>
        <w:tc>
          <w:tcPr>
            <w:tcW w:w="2800" w:type="dxa"/>
            <w:vAlign w:val="bottom"/>
          </w:tcPr>
          <w:p>
            <w:pPr>
              <w:spacing w:after="0"/>
              <w:rPr>
                <w:sz w:val="20"/>
                <w:szCs w:val="20"/>
                <w:color w:val="auto"/>
              </w:rPr>
            </w:pPr>
            <w:r>
              <w:rPr>
                <w:rFonts w:ascii="Arial" w:cs="Arial" w:eastAsia="Arial" w:hAnsi="Arial"/>
                <w:sz w:val="18"/>
                <w:szCs w:val="18"/>
                <w:color w:val="auto"/>
              </w:rPr>
              <w:t>Jason Armstrong (Investors)</w:t>
            </w:r>
          </w:p>
        </w:tc>
        <w:tc>
          <w:tcPr>
            <w:tcW w:w="2060" w:type="dxa"/>
            <w:vAlign w:val="bottom"/>
          </w:tcPr>
          <w:p>
            <w:pPr>
              <w:ind w:left="300"/>
              <w:spacing w:after="0"/>
              <w:rPr>
                <w:sz w:val="20"/>
                <w:szCs w:val="20"/>
                <w:color w:val="auto"/>
              </w:rPr>
            </w:pPr>
            <w:r>
              <w:rPr>
                <w:rFonts w:ascii="Arial" w:cs="Arial" w:eastAsia="Arial" w:hAnsi="Arial"/>
                <w:sz w:val="18"/>
                <w:szCs w:val="18"/>
                <w:color w:val="auto"/>
                <w:w w:val="97"/>
              </w:rPr>
              <w:t>Tel +1 (215) 286-7972</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This press release contains statements which are, or may be deemed to be, “forward-looking statements” within the meaning of the Private Securities Litigation Reform Act of 1995. Forward-looking statements are prospective in nature and are not based on historical facts, but rather on current expectations and projections of the management of Comcast about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future events, and are therefore subject to risks and uncertainties which could cause actual results to differ materially from the future results expressed or implied by the forward-looking statements. The forward-looking statements contained in this press release include statements relating to the expected effects of a Comcast proposal to Fox the expected timing, scope, terms and conditions of a Comcast proposal to Fox, the likelihood and timing of receipt of regulatory approvals with respect to a Comcast proposal to Fox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believes that the expectations reflected in such forward-looking statements are reasonable, Comcast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including the respective responses of Fox and Disney to any proposal of Comcast to Fox, the possibility that regulatory approvals are not obtained or not obtained on the timing expected with respect to any Comcast proposal to Fox, legal and regulatory developments and changes and other risks and uncertainties including those described in Comcast’s filings with the U.S.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The forward-looking statements contained in this press release should be construed in the light of such factors. Neither Comcast nor any of its associates or directors, officers or advisers, provides any representation, assurance or guarantee that the occurrence of the events expressed or implied in any forward-looking statements in this press release will actually occur. You are cautioned not to place undue reliance on these forward-looking statements. Other than in accordance with their legal or regulatory obligations, Comcast is under no obligation, and Comcast expressly disclaims any intention or obligation to update or revise any forward-looking statements, whether as a result of new information, future events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and Where to Find It</w:t>
      </w:r>
    </w:p>
    <w:p>
      <w:pPr>
        <w:spacing w:after="0" w:line="220"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This communication does not constitute an offer to buy or solicitation of an offer to sell any securities. This communication is for informational purposes only. This communication relates to a proposal that Comcast is considering making to Fox. In furtherance of this potential proposal and subject to future developments, Comcast (and, if a negotiated transaction is agreed to, Fox) may file one or more proxy statements, registration statements, prospectuses or other documents with the SEC. This communication is not a substitute for any proxy statement, registration statement, prospectus or other document Comcast and/or Fox may file with the SEC in connection with the potential transaction.</w:t>
      </w:r>
    </w:p>
    <w:p>
      <w:pPr>
        <w:spacing w:after="0" w:line="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INVESTORS AND SECURITY HOLDERS OF COMCAST AND FOX ARE URGED TO READ ANY AND ALL PROXY STATEMENTS, REGISTRATION STATEMENTS, PROSPECTUSES AND/OR OTHER DOCUMENTS FILED WITH THE SEC CAREFULLY IN THEIR ENTIRETY IF AND WHEN THEY BECOME AVAILABLE AS THEY WILL CONTAIN IMPORTANT INFORMATION ABOUT THE POTENTIAL TRANSACTION. Any definitive proxy statement (if and when available) will be made available to stockholders of Fox. Investors and security holders will be able to obtain free copies of these documents (if and when available) and other documents filed with the SEC by Comcast or Fox through the web site maintained by the SEC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57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2019-12-28T21:50:01Z</dcterms:created>
  <dcterms:modified xsi:type="dcterms:W3CDTF">2019-12-28T21:50:01Z</dcterms:modified>
</cp:coreProperties>
</file>