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53"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SCHEDULE 14A</w:t>
      </w:r>
    </w:p>
    <w:p>
      <w:pPr>
        <w:spacing w:after="0" w:line="185"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 (Amendment No. )</w:t>
      </w:r>
    </w:p>
    <w:p>
      <w:pPr>
        <w:spacing w:after="0" w:line="137" w:lineRule="exact"/>
        <w:rPr>
          <w:sz w:val="24"/>
          <w:szCs w:val="24"/>
          <w:color w:val="auto"/>
        </w:rPr>
      </w:pPr>
    </w:p>
    <w:p>
      <w:pPr>
        <w:ind w:left="460"/>
        <w:spacing w:after="0" w:line="242" w:lineRule="exact"/>
        <w:tabs>
          <w:tab w:leader="none" w:pos="41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6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820" w:hanging="314"/>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96" w:lineRule="exact"/>
        <w:rPr>
          <w:rFonts w:ascii="MS PGothic" w:cs="MS PGothic" w:eastAsia="MS PGothic" w:hAnsi="MS PGothic"/>
          <w:sz w:val="22"/>
          <w:szCs w:val="22"/>
          <w:color w:val="auto"/>
        </w:rPr>
      </w:pPr>
    </w:p>
    <w:p>
      <w:pPr>
        <w:ind w:left="500" w:right="1839" w:firstLine="6"/>
        <w:spacing w:after="0" w:line="294" w:lineRule="exact"/>
        <w:tabs>
          <w:tab w:leader="none" w:pos="82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60" w:lineRule="exact"/>
        <w:rPr>
          <w:rFonts w:ascii="MS PGothic" w:cs="MS PGothic" w:eastAsia="MS PGothic" w:hAnsi="MS PGothic"/>
          <w:sz w:val="22"/>
          <w:szCs w:val="22"/>
          <w:color w:val="auto"/>
        </w:rPr>
      </w:pPr>
    </w:p>
    <w:p>
      <w:pPr>
        <w:ind w:left="820" w:hanging="314"/>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96" w:lineRule="exact"/>
        <w:rPr>
          <w:rFonts w:ascii="MS PGothic" w:cs="MS PGothic" w:eastAsia="MS PGothic" w:hAnsi="MS PGothic"/>
          <w:sz w:val="22"/>
          <w:szCs w:val="22"/>
          <w:color w:val="auto"/>
        </w:rPr>
      </w:pPr>
    </w:p>
    <w:p>
      <w:pPr>
        <w:ind w:left="820" w:hanging="314"/>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-1005840</wp:posOffset>
            </wp:positionV>
            <wp:extent cx="5143500" cy="1722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1722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8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820" w:hanging="314"/>
        <w:spacing w:after="0"/>
        <w:tabs>
          <w:tab w:leader="none" w:pos="8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-191770</wp:posOffset>
            </wp:positionV>
            <wp:extent cx="514350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720090"/>
                    </a:xfrm>
                    <a:prstGeom prst="rect">
                      <a:avLst/>
                    </a:prstGeom>
                    <a:noFill/>
                  </pic:spPr>
                </pic:pic>
              </a:graphicData>
            </a:graphic>
          </wp:anchor>
        </w:drawing>
      </w:r>
    </w:p>
    <w:p>
      <w:pPr>
        <w:spacing w:after="0" w:line="77" w:lineRule="exact"/>
        <w:rPr>
          <w:sz w:val="24"/>
          <w:szCs w:val="24"/>
          <w:color w:val="auto"/>
        </w:rPr>
      </w:pPr>
    </w:p>
    <w:p>
      <w:pPr>
        <w:ind w:left="820" w:hanging="314"/>
        <w:spacing w:after="0"/>
        <w:tabs>
          <w:tab w:leader="none" w:pos="8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22"/>
          <w:szCs w:val="22"/>
          <w:color w:val="auto"/>
        </w:rPr>
      </w:pPr>
    </w:p>
    <w:p>
      <w:pPr>
        <w:ind w:left="820" w:hanging="314"/>
        <w:spacing w:after="0"/>
        <w:tabs>
          <w:tab w:leader="none" w:pos="820" w:val="left"/>
        </w:tabs>
        <w:numPr>
          <w:ilvl w:val="0"/>
          <w:numId w:val="3"/>
        </w:numPr>
        <w:rPr>
          <w:rFonts w:ascii="MS PGothic" w:cs="MS PGothic" w:eastAsia="MS PGothic" w:hAnsi="MS PGothic"/>
          <w:sz w:val="41"/>
          <w:szCs w:val="41"/>
          <w:color w:val="auto"/>
          <w:vertAlign w:val="subscript"/>
        </w:rPr>
      </w:pPr>
      <w:r>
        <w:rPr>
          <w:rFonts w:ascii="Arial" w:cs="Arial" w:eastAsia="Arial" w:hAnsi="Arial"/>
          <w:sz w:val="17"/>
          <w:szCs w:val="17"/>
          <w:color w:val="auto"/>
        </w:rPr>
        <w:t>Fee</w:t>
      </w:r>
      <w:r>
        <w:rPr>
          <w:rFonts w:ascii="Arial" w:cs="Arial" w:eastAsia="Arial" w:hAnsi="Arial"/>
          <w:sz w:val="33"/>
          <w:szCs w:val="33"/>
          <w:color w:val="auto"/>
          <w:vertAlign w:val="subscript"/>
        </w:rPr>
        <w:t>0-11</w:t>
      </w:r>
      <w:r>
        <w:rPr>
          <w:rFonts w:ascii="Arial" w:cs="Arial" w:eastAsia="Arial" w:hAnsi="Arial"/>
          <w:sz w:val="17"/>
          <w:szCs w:val="17"/>
          <w:color w:val="auto"/>
        </w:rPr>
        <w:t>computed on table in exhibit required by Item 25(b) per Exchange Act Rules 14a-6(i)(1)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1045845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6789420" cy="8846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0" w:right="3159"/>
        <w:spacing w:after="0" w:line="267" w:lineRule="auto"/>
        <w:rPr>
          <w:sz w:val="20"/>
          <w:szCs w:val="20"/>
          <w:color w:val="auto"/>
        </w:rPr>
      </w:pPr>
      <w:r>
        <w:rPr>
          <w:rFonts w:ascii="Arial" w:cs="Arial" w:eastAsia="Arial" w:hAnsi="Arial"/>
          <w:sz w:val="50"/>
          <w:szCs w:val="50"/>
          <w:b w:val="1"/>
          <w:bCs w:val="1"/>
          <w:color w:val="auto"/>
        </w:rPr>
        <w:t>Notice of 2026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4474845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59"/>
          </w:cols>
          <w:pgMar w:left="600" w:top="229" w:right="1440" w:bottom="1440" w:gutter="0" w:footer="0" w:header="0"/>
        </w:sectPr>
      </w:pPr>
    </w:p>
    <w:bookmarkStart w:id="2" w:name="page3"/>
    <w:bookmarkEnd w:id="2"/>
    <w:p>
      <w:pPr>
        <w:ind w:left="1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831850</wp:posOffset>
            </wp:positionV>
            <wp:extent cx="514350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2025 Company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81915</wp:posOffset>
            </wp:positionV>
            <wp:extent cx="5143500" cy="4397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439737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A0DD"/>
        </w:rPr>
        <w:t>Strong Execution on Key Strategic Priorities</w:t>
      </w:r>
    </w:p>
    <w:p>
      <w:pPr>
        <w:spacing w:after="0" w:line="234" w:lineRule="exact"/>
        <w:rPr>
          <w:sz w:val="20"/>
          <w:szCs w:val="20"/>
          <w:color w:val="auto"/>
        </w:rPr>
      </w:pPr>
    </w:p>
    <w:tbl>
      <w:tblPr>
        <w:tblLayout w:type="fixed"/>
        <w:tblInd w:w="148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Generated revenue of $123.7 billion, net income of $20.0 billion and</w:t>
            </w:r>
          </w:p>
        </w:tc>
      </w:tr>
      <w:tr>
        <w:trPr>
          <w:trHeight w:val="217"/>
        </w:trPr>
        <w:tc>
          <w:tcPr>
            <w:tcW w:w="1960" w:type="dxa"/>
            <w:vAlign w:val="bottom"/>
          </w:tcPr>
          <w:p>
            <w:pPr>
              <w:ind w:left="700"/>
              <w:spacing w:after="0"/>
              <w:rPr>
                <w:sz w:val="20"/>
                <w:szCs w:val="20"/>
                <w:color w:val="auto"/>
              </w:rPr>
            </w:pPr>
            <w:r>
              <w:rPr>
                <w:rFonts w:ascii="Arial" w:cs="Arial" w:eastAsia="Arial" w:hAnsi="Arial"/>
                <w:sz w:val="18"/>
                <w:szCs w:val="18"/>
                <w:b w:val="1"/>
                <w:bCs w:val="1"/>
                <w:color w:val="00A0DD"/>
              </w:rPr>
              <w:t>Consolidated</w:t>
            </w: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Adjusted EBITDA of $37.4 billion</w:t>
            </w:r>
          </w:p>
        </w:tc>
      </w:tr>
      <w:tr>
        <w:trPr>
          <w:trHeight w:val="203"/>
        </w:trPr>
        <w:tc>
          <w:tcPr>
            <w:tcW w:w="1960" w:type="dxa"/>
            <w:vAlign w:val="bottom"/>
          </w:tcPr>
          <w:p>
            <w:pPr>
              <w:ind w:left="700"/>
              <w:spacing w:after="0" w:line="202" w:lineRule="exact"/>
              <w:rPr>
                <w:sz w:val="20"/>
                <w:szCs w:val="20"/>
                <w:color w:val="auto"/>
              </w:rPr>
            </w:pPr>
            <w:r>
              <w:rPr>
                <w:rFonts w:ascii="Arial" w:cs="Arial" w:eastAsia="Arial" w:hAnsi="Arial"/>
                <w:sz w:val="18"/>
                <w:szCs w:val="18"/>
                <w:b w:val="1"/>
                <w:bCs w:val="1"/>
                <w:color w:val="00A0DD"/>
              </w:rPr>
              <w:t>Financial</w:t>
            </w: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 xml:space="preserve">Returned $11.7 billion to shareholders </w:t>
            </w:r>
            <w:r>
              <w:rPr>
                <w:rFonts w:ascii="Arial" w:cs="Arial" w:eastAsia="Arial" w:hAnsi="Arial"/>
                <w:sz w:val="16"/>
                <w:szCs w:val="16"/>
                <w:color w:val="000000"/>
              </w:rPr>
              <w:t>through a combination of $6.8 billion</w:t>
            </w:r>
          </w:p>
        </w:tc>
      </w:tr>
      <w:tr>
        <w:trPr>
          <w:trHeight w:val="203"/>
        </w:trPr>
        <w:tc>
          <w:tcPr>
            <w:tcW w:w="1960" w:type="dxa"/>
            <w:vAlign w:val="bottom"/>
          </w:tcPr>
          <w:p>
            <w:pPr>
              <w:ind w:left="700"/>
              <w:spacing w:after="0" w:line="202" w:lineRule="exact"/>
              <w:rPr>
                <w:sz w:val="20"/>
                <w:szCs w:val="20"/>
                <w:color w:val="auto"/>
              </w:rPr>
            </w:pPr>
            <w:r>
              <w:rPr>
                <w:rFonts w:ascii="Arial" w:cs="Arial" w:eastAsia="Arial" w:hAnsi="Arial"/>
                <w:sz w:val="18"/>
                <w:szCs w:val="18"/>
                <w:b w:val="1"/>
                <w:bCs w:val="1"/>
                <w:color w:val="00A0DD"/>
              </w:rPr>
              <w:t>Results</w:t>
            </w:r>
          </w:p>
        </w:tc>
        <w:tc>
          <w:tcPr>
            <w:tcW w:w="5820" w:type="dxa"/>
            <w:vAlign w:val="bottom"/>
          </w:tcPr>
          <w:p>
            <w:pPr>
              <w:ind w:left="120"/>
              <w:spacing w:after="0"/>
              <w:rPr>
                <w:sz w:val="20"/>
                <w:szCs w:val="20"/>
                <w:color w:val="auto"/>
              </w:rPr>
            </w:pPr>
            <w:r>
              <w:rPr>
                <w:rFonts w:ascii="Arial" w:cs="Arial" w:eastAsia="Arial" w:hAnsi="Arial"/>
                <w:sz w:val="16"/>
                <w:szCs w:val="16"/>
                <w:color w:val="auto"/>
              </w:rPr>
              <w:t>in share repurchases and $4.9 billion in dividend payments, reducing shares</w:t>
            </w:r>
          </w:p>
        </w:tc>
      </w:tr>
      <w:tr>
        <w:trPr>
          <w:trHeight w:val="215"/>
        </w:trPr>
        <w:tc>
          <w:tcPr>
            <w:tcW w:w="196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outstanding by 5%</w:t>
            </w:r>
          </w:p>
        </w:tc>
      </w:tr>
      <w:tr>
        <w:trPr>
          <w:trHeight w:val="82"/>
        </w:trPr>
        <w:tc>
          <w:tcPr>
            <w:tcW w:w="1960" w:type="dxa"/>
            <w:vAlign w:val="bottom"/>
            <w:tcBorders>
              <w:bottom w:val="single" w:sz="8" w:color="00A0E0"/>
            </w:tcBorders>
          </w:tcPr>
          <w:p>
            <w:pPr>
              <w:spacing w:after="0"/>
              <w:rPr>
                <w:sz w:val="7"/>
                <w:szCs w:val="7"/>
                <w:color w:val="auto"/>
              </w:rPr>
            </w:pPr>
          </w:p>
        </w:tc>
        <w:tc>
          <w:tcPr>
            <w:tcW w:w="5820" w:type="dxa"/>
            <w:vAlign w:val="bottom"/>
            <w:tcBorders>
              <w:bottom w:val="single" w:sz="8" w:color="00A0E0"/>
            </w:tcBorders>
          </w:tcPr>
          <w:p>
            <w:pPr>
              <w:spacing w:after="0"/>
              <w:rPr>
                <w:sz w:val="7"/>
                <w:szCs w:val="7"/>
                <w:color w:val="auto"/>
              </w:rPr>
            </w:pPr>
          </w:p>
        </w:tc>
      </w:tr>
      <w:tr>
        <w:trPr>
          <w:trHeight w:val="303"/>
        </w:trPr>
        <w:tc>
          <w:tcPr>
            <w:tcW w:w="196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Advanced our new national go-to-market strategy</w:t>
            </w:r>
            <w:r>
              <w:rPr>
                <w:rFonts w:ascii="Arial" w:cs="Arial" w:eastAsia="Arial" w:hAnsi="Arial"/>
                <w:sz w:val="16"/>
                <w:szCs w:val="16"/>
                <w:color w:val="000000"/>
              </w:rPr>
              <w:t>, simplifying our</w:t>
            </w:r>
          </w:p>
        </w:tc>
      </w:tr>
      <w:tr>
        <w:trPr>
          <w:trHeight w:val="189"/>
        </w:trPr>
        <w:tc>
          <w:tcPr>
            <w:tcW w:w="196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broadband offering with a clear transparent value proposition alongside</w:t>
            </w:r>
          </w:p>
        </w:tc>
      </w:tr>
      <w:tr>
        <w:trPr>
          <w:trHeight w:val="215"/>
        </w:trPr>
        <w:tc>
          <w:tcPr>
            <w:tcW w:w="196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wireless offers designed to increase mobile awareness and attachment</w:t>
            </w:r>
          </w:p>
        </w:tc>
      </w:tr>
      <w:tr>
        <w:trPr>
          <w:trHeight w:val="238"/>
        </w:trPr>
        <w:tc>
          <w:tcPr>
            <w:tcW w:w="1960" w:type="dxa"/>
            <w:vAlign w:val="bottom"/>
          </w:tcPr>
          <w:p>
            <w:pPr>
              <w:spacing w:after="0"/>
              <w:rPr>
                <w:sz w:val="20"/>
                <w:szCs w:val="20"/>
                <w:color w:val="auto"/>
              </w:rPr>
            </w:pP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50.8 million customer relationships at year end</w:t>
            </w:r>
          </w:p>
        </w:tc>
      </w:tr>
      <w:tr>
        <w:trPr>
          <w:trHeight w:val="196"/>
        </w:trPr>
        <w:tc>
          <w:tcPr>
            <w:tcW w:w="1960" w:type="dxa"/>
            <w:vAlign w:val="bottom"/>
          </w:tcPr>
          <w:p>
            <w:pPr>
              <w:ind w:left="700"/>
              <w:spacing w:after="0" w:line="196" w:lineRule="exact"/>
              <w:rPr>
                <w:sz w:val="20"/>
                <w:szCs w:val="20"/>
                <w:color w:val="auto"/>
              </w:rPr>
            </w:pPr>
            <w:r>
              <w:rPr>
                <w:rFonts w:ascii="Arial" w:cs="Arial" w:eastAsia="Arial" w:hAnsi="Arial"/>
                <w:sz w:val="18"/>
                <w:szCs w:val="18"/>
                <w:b w:val="1"/>
                <w:bCs w:val="1"/>
                <w:color w:val="00A0DD"/>
              </w:rPr>
              <w:t>Connectivity</w:t>
            </w: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Domestic wireless delivered 1.5 million net line additions</w:t>
            </w:r>
            <w:r>
              <w:rPr>
                <w:rFonts w:ascii="Arial" w:cs="Arial" w:eastAsia="Arial" w:hAnsi="Arial"/>
                <w:sz w:val="16"/>
                <w:szCs w:val="16"/>
                <w:color w:val="000000"/>
              </w:rPr>
              <w:t>, reaching 9.3</w:t>
            </w:r>
          </w:p>
        </w:tc>
      </w:tr>
      <w:tr>
        <w:trPr>
          <w:trHeight w:val="190"/>
        </w:trPr>
        <w:tc>
          <w:tcPr>
            <w:tcW w:w="1960" w:type="dxa"/>
            <w:vAlign w:val="bottom"/>
          </w:tcPr>
          <w:p>
            <w:pPr>
              <w:ind w:left="700"/>
              <w:spacing w:after="0" w:line="189" w:lineRule="exact"/>
              <w:rPr>
                <w:sz w:val="20"/>
                <w:szCs w:val="20"/>
                <w:color w:val="auto"/>
              </w:rPr>
            </w:pPr>
            <w:r>
              <w:rPr>
                <w:rFonts w:ascii="Arial" w:cs="Arial" w:eastAsia="Arial" w:hAnsi="Arial"/>
                <w:sz w:val="18"/>
                <w:szCs w:val="18"/>
                <w:b w:val="1"/>
                <w:bCs w:val="1"/>
                <w:color w:val="00A0DD"/>
              </w:rPr>
              <w:t>&amp; Platforms</w:t>
            </w:r>
          </w:p>
        </w:tc>
        <w:tc>
          <w:tcPr>
            <w:tcW w:w="5820" w:type="dxa"/>
            <w:vAlign w:val="bottom"/>
          </w:tcPr>
          <w:p>
            <w:pPr>
              <w:ind w:left="120"/>
              <w:spacing w:after="0"/>
              <w:rPr>
                <w:sz w:val="20"/>
                <w:szCs w:val="20"/>
                <w:color w:val="auto"/>
              </w:rPr>
            </w:pPr>
            <w:r>
              <w:rPr>
                <w:rFonts w:ascii="Arial" w:cs="Arial" w:eastAsia="Arial" w:hAnsi="Arial"/>
                <w:sz w:val="16"/>
                <w:szCs w:val="16"/>
                <w:color w:val="auto"/>
              </w:rPr>
              <w:t>million total lines and surpassing 15% penetration of domestic residential</w:t>
            </w:r>
          </w:p>
        </w:tc>
      </w:tr>
      <w:tr>
        <w:trPr>
          <w:trHeight w:val="215"/>
        </w:trPr>
        <w:tc>
          <w:tcPr>
            <w:tcW w:w="196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broadband customers</w:t>
            </w:r>
          </w:p>
        </w:tc>
      </w:tr>
      <w:tr>
        <w:trPr>
          <w:trHeight w:val="190"/>
        </w:trPr>
        <w:tc>
          <w:tcPr>
            <w:tcW w:w="196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Arial" w:cs="Arial" w:eastAsia="Arial" w:hAnsi="Arial"/>
                <w:sz w:val="16"/>
                <w:szCs w:val="16"/>
                <w:b w:val="1"/>
                <w:bCs w:val="1"/>
                <w:color w:val="00A0DD"/>
              </w:rPr>
              <w:t>Grew connectivity revenue by 4.2% to $46.0 billion</w:t>
            </w:r>
            <w:r>
              <w:rPr>
                <w:rFonts w:ascii="Arial" w:cs="Arial" w:eastAsia="Arial" w:hAnsi="Arial"/>
                <w:sz w:val="16"/>
                <w:szCs w:val="16"/>
                <w:color w:val="000000"/>
              </w:rPr>
              <w:t>, reflecting growth in</w:t>
            </w:r>
          </w:p>
        </w:tc>
      </w:tr>
      <w:tr>
        <w:trPr>
          <w:trHeight w:val="189"/>
        </w:trPr>
        <w:tc>
          <w:tcPr>
            <w:tcW w:w="196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domestic wireless, international connectivity and business services</w:t>
            </w:r>
          </w:p>
        </w:tc>
      </w:tr>
      <w:tr>
        <w:trPr>
          <w:trHeight w:val="215"/>
        </w:trPr>
        <w:tc>
          <w:tcPr>
            <w:tcW w:w="196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connectivity</w:t>
            </w:r>
          </w:p>
        </w:tc>
      </w:tr>
      <w:tr>
        <w:trPr>
          <w:trHeight w:val="97"/>
        </w:trPr>
        <w:tc>
          <w:tcPr>
            <w:tcW w:w="1960" w:type="dxa"/>
            <w:vAlign w:val="bottom"/>
            <w:tcBorders>
              <w:bottom w:val="single" w:sz="8" w:color="00A0E0"/>
            </w:tcBorders>
          </w:tcPr>
          <w:p>
            <w:pPr>
              <w:spacing w:after="0"/>
              <w:rPr>
                <w:sz w:val="8"/>
                <w:szCs w:val="8"/>
                <w:color w:val="auto"/>
              </w:rPr>
            </w:pPr>
          </w:p>
        </w:tc>
        <w:tc>
          <w:tcPr>
            <w:tcW w:w="5820" w:type="dxa"/>
            <w:vAlign w:val="bottom"/>
            <w:tcBorders>
              <w:bottom w:val="single" w:sz="8" w:color="00A0E0"/>
            </w:tcBorders>
          </w:tcPr>
          <w:p>
            <w:pPr>
              <w:spacing w:after="0"/>
              <w:rPr>
                <w:sz w:val="8"/>
                <w:szCs w:val="8"/>
                <w:color w:val="auto"/>
              </w:rPr>
            </w:pPr>
          </w:p>
        </w:tc>
      </w:tr>
    </w:tbl>
    <w:p>
      <w:pPr>
        <w:spacing w:after="0" w:line="121" w:lineRule="exact"/>
        <w:rPr>
          <w:sz w:val="20"/>
          <w:szCs w:val="20"/>
          <w:color w:val="auto"/>
        </w:rPr>
      </w:pPr>
    </w:p>
    <w:p>
      <w:pPr>
        <w:sectPr>
          <w:pgSz w:w="11900" w:h="16838" w:orient="portrait"/>
          <w:cols w:equalWidth="0" w:num="1">
            <w:col w:w="10720"/>
          </w:cols>
          <w:pgMar w:left="580" w:top="22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180"/>
        <w:spacing w:after="0" w:line="311" w:lineRule="auto"/>
        <w:rPr>
          <w:sz w:val="20"/>
          <w:szCs w:val="20"/>
          <w:color w:val="auto"/>
        </w:rPr>
      </w:pPr>
      <w:r>
        <w:rPr>
          <w:rFonts w:ascii="Arial" w:cs="Arial" w:eastAsia="Arial" w:hAnsi="Arial"/>
          <w:sz w:val="17"/>
          <w:szCs w:val="17"/>
          <w:b w:val="1"/>
          <w:bCs w:val="1"/>
          <w:color w:val="00A0DD"/>
        </w:rPr>
        <w:t>Content &amp; Experiences</w:t>
      </w:r>
    </w:p>
    <w:p>
      <w:pPr>
        <w:spacing w:after="0" w:line="20" w:lineRule="exact"/>
        <w:rPr>
          <w:sz w:val="20"/>
          <w:szCs w:val="20"/>
          <w:color w:val="auto"/>
        </w:rPr>
      </w:pPr>
      <w:r>
        <w:rPr>
          <w:sz w:val="20"/>
          <w:szCs w:val="20"/>
          <w:color w:val="auto"/>
        </w:rPr>
        <w:br w:type="column"/>
      </w:r>
    </w:p>
    <w:p>
      <w:pPr>
        <w:ind w:right="1860"/>
        <w:spacing w:after="0" w:line="264" w:lineRule="auto"/>
        <w:rPr>
          <w:sz w:val="20"/>
          <w:szCs w:val="20"/>
          <w:color w:val="auto"/>
        </w:rPr>
      </w:pPr>
      <w:r>
        <w:rPr>
          <w:rFonts w:ascii="Arial" w:cs="Arial" w:eastAsia="Arial" w:hAnsi="Arial"/>
          <w:sz w:val="16"/>
          <w:szCs w:val="16"/>
          <w:b w:val="1"/>
          <w:bCs w:val="1"/>
          <w:color w:val="00A0DD"/>
        </w:rPr>
        <w:t>Theme parks generated $3.1 billion in Adjusted EBITDA</w:t>
      </w:r>
      <w:r>
        <w:rPr>
          <w:rFonts w:ascii="Arial" w:cs="Arial" w:eastAsia="Arial" w:hAnsi="Arial"/>
          <w:sz w:val="16"/>
          <w:szCs w:val="16"/>
          <w:color w:val="000000"/>
        </w:rPr>
        <w:t>, fueled by the</w:t>
      </w:r>
      <w:r>
        <w:rPr>
          <w:rFonts w:ascii="Arial" w:cs="Arial" w:eastAsia="Arial" w:hAnsi="Arial"/>
          <w:sz w:val="16"/>
          <w:szCs w:val="16"/>
          <w:b w:val="1"/>
          <w:bCs w:val="1"/>
          <w:color w:val="00A0DD"/>
        </w:rPr>
        <w:t xml:space="preserve"> </w:t>
      </w:r>
      <w:r>
        <w:rPr>
          <w:rFonts w:ascii="Arial" w:cs="Arial" w:eastAsia="Arial" w:hAnsi="Arial"/>
          <w:sz w:val="16"/>
          <w:szCs w:val="16"/>
          <w:color w:val="000000"/>
        </w:rPr>
        <w:t>opening of Epic Universe in May 2025</w:t>
      </w:r>
    </w:p>
    <w:p>
      <w:pPr>
        <w:ind w:right="1600"/>
        <w:spacing w:after="0" w:line="264" w:lineRule="auto"/>
        <w:rPr>
          <w:sz w:val="20"/>
          <w:szCs w:val="20"/>
          <w:color w:val="auto"/>
        </w:rPr>
      </w:pPr>
      <w:r>
        <w:rPr>
          <w:rFonts w:ascii="Arial" w:cs="Arial" w:eastAsia="Arial" w:hAnsi="Arial"/>
          <w:sz w:val="16"/>
          <w:szCs w:val="16"/>
          <w:b w:val="1"/>
          <w:bCs w:val="1"/>
          <w:color w:val="00A0DD"/>
        </w:rPr>
        <w:t>Peacock revenue increased by 10% to $5.4 billion</w:t>
      </w:r>
      <w:r>
        <w:rPr>
          <w:rFonts w:ascii="Arial" w:cs="Arial" w:eastAsia="Arial" w:hAnsi="Arial"/>
          <w:sz w:val="16"/>
          <w:szCs w:val="16"/>
          <w:color w:val="000000"/>
        </w:rPr>
        <w:t>; Adjusted EBITDA</w:t>
      </w:r>
      <w:r>
        <w:rPr>
          <w:rFonts w:ascii="Arial" w:cs="Arial" w:eastAsia="Arial" w:hAnsi="Arial"/>
          <w:sz w:val="16"/>
          <w:szCs w:val="16"/>
          <w:b w:val="1"/>
          <w:bCs w:val="1"/>
          <w:color w:val="00A0DD"/>
        </w:rPr>
        <w:t xml:space="preserve"> </w:t>
      </w:r>
      <w:r>
        <w:rPr>
          <w:rFonts w:ascii="Arial" w:cs="Arial" w:eastAsia="Arial" w:hAnsi="Arial"/>
          <w:sz w:val="16"/>
          <w:szCs w:val="16"/>
          <w:color w:val="000000"/>
        </w:rPr>
        <w:t>losses improved by nearly $700 million; paid subscribers increased by 22% to 44 million</w:t>
      </w:r>
    </w:p>
    <w:p>
      <w:pPr>
        <w:ind w:right="1540"/>
        <w:spacing w:after="0" w:line="264" w:lineRule="auto"/>
        <w:rPr>
          <w:sz w:val="20"/>
          <w:szCs w:val="20"/>
          <w:color w:val="auto"/>
        </w:rPr>
      </w:pPr>
      <w:r>
        <w:rPr>
          <w:rFonts w:ascii="Arial" w:cs="Arial" w:eastAsia="Arial" w:hAnsi="Arial"/>
          <w:sz w:val="16"/>
          <w:szCs w:val="16"/>
          <w:b w:val="1"/>
          <w:bCs w:val="1"/>
          <w:color w:val="00A0DD"/>
        </w:rPr>
        <w:t xml:space="preserve">Successful launch of NBA </w:t>
      </w:r>
      <w:r>
        <w:rPr>
          <w:rFonts w:ascii="Arial" w:cs="Arial" w:eastAsia="Arial" w:hAnsi="Arial"/>
          <w:sz w:val="16"/>
          <w:szCs w:val="16"/>
          <w:color w:val="000000"/>
        </w:rPr>
        <w:t>highlighted our strong sports portfolio,</w:t>
      </w:r>
      <w:r>
        <w:rPr>
          <w:rFonts w:ascii="Arial" w:cs="Arial" w:eastAsia="Arial" w:hAnsi="Arial"/>
          <w:sz w:val="16"/>
          <w:szCs w:val="16"/>
          <w:b w:val="1"/>
          <w:bCs w:val="1"/>
          <w:color w:val="00A0DD"/>
        </w:rPr>
        <w:t xml:space="preserve"> </w:t>
      </w:r>
      <w:r>
        <w:rPr>
          <w:rFonts w:ascii="Arial" w:cs="Arial" w:eastAsia="Arial" w:hAnsi="Arial"/>
          <w:sz w:val="16"/>
          <w:szCs w:val="16"/>
          <w:color w:val="000000"/>
        </w:rPr>
        <w:t>complemented by news and entertainment assets, helping to support Peacock subscribers and our advertising business</w:t>
      </w:r>
    </w:p>
    <w:p>
      <w:pPr>
        <w:spacing w:after="0"/>
        <w:rPr>
          <w:sz w:val="20"/>
          <w:szCs w:val="20"/>
          <w:color w:val="auto"/>
        </w:rPr>
      </w:pPr>
      <w:r>
        <w:rPr>
          <w:rFonts w:ascii="Arial" w:cs="Arial" w:eastAsia="Arial" w:hAnsi="Arial"/>
          <w:sz w:val="16"/>
          <w:szCs w:val="16"/>
          <w:b w:val="1"/>
          <w:bCs w:val="1"/>
          <w:i w:val="1"/>
          <w:iCs w:val="1"/>
          <w:color w:val="00A0DD"/>
        </w:rPr>
        <w:t xml:space="preserve">Wicked </w:t>
      </w:r>
      <w:r>
        <w:rPr>
          <w:rFonts w:ascii="Arial" w:cs="Arial" w:eastAsia="Arial" w:hAnsi="Arial"/>
          <w:sz w:val="16"/>
          <w:szCs w:val="16"/>
          <w:b w:val="1"/>
          <w:bCs w:val="1"/>
          <w:color w:val="00A0DD"/>
        </w:rPr>
        <w:t>franchise grossed $1.3 billion worldwide</w:t>
      </w:r>
      <w:r>
        <w:rPr>
          <w:rFonts w:ascii="Arial" w:cs="Arial" w:eastAsia="Arial" w:hAnsi="Arial"/>
          <w:sz w:val="16"/>
          <w:szCs w:val="16"/>
          <w:color w:val="000000"/>
        </w:rPr>
        <w:t>, becoming the #1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Broadway-to-feature film adaptation of all time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A0DD"/>
        </w:rPr>
        <w:t>Completed the spin-off of Versant Media Group, Inc.</w:t>
      </w:r>
    </w:p>
    <w:p>
      <w:pPr>
        <w:spacing w:after="0" w:line="21" w:lineRule="exact"/>
        <w:rPr>
          <w:sz w:val="20"/>
          <w:szCs w:val="20"/>
          <w:color w:val="auto"/>
        </w:rPr>
      </w:pPr>
    </w:p>
    <w:p>
      <w:pPr>
        <w:ind w:right="1720"/>
        <w:spacing w:after="0" w:line="265" w:lineRule="auto"/>
        <w:rPr>
          <w:sz w:val="20"/>
          <w:szCs w:val="20"/>
          <w:color w:val="auto"/>
        </w:rPr>
      </w:pPr>
      <w:r>
        <w:rPr>
          <w:rFonts w:ascii="Arial" w:cs="Arial" w:eastAsia="Arial" w:hAnsi="Arial"/>
          <w:sz w:val="16"/>
          <w:szCs w:val="16"/>
          <w:b w:val="1"/>
          <w:bCs w:val="1"/>
          <w:color w:val="00A0DD"/>
        </w:rPr>
        <w:t>(“Versant”)</w:t>
      </w:r>
      <w:r>
        <w:rPr>
          <w:rFonts w:ascii="Arial" w:cs="Arial" w:eastAsia="Arial" w:hAnsi="Arial"/>
          <w:sz w:val="16"/>
          <w:szCs w:val="16"/>
          <w:color w:val="00A0DD"/>
        </w:rPr>
        <w:t>,</w:t>
      </w:r>
      <w:r>
        <w:rPr>
          <w:rFonts w:ascii="Arial" w:cs="Arial" w:eastAsia="Arial" w:hAnsi="Arial"/>
          <w:sz w:val="16"/>
          <w:szCs w:val="16"/>
          <w:b w:val="1"/>
          <w:bCs w:val="1"/>
          <w:color w:val="00A0DD"/>
        </w:rPr>
        <w:t xml:space="preserve"> </w:t>
      </w:r>
      <w:r>
        <w:rPr>
          <w:rFonts w:ascii="Arial" w:cs="Arial" w:eastAsia="Arial" w:hAnsi="Arial"/>
          <w:sz w:val="16"/>
          <w:szCs w:val="16"/>
          <w:color w:val="000000"/>
        </w:rPr>
        <w:t>consisting of a strong portfolio of cable television networks and</w:t>
      </w:r>
      <w:r>
        <w:rPr>
          <w:rFonts w:ascii="Arial" w:cs="Arial" w:eastAsia="Arial" w:hAnsi="Arial"/>
          <w:sz w:val="16"/>
          <w:szCs w:val="16"/>
          <w:b w:val="1"/>
          <w:bCs w:val="1"/>
          <w:color w:val="00A0DD"/>
        </w:rPr>
        <w:t xml:space="preserve"> </w:t>
      </w:r>
      <w:r>
        <w:rPr>
          <w:rFonts w:ascii="Arial" w:cs="Arial" w:eastAsia="Arial" w:hAnsi="Arial"/>
          <w:sz w:val="16"/>
          <w:szCs w:val="16"/>
          <w:color w:val="000000"/>
        </w:rPr>
        <w:t>complementary digital properties, in a tax-free transaction in January 2026</w:t>
      </w:r>
    </w:p>
    <w:p>
      <w:pPr>
        <w:spacing w:after="0" w:line="200" w:lineRule="exact"/>
        <w:rPr>
          <w:sz w:val="20"/>
          <w:szCs w:val="20"/>
          <w:color w:val="auto"/>
        </w:rPr>
      </w:pPr>
    </w:p>
    <w:p>
      <w:pPr>
        <w:sectPr>
          <w:pgSz w:w="11900" w:h="16838" w:orient="portrait"/>
          <w:cols w:equalWidth="0" w:num="2">
            <w:col w:w="3240" w:space="320"/>
            <w:col w:w="7160"/>
          </w:cols>
          <w:pgMar w:left="580" w:top="229"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60" w:type="dxa"/>
            <w:vAlign w:val="bottom"/>
          </w:tcPr>
          <w:p>
            <w:pPr>
              <w:ind w:left="752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660" w:type="dxa"/>
            <w:vAlign w:val="bottom"/>
          </w:tcPr>
          <w:p>
            <w:pPr>
              <w:jc w:val="right"/>
              <w:ind w:right="1237"/>
              <w:spacing w:after="0"/>
              <w:rPr>
                <w:sz w:val="20"/>
                <w:szCs w:val="20"/>
                <w:color w:val="auto"/>
              </w:rPr>
            </w:pPr>
            <w:r>
              <w:rPr>
                <w:rFonts w:ascii="Arial" w:cs="Arial" w:eastAsia="Arial" w:hAnsi="Arial"/>
                <w:sz w:val="13"/>
                <w:szCs w:val="13"/>
                <w:b w:val="1"/>
                <w:bCs w:val="1"/>
                <w:color w:val="auto"/>
              </w:rPr>
              <w:t>1</w:t>
            </w:r>
          </w:p>
        </w:tc>
      </w:tr>
      <w:tr>
        <w:trPr>
          <w:trHeight w:val="717"/>
        </w:trPr>
        <w:tc>
          <w:tcPr>
            <w:tcW w:w="90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08" w:lineRule="exact"/>
        <w:rPr>
          <w:sz w:val="20"/>
          <w:szCs w:val="20"/>
          <w:color w:val="auto"/>
        </w:rPr>
      </w:pPr>
    </w:p>
    <w:p>
      <w:pPr>
        <w:ind w:left="460" w:right="499"/>
        <w:spacing w:after="0" w:line="248" w:lineRule="auto"/>
        <w:rPr>
          <w:sz w:val="20"/>
          <w:szCs w:val="20"/>
          <w:color w:val="auto"/>
        </w:rPr>
      </w:pPr>
      <w:r>
        <w:rPr>
          <w:rFonts w:ascii="Arial" w:cs="Arial" w:eastAsia="Arial" w:hAnsi="Arial"/>
          <w:sz w:val="16"/>
          <w:szCs w:val="16"/>
          <w:color w:val="auto"/>
        </w:rPr>
        <w:t>This proxy statement includes statements that may constitute “forward-looking statements” within the meaning of the Private Securities Litigation Reform Act of 1995, Section 27A of the Securities Act of 1933 and Section 21E of the Securities Exchange Act of 1934 (the “Exchange Act”).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and statements regarding our corporate responsibility initiatives, progress, plans and goals, which are based on current expectations and assumptions that are subject to risks and uncertainties that may cause actual results to differ materially. These forward-looking statements generally are identified by words such as “believe,” “project,” “expect,” “anticipate,” “estimate,” “intend,” “potential,” “strategy,” “future,” “opportunity,” “commit,” “plan,” “goal,” “may,” “should,” “could,” “would,” “will,” “continue,” “will likely result” and similar expressions.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 and other uncontrollable events; loss of key personnel; labor disputes; significant tax liability if the separation of Versant is not tax-free; laws and regulations; adverse decisions in litigation or governmental investigations; and other risks described from time to time in reports and other documents we file with the Securities and Exchange Commission (“SEC”). There are also certain risks and challenges we may face in meeting our environmental goals that are beyond our control, including political, economic, regulatory and geopolitical conditions, supply chain and labor issues, supplier emissions reductions, the evolution of carbon offset markets and innovations in technology and infrastructure.</w:t>
      </w:r>
    </w:p>
    <w:p>
      <w:pPr>
        <w:spacing w:after="0" w:line="81" w:lineRule="exact"/>
        <w:rPr>
          <w:sz w:val="20"/>
          <w:szCs w:val="20"/>
          <w:color w:val="auto"/>
        </w:rPr>
      </w:pPr>
    </w:p>
    <w:p>
      <w:pPr>
        <w:ind w:left="460" w:right="519"/>
        <w:spacing w:after="0" w:line="250" w:lineRule="auto"/>
        <w:rPr>
          <w:sz w:val="20"/>
          <w:szCs w:val="20"/>
          <w:color w:val="auto"/>
        </w:rPr>
      </w:pPr>
      <w:r>
        <w:rPr>
          <w:rFonts w:ascii="Arial" w:cs="Arial" w:eastAsia="Arial" w:hAnsi="Arial"/>
          <w:sz w:val="16"/>
          <w:szCs w:val="16"/>
          <w:color w:val="auto"/>
        </w:rPr>
        <w:t>In evaluating these statements, you should consider various factors, including the risks and uncertainties we describe in the “Risk Factors” sections of our most recent Annual Report on Form 10-K, our most recent Quarterly Report on Form 10-Q and other reports filed with the SEC. The inclusion of forward-looking and other statements in this proxy statement or on our website that may address our corporate responsibility initiatives, progress, plans and goals is not an indication that they are necessarily material to investors or required to be disclosed in our filings with the SEC. Such statements may contain estimates, make assumptions based on developing standards that may change and provide aspirational goals and commitments that are not intended to be promises or guarantees. Readers are cautioned not to place undue reliance on forward-looking statements or such other statements, which speak only as of the date they are made. We undertake no obligation to update or revise publicly any forward-looking or such other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0" w:hanging="646"/>
        <w:spacing w:after="0"/>
        <w:tabs>
          <w:tab w:leader="none" w:pos="11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443865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 w:name="page5"/>
    <w:bookmarkEnd w:id="4"/>
    <w:p>
      <w:pPr>
        <w:ind w:left="1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right="1520"/>
        <w:spacing w:after="0" w:line="280" w:lineRule="auto"/>
        <w:rPr>
          <w:sz w:val="20"/>
          <w:szCs w:val="20"/>
          <w:color w:val="auto"/>
        </w:rPr>
      </w:pPr>
      <w:r>
        <w:rPr>
          <w:rFonts w:ascii="Arial" w:cs="Arial" w:eastAsia="Arial" w:hAnsi="Arial"/>
          <w:sz w:val="36"/>
          <w:szCs w:val="36"/>
          <w:b w:val="1"/>
          <w:bCs w:val="1"/>
          <w:color w:val="auto"/>
        </w:rPr>
        <w:t>Message from Our Chairman and Co-CEO and Our Lead Independent Director</w:t>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Dear Shareholders,</w:t>
      </w:r>
    </w:p>
    <w:p>
      <w:pPr>
        <w:spacing w:after="0" w:line="113" w:lineRule="exact"/>
        <w:rPr>
          <w:sz w:val="20"/>
          <w:szCs w:val="20"/>
          <w:color w:val="auto"/>
        </w:rPr>
      </w:pPr>
    </w:p>
    <w:p>
      <w:pPr>
        <w:ind w:left="1320" w:right="1360"/>
        <w:spacing w:after="0" w:line="266" w:lineRule="auto"/>
        <w:rPr>
          <w:sz w:val="20"/>
          <w:szCs w:val="20"/>
          <w:color w:val="auto"/>
        </w:rPr>
      </w:pPr>
      <w:r>
        <w:rPr>
          <w:rFonts w:ascii="Arial" w:cs="Arial" w:eastAsia="Arial" w:hAnsi="Arial"/>
          <w:sz w:val="16"/>
          <w:szCs w:val="16"/>
          <w:color w:val="auto"/>
        </w:rPr>
        <w:t>We are pleased to report that 2025 was a year of meaningful progress for Comcast, as we took decisive steps to reshape our company for the future. We streamlined our business, appointed new leaders and restructured our largest business to move faster and sharpen execution.</w:t>
      </w:r>
    </w:p>
    <w:p>
      <w:pPr>
        <w:spacing w:after="0" w:line="63" w:lineRule="exact"/>
        <w:rPr>
          <w:sz w:val="20"/>
          <w:szCs w:val="20"/>
          <w:color w:val="auto"/>
        </w:rPr>
      </w:pPr>
    </w:p>
    <w:p>
      <w:pPr>
        <w:ind w:left="1320" w:right="1400"/>
        <w:spacing w:after="0" w:line="259" w:lineRule="auto"/>
        <w:rPr>
          <w:sz w:val="20"/>
          <w:szCs w:val="20"/>
          <w:color w:val="auto"/>
        </w:rPr>
      </w:pPr>
      <w:r>
        <w:rPr>
          <w:rFonts w:ascii="Arial" w:cs="Arial" w:eastAsia="Arial" w:hAnsi="Arial"/>
          <w:sz w:val="16"/>
          <w:szCs w:val="16"/>
          <w:color w:val="auto"/>
        </w:rPr>
        <w:t>At the same time, we generated the highest free cash flow in our history, while maintaining a strong balance sheet and returning nearly $12 billion to shareholders. We invested meaningfully in our six priority areas — broadband, wireless, business services, studios, streaming and theme parks — which we expect will collectively grow over time and position our company for the long term.</w:t>
      </w:r>
    </w:p>
    <w:p>
      <w:pPr>
        <w:spacing w:after="0" w:line="70" w:lineRule="exact"/>
        <w:rPr>
          <w:sz w:val="20"/>
          <w:szCs w:val="20"/>
          <w:color w:val="auto"/>
        </w:rPr>
      </w:pPr>
    </w:p>
    <w:p>
      <w:pPr>
        <w:ind w:left="1320" w:right="1380"/>
        <w:spacing w:after="0" w:line="253" w:lineRule="auto"/>
        <w:rPr>
          <w:sz w:val="20"/>
          <w:szCs w:val="20"/>
          <w:color w:val="auto"/>
        </w:rPr>
      </w:pPr>
      <w:r>
        <w:rPr>
          <w:rFonts w:ascii="Arial" w:cs="Arial" w:eastAsia="Arial" w:hAnsi="Arial"/>
          <w:sz w:val="16"/>
          <w:szCs w:val="16"/>
          <w:color w:val="auto"/>
        </w:rPr>
        <w:t>In Connectivity &amp; Platforms, we continued to invest in our fiber-rich network by upgrading to multi-gig symmetrical speeds and deploying AI-enabled gateways that can connect hundreds of devices in the home. We also launched a significant go-to-market pivot to simplify pricing and improve the customer experience. We accelerated growth in wireless by adding 1.5 million net lines last year, reaching 9.3 million total lines as of year-end and surpassing 15% penetration of our domestic residential broadband customers. Our business services business, which generated $10.2 billion in revenue in 2025 with healthy margins, was one of the fastest growing providers in the enterprise segment.</w:t>
      </w:r>
    </w:p>
    <w:p>
      <w:pPr>
        <w:spacing w:after="0" w:line="73" w:lineRule="exact"/>
        <w:rPr>
          <w:sz w:val="20"/>
          <w:szCs w:val="20"/>
          <w:color w:val="auto"/>
        </w:rPr>
      </w:pPr>
    </w:p>
    <w:p>
      <w:pPr>
        <w:ind w:left="1320" w:right="1360"/>
        <w:spacing w:after="0" w:line="253" w:lineRule="auto"/>
        <w:rPr>
          <w:sz w:val="20"/>
          <w:szCs w:val="20"/>
          <w:color w:val="auto"/>
        </w:rPr>
      </w:pPr>
      <w:r>
        <w:rPr>
          <w:rFonts w:ascii="Arial" w:cs="Arial" w:eastAsia="Arial" w:hAnsi="Arial"/>
          <w:sz w:val="16"/>
          <w:szCs w:val="16"/>
          <w:color w:val="auto"/>
        </w:rPr>
        <w:t xml:space="preserve">In Content &amp; Experiences, with the completion of the Versant spin-off, we are a more focused media business, operating television and streaming together to maximize reach and value across NBC, Peacock, Telemundo and Bravo. In studios, we had great success with the </w:t>
      </w:r>
      <w:r>
        <w:rPr>
          <w:rFonts w:ascii="Arial" w:cs="Arial" w:eastAsia="Arial" w:hAnsi="Arial"/>
          <w:sz w:val="16"/>
          <w:szCs w:val="16"/>
          <w:i w:val="1"/>
          <w:iCs w:val="1"/>
          <w:color w:val="auto"/>
        </w:rPr>
        <w:t>Wicked</w:t>
      </w:r>
      <w:r>
        <w:rPr>
          <w:rFonts w:ascii="Arial" w:cs="Arial" w:eastAsia="Arial" w:hAnsi="Arial"/>
          <w:sz w:val="16"/>
          <w:szCs w:val="16"/>
          <w:color w:val="auto"/>
        </w:rPr>
        <w:t xml:space="preserve"> and </w:t>
      </w:r>
      <w:r>
        <w:rPr>
          <w:rFonts w:ascii="Arial" w:cs="Arial" w:eastAsia="Arial" w:hAnsi="Arial"/>
          <w:sz w:val="16"/>
          <w:szCs w:val="16"/>
          <w:i w:val="1"/>
          <w:iCs w:val="1"/>
          <w:color w:val="auto"/>
        </w:rPr>
        <w:t>Jurassic</w:t>
      </w:r>
      <w:r>
        <w:rPr>
          <w:rFonts w:ascii="Arial" w:cs="Arial" w:eastAsia="Arial" w:hAnsi="Arial"/>
          <w:sz w:val="16"/>
          <w:szCs w:val="16"/>
          <w:color w:val="auto"/>
        </w:rPr>
        <w:t xml:space="preserve"> franchises, and we are excited about our upcoming releases, which include the latest installments of </w:t>
      </w:r>
      <w:r>
        <w:rPr>
          <w:rFonts w:ascii="Arial" w:cs="Arial" w:eastAsia="Arial" w:hAnsi="Arial"/>
          <w:sz w:val="16"/>
          <w:szCs w:val="16"/>
          <w:i w:val="1"/>
          <w:iCs w:val="1"/>
          <w:color w:val="auto"/>
        </w:rPr>
        <w:t>Super Mario</w:t>
      </w:r>
      <w:r>
        <w:rPr>
          <w:rFonts w:ascii="Arial" w:cs="Arial" w:eastAsia="Arial" w:hAnsi="Arial"/>
          <w:sz w:val="16"/>
          <w:szCs w:val="16"/>
          <w:color w:val="auto"/>
        </w:rPr>
        <w:t xml:space="preserve"> and </w:t>
      </w:r>
      <w:r>
        <w:rPr>
          <w:rFonts w:ascii="Arial" w:cs="Arial" w:eastAsia="Arial" w:hAnsi="Arial"/>
          <w:sz w:val="16"/>
          <w:szCs w:val="16"/>
          <w:i w:val="1"/>
          <w:iCs w:val="1"/>
          <w:color w:val="auto"/>
        </w:rPr>
        <w:t>Minions</w:t>
      </w:r>
      <w:r>
        <w:rPr>
          <w:rFonts w:ascii="Arial" w:cs="Arial" w:eastAsia="Arial" w:hAnsi="Arial"/>
          <w:sz w:val="16"/>
          <w:szCs w:val="16"/>
          <w:color w:val="auto"/>
        </w:rPr>
        <w:t xml:space="preserve"> as well as new films from Christopher Nolan and Steven Spielberg. Finally, 2025 featured a landmark achievement for our theme parks business with the opening of Epic Universe, among the largest and most advanced American theme parks to open in decades.</w:t>
      </w:r>
    </w:p>
    <w:p>
      <w:pPr>
        <w:spacing w:after="0" w:line="73" w:lineRule="exact"/>
        <w:rPr>
          <w:sz w:val="20"/>
          <w:szCs w:val="20"/>
          <w:color w:val="auto"/>
        </w:rPr>
      </w:pPr>
    </w:p>
    <w:p>
      <w:pPr>
        <w:ind w:left="1320" w:right="1340"/>
        <w:spacing w:after="0" w:line="259" w:lineRule="auto"/>
        <w:rPr>
          <w:sz w:val="20"/>
          <w:szCs w:val="20"/>
          <w:color w:val="auto"/>
        </w:rPr>
      </w:pPr>
      <w:r>
        <w:rPr>
          <w:rFonts w:ascii="Arial" w:cs="Arial" w:eastAsia="Arial" w:hAnsi="Arial"/>
          <w:sz w:val="16"/>
          <w:szCs w:val="16"/>
          <w:color w:val="auto"/>
        </w:rPr>
        <w:t>We have an exceptional leadership team and Board of Directors. In early 2026, we promoted Mike Cavanagh to Co-CEO of Comcast and welcomed Gordon Smith, former Co-President and Chief Operating Officer of JPMorgan Chase &amp; Co., to our Board. We extend our thanks to David Novak, who stepped down from our Board in January to become Chairman of the Board of Directors at Versant, for his years of invaluable service.</w:t>
      </w:r>
    </w:p>
    <w:p>
      <w:pPr>
        <w:spacing w:after="0" w:line="70" w:lineRule="exact"/>
        <w:rPr>
          <w:sz w:val="20"/>
          <w:szCs w:val="20"/>
          <w:color w:val="auto"/>
        </w:rPr>
      </w:pPr>
    </w:p>
    <w:p>
      <w:pPr>
        <w:ind w:left="1320" w:right="1540"/>
        <w:spacing w:after="0" w:line="266" w:lineRule="auto"/>
        <w:rPr>
          <w:sz w:val="20"/>
          <w:szCs w:val="20"/>
          <w:color w:val="auto"/>
        </w:rPr>
      </w:pPr>
      <w:r>
        <w:rPr>
          <w:rFonts w:ascii="Arial" w:cs="Arial" w:eastAsia="Arial" w:hAnsi="Arial"/>
          <w:sz w:val="16"/>
          <w:szCs w:val="16"/>
          <w:color w:val="auto"/>
        </w:rPr>
        <w:t>As we mark America’s 250th anniversary, we are proud of the role we have played in bringing people together for more than six decades. From our networks and products that reach millions, to the stories and shared experiences that unite generations, Comcast occupies a unique place in American life.</w:t>
      </w:r>
    </w:p>
    <w:p>
      <w:pPr>
        <w:spacing w:after="0" w:line="63" w:lineRule="exact"/>
        <w:rPr>
          <w:sz w:val="20"/>
          <w:szCs w:val="20"/>
          <w:color w:val="auto"/>
        </w:rPr>
      </w:pPr>
    </w:p>
    <w:p>
      <w:pPr>
        <w:ind w:left="1320" w:right="1440"/>
        <w:spacing w:after="0" w:line="286" w:lineRule="auto"/>
        <w:rPr>
          <w:sz w:val="20"/>
          <w:szCs w:val="20"/>
          <w:color w:val="auto"/>
        </w:rPr>
      </w:pPr>
      <w:r>
        <w:rPr>
          <w:rFonts w:ascii="Arial" w:cs="Arial" w:eastAsia="Arial" w:hAnsi="Arial"/>
          <w:sz w:val="16"/>
          <w:szCs w:val="16"/>
          <w:color w:val="auto"/>
        </w:rPr>
        <w:t>We remain grateful for the leadership of our Board, our dedicated employees worldwide, and for your continued confidence.</w:t>
      </w:r>
    </w:p>
    <w:p>
      <w:pPr>
        <w:spacing w:after="0" w:line="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38100</wp:posOffset>
            </wp:positionV>
            <wp:extent cx="3522980" cy="1139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22980" cy="113982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00A0DD"/>
        </w:rPr>
        <w:t>Brian L. Roberts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Edward D. Breen</w:t>
      </w:r>
    </w:p>
    <w:p>
      <w:pPr>
        <w:spacing w:after="0" w:line="39" w:lineRule="exact"/>
        <w:rPr>
          <w:sz w:val="20"/>
          <w:szCs w:val="20"/>
          <w:color w:val="auto"/>
        </w:rPr>
      </w:pPr>
    </w:p>
    <w:p>
      <w:pPr>
        <w:sectPr>
          <w:pgSz w:w="11900" w:h="16838" w:orient="portrait"/>
          <w:cols w:equalWidth="0" w:num="2">
            <w:col w:w="4640" w:space="720"/>
            <w:col w:w="5360"/>
          </w:cols>
          <w:pgMar w:left="580" w:top="229" w:right="599" w:bottom="1440" w:gutter="0" w:footer="0" w:header="0"/>
          <w:type w:val="continuous"/>
        </w:sectPr>
      </w:pPr>
    </w:p>
    <w:p>
      <w:pPr>
        <w:spacing w:after="0" w:line="1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Chairman and Co-CEO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Lead Independent Director</w:t>
      </w:r>
    </w:p>
    <w:p>
      <w:pPr>
        <w:spacing w:after="0" w:line="200" w:lineRule="exact"/>
        <w:rPr>
          <w:sz w:val="20"/>
          <w:szCs w:val="20"/>
          <w:color w:val="auto"/>
        </w:rPr>
      </w:pPr>
    </w:p>
    <w:p>
      <w:pPr>
        <w:sectPr>
          <w:pgSz w:w="11900" w:h="16838" w:orient="portrait"/>
          <w:cols w:equalWidth="0" w:num="2">
            <w:col w:w="4640" w:space="720"/>
            <w:col w:w="5360"/>
          </w:cols>
          <w:pgMar w:left="580" w:top="229" w:right="59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60" w:type="dxa"/>
            <w:vAlign w:val="bottom"/>
          </w:tcPr>
          <w:p>
            <w:pPr>
              <w:ind w:left="752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660" w:type="dxa"/>
            <w:vAlign w:val="bottom"/>
          </w:tcPr>
          <w:p>
            <w:pPr>
              <w:jc w:val="right"/>
              <w:ind w:right="1237"/>
              <w:spacing w:after="0"/>
              <w:rPr>
                <w:sz w:val="20"/>
                <w:szCs w:val="20"/>
                <w:color w:val="auto"/>
              </w:rPr>
            </w:pPr>
            <w:r>
              <w:rPr>
                <w:rFonts w:ascii="Arial" w:cs="Arial" w:eastAsia="Arial" w:hAnsi="Arial"/>
                <w:sz w:val="13"/>
                <w:szCs w:val="13"/>
                <w:b w:val="1"/>
                <w:bCs w:val="1"/>
                <w:color w:val="auto"/>
              </w:rPr>
              <w:t>3</w:t>
            </w:r>
          </w:p>
        </w:tc>
      </w:tr>
      <w:tr>
        <w:trPr>
          <w:trHeight w:val="703"/>
        </w:trPr>
        <w:tc>
          <w:tcPr>
            <w:tcW w:w="90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5" w:name="page6"/>
    <w:bookmarkEnd w:id="5"/>
    <w:p>
      <w:pPr>
        <w:ind w:left="4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right="499"/>
        <w:spacing w:after="0" w:line="280" w:lineRule="auto"/>
        <w:rPr>
          <w:sz w:val="20"/>
          <w:szCs w:val="20"/>
          <w:color w:val="auto"/>
        </w:rPr>
      </w:pPr>
      <w:r>
        <w:rPr>
          <w:rFonts w:ascii="Arial" w:cs="Arial" w:eastAsia="Arial" w:hAnsi="Arial"/>
          <w:sz w:val="36"/>
          <w:szCs w:val="36"/>
          <w:b w:val="1"/>
          <w:bCs w:val="1"/>
          <w:color w:val="auto"/>
        </w:rPr>
        <w:t>Notice of 2026 Annual Meeting of Shareholders of Comcast Corporation</w:t>
      </w:r>
    </w:p>
    <w:tbl>
      <w:tblPr>
        <w:tblLayout w:type="fixed"/>
        <w:tblInd w:w="460" w:type="dxa"/>
        <w:tblCellMar>
          <w:top w:w="0" w:type="dxa"/>
          <w:left w:w="0" w:type="dxa"/>
          <w:bottom w:w="0" w:type="dxa"/>
          <w:right w:w="0" w:type="dxa"/>
        </w:tblCellMar>
      </w:tblPr>
      <w:tr>
        <w:trPr>
          <w:trHeight w:val="206"/>
        </w:trPr>
        <w:tc>
          <w:tcPr>
            <w:tcW w:w="1280" w:type="dxa"/>
            <w:vAlign w:val="bottom"/>
            <w:shd w:val="clear" w:color="auto" w:fill="E0F0FB"/>
          </w:tcPr>
          <w:p>
            <w:pPr>
              <w:ind w:left="40"/>
              <w:spacing w:after="0" w:line="206" w:lineRule="exact"/>
              <w:rPr>
                <w:sz w:val="20"/>
                <w:szCs w:val="20"/>
                <w:color w:val="auto"/>
              </w:rPr>
            </w:pPr>
            <w:r>
              <w:rPr>
                <w:rFonts w:ascii="Arial" w:cs="Arial" w:eastAsia="Arial" w:hAnsi="Arial"/>
                <w:sz w:val="18"/>
                <w:szCs w:val="18"/>
                <w:b w:val="1"/>
                <w:bCs w:val="1"/>
                <w:color w:val="00A0DD"/>
              </w:rPr>
              <w:t>Date</w:t>
            </w:r>
          </w:p>
        </w:tc>
        <w:tc>
          <w:tcPr>
            <w:tcW w:w="2240" w:type="dxa"/>
            <w:vAlign w:val="bottom"/>
            <w:shd w:val="clear" w:color="auto" w:fill="E0F0FB"/>
          </w:tcPr>
          <w:p>
            <w:pPr>
              <w:ind w:left="60"/>
              <w:spacing w:after="0" w:line="206" w:lineRule="exact"/>
              <w:rPr>
                <w:sz w:val="20"/>
                <w:szCs w:val="20"/>
                <w:color w:val="auto"/>
              </w:rPr>
            </w:pPr>
            <w:r>
              <w:rPr>
                <w:rFonts w:ascii="Arial" w:cs="Arial" w:eastAsia="Arial" w:hAnsi="Arial"/>
                <w:sz w:val="18"/>
                <w:szCs w:val="18"/>
                <w:b w:val="1"/>
                <w:bCs w:val="1"/>
                <w:color w:val="00A0DD"/>
              </w:rPr>
              <w:t>Time</w:t>
            </w:r>
          </w:p>
        </w:tc>
        <w:tc>
          <w:tcPr>
            <w:tcW w:w="2380" w:type="dxa"/>
            <w:vAlign w:val="bottom"/>
            <w:shd w:val="clear" w:color="auto" w:fill="E0F0FB"/>
          </w:tcPr>
          <w:p>
            <w:pPr>
              <w:ind w:left="80"/>
              <w:spacing w:after="0" w:line="206" w:lineRule="exact"/>
              <w:rPr>
                <w:sz w:val="20"/>
                <w:szCs w:val="20"/>
                <w:color w:val="auto"/>
              </w:rPr>
            </w:pPr>
            <w:r>
              <w:rPr>
                <w:rFonts w:ascii="Arial" w:cs="Arial" w:eastAsia="Arial" w:hAnsi="Arial"/>
                <w:sz w:val="18"/>
                <w:szCs w:val="18"/>
                <w:b w:val="1"/>
                <w:bCs w:val="1"/>
                <w:color w:val="00A0DD"/>
              </w:rPr>
              <w:t>Place</w:t>
            </w:r>
          </w:p>
        </w:tc>
        <w:tc>
          <w:tcPr>
            <w:tcW w:w="2200" w:type="dxa"/>
            <w:vAlign w:val="bottom"/>
            <w:shd w:val="clear" w:color="auto" w:fill="E0F0FB"/>
          </w:tcPr>
          <w:p>
            <w:pPr>
              <w:ind w:left="60"/>
              <w:spacing w:after="0" w:line="206" w:lineRule="exact"/>
              <w:rPr>
                <w:sz w:val="20"/>
                <w:szCs w:val="20"/>
                <w:color w:val="auto"/>
              </w:rPr>
            </w:pPr>
            <w:r>
              <w:rPr>
                <w:rFonts w:ascii="Arial" w:cs="Arial" w:eastAsia="Arial" w:hAnsi="Arial"/>
                <w:sz w:val="18"/>
                <w:szCs w:val="18"/>
                <w:b w:val="1"/>
                <w:bCs w:val="1"/>
                <w:color w:val="00A0DD"/>
              </w:rPr>
              <w:t>Who Can Vote</w:t>
            </w:r>
          </w:p>
        </w:tc>
      </w:tr>
      <w:tr>
        <w:trPr>
          <w:trHeight w:val="238"/>
        </w:trPr>
        <w:tc>
          <w:tcPr>
            <w:tcW w:w="1280" w:type="dxa"/>
            <w:vAlign w:val="bottom"/>
            <w:shd w:val="clear" w:color="auto" w:fill="E0F0FB"/>
          </w:tcPr>
          <w:p>
            <w:pPr>
              <w:ind w:left="40"/>
              <w:spacing w:after="0"/>
              <w:rPr>
                <w:sz w:val="20"/>
                <w:szCs w:val="20"/>
                <w:color w:val="auto"/>
              </w:rPr>
            </w:pPr>
            <w:r>
              <w:rPr>
                <w:rFonts w:ascii="Arial" w:cs="Arial" w:eastAsia="Arial" w:hAnsi="Arial"/>
                <w:sz w:val="18"/>
                <w:szCs w:val="18"/>
                <w:color w:val="auto"/>
              </w:rPr>
              <w:t>June 10, 2026</w:t>
            </w:r>
          </w:p>
        </w:tc>
        <w:tc>
          <w:tcPr>
            <w:tcW w:w="2240" w:type="dxa"/>
            <w:vAlign w:val="bottom"/>
            <w:shd w:val="clear" w:color="auto" w:fill="E0F0FB"/>
          </w:tcPr>
          <w:p>
            <w:pPr>
              <w:ind w:left="60"/>
              <w:spacing w:after="0"/>
              <w:rPr>
                <w:sz w:val="20"/>
                <w:szCs w:val="20"/>
                <w:color w:val="auto"/>
              </w:rPr>
            </w:pPr>
            <w:r>
              <w:rPr>
                <w:rFonts w:ascii="Arial" w:cs="Arial" w:eastAsia="Arial" w:hAnsi="Arial"/>
                <w:sz w:val="18"/>
                <w:szCs w:val="18"/>
                <w:color w:val="auto"/>
              </w:rPr>
              <w:t>Online check-in opens:</w:t>
            </w:r>
          </w:p>
        </w:tc>
        <w:tc>
          <w:tcPr>
            <w:tcW w:w="2380" w:type="dxa"/>
            <w:vAlign w:val="bottom"/>
            <w:shd w:val="clear" w:color="auto" w:fill="E0F0FB"/>
          </w:tcPr>
          <w:p>
            <w:pPr>
              <w:ind w:left="80"/>
              <w:spacing w:after="0"/>
              <w:rPr>
                <w:sz w:val="20"/>
                <w:szCs w:val="20"/>
                <w:color w:val="auto"/>
              </w:rPr>
            </w:pPr>
            <w:r>
              <w:rPr>
                <w:rFonts w:ascii="Arial" w:cs="Arial" w:eastAsia="Arial" w:hAnsi="Arial"/>
                <w:sz w:val="18"/>
                <w:szCs w:val="18"/>
                <w:color w:val="auto"/>
              </w:rPr>
              <w:t>Meeting live via the internet:</w:t>
            </w:r>
          </w:p>
        </w:tc>
        <w:tc>
          <w:tcPr>
            <w:tcW w:w="2200" w:type="dxa"/>
            <w:vAlign w:val="bottom"/>
            <w:shd w:val="clear" w:color="auto" w:fill="E0F0FB"/>
          </w:tcPr>
          <w:p>
            <w:pPr>
              <w:ind w:left="60"/>
              <w:spacing w:after="0"/>
              <w:rPr>
                <w:sz w:val="20"/>
                <w:szCs w:val="20"/>
                <w:color w:val="auto"/>
              </w:rPr>
            </w:pPr>
            <w:r>
              <w:rPr>
                <w:rFonts w:ascii="Arial" w:cs="Arial" w:eastAsia="Arial" w:hAnsi="Arial"/>
                <w:sz w:val="18"/>
                <w:szCs w:val="18"/>
                <w:color w:val="auto"/>
              </w:rPr>
              <w:t>Shareholders of record on</w:t>
            </w:r>
          </w:p>
        </w:tc>
      </w:tr>
      <w:tr>
        <w:trPr>
          <w:trHeight w:val="205"/>
        </w:trPr>
        <w:tc>
          <w:tcPr>
            <w:tcW w:w="1280" w:type="dxa"/>
            <w:vAlign w:val="bottom"/>
            <w:shd w:val="clear" w:color="auto" w:fill="E0F0FB"/>
          </w:tcPr>
          <w:p>
            <w:pPr>
              <w:spacing w:after="0"/>
              <w:rPr>
                <w:sz w:val="17"/>
                <w:szCs w:val="17"/>
                <w:color w:val="auto"/>
              </w:rPr>
            </w:pPr>
          </w:p>
        </w:tc>
        <w:tc>
          <w:tcPr>
            <w:tcW w:w="2240" w:type="dxa"/>
            <w:vAlign w:val="bottom"/>
            <w:shd w:val="clear" w:color="auto" w:fill="E0F0FB"/>
          </w:tcPr>
          <w:p>
            <w:pPr>
              <w:ind w:left="60"/>
              <w:spacing w:after="0" w:line="205" w:lineRule="exact"/>
              <w:rPr>
                <w:sz w:val="20"/>
                <w:szCs w:val="20"/>
                <w:color w:val="auto"/>
              </w:rPr>
            </w:pPr>
            <w:r>
              <w:rPr>
                <w:rFonts w:ascii="Arial" w:cs="Arial" w:eastAsia="Arial" w:hAnsi="Arial"/>
                <w:sz w:val="18"/>
                <w:szCs w:val="18"/>
                <w:color w:val="auto"/>
              </w:rPr>
              <w:t>8:45 a.m. Eastern Time</w:t>
            </w:r>
          </w:p>
        </w:tc>
        <w:tc>
          <w:tcPr>
            <w:tcW w:w="2380" w:type="dxa"/>
            <w:vAlign w:val="bottom"/>
            <w:shd w:val="clear" w:color="auto" w:fill="E0F0FB"/>
          </w:tcPr>
          <w:p>
            <w:pPr>
              <w:ind w:left="80"/>
              <w:spacing w:after="0" w:line="205" w:lineRule="exact"/>
              <w:rPr>
                <w:sz w:val="20"/>
                <w:szCs w:val="20"/>
                <w:color w:val="auto"/>
              </w:rPr>
            </w:pPr>
            <w:r>
              <w:rPr>
                <w:rFonts w:ascii="Arial" w:cs="Arial" w:eastAsia="Arial" w:hAnsi="Arial"/>
                <w:sz w:val="18"/>
                <w:szCs w:val="18"/>
                <w:i w:val="1"/>
                <w:iCs w:val="1"/>
                <w:color w:val="auto"/>
              </w:rPr>
              <w:t>comcast.onlineshareholder</w:t>
            </w:r>
          </w:p>
        </w:tc>
        <w:tc>
          <w:tcPr>
            <w:tcW w:w="2200" w:type="dxa"/>
            <w:vAlign w:val="bottom"/>
            <w:shd w:val="clear" w:color="auto" w:fill="E0F0FB"/>
          </w:tcPr>
          <w:p>
            <w:pPr>
              <w:ind w:left="60"/>
              <w:spacing w:after="0" w:line="205" w:lineRule="exact"/>
              <w:rPr>
                <w:sz w:val="20"/>
                <w:szCs w:val="20"/>
                <w:color w:val="auto"/>
              </w:rPr>
            </w:pPr>
            <w:r>
              <w:rPr>
                <w:rFonts w:ascii="Arial" w:cs="Arial" w:eastAsia="Arial" w:hAnsi="Arial"/>
                <w:sz w:val="18"/>
                <w:szCs w:val="18"/>
                <w:color w:val="auto"/>
              </w:rPr>
              <w:t>April 8, 2026</w:t>
            </w:r>
          </w:p>
        </w:tc>
      </w:tr>
      <w:tr>
        <w:trPr>
          <w:trHeight w:val="254"/>
        </w:trPr>
        <w:tc>
          <w:tcPr>
            <w:tcW w:w="1280" w:type="dxa"/>
            <w:vAlign w:val="bottom"/>
            <w:shd w:val="clear" w:color="auto" w:fill="E0F0FB"/>
          </w:tcPr>
          <w:p>
            <w:pPr>
              <w:spacing w:after="0"/>
              <w:rPr>
                <w:sz w:val="22"/>
                <w:szCs w:val="22"/>
                <w:color w:val="auto"/>
              </w:rPr>
            </w:pPr>
          </w:p>
        </w:tc>
        <w:tc>
          <w:tcPr>
            <w:tcW w:w="2240" w:type="dxa"/>
            <w:vAlign w:val="bottom"/>
            <w:shd w:val="clear" w:color="auto" w:fill="E0F0FB"/>
          </w:tcPr>
          <w:p>
            <w:pPr>
              <w:ind w:left="60"/>
              <w:spacing w:after="0"/>
              <w:rPr>
                <w:sz w:val="20"/>
                <w:szCs w:val="20"/>
                <w:color w:val="auto"/>
              </w:rPr>
            </w:pPr>
            <w:r>
              <w:rPr>
                <w:rFonts w:ascii="Arial" w:cs="Arial" w:eastAsia="Arial" w:hAnsi="Arial"/>
                <w:sz w:val="18"/>
                <w:szCs w:val="18"/>
                <w:color w:val="auto"/>
              </w:rPr>
              <w:t>Meeting begins: 9:00 a.m.</w:t>
            </w:r>
          </w:p>
        </w:tc>
        <w:tc>
          <w:tcPr>
            <w:tcW w:w="2380" w:type="dxa"/>
            <w:vAlign w:val="bottom"/>
            <w:shd w:val="clear" w:color="auto" w:fill="E0F0FB"/>
          </w:tcPr>
          <w:p>
            <w:pPr>
              <w:ind w:left="80"/>
              <w:spacing w:after="0"/>
              <w:rPr>
                <w:sz w:val="20"/>
                <w:szCs w:val="20"/>
                <w:color w:val="auto"/>
              </w:rPr>
            </w:pPr>
            <w:r>
              <w:rPr>
                <w:rFonts w:ascii="Arial" w:cs="Arial" w:eastAsia="Arial" w:hAnsi="Arial"/>
                <w:sz w:val="18"/>
                <w:szCs w:val="18"/>
                <w:i w:val="1"/>
                <w:iCs w:val="1"/>
                <w:color w:val="auto"/>
              </w:rPr>
              <w:t>meeting.com</w:t>
            </w:r>
          </w:p>
        </w:tc>
        <w:tc>
          <w:tcPr>
            <w:tcW w:w="2200" w:type="dxa"/>
            <w:vAlign w:val="bottom"/>
            <w:shd w:val="clear" w:color="auto" w:fill="E0F0FB"/>
          </w:tcPr>
          <w:p>
            <w:pPr>
              <w:spacing w:after="0"/>
              <w:rPr>
                <w:sz w:val="22"/>
                <w:szCs w:val="22"/>
                <w:color w:val="auto"/>
              </w:rPr>
            </w:pPr>
          </w:p>
        </w:tc>
      </w:tr>
      <w:tr>
        <w:trPr>
          <w:trHeight w:val="221"/>
        </w:trPr>
        <w:tc>
          <w:tcPr>
            <w:tcW w:w="1280" w:type="dxa"/>
            <w:vAlign w:val="bottom"/>
            <w:shd w:val="clear" w:color="auto" w:fill="E0F0FB"/>
          </w:tcPr>
          <w:p>
            <w:pPr>
              <w:spacing w:after="0"/>
              <w:rPr>
                <w:sz w:val="19"/>
                <w:szCs w:val="19"/>
                <w:color w:val="auto"/>
              </w:rPr>
            </w:pPr>
          </w:p>
        </w:tc>
        <w:tc>
          <w:tcPr>
            <w:tcW w:w="2240" w:type="dxa"/>
            <w:vAlign w:val="bottom"/>
            <w:shd w:val="clear" w:color="auto" w:fill="E0F0FB"/>
          </w:tcPr>
          <w:p>
            <w:pPr>
              <w:ind w:left="60"/>
              <w:spacing w:after="0"/>
              <w:rPr>
                <w:sz w:val="20"/>
                <w:szCs w:val="20"/>
                <w:color w:val="auto"/>
              </w:rPr>
            </w:pPr>
            <w:r>
              <w:rPr>
                <w:rFonts w:ascii="Arial" w:cs="Arial" w:eastAsia="Arial" w:hAnsi="Arial"/>
                <w:sz w:val="18"/>
                <w:szCs w:val="18"/>
                <w:color w:val="auto"/>
              </w:rPr>
              <w:t>Eastern Time</w:t>
            </w:r>
          </w:p>
        </w:tc>
        <w:tc>
          <w:tcPr>
            <w:tcW w:w="2380" w:type="dxa"/>
            <w:vAlign w:val="bottom"/>
            <w:shd w:val="clear" w:color="auto" w:fill="E0F0FB"/>
          </w:tcPr>
          <w:p>
            <w:pPr>
              <w:spacing w:after="0"/>
              <w:rPr>
                <w:sz w:val="19"/>
                <w:szCs w:val="19"/>
                <w:color w:val="auto"/>
              </w:rPr>
            </w:pPr>
          </w:p>
        </w:tc>
        <w:tc>
          <w:tcPr>
            <w:tcW w:w="2200" w:type="dxa"/>
            <w:vAlign w:val="bottom"/>
            <w:shd w:val="clear" w:color="auto" w:fill="E0F0FB"/>
          </w:tcPr>
          <w:p>
            <w:pPr>
              <w:spacing w:after="0"/>
              <w:rPr>
                <w:sz w:val="19"/>
                <w:szCs w:val="19"/>
                <w:color w:val="auto"/>
              </w:rPr>
            </w:pPr>
          </w:p>
        </w:tc>
      </w:tr>
    </w:tbl>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4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Voting Items</w:t>
            </w:r>
          </w:p>
        </w:tc>
        <w:tc>
          <w:tcPr>
            <w:tcW w:w="30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Board Voting Recommendation</w:t>
            </w:r>
          </w:p>
        </w:tc>
      </w:tr>
      <w:tr>
        <w:trPr>
          <w:trHeight w:val="278"/>
        </w:trPr>
        <w:tc>
          <w:tcPr>
            <w:tcW w:w="5020" w:type="dxa"/>
            <w:vAlign w:val="bottom"/>
            <w:tcBorders>
              <w:bottom w:val="single" w:sz="8" w:color="DCDDDE"/>
            </w:tcBorders>
          </w:tcPr>
          <w:p>
            <w:pPr>
              <w:ind w:left="40"/>
              <w:spacing w:after="0"/>
              <w:rPr>
                <w:sz w:val="20"/>
                <w:szCs w:val="20"/>
                <w:color w:val="auto"/>
              </w:rPr>
            </w:pPr>
            <w:r>
              <w:rPr>
                <w:rFonts w:ascii="Arial" w:cs="Arial" w:eastAsia="Arial" w:hAnsi="Arial"/>
                <w:sz w:val="18"/>
                <w:szCs w:val="18"/>
                <w:b w:val="1"/>
                <w:bCs w:val="1"/>
                <w:color w:val="00A0DD"/>
              </w:rPr>
              <w:t xml:space="preserve">PROPOSAL 1: </w:t>
            </w:r>
            <w:r>
              <w:rPr>
                <w:rFonts w:ascii="Arial" w:cs="Arial" w:eastAsia="Arial" w:hAnsi="Arial"/>
                <w:sz w:val="18"/>
                <w:szCs w:val="18"/>
                <w:color w:val="000000"/>
              </w:rPr>
              <w:t>Elect Directors</w:t>
            </w:r>
          </w:p>
        </w:tc>
        <w:tc>
          <w:tcPr>
            <w:tcW w:w="3080" w:type="dxa"/>
            <w:vAlign w:val="bottom"/>
            <w:tcBorders>
              <w:bottom w:val="single" w:sz="8" w:color="DCDDDE"/>
            </w:tcBorders>
          </w:tcPr>
          <w:p>
            <w:pPr>
              <w:jc w:val="center"/>
              <w:ind w:left="70"/>
              <w:spacing w:after="0"/>
              <w:rPr>
                <w:sz w:val="20"/>
                <w:szCs w:val="20"/>
                <w:color w:val="auto"/>
              </w:rPr>
            </w:pPr>
            <w:r>
              <w:rPr>
                <w:rFonts w:ascii="Arial" w:cs="Arial" w:eastAsia="Arial" w:hAnsi="Arial"/>
                <w:sz w:val="18"/>
                <w:szCs w:val="18"/>
                <w:b w:val="1"/>
                <w:bCs w:val="1"/>
                <w:color w:val="00A0DD"/>
                <w:w w:val="99"/>
              </w:rPr>
              <w:t xml:space="preserve">FOR </w:t>
            </w:r>
            <w:r>
              <w:rPr>
                <w:rFonts w:ascii="Arial" w:cs="Arial" w:eastAsia="Arial" w:hAnsi="Arial"/>
                <w:sz w:val="18"/>
                <w:szCs w:val="18"/>
                <w:color w:val="000000"/>
                <w:w w:val="99"/>
              </w:rPr>
              <w:t>each nominee</w:t>
            </w:r>
          </w:p>
        </w:tc>
      </w:tr>
      <w:tr>
        <w:trPr>
          <w:trHeight w:val="277"/>
        </w:trPr>
        <w:tc>
          <w:tcPr>
            <w:tcW w:w="5020" w:type="dxa"/>
            <w:vAlign w:val="bottom"/>
            <w:tcBorders>
              <w:bottom w:val="single" w:sz="8" w:color="DCDDDE"/>
            </w:tcBorders>
          </w:tcPr>
          <w:p>
            <w:pPr>
              <w:ind w:left="40"/>
              <w:spacing w:after="0"/>
              <w:rPr>
                <w:sz w:val="20"/>
                <w:szCs w:val="20"/>
                <w:color w:val="auto"/>
              </w:rPr>
            </w:pPr>
            <w:r>
              <w:rPr>
                <w:rFonts w:ascii="Arial" w:cs="Arial" w:eastAsia="Arial" w:hAnsi="Arial"/>
                <w:sz w:val="18"/>
                <w:szCs w:val="18"/>
                <w:b w:val="1"/>
                <w:bCs w:val="1"/>
                <w:color w:val="00A0DD"/>
              </w:rPr>
              <w:t xml:space="preserve">PROPOSAL 2: </w:t>
            </w:r>
            <w:r>
              <w:rPr>
                <w:rFonts w:ascii="Arial" w:cs="Arial" w:eastAsia="Arial" w:hAnsi="Arial"/>
                <w:sz w:val="18"/>
                <w:szCs w:val="18"/>
                <w:color w:val="000000"/>
              </w:rPr>
              <w:t>Ratify appointment of independent auditors</w:t>
            </w:r>
          </w:p>
        </w:tc>
        <w:tc>
          <w:tcPr>
            <w:tcW w:w="3080" w:type="dxa"/>
            <w:vAlign w:val="bottom"/>
            <w:tcBorders>
              <w:bottom w:val="single" w:sz="8" w:color="DCDDDE"/>
            </w:tcBorders>
          </w:tcPr>
          <w:p>
            <w:pPr>
              <w:jc w:val="center"/>
              <w:ind w:left="50"/>
              <w:spacing w:after="0"/>
              <w:rPr>
                <w:sz w:val="20"/>
                <w:szCs w:val="20"/>
                <w:color w:val="auto"/>
              </w:rPr>
            </w:pPr>
            <w:r>
              <w:rPr>
                <w:rFonts w:ascii="Arial" w:cs="Arial" w:eastAsia="Arial" w:hAnsi="Arial"/>
                <w:sz w:val="18"/>
                <w:szCs w:val="18"/>
                <w:b w:val="1"/>
                <w:bCs w:val="1"/>
                <w:color w:val="00A0DD"/>
                <w:w w:val="99"/>
              </w:rPr>
              <w:t>FOR</w:t>
            </w:r>
          </w:p>
        </w:tc>
      </w:tr>
      <w:tr>
        <w:trPr>
          <w:trHeight w:val="224"/>
        </w:trPr>
        <w:tc>
          <w:tcPr>
            <w:tcW w:w="5020" w:type="dxa"/>
            <w:vAlign w:val="bottom"/>
          </w:tcPr>
          <w:p>
            <w:pPr>
              <w:ind w:left="40"/>
              <w:spacing w:after="0"/>
              <w:rPr>
                <w:sz w:val="20"/>
                <w:szCs w:val="20"/>
                <w:color w:val="auto"/>
              </w:rPr>
            </w:pPr>
            <w:r>
              <w:rPr>
                <w:rFonts w:ascii="Arial" w:cs="Arial" w:eastAsia="Arial" w:hAnsi="Arial"/>
                <w:sz w:val="18"/>
                <w:szCs w:val="18"/>
                <w:b w:val="1"/>
                <w:bCs w:val="1"/>
                <w:color w:val="00A0DD"/>
              </w:rPr>
              <w:t xml:space="preserve">PROPOSAL 3: </w:t>
            </w:r>
            <w:r>
              <w:rPr>
                <w:rFonts w:ascii="Arial" w:cs="Arial" w:eastAsia="Arial" w:hAnsi="Arial"/>
                <w:sz w:val="18"/>
                <w:szCs w:val="18"/>
                <w:color w:val="000000"/>
              </w:rPr>
              <w:t>Advisory vote to approve executive</w:t>
            </w:r>
          </w:p>
        </w:tc>
        <w:tc>
          <w:tcPr>
            <w:tcW w:w="3080" w:type="dxa"/>
            <w:vAlign w:val="bottom"/>
          </w:tcPr>
          <w:p>
            <w:pPr>
              <w:jc w:val="center"/>
              <w:ind w:left="50"/>
              <w:spacing w:after="0"/>
              <w:rPr>
                <w:sz w:val="20"/>
                <w:szCs w:val="20"/>
                <w:color w:val="auto"/>
              </w:rPr>
            </w:pPr>
            <w:r>
              <w:rPr>
                <w:rFonts w:ascii="Arial" w:cs="Arial" w:eastAsia="Arial" w:hAnsi="Arial"/>
                <w:sz w:val="18"/>
                <w:szCs w:val="18"/>
                <w:b w:val="1"/>
                <w:bCs w:val="1"/>
                <w:color w:val="00A0DD"/>
                <w:w w:val="99"/>
              </w:rPr>
              <w:t>FOR</w:t>
            </w:r>
          </w:p>
        </w:tc>
      </w:tr>
      <w:tr>
        <w:trPr>
          <w:trHeight w:val="221"/>
        </w:trPr>
        <w:tc>
          <w:tcPr>
            <w:tcW w:w="5020" w:type="dxa"/>
            <w:vAlign w:val="bottom"/>
            <w:tcBorders>
              <w:bottom w:val="single" w:sz="8" w:color="DCDDDE"/>
            </w:tcBorders>
          </w:tcPr>
          <w:p>
            <w:pPr>
              <w:ind w:left="40"/>
              <w:spacing w:after="0"/>
              <w:rPr>
                <w:sz w:val="20"/>
                <w:szCs w:val="20"/>
                <w:color w:val="auto"/>
              </w:rPr>
            </w:pPr>
            <w:r>
              <w:rPr>
                <w:rFonts w:ascii="Arial" w:cs="Arial" w:eastAsia="Arial" w:hAnsi="Arial"/>
                <w:sz w:val="18"/>
                <w:szCs w:val="18"/>
                <w:color w:val="auto"/>
              </w:rPr>
              <w:t>compensation</w:t>
            </w:r>
          </w:p>
        </w:tc>
        <w:tc>
          <w:tcPr>
            <w:tcW w:w="3080" w:type="dxa"/>
            <w:vAlign w:val="bottom"/>
            <w:tcBorders>
              <w:bottom w:val="single" w:sz="8" w:color="DCDDDE"/>
            </w:tcBorders>
          </w:tcPr>
          <w:p>
            <w:pPr>
              <w:spacing w:after="0"/>
              <w:rPr>
                <w:sz w:val="19"/>
                <w:szCs w:val="19"/>
                <w:color w:val="auto"/>
              </w:rPr>
            </w:pPr>
          </w:p>
        </w:tc>
      </w:tr>
      <w:tr>
        <w:trPr>
          <w:trHeight w:val="218"/>
        </w:trPr>
        <w:tc>
          <w:tcPr>
            <w:tcW w:w="5020" w:type="dxa"/>
            <w:vAlign w:val="bottom"/>
          </w:tcPr>
          <w:p>
            <w:pPr>
              <w:ind w:left="40"/>
              <w:spacing w:after="0"/>
              <w:rPr>
                <w:sz w:val="20"/>
                <w:szCs w:val="20"/>
                <w:color w:val="auto"/>
              </w:rPr>
            </w:pPr>
            <w:r>
              <w:rPr>
                <w:rFonts w:ascii="Arial" w:cs="Arial" w:eastAsia="Arial" w:hAnsi="Arial"/>
                <w:sz w:val="18"/>
                <w:szCs w:val="18"/>
                <w:b w:val="1"/>
                <w:bCs w:val="1"/>
                <w:color w:val="7F7F7F"/>
              </w:rPr>
              <w:t xml:space="preserve">PROPOSAL 4: </w:t>
            </w:r>
            <w:r>
              <w:rPr>
                <w:rFonts w:ascii="Arial" w:cs="Arial" w:eastAsia="Arial" w:hAnsi="Arial"/>
                <w:sz w:val="18"/>
                <w:szCs w:val="18"/>
                <w:color w:val="000000"/>
              </w:rPr>
              <w:t>Vote on shareholder proposal if properly</w:t>
            </w:r>
          </w:p>
        </w:tc>
        <w:tc>
          <w:tcPr>
            <w:tcW w:w="3080" w:type="dxa"/>
            <w:vAlign w:val="bottom"/>
          </w:tcPr>
          <w:p>
            <w:pPr>
              <w:jc w:val="center"/>
              <w:ind w:left="70"/>
              <w:spacing w:after="0"/>
              <w:rPr>
                <w:sz w:val="20"/>
                <w:szCs w:val="20"/>
                <w:color w:val="auto"/>
              </w:rPr>
            </w:pPr>
            <w:r>
              <w:rPr>
                <w:rFonts w:ascii="Arial" w:cs="Arial" w:eastAsia="Arial" w:hAnsi="Arial"/>
                <w:sz w:val="18"/>
                <w:szCs w:val="18"/>
                <w:b w:val="1"/>
                <w:bCs w:val="1"/>
                <w:color w:val="7F7F7F"/>
                <w:w w:val="98"/>
              </w:rPr>
              <w:t>AGAINST</w:t>
            </w:r>
          </w:p>
        </w:tc>
      </w:tr>
      <w:tr>
        <w:trPr>
          <w:trHeight w:val="239"/>
        </w:trPr>
        <w:tc>
          <w:tcPr>
            <w:tcW w:w="5020" w:type="dxa"/>
            <w:vAlign w:val="bottom"/>
          </w:tcPr>
          <w:p>
            <w:pPr>
              <w:ind w:left="40"/>
              <w:spacing w:after="0"/>
              <w:rPr>
                <w:sz w:val="20"/>
                <w:szCs w:val="20"/>
                <w:color w:val="auto"/>
              </w:rPr>
            </w:pPr>
            <w:r>
              <w:rPr>
                <w:rFonts w:ascii="Arial" w:cs="Arial" w:eastAsia="Arial" w:hAnsi="Arial"/>
                <w:sz w:val="18"/>
                <w:szCs w:val="18"/>
                <w:color w:val="auto"/>
              </w:rPr>
              <w:t>presented</w:t>
            </w:r>
          </w:p>
        </w:tc>
        <w:tc>
          <w:tcPr>
            <w:tcW w:w="3080" w:type="dxa"/>
            <w:vAlign w:val="bottom"/>
          </w:tcPr>
          <w:p>
            <w:pPr>
              <w:spacing w:after="0"/>
              <w:rPr>
                <w:sz w:val="20"/>
                <w:szCs w:val="20"/>
                <w:color w:val="auto"/>
              </w:rPr>
            </w:pPr>
          </w:p>
        </w:tc>
      </w:tr>
      <w:tr>
        <w:trPr>
          <w:trHeight w:val="23"/>
        </w:trPr>
        <w:tc>
          <w:tcPr>
            <w:tcW w:w="5020" w:type="dxa"/>
            <w:vAlign w:val="bottom"/>
            <w:tcBorders>
              <w:bottom w:val="single" w:sz="8" w:color="DCDDDE"/>
            </w:tcBorders>
          </w:tcPr>
          <w:p>
            <w:pPr>
              <w:spacing w:after="0"/>
              <w:rPr>
                <w:sz w:val="2"/>
                <w:szCs w:val="2"/>
                <w:color w:val="auto"/>
              </w:rPr>
            </w:pPr>
          </w:p>
        </w:tc>
        <w:tc>
          <w:tcPr>
            <w:tcW w:w="3080" w:type="dxa"/>
            <w:vAlign w:val="bottom"/>
            <w:tcBorders>
              <w:bottom w:val="single" w:sz="8" w:color="DCDDDE"/>
            </w:tcBorders>
          </w:tcPr>
          <w:p>
            <w:pPr>
              <w:spacing w:after="0"/>
              <w:rPr>
                <w:sz w:val="2"/>
                <w:szCs w:val="2"/>
                <w:color w:val="auto"/>
              </w:rPr>
            </w:pPr>
          </w:p>
        </w:tc>
      </w:tr>
    </w:tbl>
    <w:p>
      <w:pPr>
        <w:spacing w:after="0" w:line="89" w:lineRule="exact"/>
        <w:rPr>
          <w:sz w:val="20"/>
          <w:szCs w:val="20"/>
          <w:color w:val="auto"/>
        </w:rPr>
      </w:pPr>
    </w:p>
    <w:p>
      <w:pPr>
        <w:ind w:left="460" w:right="559"/>
        <w:spacing w:after="0" w:line="244" w:lineRule="auto"/>
        <w:rPr>
          <w:sz w:val="20"/>
          <w:szCs w:val="20"/>
          <w:color w:val="auto"/>
        </w:rPr>
      </w:pPr>
      <w:r>
        <w:rPr>
          <w:rFonts w:ascii="Arial" w:cs="Arial" w:eastAsia="Arial" w:hAnsi="Arial"/>
          <w:sz w:val="18"/>
          <w:szCs w:val="18"/>
          <w:color w:val="auto"/>
        </w:rPr>
        <w:t>Only shareholders of record on April 8, 2026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“Information about Stock Ownership – Outstanding Shares and Voting Rights” in the attached proxy statement.</w:t>
      </w:r>
    </w:p>
    <w:p>
      <w:pPr>
        <w:spacing w:after="0" w:line="68" w:lineRule="exact"/>
        <w:rPr>
          <w:sz w:val="20"/>
          <w:szCs w:val="20"/>
          <w:color w:val="auto"/>
        </w:rPr>
      </w:pPr>
    </w:p>
    <w:p>
      <w:pPr>
        <w:ind w:left="460" w:right="1199"/>
        <w:spacing w:after="0" w:line="301" w:lineRule="auto"/>
        <w:rPr>
          <w:sz w:val="20"/>
          <w:szCs w:val="20"/>
          <w:color w:val="auto"/>
        </w:rPr>
      </w:pPr>
      <w:r>
        <w:rPr>
          <w:rFonts w:ascii="Arial" w:cs="Arial" w:eastAsia="Arial" w:hAnsi="Arial"/>
          <w:sz w:val="17"/>
          <w:szCs w:val="17"/>
          <w:color w:val="auto"/>
        </w:rPr>
        <w:t>The Notice of Internet Availability of Proxy Materials is being mailed, and the attached proxy statement is being made available, to our shareholders beginning on or about April 24, 2026.</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Please vote your shares promptly. To vote your shares, you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86360</wp:posOffset>
            </wp:positionV>
            <wp:extent cx="31686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6865" cy="29146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69215</wp:posOffset>
            </wp:positionV>
            <wp:extent cx="17145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30861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86360</wp:posOffset>
            </wp:positionV>
            <wp:extent cx="30861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 cy="29146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b w:val="1"/>
          <w:bCs w:val="1"/>
          <w:color w:val="auto"/>
        </w:rPr>
        <w:t>Use the internet, as described in the Notice of Internet Availability of Proxy Materials and on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Call the toll-free telephone number set forth in the attached proxy statement and on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599"/>
        <w:spacing w:after="0" w:line="257" w:lineRule="auto"/>
        <w:rPr>
          <w:sz w:val="20"/>
          <w:szCs w:val="20"/>
          <w:color w:val="auto"/>
        </w:rPr>
      </w:pPr>
      <w:r>
        <w:rPr>
          <w:rFonts w:ascii="Arial" w:cs="Arial" w:eastAsia="Arial" w:hAnsi="Arial"/>
          <w:sz w:val="18"/>
          <w:szCs w:val="18"/>
          <w:b w:val="1"/>
          <w:bCs w:val="1"/>
          <w:color w:val="auto"/>
        </w:rPr>
        <w:t>Complete, sign and date your proxy card and return your proxy card by mail.</w:t>
      </w:r>
    </w:p>
    <w:p>
      <w:pPr>
        <w:spacing w:after="0" w:line="388" w:lineRule="exact"/>
        <w:rPr>
          <w:sz w:val="20"/>
          <w:szCs w:val="20"/>
          <w:color w:val="auto"/>
        </w:rPr>
      </w:pPr>
    </w:p>
    <w:p>
      <w:pPr>
        <w:sectPr>
          <w:pgSz w:w="11900" w:h="16838" w:orient="portrait"/>
          <w:cols w:equalWidth="0" w:num="3">
            <w:col w:w="3060" w:space="140"/>
            <w:col w:w="2560" w:space="140"/>
            <w:col w:w="3119"/>
          </w:cols>
          <w:pgMar w:left="1440" w:top="229"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1320165"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2317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0A0DD"/>
        </w:rPr>
        <w:t>Thomas J. Reid</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Important Notice Regarding the Availability of Proxy Materials for the Annual Meeting of</w:t>
      </w:r>
    </w:p>
    <w:p>
      <w:pPr>
        <w:spacing w:after="0" w:line="14" w:lineRule="exact"/>
        <w:rPr>
          <w:sz w:val="20"/>
          <w:szCs w:val="20"/>
          <w:color w:val="auto"/>
        </w:rPr>
      </w:pPr>
    </w:p>
    <w:p>
      <w:pPr>
        <w:ind w:left="960" w:right="679" w:hanging="329"/>
        <w:spacing w:after="0" w:line="289" w:lineRule="auto"/>
        <w:rPr>
          <w:sz w:val="20"/>
          <w:szCs w:val="20"/>
          <w:color w:val="auto"/>
        </w:rPr>
      </w:pPr>
      <w:r>
        <w:rPr>
          <w:rFonts w:ascii="Arial" w:cs="Arial" w:eastAsia="Arial" w:hAnsi="Arial"/>
          <w:sz w:val="17"/>
          <w:szCs w:val="17"/>
          <w:color w:val="auto"/>
        </w:rPr>
        <w:t xml:space="preserve">Shareholders to Be Held on June 10, 2026: Our proxy statement and our Annual Report on Form 10-K for the fiscal year ended December 31, 2025 are available at </w:t>
      </w:r>
      <w:r>
        <w:rPr>
          <w:rFonts w:ascii="Arial" w:cs="Arial" w:eastAsia="Arial" w:hAnsi="Arial"/>
          <w:sz w:val="17"/>
          <w:szCs w:val="17"/>
          <w:b w:val="1"/>
          <w:bCs w:val="1"/>
          <w:i w:val="1"/>
          <w:iCs w:val="1"/>
          <w:color w:val="auto"/>
        </w:rPr>
        <w:t>www.proxyvote.com</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hanging="646"/>
        <w:spacing w:after="0"/>
        <w:tabs>
          <w:tab w:leader="none" w:pos="11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443865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6" w:name="page7"/>
    <w:bookmarkEnd w:id="6"/>
    <w:p>
      <w:pPr>
        <w:ind w:left="4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36"/>
          <w:szCs w:val="36"/>
          <w:b w:val="1"/>
          <w:bCs w:val="1"/>
          <w:color w:val="auto"/>
        </w:rPr>
        <w:t>Table of Contents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620" w:type="dxa"/>
            <w:vAlign w:val="bottom"/>
            <w:tcBorders>
              <w:bottom w:val="single" w:sz="8" w:color="0000EE"/>
            </w:tcBorders>
            <w:gridSpan w:val="33"/>
          </w:tcPr>
          <w:p>
            <w:pPr>
              <w:spacing w:after="0"/>
              <w:rPr>
                <w:sz w:val="20"/>
                <w:szCs w:val="20"/>
                <w:color w:val="auto"/>
              </w:rPr>
            </w:pPr>
            <w:r>
              <w:rPr>
                <w:rFonts w:ascii="Arial" w:cs="Arial" w:eastAsia="Arial" w:hAnsi="Arial"/>
                <w:sz w:val="18"/>
                <w:szCs w:val="18"/>
                <w:b w:val="1"/>
                <w:bCs w:val="1"/>
                <w:color w:val="auto"/>
              </w:rPr>
              <w:t>Message from Our Chairman and Co-CEO</w:t>
            </w: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183"/>
        </w:trPr>
        <w:tc>
          <w:tcPr>
            <w:tcW w:w="3620" w:type="dxa"/>
            <w:vAlign w:val="bottom"/>
            <w:gridSpan w:val="33"/>
          </w:tcPr>
          <w:p>
            <w:pPr>
              <w:spacing w:after="0" w:line="182" w:lineRule="exact"/>
              <w:rPr>
                <w:sz w:val="20"/>
                <w:szCs w:val="20"/>
                <w:color w:val="auto"/>
              </w:rPr>
            </w:pPr>
            <w:r>
              <w:rPr>
                <w:rFonts w:ascii="Arial" w:cs="Arial" w:eastAsia="Arial" w:hAnsi="Arial"/>
                <w:sz w:val="18"/>
                <w:szCs w:val="18"/>
                <w:b w:val="1"/>
                <w:bCs w:val="1"/>
                <w:color w:val="auto"/>
              </w:rPr>
              <w:t>and Our Lead Independent Director</w:t>
            </w: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80" w:type="dxa"/>
            <w:vAlign w:val="bottom"/>
            <w:tcBorders>
              <w:bottom w:val="single" w:sz="8" w:color="0000EE"/>
            </w:tcBorders>
            <w:gridSpan w:val="20"/>
          </w:tcPr>
          <w:p>
            <w:pPr>
              <w:spacing w:after="0" w:line="156" w:lineRule="exact"/>
              <w:rPr>
                <w:sz w:val="20"/>
                <w:szCs w:val="20"/>
                <w:color w:val="auto"/>
              </w:rPr>
            </w:pPr>
            <w:r>
              <w:rPr>
                <w:rFonts w:ascii="Arial" w:cs="Arial" w:eastAsia="Arial" w:hAnsi="Arial"/>
                <w:sz w:val="18"/>
                <w:szCs w:val="18"/>
                <w:b w:val="1"/>
                <w:bCs w:val="1"/>
                <w:color w:val="auto"/>
              </w:rPr>
              <w:t>Notice of 2026 Annual Meeting of</w:t>
            </w:r>
          </w:p>
        </w:tc>
        <w:tc>
          <w:tcPr>
            <w:tcW w:w="740" w:type="dxa"/>
            <w:vAlign w:val="bottom"/>
            <w:gridSpan w:val="13"/>
          </w:tcPr>
          <w:p>
            <w:pPr>
              <w:spacing w:after="0"/>
              <w:rPr>
                <w:sz w:val="13"/>
                <w:szCs w:val="13"/>
                <w:color w:val="auto"/>
              </w:rPr>
            </w:pP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183"/>
        </w:trPr>
        <w:tc>
          <w:tcPr>
            <w:tcW w:w="3620" w:type="dxa"/>
            <w:vAlign w:val="bottom"/>
            <w:gridSpan w:val="33"/>
          </w:tcPr>
          <w:p>
            <w:pPr>
              <w:spacing w:after="0" w:line="182" w:lineRule="exact"/>
              <w:rPr>
                <w:sz w:val="20"/>
                <w:szCs w:val="20"/>
                <w:color w:val="auto"/>
              </w:rPr>
            </w:pPr>
            <w:r>
              <w:rPr>
                <w:rFonts w:ascii="Arial" w:cs="Arial" w:eastAsia="Arial" w:hAnsi="Arial"/>
                <w:sz w:val="18"/>
                <w:szCs w:val="18"/>
                <w:b w:val="1"/>
                <w:bCs w:val="1"/>
                <w:color w:val="auto"/>
              </w:rPr>
              <w:t>Shareholders of Comcast Corporation</w:t>
            </w: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gridSpan w:val="33"/>
          </w:tcPr>
          <w:p>
            <w:pPr>
              <w:spacing w:after="0" w:line="169" w:lineRule="exact"/>
              <w:rPr>
                <w:sz w:val="20"/>
                <w:szCs w:val="20"/>
                <w:color w:val="auto"/>
              </w:rPr>
            </w:pPr>
            <w:r>
              <w:rPr>
                <w:rFonts w:ascii="Arial" w:cs="Arial" w:eastAsia="Arial" w:hAnsi="Arial"/>
                <w:sz w:val="18"/>
                <w:szCs w:val="18"/>
                <w:b w:val="1"/>
                <w:bCs w:val="1"/>
                <w:color w:val="auto"/>
              </w:rPr>
              <w:t>About Comcast</w:t>
            </w:r>
          </w:p>
        </w:tc>
        <w:tc>
          <w:tcPr>
            <w:tcW w:w="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0"/>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gridSpan w:val="33"/>
          </w:tcPr>
          <w:p>
            <w:pPr>
              <w:spacing w:after="0" w:line="169" w:lineRule="exact"/>
              <w:rPr>
                <w:sz w:val="20"/>
                <w:szCs w:val="20"/>
                <w:color w:val="auto"/>
              </w:rPr>
            </w:pPr>
            <w:r>
              <w:rPr>
                <w:rFonts w:ascii="Arial" w:cs="Arial" w:eastAsia="Arial" w:hAnsi="Arial"/>
                <w:sz w:val="18"/>
                <w:szCs w:val="18"/>
                <w:b w:val="1"/>
                <w:bCs w:val="1"/>
                <w:color w:val="auto"/>
              </w:rPr>
              <w:t>Corporate Governance and Board Matters</w:t>
            </w:r>
          </w:p>
        </w:tc>
        <w:tc>
          <w:tcPr>
            <w:tcW w:w="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1"/>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620" w:type="dxa"/>
            <w:vAlign w:val="bottom"/>
            <w:gridSpan w:val="33"/>
          </w:tcPr>
          <w:p>
            <w:pPr>
              <w:spacing w:after="0" w:line="196" w:lineRule="exact"/>
              <w:rPr>
                <w:sz w:val="20"/>
                <w:szCs w:val="20"/>
                <w:color w:val="auto"/>
              </w:rPr>
            </w:pPr>
            <w:r>
              <w:rPr>
                <w:rFonts w:ascii="Arial" w:cs="Arial" w:eastAsia="Arial" w:hAnsi="Arial"/>
                <w:sz w:val="18"/>
                <w:szCs w:val="18"/>
                <w:b w:val="1"/>
                <w:bCs w:val="1"/>
                <w:color w:val="00A0DD"/>
              </w:rPr>
              <w:t>PROPOSAL 1: Election of Directors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0000EE"/>
              <w:bottom w:val="single" w:sz="8" w:color="00A0DD"/>
            </w:tcBorders>
          </w:tcPr>
          <w:p>
            <w:pPr>
              <w:spacing w:after="0" w:line="20" w:lineRule="exact"/>
              <w:rPr>
                <w:sz w:val="1"/>
                <w:szCs w:val="1"/>
                <w:color w:val="auto"/>
              </w:rPr>
            </w:pPr>
          </w:p>
        </w:tc>
        <w:tc>
          <w:tcPr>
            <w:tcW w:w="360" w:type="dxa"/>
            <w:vAlign w:val="bottom"/>
            <w:tcBorders>
              <w:top w:val="single" w:sz="8" w:color="0000EE"/>
              <w:bottom w:val="single" w:sz="8" w:color="00A0DD"/>
            </w:tcBorders>
          </w:tcPr>
          <w:p>
            <w:pPr>
              <w:spacing w:after="0" w:line="20" w:lineRule="exact"/>
              <w:rPr>
                <w:sz w:val="1"/>
                <w:szCs w:val="1"/>
                <w:color w:val="auto"/>
              </w:rPr>
            </w:pPr>
          </w:p>
        </w:tc>
        <w:tc>
          <w:tcPr>
            <w:tcW w:w="20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480" w:type="dxa"/>
            <w:vAlign w:val="bottom"/>
            <w:tcBorders>
              <w:top w:val="single" w:sz="8" w:color="0000EE"/>
              <w:bottom w:val="single" w:sz="8" w:color="00A0DD"/>
            </w:tcBorders>
          </w:tcPr>
          <w:p>
            <w:pPr>
              <w:spacing w:after="0" w:line="20" w:lineRule="exact"/>
              <w:rPr>
                <w:sz w:val="1"/>
                <w:szCs w:val="1"/>
                <w:color w:val="auto"/>
              </w:rPr>
            </w:pPr>
          </w:p>
        </w:tc>
        <w:tc>
          <w:tcPr>
            <w:tcW w:w="40" w:type="dxa"/>
            <w:vAlign w:val="bottom"/>
            <w:tcBorders>
              <w:top w:val="single" w:sz="8" w:color="0000EE"/>
              <w:bottom w:val="single" w:sz="8" w:color="00A0DD"/>
            </w:tcBorders>
          </w:tcPr>
          <w:p>
            <w:pPr>
              <w:spacing w:after="0" w:line="20" w:lineRule="exact"/>
              <w:rPr>
                <w:sz w:val="1"/>
                <w:szCs w:val="1"/>
                <w:color w:val="auto"/>
              </w:rPr>
            </w:pPr>
          </w:p>
        </w:tc>
        <w:tc>
          <w:tcPr>
            <w:tcW w:w="180" w:type="dxa"/>
            <w:vAlign w:val="bottom"/>
            <w:tcBorders>
              <w:top w:val="single" w:sz="8" w:color="0000EE"/>
              <w:bottom w:val="single" w:sz="8" w:color="00A0DD"/>
            </w:tcBorders>
          </w:tcPr>
          <w:p>
            <w:pPr>
              <w:spacing w:after="0" w:line="20" w:lineRule="exact"/>
              <w:rPr>
                <w:sz w:val="1"/>
                <w:szCs w:val="1"/>
                <w:color w:val="auto"/>
              </w:rPr>
            </w:pPr>
          </w:p>
        </w:tc>
        <w:tc>
          <w:tcPr>
            <w:tcW w:w="26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16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20" w:type="dxa"/>
            <w:vAlign w:val="bottom"/>
            <w:tcBorders>
              <w:top w:val="single" w:sz="8" w:color="0000EE"/>
              <w:bottom w:val="single" w:sz="8" w:color="00A0DD"/>
            </w:tcBorders>
          </w:tcPr>
          <w:p>
            <w:pPr>
              <w:spacing w:after="0" w:line="20" w:lineRule="exact"/>
              <w:rPr>
                <w:sz w:val="1"/>
                <w:szCs w:val="1"/>
                <w:color w:val="auto"/>
              </w:rPr>
            </w:pPr>
          </w:p>
        </w:tc>
        <w:tc>
          <w:tcPr>
            <w:tcW w:w="6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60" w:type="dxa"/>
            <w:vAlign w:val="bottom"/>
            <w:tcBorders>
              <w:top w:val="single" w:sz="8" w:color="0000EE"/>
              <w:bottom w:val="single" w:sz="8" w:color="00A0DD"/>
            </w:tcBorders>
          </w:tcPr>
          <w:p>
            <w:pPr>
              <w:spacing w:after="0" w:line="20" w:lineRule="exact"/>
              <w:rPr>
                <w:sz w:val="1"/>
                <w:szCs w:val="1"/>
                <w:color w:val="auto"/>
              </w:rPr>
            </w:pPr>
          </w:p>
        </w:tc>
        <w:tc>
          <w:tcPr>
            <w:tcW w:w="80" w:type="dxa"/>
            <w:vAlign w:val="bottom"/>
            <w:tcBorders>
              <w:top w:val="single" w:sz="8" w:color="0000EE"/>
              <w:bottom w:val="single" w:sz="8" w:color="00A0DD"/>
            </w:tcBorders>
          </w:tcPr>
          <w:p>
            <w:pPr>
              <w:spacing w:after="0" w:line="20" w:lineRule="exact"/>
              <w:rPr>
                <w:sz w:val="1"/>
                <w:szCs w:val="1"/>
                <w:color w:val="auto"/>
              </w:rPr>
            </w:pPr>
          </w:p>
        </w:tc>
        <w:tc>
          <w:tcPr>
            <w:tcW w:w="40" w:type="dxa"/>
            <w:vAlign w:val="bottom"/>
            <w:tcBorders>
              <w:top w:val="single" w:sz="8" w:color="0000EE"/>
              <w:bottom w:val="single" w:sz="8" w:color="00A0DD"/>
            </w:tcBorders>
          </w:tcPr>
          <w:p>
            <w:pPr>
              <w:spacing w:after="0" w:line="20" w:lineRule="exact"/>
              <w:rPr>
                <w:sz w:val="1"/>
                <w:szCs w:val="1"/>
                <w:color w:val="auto"/>
              </w:rPr>
            </w:pPr>
          </w:p>
        </w:tc>
        <w:tc>
          <w:tcPr>
            <w:tcW w:w="280" w:type="dxa"/>
            <w:vAlign w:val="bottom"/>
            <w:tcBorders>
              <w:top w:val="single" w:sz="8" w:color="0000EE"/>
              <w:bottom w:val="single" w:sz="8" w:color="00A0DD"/>
            </w:tcBorders>
          </w:tcPr>
          <w:p>
            <w:pPr>
              <w:spacing w:after="0" w:line="20" w:lineRule="exact"/>
              <w:rPr>
                <w:sz w:val="1"/>
                <w:szCs w:val="1"/>
                <w:color w:val="auto"/>
              </w:rPr>
            </w:pPr>
          </w:p>
        </w:tc>
        <w:tc>
          <w:tcPr>
            <w:tcW w:w="40" w:type="dxa"/>
            <w:vAlign w:val="bottom"/>
            <w:tcBorders>
              <w:top w:val="single" w:sz="8" w:color="0000EE"/>
              <w:bottom w:val="single" w:sz="8" w:color="00A0DD"/>
            </w:tcBorders>
          </w:tcPr>
          <w:p>
            <w:pPr>
              <w:spacing w:after="0" w:line="20" w:lineRule="exact"/>
              <w:rPr>
                <w:sz w:val="1"/>
                <w:szCs w:val="1"/>
                <w:color w:val="auto"/>
              </w:rPr>
            </w:pPr>
          </w:p>
        </w:tc>
        <w:tc>
          <w:tcPr>
            <w:tcW w:w="8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40" w:type="dxa"/>
            <w:vAlign w:val="bottom"/>
            <w:tcBorders>
              <w:top w:val="single" w:sz="8" w:color="0000EE"/>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1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60" w:type="dxa"/>
            <w:vAlign w:val="bottom"/>
            <w:tcBorders>
              <w:bottom w:val="single" w:sz="8" w:color="00A0D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0000EE"/>
            </w:tcBorders>
            <w:gridSpan w:val="13"/>
          </w:tcPr>
          <w:p>
            <w:pPr>
              <w:spacing w:after="0" w:line="169" w:lineRule="exact"/>
              <w:rPr>
                <w:sz w:val="20"/>
                <w:szCs w:val="20"/>
                <w:color w:val="auto"/>
              </w:rPr>
            </w:pPr>
            <w:r>
              <w:rPr>
                <w:rFonts w:ascii="Arial" w:cs="Arial" w:eastAsia="Arial" w:hAnsi="Arial"/>
                <w:sz w:val="17"/>
                <w:szCs w:val="17"/>
                <w:color w:val="auto"/>
                <w:w w:val="99"/>
              </w:rPr>
              <w:t>Board of Directors Nominees</w:t>
            </w:r>
          </w:p>
        </w:tc>
        <w:tc>
          <w:tcPr>
            <w:tcW w:w="1420" w:type="dxa"/>
            <w:vAlign w:val="bottom"/>
            <w:gridSpan w:val="20"/>
          </w:tcPr>
          <w:p>
            <w:pPr>
              <w:spacing w:after="0"/>
              <w:rPr>
                <w:sz w:val="14"/>
                <w:szCs w:val="14"/>
                <w:color w:val="auto"/>
              </w:rPr>
            </w:pPr>
          </w:p>
        </w:tc>
        <w:tc>
          <w:tcPr>
            <w:tcW w:w="28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3620" w:type="dxa"/>
            <w:vAlign w:val="bottom"/>
            <w:gridSpan w:val="33"/>
          </w:tcPr>
          <w:p>
            <w:pPr>
              <w:spacing w:after="0"/>
              <w:rPr>
                <w:sz w:val="20"/>
                <w:szCs w:val="20"/>
                <w:color w:val="auto"/>
              </w:rPr>
            </w:pPr>
            <w:r>
              <w:rPr>
                <w:rFonts w:ascii="Arial" w:cs="Arial" w:eastAsia="Arial" w:hAnsi="Arial"/>
                <w:sz w:val="17"/>
                <w:szCs w:val="17"/>
                <w:color w:val="auto"/>
              </w:rPr>
              <w:t>Board Structure and Responsibilities</w:t>
            </w:r>
          </w:p>
        </w:tc>
        <w:tc>
          <w:tcPr>
            <w:tcW w:w="2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gridSpan w:val="33"/>
          </w:tcPr>
          <w:p>
            <w:pPr>
              <w:spacing w:after="0" w:line="183" w:lineRule="exact"/>
              <w:rPr>
                <w:sz w:val="20"/>
                <w:szCs w:val="20"/>
                <w:color w:val="auto"/>
              </w:rPr>
            </w:pPr>
            <w:r>
              <w:rPr>
                <w:rFonts w:ascii="Arial" w:cs="Arial" w:eastAsia="Arial" w:hAnsi="Arial"/>
                <w:sz w:val="17"/>
                <w:szCs w:val="17"/>
                <w:color w:val="auto"/>
              </w:rPr>
              <w:t>Corporate Governance Practices, Policies and</w:t>
            </w:r>
          </w:p>
        </w:tc>
        <w:tc>
          <w:tcPr>
            <w:tcW w:w="280" w:type="dxa"/>
            <w:vAlign w:val="bottom"/>
            <w:gridSpan w:val="2"/>
            <w:vMerge w:val="restart"/>
          </w:tcPr>
          <w:p>
            <w:pPr>
              <w:jc w:val="center"/>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69"/>
        </w:trPr>
        <w:tc>
          <w:tcPr>
            <w:tcW w:w="356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7"/>
                <w:szCs w:val="17"/>
                <w:color w:val="auto"/>
              </w:rPr>
              <w:t>Processes</w:t>
            </w:r>
          </w:p>
        </w:tc>
        <w:tc>
          <w:tcPr>
            <w:tcW w:w="60" w:type="dxa"/>
            <w:vAlign w:val="bottom"/>
            <w:gridSpan w:val="2"/>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gridSpan w:val="33"/>
          </w:tcPr>
          <w:p>
            <w:pPr>
              <w:spacing w:after="0" w:line="169" w:lineRule="exact"/>
              <w:rPr>
                <w:sz w:val="20"/>
                <w:szCs w:val="20"/>
                <w:color w:val="auto"/>
              </w:rPr>
            </w:pPr>
            <w:r>
              <w:rPr>
                <w:rFonts w:ascii="Arial" w:cs="Arial" w:eastAsia="Arial" w:hAnsi="Arial"/>
                <w:sz w:val="18"/>
                <w:szCs w:val="18"/>
                <w:b w:val="1"/>
                <w:bCs w:val="1"/>
                <w:color w:val="auto"/>
              </w:rPr>
              <w:t>Audit Committee Matters</w:t>
            </w:r>
          </w:p>
        </w:tc>
        <w:tc>
          <w:tcPr>
            <w:tcW w:w="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24</w:t>
            </w:r>
          </w:p>
        </w:tc>
        <w:tc>
          <w:tcPr>
            <w:tcW w:w="0" w:type="dxa"/>
            <w:vAlign w:val="bottom"/>
          </w:tcPr>
          <w:p>
            <w:pPr>
              <w:spacing w:after="0"/>
              <w:rPr>
                <w:sz w:val="1"/>
                <w:szCs w:val="1"/>
                <w:color w:val="auto"/>
              </w:rPr>
            </w:pPr>
          </w:p>
        </w:tc>
      </w:tr>
      <w:tr>
        <w:trPr>
          <w:trHeight w:val="21"/>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gridSpan w:val="33"/>
          </w:tcPr>
          <w:p>
            <w:pPr>
              <w:spacing w:after="0" w:line="169" w:lineRule="exact"/>
              <w:rPr>
                <w:sz w:val="20"/>
                <w:szCs w:val="20"/>
                <w:color w:val="auto"/>
              </w:rPr>
            </w:pPr>
            <w:r>
              <w:rPr>
                <w:rFonts w:ascii="Arial" w:cs="Arial" w:eastAsia="Arial" w:hAnsi="Arial"/>
                <w:sz w:val="18"/>
                <w:szCs w:val="18"/>
                <w:b w:val="1"/>
                <w:bCs w:val="1"/>
                <w:color w:val="00A0DD"/>
              </w:rPr>
              <w:t>PROPOSAL 2: Ratify Appointment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b w:val="1"/>
                <w:bCs w:val="1"/>
                <w:color w:val="00A0DD"/>
              </w:rPr>
              <w:t>Independent Auditors</w:t>
            </w: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0000EE"/>
              <w:bottom w:val="single" w:sz="8" w:color="00A0DD"/>
            </w:tcBorders>
          </w:tcPr>
          <w:p>
            <w:pPr>
              <w:spacing w:after="0" w:line="20" w:lineRule="exact"/>
              <w:rPr>
                <w:sz w:val="1"/>
                <w:szCs w:val="1"/>
                <w:color w:val="auto"/>
              </w:rPr>
            </w:pPr>
          </w:p>
        </w:tc>
        <w:tc>
          <w:tcPr>
            <w:tcW w:w="360" w:type="dxa"/>
            <w:vAlign w:val="bottom"/>
            <w:tcBorders>
              <w:top w:val="single" w:sz="8" w:color="0000EE"/>
              <w:bottom w:val="single" w:sz="8" w:color="00A0DD"/>
            </w:tcBorders>
          </w:tcPr>
          <w:p>
            <w:pPr>
              <w:spacing w:after="0" w:line="20" w:lineRule="exact"/>
              <w:rPr>
                <w:sz w:val="1"/>
                <w:szCs w:val="1"/>
                <w:color w:val="auto"/>
              </w:rPr>
            </w:pPr>
          </w:p>
        </w:tc>
        <w:tc>
          <w:tcPr>
            <w:tcW w:w="20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480" w:type="dxa"/>
            <w:vAlign w:val="bottom"/>
            <w:tcBorders>
              <w:top w:val="single" w:sz="8" w:color="0000EE"/>
              <w:bottom w:val="single" w:sz="8" w:color="00A0DD"/>
            </w:tcBorders>
          </w:tcPr>
          <w:p>
            <w:pPr>
              <w:spacing w:after="0" w:line="20" w:lineRule="exact"/>
              <w:rPr>
                <w:sz w:val="1"/>
                <w:szCs w:val="1"/>
                <w:color w:val="auto"/>
              </w:rPr>
            </w:pPr>
          </w:p>
        </w:tc>
        <w:tc>
          <w:tcPr>
            <w:tcW w:w="40" w:type="dxa"/>
            <w:vAlign w:val="bottom"/>
            <w:tcBorders>
              <w:top w:val="single" w:sz="8" w:color="0000EE"/>
              <w:bottom w:val="single" w:sz="8" w:color="00A0DD"/>
            </w:tcBorders>
          </w:tcPr>
          <w:p>
            <w:pPr>
              <w:spacing w:after="0" w:line="20" w:lineRule="exact"/>
              <w:rPr>
                <w:sz w:val="1"/>
                <w:szCs w:val="1"/>
                <w:color w:val="auto"/>
              </w:rPr>
            </w:pPr>
          </w:p>
        </w:tc>
        <w:tc>
          <w:tcPr>
            <w:tcW w:w="180" w:type="dxa"/>
            <w:vAlign w:val="bottom"/>
            <w:tcBorders>
              <w:top w:val="single" w:sz="8" w:color="0000EE"/>
              <w:bottom w:val="single" w:sz="8" w:color="00A0DD"/>
            </w:tcBorders>
          </w:tcPr>
          <w:p>
            <w:pPr>
              <w:spacing w:after="0" w:line="20" w:lineRule="exact"/>
              <w:rPr>
                <w:sz w:val="1"/>
                <w:szCs w:val="1"/>
                <w:color w:val="auto"/>
              </w:rPr>
            </w:pPr>
          </w:p>
        </w:tc>
        <w:tc>
          <w:tcPr>
            <w:tcW w:w="26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160" w:type="dxa"/>
            <w:vAlign w:val="bottom"/>
            <w:tcBorders>
              <w:bottom w:val="single" w:sz="8" w:color="00A0DD"/>
            </w:tcBorders>
          </w:tcPr>
          <w:p>
            <w:pPr>
              <w:spacing w:after="0" w:line="20" w:lineRule="exact"/>
              <w:rPr>
                <w:sz w:val="1"/>
                <w:szCs w:val="1"/>
                <w:color w:val="auto"/>
              </w:rPr>
            </w:pPr>
          </w:p>
        </w:tc>
        <w:tc>
          <w:tcPr>
            <w:tcW w:w="10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60" w:type="dxa"/>
            <w:vAlign w:val="bottom"/>
            <w:tcBorders>
              <w:bottom w:val="single" w:sz="8" w:color="00A0DD"/>
            </w:tcBorders>
          </w:tcPr>
          <w:p>
            <w:pPr>
              <w:spacing w:after="0" w:line="20" w:lineRule="exact"/>
              <w:rPr>
                <w:sz w:val="1"/>
                <w:szCs w:val="1"/>
                <w:color w:val="auto"/>
              </w:rPr>
            </w:pPr>
          </w:p>
        </w:tc>
        <w:tc>
          <w:tcPr>
            <w:tcW w:w="100" w:type="dxa"/>
            <w:vAlign w:val="bottom"/>
            <w:tcBorders>
              <w:bottom w:val="single" w:sz="8" w:color="00A0DD"/>
            </w:tcBorders>
          </w:tcPr>
          <w:p>
            <w:pPr>
              <w:spacing w:after="0" w:line="20" w:lineRule="exact"/>
              <w:rPr>
                <w:sz w:val="1"/>
                <w:szCs w:val="1"/>
                <w:color w:val="auto"/>
              </w:rPr>
            </w:pPr>
          </w:p>
        </w:tc>
        <w:tc>
          <w:tcPr>
            <w:tcW w:w="60" w:type="dxa"/>
            <w:vAlign w:val="bottom"/>
            <w:tcBorders>
              <w:bottom w:val="single" w:sz="8" w:color="00A0DD"/>
            </w:tcBorders>
          </w:tcPr>
          <w:p>
            <w:pPr>
              <w:spacing w:after="0" w:line="20" w:lineRule="exact"/>
              <w:rPr>
                <w:sz w:val="1"/>
                <w:szCs w:val="1"/>
                <w:color w:val="auto"/>
              </w:rPr>
            </w:pPr>
          </w:p>
        </w:tc>
        <w:tc>
          <w:tcPr>
            <w:tcW w:w="8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8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80" w:type="dxa"/>
            <w:vAlign w:val="bottom"/>
            <w:tcBorders>
              <w:bottom w:val="single" w:sz="8" w:color="00A0DD"/>
            </w:tcBorders>
          </w:tcPr>
          <w:p>
            <w:pPr>
              <w:spacing w:after="0" w:line="20" w:lineRule="exact"/>
              <w:rPr>
                <w:sz w:val="1"/>
                <w:szCs w:val="1"/>
                <w:color w:val="auto"/>
              </w:rPr>
            </w:pPr>
          </w:p>
        </w:tc>
        <w:tc>
          <w:tcPr>
            <w:tcW w:w="10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1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60" w:type="dxa"/>
            <w:vAlign w:val="bottom"/>
            <w:tcBorders>
              <w:bottom w:val="single" w:sz="8" w:color="00A0D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620" w:type="dxa"/>
            <w:vAlign w:val="bottom"/>
            <w:gridSpan w:val="33"/>
          </w:tcPr>
          <w:p>
            <w:pPr>
              <w:spacing w:after="0" w:line="155" w:lineRule="exact"/>
              <w:rPr>
                <w:sz w:val="20"/>
                <w:szCs w:val="20"/>
                <w:color w:val="auto"/>
              </w:rPr>
            </w:pPr>
            <w:r>
              <w:rPr>
                <w:rFonts w:ascii="Arial" w:cs="Arial" w:eastAsia="Arial" w:hAnsi="Arial"/>
                <w:sz w:val="17"/>
                <w:szCs w:val="17"/>
                <w:color w:val="auto"/>
              </w:rPr>
              <w:t>Report of the Audit Committee</w:t>
            </w:r>
          </w:p>
        </w:tc>
        <w:tc>
          <w:tcPr>
            <w:tcW w:w="280" w:type="dxa"/>
            <w:vAlign w:val="bottom"/>
            <w:gridSpan w:val="2"/>
          </w:tcPr>
          <w:p>
            <w:pPr>
              <w:jc w:val="center"/>
              <w:spacing w:after="0" w:line="155"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gridSpan w:val="33"/>
          </w:tcPr>
          <w:p>
            <w:pPr>
              <w:spacing w:after="0" w:line="169" w:lineRule="exact"/>
              <w:rPr>
                <w:sz w:val="20"/>
                <w:szCs w:val="20"/>
                <w:color w:val="auto"/>
              </w:rPr>
            </w:pPr>
            <w:r>
              <w:rPr>
                <w:rFonts w:ascii="Arial" w:cs="Arial" w:eastAsia="Arial" w:hAnsi="Arial"/>
                <w:sz w:val="18"/>
                <w:szCs w:val="18"/>
                <w:b w:val="1"/>
                <w:bCs w:val="1"/>
                <w:color w:val="auto"/>
              </w:rPr>
              <w:t>Executive Compensation</w:t>
            </w:r>
          </w:p>
        </w:tc>
        <w:tc>
          <w:tcPr>
            <w:tcW w:w="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28</w:t>
            </w:r>
          </w:p>
        </w:tc>
        <w:tc>
          <w:tcPr>
            <w:tcW w:w="0" w:type="dxa"/>
            <w:vAlign w:val="bottom"/>
          </w:tcPr>
          <w:p>
            <w:pPr>
              <w:spacing w:after="0"/>
              <w:rPr>
                <w:sz w:val="1"/>
                <w:szCs w:val="1"/>
                <w:color w:val="auto"/>
              </w:rPr>
            </w:pPr>
          </w:p>
        </w:tc>
      </w:tr>
      <w:tr>
        <w:trPr>
          <w:trHeight w:val="21"/>
        </w:trPr>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gridSpan w:val="33"/>
          </w:tcPr>
          <w:p>
            <w:pPr>
              <w:spacing w:after="0" w:line="169" w:lineRule="exact"/>
              <w:rPr>
                <w:sz w:val="20"/>
                <w:szCs w:val="20"/>
                <w:color w:val="auto"/>
              </w:rPr>
            </w:pPr>
            <w:r>
              <w:rPr>
                <w:rFonts w:ascii="Arial" w:cs="Arial" w:eastAsia="Arial" w:hAnsi="Arial"/>
                <w:sz w:val="18"/>
                <w:szCs w:val="18"/>
                <w:b w:val="1"/>
                <w:bCs w:val="1"/>
                <w:color w:val="00A0DD"/>
              </w:rPr>
              <w:t>PROPOSAL 3: Advisory Vote to Approve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2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b w:val="1"/>
                <w:bCs w:val="1"/>
                <w:color w:val="00A0DD"/>
              </w:rPr>
              <w:t>Executive Compensation</w:t>
            </w: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0000EE"/>
              <w:bottom w:val="single" w:sz="8" w:color="00A0DD"/>
            </w:tcBorders>
          </w:tcPr>
          <w:p>
            <w:pPr>
              <w:spacing w:after="0" w:line="20" w:lineRule="exact"/>
              <w:rPr>
                <w:sz w:val="1"/>
                <w:szCs w:val="1"/>
                <w:color w:val="auto"/>
              </w:rPr>
            </w:pPr>
          </w:p>
        </w:tc>
        <w:tc>
          <w:tcPr>
            <w:tcW w:w="360" w:type="dxa"/>
            <w:vAlign w:val="bottom"/>
            <w:tcBorders>
              <w:top w:val="single" w:sz="8" w:color="0000EE"/>
              <w:bottom w:val="single" w:sz="8" w:color="00A0DD"/>
            </w:tcBorders>
          </w:tcPr>
          <w:p>
            <w:pPr>
              <w:spacing w:after="0" w:line="20" w:lineRule="exact"/>
              <w:rPr>
                <w:sz w:val="1"/>
                <w:szCs w:val="1"/>
                <w:color w:val="auto"/>
              </w:rPr>
            </w:pPr>
          </w:p>
        </w:tc>
        <w:tc>
          <w:tcPr>
            <w:tcW w:w="20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480" w:type="dxa"/>
            <w:vAlign w:val="bottom"/>
            <w:tcBorders>
              <w:top w:val="single" w:sz="8" w:color="0000EE"/>
              <w:bottom w:val="single" w:sz="8" w:color="00A0DD"/>
            </w:tcBorders>
          </w:tcPr>
          <w:p>
            <w:pPr>
              <w:spacing w:after="0" w:line="20" w:lineRule="exact"/>
              <w:rPr>
                <w:sz w:val="1"/>
                <w:szCs w:val="1"/>
                <w:color w:val="auto"/>
              </w:rPr>
            </w:pPr>
          </w:p>
        </w:tc>
        <w:tc>
          <w:tcPr>
            <w:tcW w:w="40" w:type="dxa"/>
            <w:vAlign w:val="bottom"/>
            <w:tcBorders>
              <w:top w:val="single" w:sz="8" w:color="0000EE"/>
              <w:bottom w:val="single" w:sz="8" w:color="00A0DD"/>
            </w:tcBorders>
          </w:tcPr>
          <w:p>
            <w:pPr>
              <w:spacing w:after="0" w:line="20" w:lineRule="exact"/>
              <w:rPr>
                <w:sz w:val="1"/>
                <w:szCs w:val="1"/>
                <w:color w:val="auto"/>
              </w:rPr>
            </w:pPr>
          </w:p>
        </w:tc>
        <w:tc>
          <w:tcPr>
            <w:tcW w:w="180" w:type="dxa"/>
            <w:vAlign w:val="bottom"/>
            <w:tcBorders>
              <w:top w:val="single" w:sz="8" w:color="0000EE"/>
              <w:bottom w:val="single" w:sz="8" w:color="00A0DD"/>
            </w:tcBorders>
          </w:tcPr>
          <w:p>
            <w:pPr>
              <w:spacing w:after="0" w:line="20" w:lineRule="exact"/>
              <w:rPr>
                <w:sz w:val="1"/>
                <w:szCs w:val="1"/>
                <w:color w:val="auto"/>
              </w:rPr>
            </w:pPr>
          </w:p>
        </w:tc>
        <w:tc>
          <w:tcPr>
            <w:tcW w:w="26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160" w:type="dxa"/>
            <w:vAlign w:val="bottom"/>
            <w:tcBorders>
              <w:top w:val="single" w:sz="8" w:color="0000EE"/>
              <w:bottom w:val="single" w:sz="8" w:color="00A0DD"/>
            </w:tcBorders>
          </w:tcPr>
          <w:p>
            <w:pPr>
              <w:spacing w:after="0" w:line="20" w:lineRule="exact"/>
              <w:rPr>
                <w:sz w:val="1"/>
                <w:szCs w:val="1"/>
                <w:color w:val="auto"/>
              </w:rPr>
            </w:pPr>
          </w:p>
        </w:tc>
        <w:tc>
          <w:tcPr>
            <w:tcW w:w="100" w:type="dxa"/>
            <w:vAlign w:val="bottom"/>
            <w:tcBorders>
              <w:top w:val="single" w:sz="8" w:color="0000EE"/>
              <w:bottom w:val="single" w:sz="8" w:color="00A0DD"/>
            </w:tcBorders>
          </w:tcPr>
          <w:p>
            <w:pPr>
              <w:spacing w:after="0" w:line="20" w:lineRule="exact"/>
              <w:rPr>
                <w:sz w:val="1"/>
                <w:szCs w:val="1"/>
                <w:color w:val="auto"/>
              </w:rPr>
            </w:pPr>
          </w:p>
        </w:tc>
        <w:tc>
          <w:tcPr>
            <w:tcW w:w="20" w:type="dxa"/>
            <w:vAlign w:val="bottom"/>
            <w:tcBorders>
              <w:top w:val="single" w:sz="8" w:color="0000EE"/>
              <w:bottom w:val="single" w:sz="8" w:color="00A0DD"/>
            </w:tcBorders>
          </w:tcPr>
          <w:p>
            <w:pPr>
              <w:spacing w:after="0" w:line="20" w:lineRule="exact"/>
              <w:rPr>
                <w:sz w:val="1"/>
                <w:szCs w:val="1"/>
                <w:color w:val="auto"/>
              </w:rPr>
            </w:pPr>
          </w:p>
        </w:tc>
        <w:tc>
          <w:tcPr>
            <w:tcW w:w="60" w:type="dxa"/>
            <w:vAlign w:val="bottom"/>
            <w:tcBorders>
              <w:bottom w:val="single" w:sz="8" w:color="00A0DD"/>
            </w:tcBorders>
          </w:tcPr>
          <w:p>
            <w:pPr>
              <w:spacing w:after="0" w:line="20" w:lineRule="exact"/>
              <w:rPr>
                <w:sz w:val="1"/>
                <w:szCs w:val="1"/>
                <w:color w:val="auto"/>
              </w:rPr>
            </w:pPr>
          </w:p>
        </w:tc>
        <w:tc>
          <w:tcPr>
            <w:tcW w:w="100" w:type="dxa"/>
            <w:vAlign w:val="bottom"/>
            <w:tcBorders>
              <w:bottom w:val="single" w:sz="8" w:color="00A0DD"/>
            </w:tcBorders>
          </w:tcPr>
          <w:p>
            <w:pPr>
              <w:spacing w:after="0" w:line="20" w:lineRule="exact"/>
              <w:rPr>
                <w:sz w:val="1"/>
                <w:szCs w:val="1"/>
                <w:color w:val="auto"/>
              </w:rPr>
            </w:pPr>
          </w:p>
        </w:tc>
        <w:tc>
          <w:tcPr>
            <w:tcW w:w="60" w:type="dxa"/>
            <w:vAlign w:val="bottom"/>
            <w:tcBorders>
              <w:bottom w:val="single" w:sz="8" w:color="00A0DD"/>
            </w:tcBorders>
          </w:tcPr>
          <w:p>
            <w:pPr>
              <w:spacing w:after="0" w:line="20" w:lineRule="exact"/>
              <w:rPr>
                <w:sz w:val="1"/>
                <w:szCs w:val="1"/>
                <w:color w:val="auto"/>
              </w:rPr>
            </w:pPr>
          </w:p>
        </w:tc>
        <w:tc>
          <w:tcPr>
            <w:tcW w:w="8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8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80" w:type="dxa"/>
            <w:vAlign w:val="bottom"/>
            <w:tcBorders>
              <w:bottom w:val="single" w:sz="8" w:color="00A0DD"/>
            </w:tcBorders>
          </w:tcPr>
          <w:p>
            <w:pPr>
              <w:spacing w:after="0" w:line="20" w:lineRule="exact"/>
              <w:rPr>
                <w:sz w:val="1"/>
                <w:szCs w:val="1"/>
                <w:color w:val="auto"/>
              </w:rPr>
            </w:pPr>
          </w:p>
        </w:tc>
        <w:tc>
          <w:tcPr>
            <w:tcW w:w="10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1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40" w:type="dxa"/>
            <w:vAlign w:val="bottom"/>
            <w:tcBorders>
              <w:bottom w:val="single" w:sz="8" w:color="00A0DD"/>
            </w:tcBorders>
          </w:tcPr>
          <w:p>
            <w:pPr>
              <w:spacing w:after="0" w:line="20" w:lineRule="exact"/>
              <w:rPr>
                <w:sz w:val="1"/>
                <w:szCs w:val="1"/>
                <w:color w:val="auto"/>
              </w:rPr>
            </w:pPr>
          </w:p>
        </w:tc>
        <w:tc>
          <w:tcPr>
            <w:tcW w:w="20" w:type="dxa"/>
            <w:vAlign w:val="bottom"/>
            <w:tcBorders>
              <w:bottom w:val="single" w:sz="8" w:color="00A0DD"/>
            </w:tcBorders>
          </w:tcPr>
          <w:p>
            <w:pPr>
              <w:spacing w:after="0" w:line="20" w:lineRule="exact"/>
              <w:rPr>
                <w:sz w:val="1"/>
                <w:szCs w:val="1"/>
                <w:color w:val="auto"/>
              </w:rPr>
            </w:pPr>
          </w:p>
        </w:tc>
        <w:tc>
          <w:tcPr>
            <w:tcW w:w="260" w:type="dxa"/>
            <w:vAlign w:val="bottom"/>
            <w:tcBorders>
              <w:bottom w:val="single" w:sz="8" w:color="00A0D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620" w:type="dxa"/>
            <w:vAlign w:val="bottom"/>
            <w:gridSpan w:val="33"/>
          </w:tcPr>
          <w:p>
            <w:pPr>
              <w:spacing w:after="0" w:line="155" w:lineRule="exact"/>
              <w:rPr>
                <w:sz w:val="20"/>
                <w:szCs w:val="20"/>
                <w:color w:val="auto"/>
              </w:rPr>
            </w:pPr>
            <w:r>
              <w:rPr>
                <w:rFonts w:ascii="Arial" w:cs="Arial" w:eastAsia="Arial" w:hAnsi="Arial"/>
                <w:sz w:val="17"/>
                <w:szCs w:val="17"/>
                <w:color w:val="auto"/>
              </w:rPr>
              <w:t>Compensation Discussion and Analysis</w:t>
            </w:r>
          </w:p>
        </w:tc>
        <w:tc>
          <w:tcPr>
            <w:tcW w:w="280" w:type="dxa"/>
            <w:vAlign w:val="bottom"/>
            <w:gridSpan w:val="2"/>
          </w:tcPr>
          <w:p>
            <w:pPr>
              <w:jc w:val="center"/>
              <w:spacing w:after="0" w:line="155"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gridSpan w:val="33"/>
          </w:tcPr>
          <w:p>
            <w:pPr>
              <w:spacing w:after="0" w:line="183" w:lineRule="exact"/>
              <w:rPr>
                <w:sz w:val="20"/>
                <w:szCs w:val="20"/>
                <w:color w:val="auto"/>
              </w:rPr>
            </w:pPr>
            <w:r>
              <w:rPr>
                <w:rFonts w:ascii="Arial" w:cs="Arial" w:eastAsia="Arial" w:hAnsi="Arial"/>
                <w:sz w:val="17"/>
                <w:szCs w:val="17"/>
                <w:color w:val="auto"/>
              </w:rPr>
              <w:t>Compensation and Human Capital Committee</w:t>
            </w:r>
          </w:p>
        </w:tc>
        <w:tc>
          <w:tcPr>
            <w:tcW w:w="280" w:type="dxa"/>
            <w:vAlign w:val="bottom"/>
            <w:gridSpan w:val="2"/>
            <w:vMerge w:val="restart"/>
          </w:tcPr>
          <w:p>
            <w:pPr>
              <w:jc w:val="center"/>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69"/>
        </w:trPr>
        <w:tc>
          <w:tcPr>
            <w:tcW w:w="3540" w:type="dxa"/>
            <w:vAlign w:val="bottom"/>
            <w:tcBorders>
              <w:top w:val="single" w:sz="8" w:color="0000EE"/>
            </w:tcBorders>
            <w:gridSpan w:val="30"/>
          </w:tcPr>
          <w:p>
            <w:pPr>
              <w:spacing w:after="0" w:line="169" w:lineRule="exact"/>
              <w:rPr>
                <w:sz w:val="20"/>
                <w:szCs w:val="20"/>
                <w:color w:val="auto"/>
              </w:rPr>
            </w:pPr>
            <w:r>
              <w:rPr>
                <w:rFonts w:ascii="Arial" w:cs="Arial" w:eastAsia="Arial" w:hAnsi="Arial"/>
                <w:sz w:val="17"/>
                <w:szCs w:val="17"/>
                <w:color w:val="auto"/>
              </w:rPr>
              <w:t>Report</w:t>
            </w:r>
          </w:p>
        </w:tc>
        <w:tc>
          <w:tcPr>
            <w:tcW w:w="80" w:type="dxa"/>
            <w:vAlign w:val="bottom"/>
            <w:gridSpan w:val="3"/>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2"/>
            <w:vMerge w:val="restart"/>
          </w:tcPr>
          <w:p>
            <w:pPr>
              <w:jc w:val="center"/>
              <w:spacing w:after="0"/>
              <w:rPr>
                <w:sz w:val="20"/>
                <w:szCs w:val="20"/>
                <w:color w:val="auto"/>
              </w:rPr>
            </w:pPr>
            <w:r>
              <w:rPr>
                <w:rFonts w:ascii="Arial" w:cs="Arial" w:eastAsia="Arial" w:hAnsi="Arial"/>
                <w:sz w:val="17"/>
                <w:szCs w:val="17"/>
                <w:color w:val="auto"/>
              </w:rPr>
              <w:t>43</w:t>
            </w:r>
          </w:p>
        </w:tc>
        <w:tc>
          <w:tcPr>
            <w:tcW w:w="0" w:type="dxa"/>
            <w:vAlign w:val="bottom"/>
          </w:tcPr>
          <w:p>
            <w:pPr>
              <w:spacing w:after="0" w:line="20" w:lineRule="exact"/>
              <w:rPr>
                <w:sz w:val="1"/>
                <w:szCs w:val="1"/>
                <w:color w:val="auto"/>
              </w:rPr>
            </w:pPr>
          </w:p>
        </w:tc>
      </w:tr>
      <w:tr>
        <w:trPr>
          <w:trHeight w:val="183"/>
        </w:trPr>
        <w:tc>
          <w:tcPr>
            <w:tcW w:w="3620" w:type="dxa"/>
            <w:vAlign w:val="bottom"/>
            <w:gridSpan w:val="33"/>
          </w:tcPr>
          <w:p>
            <w:pPr>
              <w:spacing w:after="0" w:line="183" w:lineRule="exact"/>
              <w:rPr>
                <w:sz w:val="20"/>
                <w:szCs w:val="20"/>
                <w:color w:val="auto"/>
              </w:rPr>
            </w:pPr>
            <w:r>
              <w:rPr>
                <w:rFonts w:ascii="Arial" w:cs="Arial" w:eastAsia="Arial" w:hAnsi="Arial"/>
                <w:sz w:val="17"/>
                <w:szCs w:val="17"/>
                <w:color w:val="auto"/>
              </w:rPr>
              <w:t>Executive Compensation Tables</w:t>
            </w: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auto"/>
                <w:w w:val="99"/>
              </w:rPr>
              <w:t>Summary Compensation Table</w:t>
            </w:r>
          </w:p>
        </w:tc>
        <w:tc>
          <w:tcPr>
            <w:tcW w:w="1140" w:type="dxa"/>
            <w:vAlign w:val="bottom"/>
            <w:gridSpan w:val="16"/>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480" w:type="dxa"/>
            <w:vAlign w:val="bottom"/>
            <w:gridSpan w:val="32"/>
          </w:tcPr>
          <w:p>
            <w:pPr>
              <w:spacing w:after="0"/>
              <w:rPr>
                <w:sz w:val="20"/>
                <w:szCs w:val="20"/>
                <w:color w:val="auto"/>
              </w:rPr>
            </w:pPr>
            <w:r>
              <w:rPr>
                <w:rFonts w:ascii="Arial" w:cs="Arial" w:eastAsia="Arial" w:hAnsi="Arial"/>
                <w:sz w:val="17"/>
                <w:szCs w:val="17"/>
                <w:color w:val="auto"/>
              </w:rPr>
              <w:t>Grants of Plan-Based Awards</w:t>
            </w:r>
          </w:p>
        </w:tc>
        <w:tc>
          <w:tcPr>
            <w:tcW w:w="2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760" w:type="dxa"/>
            <w:vAlign w:val="bottom"/>
            <w:gridSpan w:val="34"/>
          </w:tcPr>
          <w:p>
            <w:pPr>
              <w:spacing w:after="0"/>
              <w:rPr>
                <w:sz w:val="20"/>
                <w:szCs w:val="20"/>
                <w:color w:val="auto"/>
              </w:rPr>
            </w:pPr>
            <w:r>
              <w:rPr>
                <w:rFonts w:ascii="Arial" w:cs="Arial" w:eastAsia="Arial" w:hAnsi="Arial"/>
                <w:sz w:val="17"/>
                <w:szCs w:val="17"/>
                <w:color w:val="auto"/>
              </w:rPr>
              <w:t>Outstanding Equity Awards at Fiscal Year-End 46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7"/>
                <w:szCs w:val="17"/>
                <w:color w:val="auto"/>
                <w:w w:val="99"/>
              </w:rPr>
              <w:t>Option Exercises and Stock Vested</w:t>
            </w:r>
          </w:p>
        </w:tc>
        <w:tc>
          <w:tcPr>
            <w:tcW w:w="820" w:type="dxa"/>
            <w:vAlign w:val="bottom"/>
            <w:tcBorders>
              <w:top w:val="single" w:sz="8" w:color="0000EE"/>
            </w:tcBorders>
            <w:gridSpan w:val="14"/>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jc w:val="center"/>
              <w:spacing w:after="0" w:line="196"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3480" w:type="dxa"/>
            <w:vAlign w:val="bottom"/>
            <w:gridSpan w:val="32"/>
          </w:tcPr>
          <w:p>
            <w:pPr>
              <w:spacing w:after="0" w:line="183" w:lineRule="exact"/>
              <w:rPr>
                <w:sz w:val="20"/>
                <w:szCs w:val="20"/>
                <w:color w:val="auto"/>
              </w:rPr>
            </w:pPr>
            <w:r>
              <w:rPr>
                <w:rFonts w:ascii="Arial" w:cs="Arial" w:eastAsia="Arial" w:hAnsi="Arial"/>
                <w:sz w:val="17"/>
                <w:szCs w:val="17"/>
                <w:color w:val="auto"/>
              </w:rPr>
              <w:t>Nonqualified Deferred Compensation in and</w:t>
            </w: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7"/>
          </w:tcPr>
          <w:p>
            <w:pPr>
              <w:spacing w:after="0" w:line="169" w:lineRule="exact"/>
              <w:rPr>
                <w:sz w:val="20"/>
                <w:szCs w:val="20"/>
                <w:color w:val="auto"/>
              </w:rPr>
            </w:pPr>
            <w:r>
              <w:rPr>
                <w:rFonts w:ascii="Arial" w:cs="Arial" w:eastAsia="Arial" w:hAnsi="Arial"/>
                <w:sz w:val="17"/>
                <w:szCs w:val="17"/>
                <w:color w:val="auto"/>
                <w:w w:val="98"/>
              </w:rPr>
              <w:t>as of Fiscal Year-End</w:t>
            </w:r>
          </w:p>
        </w:tc>
        <w:tc>
          <w:tcPr>
            <w:tcW w:w="1720" w:type="dxa"/>
            <w:vAlign w:val="bottom"/>
            <w:tcBorders>
              <w:top w:val="single" w:sz="8" w:color="0000EE"/>
            </w:tcBorders>
            <w:gridSpan w:val="20"/>
          </w:tcPr>
          <w:p>
            <w:pPr>
              <w:spacing w:after="0"/>
              <w:rPr>
                <w:sz w:val="14"/>
                <w:szCs w:val="14"/>
                <w:color w:val="auto"/>
              </w:rPr>
            </w:pPr>
          </w:p>
        </w:tc>
        <w:tc>
          <w:tcPr>
            <w:tcW w:w="140" w:type="dxa"/>
            <w:vAlign w:val="bottom"/>
            <w:gridSpan w:val="5"/>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3480" w:type="dxa"/>
            <w:vAlign w:val="bottom"/>
            <w:gridSpan w:val="32"/>
          </w:tcPr>
          <w:p>
            <w:pPr>
              <w:spacing w:after="0" w:line="183" w:lineRule="exact"/>
              <w:rPr>
                <w:sz w:val="20"/>
                <w:szCs w:val="20"/>
                <w:color w:val="auto"/>
              </w:rPr>
            </w:pPr>
            <w:r>
              <w:rPr>
                <w:rFonts w:ascii="Arial" w:cs="Arial" w:eastAsia="Arial" w:hAnsi="Arial"/>
                <w:sz w:val="17"/>
                <w:szCs w:val="17"/>
                <w:color w:val="auto"/>
              </w:rPr>
              <w:t>Agreements with Our Named Executive</w:t>
            </w: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02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7"/>
                <w:szCs w:val="17"/>
                <w:color w:val="auto"/>
              </w:rPr>
              <w:t>Officers</w:t>
            </w:r>
          </w:p>
        </w:tc>
        <w:tc>
          <w:tcPr>
            <w:tcW w:w="60" w:type="dxa"/>
            <w:vAlign w:val="bottom"/>
            <w:gridSpan w:val="2"/>
          </w:tcPr>
          <w:p>
            <w:pPr>
              <w:spacing w:after="0"/>
              <w:rPr>
                <w:sz w:val="14"/>
                <w:szCs w:val="14"/>
                <w:color w:val="auto"/>
              </w:rPr>
            </w:pPr>
          </w:p>
        </w:tc>
        <w:tc>
          <w:tcPr>
            <w:tcW w:w="400" w:type="dxa"/>
            <w:vAlign w:val="bottom"/>
            <w:gridSpan w:val="7"/>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1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3480" w:type="dxa"/>
            <w:vAlign w:val="bottom"/>
            <w:gridSpan w:val="32"/>
          </w:tcPr>
          <w:p>
            <w:pPr>
              <w:spacing w:after="0" w:line="183" w:lineRule="exact"/>
              <w:rPr>
                <w:sz w:val="20"/>
                <w:szCs w:val="20"/>
                <w:color w:val="auto"/>
              </w:rPr>
            </w:pPr>
            <w:r>
              <w:rPr>
                <w:rFonts w:ascii="Arial" w:cs="Arial" w:eastAsia="Arial" w:hAnsi="Arial"/>
                <w:sz w:val="17"/>
                <w:szCs w:val="17"/>
                <w:color w:val="auto"/>
              </w:rPr>
              <w:t>Potential Payments upon Termination or</w:t>
            </w:r>
          </w:p>
        </w:tc>
        <w:tc>
          <w:tcPr>
            <w:tcW w:w="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7"/>
                <w:szCs w:val="17"/>
                <w:color w:val="auto"/>
                <w:w w:val="97"/>
              </w:rPr>
              <w:t>Change in Control</w:t>
            </w:r>
          </w:p>
        </w:tc>
        <w:tc>
          <w:tcPr>
            <w:tcW w:w="1720" w:type="dxa"/>
            <w:vAlign w:val="bottom"/>
            <w:tcBorders>
              <w:top w:val="single" w:sz="8" w:color="0000EE"/>
            </w:tcBorders>
            <w:gridSpan w:val="19"/>
          </w:tcPr>
          <w:p>
            <w:pPr>
              <w:spacing w:after="0"/>
              <w:rPr>
                <w:sz w:val="14"/>
                <w:szCs w:val="14"/>
                <w:color w:val="auto"/>
              </w:rPr>
            </w:pPr>
          </w:p>
        </w:tc>
        <w:tc>
          <w:tcPr>
            <w:tcW w:w="400" w:type="dxa"/>
            <w:vAlign w:val="bottom"/>
            <w:gridSpan w:val="7"/>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90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color w:val="auto"/>
                <w:w w:val="99"/>
              </w:rPr>
              <w:t>Equity Compensation Plan Information</w:t>
            </w:r>
          </w:p>
        </w:tc>
        <w:tc>
          <w:tcPr>
            <w:tcW w:w="580" w:type="dxa"/>
            <w:vAlign w:val="bottom"/>
            <w:gridSpan w:val="10"/>
          </w:tcPr>
          <w:p>
            <w:pPr>
              <w:spacing w:after="0"/>
              <w:rPr>
                <w:sz w:val="17"/>
                <w:szCs w:val="17"/>
                <w:color w:val="auto"/>
              </w:rPr>
            </w:pPr>
          </w:p>
        </w:tc>
        <w:tc>
          <w:tcPr>
            <w:tcW w:w="2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auto"/>
                <w:w w:val="97"/>
              </w:rPr>
              <w:t>CEO Pay Ratio</w:t>
            </w:r>
          </w:p>
        </w:tc>
        <w:tc>
          <w:tcPr>
            <w:tcW w:w="2340" w:type="dxa"/>
            <w:vAlign w:val="bottom"/>
            <w:gridSpan w:val="28"/>
          </w:tcPr>
          <w:p>
            <w:pPr>
              <w:spacing w:after="0"/>
              <w:rPr>
                <w:sz w:val="17"/>
                <w:szCs w:val="17"/>
                <w:color w:val="auto"/>
              </w:rPr>
            </w:pPr>
          </w:p>
        </w:tc>
        <w:tc>
          <w:tcPr>
            <w:tcW w:w="2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auto"/>
                <w:w w:val="98"/>
              </w:rPr>
              <w:t>Pay Versus Performance</w:t>
            </w:r>
          </w:p>
        </w:tc>
        <w:tc>
          <w:tcPr>
            <w:tcW w:w="1600" w:type="dxa"/>
            <w:vAlign w:val="bottom"/>
            <w:gridSpan w:val="23"/>
          </w:tcPr>
          <w:p>
            <w:pPr>
              <w:spacing w:after="0"/>
              <w:rPr>
                <w:sz w:val="17"/>
                <w:szCs w:val="17"/>
                <w:color w:val="auto"/>
              </w:rPr>
            </w:pPr>
          </w:p>
        </w:tc>
        <w:tc>
          <w:tcPr>
            <w:tcW w:w="2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-3839845</wp:posOffset>
            </wp:positionV>
            <wp:extent cx="12001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-2888615</wp:posOffset>
            </wp:positionV>
            <wp:extent cx="12001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-2331085</wp:posOffset>
            </wp:positionV>
            <wp:extent cx="12001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10"/>
          </w:tcPr>
          <w:p>
            <w:pPr>
              <w:spacing w:after="0"/>
              <w:rPr>
                <w:sz w:val="20"/>
                <w:szCs w:val="20"/>
                <w:color w:val="auto"/>
              </w:rPr>
            </w:pPr>
            <w:r>
              <w:rPr>
                <w:rFonts w:ascii="Arial" w:cs="Arial" w:eastAsia="Arial" w:hAnsi="Arial"/>
                <w:sz w:val="18"/>
                <w:szCs w:val="18"/>
                <w:b w:val="1"/>
                <w:bCs w:val="1"/>
                <w:color w:val="auto"/>
              </w:rPr>
              <w:t>Shareholder Proposal</w:t>
            </w:r>
          </w:p>
        </w:tc>
        <w:tc>
          <w:tcPr>
            <w:tcW w:w="60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55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3"/>
        </w:trPr>
        <w:tc>
          <w:tcPr>
            <w:tcW w:w="3320" w:type="dxa"/>
            <w:vAlign w:val="bottom"/>
            <w:gridSpan w:val="10"/>
          </w:tcPr>
          <w:p>
            <w:pPr>
              <w:spacing w:after="0"/>
              <w:rPr>
                <w:sz w:val="20"/>
                <w:szCs w:val="20"/>
                <w:color w:val="auto"/>
              </w:rPr>
            </w:pPr>
            <w:r>
              <w:rPr>
                <w:rFonts w:ascii="Arial" w:cs="Arial" w:eastAsia="Arial" w:hAnsi="Arial"/>
                <w:sz w:val="18"/>
                <w:szCs w:val="18"/>
                <w:b w:val="1"/>
                <w:bCs w:val="1"/>
                <w:color w:val="7F7F7F"/>
              </w:rPr>
              <w:t>PROPOSAL 4: Shareholder Proposal</w:t>
            </w:r>
          </w:p>
        </w:tc>
        <w:tc>
          <w:tcPr>
            <w:tcW w:w="600" w:type="dxa"/>
            <w:vAlign w:val="bottom"/>
          </w:tcPr>
          <w:p>
            <w:pPr>
              <w:spacing w:after="0"/>
              <w:rPr>
                <w:sz w:val="19"/>
                <w:szCs w:val="19"/>
                <w:color w:val="auto"/>
              </w:rPr>
            </w:pPr>
          </w:p>
        </w:tc>
      </w:tr>
      <w:tr>
        <w:trPr>
          <w:trHeight w:val="20"/>
        </w:trPr>
        <w:tc>
          <w:tcPr>
            <w:tcW w:w="20" w:type="dxa"/>
            <w:vAlign w:val="bottom"/>
            <w:tcBorders>
              <w:bottom w:val="single" w:sz="8" w:color="BFBFBF"/>
            </w:tcBorders>
          </w:tcPr>
          <w:p>
            <w:pPr>
              <w:spacing w:after="0" w:line="20" w:lineRule="exact"/>
              <w:rPr>
                <w:sz w:val="1"/>
                <w:szCs w:val="1"/>
                <w:color w:val="auto"/>
              </w:rPr>
            </w:pPr>
          </w:p>
        </w:tc>
        <w:tc>
          <w:tcPr>
            <w:tcW w:w="1500" w:type="dxa"/>
            <w:vAlign w:val="bottom"/>
            <w:tcBorders>
              <w:top w:val="single" w:sz="8" w:color="0000EE"/>
              <w:bottom w:val="single" w:sz="8" w:color="BFBFBF"/>
            </w:tcBorders>
          </w:tcPr>
          <w:p>
            <w:pPr>
              <w:spacing w:after="0" w:line="20" w:lineRule="exact"/>
              <w:rPr>
                <w:sz w:val="1"/>
                <w:szCs w:val="1"/>
                <w:color w:val="auto"/>
              </w:rPr>
            </w:pPr>
          </w:p>
        </w:tc>
        <w:tc>
          <w:tcPr>
            <w:tcW w:w="260" w:type="dxa"/>
            <w:vAlign w:val="bottom"/>
            <w:tcBorders>
              <w:top w:val="single" w:sz="8" w:color="0000EE"/>
              <w:bottom w:val="single" w:sz="8" w:color="BFBFBF"/>
            </w:tcBorders>
          </w:tcPr>
          <w:p>
            <w:pPr>
              <w:spacing w:after="0" w:line="20" w:lineRule="exact"/>
              <w:rPr>
                <w:sz w:val="1"/>
                <w:szCs w:val="1"/>
                <w:color w:val="auto"/>
              </w:rPr>
            </w:pPr>
          </w:p>
        </w:tc>
        <w:tc>
          <w:tcPr>
            <w:tcW w:w="80" w:type="dxa"/>
            <w:vAlign w:val="bottom"/>
            <w:tcBorders>
              <w:top w:val="single" w:sz="8" w:color="0000EE"/>
              <w:bottom w:val="single" w:sz="8" w:color="BFBFBF"/>
            </w:tcBorders>
          </w:tcPr>
          <w:p>
            <w:pPr>
              <w:spacing w:after="0" w:line="20" w:lineRule="exact"/>
              <w:rPr>
                <w:sz w:val="1"/>
                <w:szCs w:val="1"/>
                <w:color w:val="auto"/>
              </w:rPr>
            </w:pPr>
          </w:p>
        </w:tc>
        <w:tc>
          <w:tcPr>
            <w:tcW w:w="360" w:type="dxa"/>
            <w:vAlign w:val="bottom"/>
            <w:tcBorders>
              <w:top w:val="single" w:sz="8" w:color="0000EE"/>
              <w:bottom w:val="single" w:sz="8" w:color="BFBFBF"/>
            </w:tcBorders>
          </w:tcPr>
          <w:p>
            <w:pPr>
              <w:spacing w:after="0" w:line="20" w:lineRule="exact"/>
              <w:rPr>
                <w:sz w:val="1"/>
                <w:szCs w:val="1"/>
                <w:color w:val="auto"/>
              </w:rPr>
            </w:pPr>
          </w:p>
        </w:tc>
        <w:tc>
          <w:tcPr>
            <w:tcW w:w="80" w:type="dxa"/>
            <w:vAlign w:val="bottom"/>
            <w:tcBorders>
              <w:top w:val="single" w:sz="8" w:color="0000EE"/>
              <w:bottom w:val="single" w:sz="8" w:color="BFBFBF"/>
            </w:tcBorders>
          </w:tcPr>
          <w:p>
            <w:pPr>
              <w:spacing w:after="0" w:line="20" w:lineRule="exact"/>
              <w:rPr>
                <w:sz w:val="1"/>
                <w:szCs w:val="1"/>
                <w:color w:val="auto"/>
              </w:rPr>
            </w:pPr>
          </w:p>
        </w:tc>
        <w:tc>
          <w:tcPr>
            <w:tcW w:w="740" w:type="dxa"/>
            <w:vAlign w:val="bottom"/>
            <w:tcBorders>
              <w:top w:val="single" w:sz="8" w:color="0000EE"/>
              <w:bottom w:val="single" w:sz="8" w:color="BFBFBF"/>
            </w:tcBorders>
          </w:tcPr>
          <w:p>
            <w:pPr>
              <w:spacing w:after="0" w:line="20" w:lineRule="exact"/>
              <w:rPr>
                <w:sz w:val="1"/>
                <w:szCs w:val="1"/>
                <w:color w:val="auto"/>
              </w:rPr>
            </w:pPr>
          </w:p>
        </w:tc>
        <w:tc>
          <w:tcPr>
            <w:tcW w:w="80" w:type="dxa"/>
            <w:vAlign w:val="bottom"/>
            <w:tcBorders>
              <w:top w:val="single" w:sz="8" w:color="0000EE"/>
              <w:bottom w:val="single" w:sz="8" w:color="BFBFBF"/>
            </w:tcBorders>
          </w:tcPr>
          <w:p>
            <w:pPr>
              <w:spacing w:after="0" w:line="20" w:lineRule="exact"/>
              <w:rPr>
                <w:sz w:val="1"/>
                <w:szCs w:val="1"/>
                <w:color w:val="auto"/>
              </w:rPr>
            </w:pPr>
          </w:p>
        </w:tc>
        <w:tc>
          <w:tcPr>
            <w:tcW w:w="20" w:type="dxa"/>
            <w:vAlign w:val="bottom"/>
            <w:tcBorders>
              <w:top w:val="single" w:sz="8" w:color="0000EE"/>
              <w:bottom w:val="single" w:sz="8" w:color="BFBFBF"/>
            </w:tcBorders>
          </w:tcPr>
          <w:p>
            <w:pPr>
              <w:spacing w:after="0" w:line="20" w:lineRule="exact"/>
              <w:rPr>
                <w:sz w:val="1"/>
                <w:szCs w:val="1"/>
                <w:color w:val="auto"/>
              </w:rPr>
            </w:pPr>
          </w:p>
        </w:tc>
        <w:tc>
          <w:tcPr>
            <w:tcW w:w="180" w:type="dxa"/>
            <w:vAlign w:val="bottom"/>
            <w:tcBorders>
              <w:bottom w:val="single" w:sz="8" w:color="BFBFBF"/>
            </w:tcBorders>
          </w:tcPr>
          <w:p>
            <w:pPr>
              <w:spacing w:after="0" w:line="20" w:lineRule="exact"/>
              <w:rPr>
                <w:sz w:val="1"/>
                <w:szCs w:val="1"/>
                <w:color w:val="auto"/>
              </w:rPr>
            </w:pPr>
          </w:p>
        </w:tc>
        <w:tc>
          <w:tcPr>
            <w:tcW w:w="600" w:type="dxa"/>
            <w:vAlign w:val="bottom"/>
            <w:tcBorders>
              <w:bottom w:val="single" w:sz="8" w:color="BFBFB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b w:val="1"/>
                <w:bCs w:val="1"/>
                <w:color w:val="auto"/>
                <w:w w:val="98"/>
              </w:rPr>
              <w:t>Information about Stock Ownership</w:t>
            </w:r>
          </w:p>
        </w:tc>
        <w:tc>
          <w:tcPr>
            <w:tcW w:w="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600" w:type="dxa"/>
            <w:vAlign w:val="bottom"/>
          </w:tcPr>
          <w:p>
            <w:pPr>
              <w:jc w:val="center"/>
              <w:ind w:left="190"/>
              <w:spacing w:after="0" w:line="183" w:lineRule="exact"/>
              <w:rPr>
                <w:sz w:val="20"/>
                <w:szCs w:val="20"/>
                <w:color w:val="auto"/>
              </w:rPr>
            </w:pPr>
            <w:r>
              <w:rPr>
                <w:rFonts w:ascii="Arial" w:cs="Arial" w:eastAsia="Arial" w:hAnsi="Arial"/>
                <w:sz w:val="18"/>
                <w:szCs w:val="18"/>
                <w:b w:val="1"/>
                <w:bCs w:val="1"/>
                <w:color w:val="auto"/>
                <w:w w:val="99"/>
              </w:rPr>
              <w:t>59</w:t>
            </w:r>
          </w:p>
        </w:tc>
      </w:tr>
      <w:tr>
        <w:trPr>
          <w:trHeight w:val="34"/>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2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auto"/>
                <w:w w:val="97"/>
              </w:rPr>
              <w:t>Compensation of Directors</w:t>
            </w:r>
          </w:p>
        </w:tc>
        <w:tc>
          <w:tcPr>
            <w:tcW w:w="8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60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61</w:t>
            </w:r>
          </w:p>
        </w:tc>
      </w:tr>
      <w:tr>
        <w:trPr>
          <w:trHeight w:val="34"/>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3320" w:type="dxa"/>
            <w:vAlign w:val="bottom"/>
            <w:gridSpan w:val="10"/>
          </w:tcPr>
          <w:p>
            <w:pPr>
              <w:spacing w:after="0"/>
              <w:rPr>
                <w:sz w:val="20"/>
                <w:szCs w:val="20"/>
                <w:color w:val="auto"/>
              </w:rPr>
            </w:pPr>
            <w:r>
              <w:rPr>
                <w:rFonts w:ascii="Arial" w:cs="Arial" w:eastAsia="Arial" w:hAnsi="Arial"/>
                <w:sz w:val="18"/>
                <w:szCs w:val="18"/>
                <w:b w:val="1"/>
                <w:bCs w:val="1"/>
                <w:color w:val="auto"/>
              </w:rPr>
              <w:t>Related Party Transactions Policy and</w:t>
            </w:r>
          </w:p>
        </w:tc>
        <w:tc>
          <w:tcPr>
            <w:tcW w:w="6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8"/>
                <w:szCs w:val="18"/>
                <w:b w:val="1"/>
                <w:bCs w:val="1"/>
                <w:color w:val="auto"/>
                <w:w w:val="97"/>
              </w:rPr>
              <w:t>Certain Transactions</w:t>
            </w:r>
          </w:p>
        </w:tc>
        <w:tc>
          <w:tcPr>
            <w:tcW w:w="440" w:type="dxa"/>
            <w:vAlign w:val="bottom"/>
            <w:tcBorders>
              <w:top w:val="single" w:sz="8" w:color="0000EE"/>
              <w:bottom w:val="single" w:sz="8" w:color="0000EE"/>
            </w:tcBorders>
            <w:gridSpan w:val="2"/>
          </w:tcPr>
          <w:p>
            <w:pPr>
              <w:spacing w:after="0"/>
              <w:rPr>
                <w:sz w:val="15"/>
                <w:szCs w:val="15"/>
                <w:color w:val="auto"/>
              </w:rPr>
            </w:pPr>
          </w:p>
        </w:tc>
        <w:tc>
          <w:tcPr>
            <w:tcW w:w="900" w:type="dxa"/>
            <w:vAlign w:val="bottom"/>
            <w:tcBorders>
              <w:top w:val="single" w:sz="8" w:color="0000EE"/>
              <w:bottom w:val="single" w:sz="8" w:color="0000EE"/>
            </w:tcBorders>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rPr>
                <w:sz w:val="15"/>
                <w:szCs w:val="15"/>
                <w:color w:val="auto"/>
              </w:rPr>
            </w:pPr>
          </w:p>
        </w:tc>
        <w:tc>
          <w:tcPr>
            <w:tcW w:w="600" w:type="dxa"/>
            <w:vAlign w:val="bottom"/>
          </w:tcPr>
          <w:p>
            <w:pPr>
              <w:jc w:val="center"/>
              <w:ind w:left="190"/>
              <w:spacing w:after="0" w:line="182" w:lineRule="exact"/>
              <w:rPr>
                <w:sz w:val="20"/>
                <w:szCs w:val="20"/>
                <w:color w:val="auto"/>
              </w:rPr>
            </w:pPr>
            <w:r>
              <w:rPr>
                <w:rFonts w:ascii="Arial" w:cs="Arial" w:eastAsia="Arial" w:hAnsi="Arial"/>
                <w:sz w:val="18"/>
                <w:szCs w:val="18"/>
                <w:b w:val="1"/>
                <w:bCs w:val="1"/>
                <w:color w:val="auto"/>
                <w:w w:val="99"/>
              </w:rPr>
              <w:t>63</w:t>
            </w:r>
          </w:p>
        </w:tc>
      </w:tr>
      <w:tr>
        <w:trPr>
          <w:trHeight w:val="34"/>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b w:val="1"/>
                <w:bCs w:val="1"/>
                <w:color w:val="auto"/>
                <w:w w:val="97"/>
              </w:rPr>
              <w:t>Other Information</w:t>
            </w:r>
          </w:p>
        </w:tc>
        <w:tc>
          <w:tcPr>
            <w:tcW w:w="700" w:type="dxa"/>
            <w:vAlign w:val="bottom"/>
            <w:gridSpan w:val="3"/>
          </w:tcPr>
          <w:p>
            <w:pPr>
              <w:spacing w:after="0"/>
              <w:rPr>
                <w:sz w:val="18"/>
                <w:szCs w:val="18"/>
                <w:color w:val="auto"/>
              </w:rPr>
            </w:pPr>
          </w:p>
        </w:tc>
        <w:tc>
          <w:tcPr>
            <w:tcW w:w="90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60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63</w:t>
            </w:r>
          </w:p>
        </w:tc>
      </w:tr>
      <w:tr>
        <w:trPr>
          <w:trHeight w:val="34"/>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3320" w:type="dxa"/>
            <w:vAlign w:val="bottom"/>
            <w:gridSpan w:val="10"/>
          </w:tcPr>
          <w:p>
            <w:pPr>
              <w:spacing w:after="0"/>
              <w:rPr>
                <w:sz w:val="20"/>
                <w:szCs w:val="20"/>
                <w:color w:val="auto"/>
              </w:rPr>
            </w:pPr>
            <w:r>
              <w:rPr>
                <w:rFonts w:ascii="Arial" w:cs="Arial" w:eastAsia="Arial" w:hAnsi="Arial"/>
                <w:sz w:val="18"/>
                <w:szCs w:val="18"/>
                <w:b w:val="1"/>
                <w:bCs w:val="1"/>
                <w:color w:val="auto"/>
              </w:rPr>
              <w:t>Appendix A: Reconciliations of Non-</w:t>
            </w:r>
          </w:p>
        </w:tc>
        <w:tc>
          <w:tcPr>
            <w:tcW w:w="600" w:type="dxa"/>
            <w:vAlign w:val="bottom"/>
          </w:tcPr>
          <w:p>
            <w:pPr>
              <w:spacing w:after="0"/>
              <w:rPr>
                <w:sz w:val="18"/>
                <w:szCs w:val="18"/>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20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8"/>
                <w:szCs w:val="18"/>
                <w:b w:val="1"/>
                <w:bCs w:val="1"/>
                <w:color w:val="auto"/>
                <w:w w:val="97"/>
              </w:rPr>
              <w:t>GAAP Financial Measures</w:t>
            </w:r>
          </w:p>
        </w:tc>
        <w:tc>
          <w:tcPr>
            <w:tcW w:w="900" w:type="dxa"/>
            <w:vAlign w:val="bottom"/>
            <w:tcBorders>
              <w:top w:val="single" w:sz="8" w:color="0000EE"/>
              <w:bottom w:val="single" w:sz="8" w:color="0000EE"/>
            </w:tcBorders>
            <w:gridSpan w:val="3"/>
          </w:tcPr>
          <w:p>
            <w:pPr>
              <w:spacing w:after="0"/>
              <w:rPr>
                <w:sz w:val="15"/>
                <w:szCs w:val="15"/>
                <w:color w:val="auto"/>
              </w:rPr>
            </w:pPr>
          </w:p>
        </w:tc>
        <w:tc>
          <w:tcPr>
            <w:tcW w:w="200" w:type="dxa"/>
            <w:vAlign w:val="bottom"/>
            <w:gridSpan w:val="2"/>
          </w:tcPr>
          <w:p>
            <w:pPr>
              <w:spacing w:after="0"/>
              <w:rPr>
                <w:sz w:val="15"/>
                <w:szCs w:val="15"/>
                <w:color w:val="auto"/>
              </w:rPr>
            </w:pPr>
          </w:p>
        </w:tc>
        <w:tc>
          <w:tcPr>
            <w:tcW w:w="600" w:type="dxa"/>
            <w:vAlign w:val="bottom"/>
          </w:tcPr>
          <w:p>
            <w:pPr>
              <w:jc w:val="center"/>
              <w:ind w:left="190"/>
              <w:spacing w:after="0" w:line="182" w:lineRule="exact"/>
              <w:rPr>
                <w:sz w:val="20"/>
                <w:szCs w:val="20"/>
                <w:color w:val="auto"/>
              </w:rPr>
            </w:pPr>
            <w:r>
              <w:rPr>
                <w:rFonts w:ascii="Arial" w:cs="Arial" w:eastAsia="Arial" w:hAnsi="Arial"/>
                <w:sz w:val="18"/>
                <w:szCs w:val="18"/>
                <w:b w:val="1"/>
                <w:bCs w:val="1"/>
                <w:color w:val="auto"/>
                <w:w w:val="96"/>
              </w:rPr>
              <w:t>A-1</w:t>
            </w:r>
          </w:p>
        </w:tc>
      </w:tr>
      <w:tr>
        <w:trPr>
          <w:trHeight w:val="34"/>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-1302385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4360" w:space="280"/>
            <w:col w:w="4379"/>
          </w:cols>
          <w:pgMar w:left="1440" w:top="22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9060" w:type="dxa"/>
            <w:vAlign w:val="bottom"/>
          </w:tcPr>
          <w:p>
            <w:pPr>
              <w:ind w:left="752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660" w:type="dxa"/>
            <w:vAlign w:val="bottom"/>
          </w:tcPr>
          <w:p>
            <w:pPr>
              <w:jc w:val="right"/>
              <w:ind w:right="1237"/>
              <w:spacing w:after="0"/>
              <w:rPr>
                <w:sz w:val="20"/>
                <w:szCs w:val="20"/>
                <w:color w:val="auto"/>
              </w:rPr>
            </w:pPr>
            <w:r>
              <w:rPr>
                <w:rFonts w:ascii="Arial" w:cs="Arial" w:eastAsia="Arial" w:hAnsi="Arial"/>
                <w:sz w:val="13"/>
                <w:szCs w:val="13"/>
                <w:b w:val="1"/>
                <w:bCs w:val="1"/>
                <w:color w:val="auto"/>
              </w:rPr>
              <w:t>5</w:t>
            </w:r>
          </w:p>
        </w:tc>
      </w:tr>
      <w:tr>
        <w:trPr>
          <w:trHeight w:val="704"/>
        </w:trPr>
        <w:tc>
          <w:tcPr>
            <w:tcW w:w="90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675" w:right="59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36"/>
          <w:szCs w:val="36"/>
          <w:b w:val="1"/>
          <w:bCs w:val="1"/>
          <w:color w:val="auto"/>
        </w:rPr>
        <w:t>About Comcast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Our Company</w:t>
      </w:r>
    </w:p>
    <w:p>
      <w:pPr>
        <w:spacing w:after="0" w:line="127" w:lineRule="exact"/>
        <w:rPr>
          <w:sz w:val="20"/>
          <w:szCs w:val="20"/>
          <w:color w:val="auto"/>
        </w:rPr>
      </w:pPr>
    </w:p>
    <w:p>
      <w:pPr>
        <w:ind w:left="320" w:right="339"/>
        <w:spacing w:after="0"/>
        <w:rPr>
          <w:sz w:val="20"/>
          <w:szCs w:val="20"/>
          <w:color w:val="auto"/>
        </w:rPr>
      </w:pPr>
      <w:r>
        <w:rPr>
          <w:rFonts w:ascii="Arial" w:cs="Arial" w:eastAsia="Arial" w:hAnsi="Arial"/>
          <w:sz w:val="18"/>
          <w:szCs w:val="18"/>
          <w:color w:val="auto"/>
        </w:rPr>
        <w:t>Comcast Corporation (“Comcast,” the “Company,” “we,” “our” or “us”) is a global media and technology company. From the connectivity and platforms we provide, to the content and experiences we create, our businesses reach customers, viewers and guests worldwide. We deliver world-class broadband, wireless, video and voice services through Xfinity, Comcast Business and Sky; produce, distribute and stream leading entertainment, sports and news through brands including NBC, Telemundo, Universal, Peacock and Sky; and bring incredible theme parks and attractions to life through Universal Destinations &amp; Experiences.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2025 Performance Overview</w:t>
      </w:r>
    </w:p>
    <w:p>
      <w:pPr>
        <w:spacing w:after="0" w:line="127" w:lineRule="exact"/>
        <w:rPr>
          <w:sz w:val="20"/>
          <w:szCs w:val="20"/>
          <w:color w:val="auto"/>
        </w:rPr>
      </w:pPr>
    </w:p>
    <w:p>
      <w:pPr>
        <w:ind w:left="320" w:right="499"/>
        <w:spacing w:after="0" w:line="244" w:lineRule="auto"/>
        <w:rPr>
          <w:sz w:val="20"/>
          <w:szCs w:val="20"/>
          <w:color w:val="auto"/>
        </w:rPr>
      </w:pPr>
      <w:r>
        <w:rPr>
          <w:rFonts w:ascii="Arial" w:cs="Arial" w:eastAsia="Arial" w:hAnsi="Arial"/>
          <w:sz w:val="18"/>
          <w:szCs w:val="18"/>
          <w:color w:val="auto"/>
        </w:rPr>
        <w:t>2025 was a year of meaningful progress, as we made decisive management, operational and structural changes to how we run our company and how we compete. We continued to invest in our business, maintained a strong balance sheet and returned significant capital to shareholders. As described in “Compensation Discussion and Analysis” below, revenue, Adjusted EBITDA and Free Cash Flow are among the key metrics used in our executive compensation program.</w:t>
      </w:r>
    </w:p>
    <w:p>
      <w:pPr>
        <w:sectPr>
          <w:pgSz w:w="11900" w:h="16838" w:orient="portrait"/>
          <w:cols w:equalWidth="0" w:num="1">
            <w:col w:w="9019"/>
          </w:cols>
          <w:pgMar w:left="1440" w:top="229" w:right="1440" w:bottom="1440" w:gutter="0" w:footer="0" w:header="0"/>
        </w:sectPr>
      </w:pP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1E0"/>
        </w:rPr>
        <w:t>Revenue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in billions)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Net Income Attributable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Comcast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A1E0"/>
        </w:rPr>
        <w:t>Adjusted EBITDA</w:t>
      </w:r>
      <w:r>
        <w:rPr>
          <w:rFonts w:ascii="Arial" w:cs="Arial" w:eastAsia="Arial" w:hAnsi="Arial"/>
          <w:sz w:val="12"/>
          <w:szCs w:val="12"/>
          <w:b w:val="1"/>
          <w:bCs w:val="1"/>
          <w:color w:val="00A1E0"/>
        </w:rPr>
        <w:t>(1)</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 in billions)</w:t>
      </w:r>
    </w:p>
    <w:p>
      <w:pPr>
        <w:spacing w:after="0" w:line="41" w:lineRule="exact"/>
        <w:rPr>
          <w:sz w:val="20"/>
          <w:szCs w:val="20"/>
          <w:color w:val="auto"/>
        </w:rPr>
      </w:pPr>
    </w:p>
    <w:p>
      <w:pPr>
        <w:sectPr>
          <w:pgSz w:w="11900" w:h="16838" w:orient="portrait"/>
          <w:cols w:equalWidth="0" w:num="3">
            <w:col w:w="2380" w:space="720"/>
            <w:col w:w="2260" w:space="520"/>
            <w:col w:w="3139"/>
          </w:cols>
          <w:pgMar w:left="1440" w:top="229" w:right="1440" w:bottom="1440" w:gutter="0" w:footer="0" w:header="0"/>
          <w:type w:val="continuous"/>
        </w:sectPr>
      </w:pPr>
    </w:p>
    <w:p>
      <w:pPr>
        <w:ind w:left="3100"/>
        <w:spacing w:after="0"/>
        <w:rPr>
          <w:sz w:val="20"/>
          <w:szCs w:val="20"/>
          <w:color w:val="auto"/>
        </w:rPr>
      </w:pPr>
      <w:r>
        <w:rPr>
          <w:rFonts w:ascii="Arial" w:cs="Arial" w:eastAsia="Arial" w:hAnsi="Arial"/>
          <w:sz w:val="14"/>
          <w:szCs w:val="14"/>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83820</wp:posOffset>
            </wp:positionV>
            <wp:extent cx="5092065" cy="1423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92065" cy="142303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276"/>
        </w:trPr>
        <w:tc>
          <w:tcPr>
            <w:tcW w:w="2320" w:type="dxa"/>
            <w:vAlign w:val="bottom"/>
          </w:tcPr>
          <w:p>
            <w:pPr>
              <w:spacing w:after="0"/>
              <w:rPr>
                <w:sz w:val="20"/>
                <w:szCs w:val="20"/>
                <w:color w:val="auto"/>
              </w:rPr>
            </w:pPr>
            <w:r>
              <w:rPr>
                <w:rFonts w:ascii="Arial" w:cs="Arial" w:eastAsia="Arial" w:hAnsi="Arial"/>
                <w:sz w:val="18"/>
                <w:szCs w:val="18"/>
                <w:b w:val="1"/>
                <w:bCs w:val="1"/>
                <w:color w:val="00A1E0"/>
              </w:rPr>
              <w:t>Net Cash Provided by</w:t>
            </w:r>
          </w:p>
        </w:tc>
        <w:tc>
          <w:tcPr>
            <w:tcW w:w="1940" w:type="dxa"/>
            <w:vAlign w:val="bottom"/>
          </w:tcPr>
          <w:p>
            <w:pPr>
              <w:ind w:left="460"/>
              <w:spacing w:after="0"/>
              <w:rPr>
                <w:sz w:val="20"/>
                <w:szCs w:val="20"/>
                <w:color w:val="auto"/>
              </w:rPr>
            </w:pPr>
            <w:r>
              <w:rPr>
                <w:rFonts w:ascii="Arial" w:cs="Arial" w:eastAsia="Arial" w:hAnsi="Arial"/>
                <w:sz w:val="18"/>
                <w:szCs w:val="18"/>
                <w:b w:val="1"/>
                <w:bCs w:val="1"/>
                <w:color w:val="00A1E0"/>
                <w:w w:val="95"/>
              </w:rPr>
              <w:t>Free Cash Flow</w:t>
            </w:r>
            <w:r>
              <w:rPr>
                <w:rFonts w:ascii="Arial" w:cs="Arial" w:eastAsia="Arial" w:hAnsi="Arial"/>
                <w:sz w:val="24"/>
                <w:szCs w:val="24"/>
                <w:b w:val="1"/>
                <w:bCs w:val="1"/>
                <w:color w:val="00A1E0"/>
                <w:w w:val="95"/>
                <w:vertAlign w:val="superscript"/>
              </w:rPr>
              <w:t>(1)</w:t>
            </w:r>
          </w:p>
        </w:tc>
      </w:tr>
      <w:tr>
        <w:trPr>
          <w:trHeight w:val="254"/>
        </w:trPr>
        <w:tc>
          <w:tcPr>
            <w:tcW w:w="2320" w:type="dxa"/>
            <w:vAlign w:val="bottom"/>
          </w:tcPr>
          <w:p>
            <w:pPr>
              <w:spacing w:after="0"/>
              <w:rPr>
                <w:sz w:val="20"/>
                <w:szCs w:val="20"/>
                <w:color w:val="auto"/>
              </w:rPr>
            </w:pPr>
            <w:r>
              <w:rPr>
                <w:rFonts w:ascii="Arial" w:cs="Arial" w:eastAsia="Arial" w:hAnsi="Arial"/>
                <w:sz w:val="18"/>
                <w:szCs w:val="18"/>
                <w:b w:val="1"/>
                <w:bCs w:val="1"/>
                <w:color w:val="00A1E0"/>
              </w:rPr>
              <w:t>Operating Activities</w:t>
            </w:r>
          </w:p>
        </w:tc>
        <w:tc>
          <w:tcPr>
            <w:tcW w:w="1940" w:type="dxa"/>
            <w:vAlign w:val="bottom"/>
          </w:tcPr>
          <w:p>
            <w:pPr>
              <w:ind w:left="460"/>
              <w:spacing w:after="0"/>
              <w:rPr>
                <w:sz w:val="20"/>
                <w:szCs w:val="20"/>
                <w:color w:val="auto"/>
              </w:rPr>
            </w:pPr>
            <w:r>
              <w:rPr>
                <w:rFonts w:ascii="Arial" w:cs="Arial" w:eastAsia="Arial" w:hAnsi="Arial"/>
                <w:sz w:val="14"/>
                <w:szCs w:val="14"/>
                <w:color w:val="auto"/>
              </w:rPr>
              <w:t>($ in billions)</w:t>
            </w:r>
          </w:p>
        </w:tc>
      </w:tr>
      <w:tr>
        <w:trPr>
          <w:trHeight w:val="203"/>
        </w:trPr>
        <w:tc>
          <w:tcPr>
            <w:tcW w:w="2320" w:type="dxa"/>
            <w:vAlign w:val="bottom"/>
          </w:tcPr>
          <w:p>
            <w:pPr>
              <w:spacing w:after="0"/>
              <w:rPr>
                <w:sz w:val="20"/>
                <w:szCs w:val="20"/>
                <w:color w:val="auto"/>
              </w:rPr>
            </w:pPr>
            <w:r>
              <w:rPr>
                <w:rFonts w:ascii="Arial" w:cs="Arial" w:eastAsia="Arial" w:hAnsi="Arial"/>
                <w:sz w:val="14"/>
                <w:szCs w:val="14"/>
                <w:color w:val="auto"/>
              </w:rPr>
              <w:t>($ in billions)</w:t>
            </w:r>
          </w:p>
        </w:tc>
        <w:tc>
          <w:tcPr>
            <w:tcW w:w="19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65405</wp:posOffset>
            </wp:positionV>
            <wp:extent cx="3326130" cy="1388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613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20" w:hanging="199"/>
        <w:spacing w:after="0"/>
        <w:tabs>
          <w:tab w:leader="none" w:pos="7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Reconciliations of non-GAAP financial metrics to GAAP are set forth in Appendix 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0" w:hanging="674"/>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9" w:name="page10"/>
    <w:bookmarkEnd w:id="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2025 key reported results included:</w:t>
      </w:r>
    </w:p>
    <w:p>
      <w:pPr>
        <w:spacing w:after="0" w:line="104" w:lineRule="exact"/>
        <w:rPr>
          <w:sz w:val="20"/>
          <w:szCs w:val="20"/>
          <w:color w:val="auto"/>
        </w:rPr>
      </w:pPr>
    </w:p>
    <w:p>
      <w:pPr>
        <w:ind w:left="1380" w:right="1260" w:hanging="196"/>
        <w:spacing w:after="0" w:line="239" w:lineRule="auto"/>
        <w:tabs>
          <w:tab w:leader="none" w:pos="1585" w:val="left"/>
        </w:tabs>
        <w:numPr>
          <w:ilvl w:val="0"/>
          <w:numId w:val="8"/>
        </w:numPr>
        <w:rPr>
          <w:rFonts w:ascii="Arial" w:cs="Arial" w:eastAsia="Arial" w:hAnsi="Arial"/>
          <w:sz w:val="17"/>
          <w:szCs w:val="17"/>
          <w:color w:val="00A0DD"/>
        </w:rPr>
      </w:pPr>
      <w:r>
        <w:rPr>
          <w:rFonts w:ascii="Arial" w:cs="Arial" w:eastAsia="Arial" w:hAnsi="Arial"/>
          <w:sz w:val="18"/>
          <w:szCs w:val="18"/>
          <w:b w:val="1"/>
          <w:bCs w:val="1"/>
          <w:color w:val="auto"/>
        </w:rPr>
        <w:t xml:space="preserve">Connectivity &amp; Platforms </w:t>
      </w:r>
      <w:r>
        <w:rPr>
          <w:rFonts w:ascii="Arial" w:cs="Arial" w:eastAsia="Arial" w:hAnsi="Arial"/>
          <w:sz w:val="18"/>
          <w:szCs w:val="18"/>
          <w:color w:val="auto"/>
        </w:rPr>
        <w:t>– We continued to make significant investments in our network,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customer experience to stay ahead of data consumption trends that reflect customers’ increasing demands. We also made a significant go-to market shift to simplify our broadband offerings. We increased the number of domestic homes and businesses passed by 1.3 million to 65.0 million and continued to enhance our domestic network capabilities. We expanded our domestic wireless subscriber base by more than 1.5 million lines, growing our domestic wireless revenue by 16.3%. Connectivity &amp; Platforms revenue was consistent with the prior year period at $80.9 billion, while Adjusted EBITDA decreased 1.4% to $32.4 billion, or 1.6% on a constant currency basis. See Appendix A for a reconciliation.</w:t>
      </w:r>
    </w:p>
    <w:p>
      <w:pPr>
        <w:spacing w:after="0" w:line="75" w:lineRule="exact"/>
        <w:rPr>
          <w:rFonts w:ascii="Arial" w:cs="Arial" w:eastAsia="Arial" w:hAnsi="Arial"/>
          <w:sz w:val="17"/>
          <w:szCs w:val="17"/>
          <w:color w:val="00A0DD"/>
        </w:rPr>
      </w:pPr>
    </w:p>
    <w:p>
      <w:pPr>
        <w:ind w:left="1380" w:right="1220" w:hanging="196"/>
        <w:spacing w:after="0" w:line="239" w:lineRule="auto"/>
        <w:tabs>
          <w:tab w:leader="none" w:pos="1585" w:val="left"/>
        </w:tabs>
        <w:numPr>
          <w:ilvl w:val="0"/>
          <w:numId w:val="8"/>
        </w:numPr>
        <w:rPr>
          <w:rFonts w:ascii="Arial" w:cs="Arial" w:eastAsia="Arial" w:hAnsi="Arial"/>
          <w:sz w:val="17"/>
          <w:szCs w:val="17"/>
          <w:color w:val="00A0DD"/>
        </w:rPr>
      </w:pPr>
      <w:r>
        <w:rPr>
          <w:rFonts w:ascii="Arial" w:cs="Arial" w:eastAsia="Arial" w:hAnsi="Arial"/>
          <w:sz w:val="18"/>
          <w:szCs w:val="18"/>
          <w:b w:val="1"/>
          <w:bCs w:val="1"/>
          <w:color w:val="auto"/>
        </w:rPr>
        <w:t xml:space="preserve">Content &amp; Experiences </w:t>
      </w:r>
      <w:r>
        <w:rPr>
          <w:rFonts w:ascii="Arial" w:cs="Arial" w:eastAsia="Arial" w:hAnsi="Arial"/>
          <w:sz w:val="18"/>
          <w:szCs w:val="18"/>
          <w:color w:val="auto"/>
        </w:rPr>
        <w:t>– We continued to entertain and inspire our audiences and guests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creating and leveraging our world-class IP and fan favorite franchises. In 2025, we celebrated the grand opening of Epic Universe, driving higher per-person spending and attendance across the entirety of Universal Orlando Resort. The NBA’s return to NBCUniversal marked the start of one of the biggest stretches of live sports in our history and drew the largest audience for an NBA opening double header since 2010. Peacock paid subscribers increased 22% to 44 million, and its revenue grew 10% to $5.4 billion. Our studios had a strong movie slate that included </w:t>
      </w:r>
      <w:r>
        <w:rPr>
          <w:rFonts w:ascii="Arial" w:cs="Arial" w:eastAsia="Arial" w:hAnsi="Arial"/>
          <w:sz w:val="18"/>
          <w:szCs w:val="18"/>
          <w:i w:val="1"/>
          <w:iCs w:val="1"/>
          <w:color w:val="auto"/>
        </w:rPr>
        <w:t>Jurassic World Rebirth</w:t>
      </w:r>
      <w:r>
        <w:rPr>
          <w:rFonts w:ascii="Arial" w:cs="Arial" w:eastAsia="Arial" w:hAnsi="Arial"/>
          <w:sz w:val="18"/>
          <w:szCs w:val="18"/>
          <w:color w:val="auto"/>
        </w:rPr>
        <w:t xml:space="preserve"> and </w:t>
      </w:r>
      <w:r>
        <w:rPr>
          <w:rFonts w:ascii="Arial" w:cs="Arial" w:eastAsia="Arial" w:hAnsi="Arial"/>
          <w:sz w:val="18"/>
          <w:szCs w:val="18"/>
          <w:i w:val="1"/>
          <w:iCs w:val="1"/>
          <w:color w:val="auto"/>
        </w:rPr>
        <w:t>Wicked: For Good</w:t>
      </w:r>
      <w:r>
        <w:rPr>
          <w:rFonts w:ascii="Arial" w:cs="Arial" w:eastAsia="Arial" w:hAnsi="Arial"/>
          <w:sz w:val="18"/>
          <w:szCs w:val="18"/>
          <w:color w:val="auto"/>
        </w:rPr>
        <w:t>. Content &amp; Experiences revenue was consistent with the prior year period at $45.6 billion and Adjusted EBITDA decreased 4.0% to $6.5 billion.</w:t>
      </w:r>
    </w:p>
    <w:p>
      <w:pPr>
        <w:spacing w:after="0" w:line="75" w:lineRule="exact"/>
        <w:rPr>
          <w:sz w:val="20"/>
          <w:szCs w:val="20"/>
          <w:color w:val="auto"/>
        </w:rPr>
      </w:pPr>
    </w:p>
    <w:p>
      <w:pPr>
        <w:ind w:left="1180" w:right="1460"/>
        <w:spacing w:after="0" w:line="271" w:lineRule="auto"/>
        <w:rPr>
          <w:sz w:val="20"/>
          <w:szCs w:val="20"/>
          <w:color w:val="auto"/>
        </w:rPr>
      </w:pPr>
      <w:r>
        <w:rPr>
          <w:rFonts w:ascii="Arial" w:cs="Arial" w:eastAsia="Arial" w:hAnsi="Arial"/>
          <w:sz w:val="18"/>
          <w:szCs w:val="18"/>
          <w:color w:val="auto"/>
        </w:rPr>
        <w:t>In 2025, we made cash dividend payments of $4.9 billion and repurchased $6.8 billion of our common stock, resulting in a total return of capital to shareholders of $11.7 billion.</w:t>
      </w:r>
    </w:p>
    <w:p>
      <w:pPr>
        <w:spacing w:after="0" w:line="200" w:lineRule="exact"/>
        <w:rPr>
          <w:sz w:val="20"/>
          <w:szCs w:val="20"/>
          <w:color w:val="auto"/>
        </w:rPr>
      </w:pPr>
    </w:p>
    <w:p>
      <w:pPr>
        <w:spacing w:after="0" w:line="245" w:lineRule="exact"/>
        <w:rPr>
          <w:sz w:val="20"/>
          <w:szCs w:val="20"/>
          <w:color w:val="auto"/>
        </w:rPr>
      </w:pPr>
    </w:p>
    <w:p>
      <w:pPr>
        <w:ind w:left="1180"/>
        <w:spacing w:after="0"/>
        <w:rPr>
          <w:sz w:val="20"/>
          <w:szCs w:val="20"/>
          <w:color w:val="auto"/>
        </w:rPr>
      </w:pPr>
      <w:r>
        <w:rPr>
          <w:rFonts w:ascii="Arial" w:cs="Arial" w:eastAsia="Arial" w:hAnsi="Arial"/>
          <w:sz w:val="36"/>
          <w:szCs w:val="36"/>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104140</wp:posOffset>
            </wp:positionV>
            <wp:extent cx="206565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65655" cy="51435"/>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sz w:val="1"/>
          <w:szCs w:val="1"/>
          <w:color w:val="auto"/>
        </w:rPr>
        <w:drawing>
          <wp:inline distT="0" distB="0" distL="0" distR="0">
            <wp:extent cx="128905" cy="257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257175"/>
                    </a:xfrm>
                    <a:prstGeom prst="rect">
                      <a:avLst/>
                    </a:prstGeom>
                    <a:noFill/>
                    <a:ln>
                      <a:noFill/>
                    </a:ln>
                  </pic:spPr>
                </pic:pic>
              </a:graphicData>
            </a:graphic>
          </wp:inline>
        </w:drawing>
      </w:r>
      <w:r>
        <w:rPr>
          <w:rFonts w:ascii="Arial" w:cs="Arial" w:eastAsia="Arial" w:hAnsi="Arial"/>
          <w:sz w:val="22"/>
          <w:szCs w:val="22"/>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-205105</wp:posOffset>
            </wp:positionV>
            <wp:extent cx="5306060" cy="900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06060" cy="900430"/>
                    </a:xfrm>
                    <a:prstGeom prst="rect">
                      <a:avLst/>
                    </a:prstGeom>
                    <a:noFill/>
                  </pic:spPr>
                </pic:pic>
              </a:graphicData>
            </a:graphic>
          </wp:anchor>
        </w:drawing>
      </w:r>
    </w:p>
    <w:p>
      <w:pPr>
        <w:spacing w:after="0" w:line="67" w:lineRule="exact"/>
        <w:rPr>
          <w:sz w:val="20"/>
          <w:szCs w:val="20"/>
          <w:color w:val="auto"/>
        </w:rPr>
      </w:pPr>
    </w:p>
    <w:p>
      <w:pPr>
        <w:ind w:left="1380"/>
        <w:spacing w:after="0"/>
        <w:rPr>
          <w:sz w:val="20"/>
          <w:szCs w:val="20"/>
          <w:color w:val="auto"/>
        </w:rPr>
      </w:pPr>
      <w:r>
        <w:rPr>
          <w:rFonts w:ascii="Arial" w:cs="Arial" w:eastAsia="Arial" w:hAnsi="Arial"/>
          <w:sz w:val="29"/>
          <w:szCs w:val="29"/>
          <w:b w:val="1"/>
          <w:bCs w:val="1"/>
          <w:color w:val="00A0DD"/>
        </w:rPr>
        <w:t>Election of Directors</w:t>
      </w:r>
    </w:p>
    <w:p>
      <w:pPr>
        <w:spacing w:after="0" w:line="127" w:lineRule="exact"/>
        <w:rPr>
          <w:sz w:val="20"/>
          <w:szCs w:val="20"/>
          <w:color w:val="auto"/>
        </w:rPr>
      </w:pPr>
    </w:p>
    <w:p>
      <w:pPr>
        <w:ind w:left="1960" w:right="1240"/>
        <w:spacing w:after="0" w:line="271" w:lineRule="auto"/>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b w:val="1"/>
          <w:bCs w:val="1"/>
          <w:color w:val="00A0DD"/>
        </w:rPr>
        <w:t>“FOR”</w:t>
      </w:r>
      <w:r>
        <w:rPr>
          <w:rFonts w:ascii="Arial" w:cs="Arial" w:eastAsia="Arial" w:hAnsi="Arial"/>
          <w:sz w:val="18"/>
          <w:szCs w:val="18"/>
          <w:color w:val="auto"/>
        </w:rPr>
        <w:t xml:space="preserve"> the election of each of the nominees for director.</w:t>
      </w:r>
    </w:p>
    <w:p>
      <w:pPr>
        <w:spacing w:after="0" w:line="246"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Board of Directors Nominees</w:t>
      </w:r>
    </w:p>
    <w:p>
      <w:pPr>
        <w:spacing w:after="0" w:line="40"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5080</wp:posOffset>
            </wp:positionV>
            <wp:extent cx="5306060" cy="1019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0606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8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40" w:type="dxa"/>
            <w:vAlign w:val="bottom"/>
          </w:tcPr>
          <w:p>
            <w:pPr>
              <w:jc w:val="right"/>
              <w:ind w:right="1117"/>
              <w:spacing w:after="0"/>
              <w:rPr>
                <w:sz w:val="20"/>
                <w:szCs w:val="20"/>
                <w:color w:val="auto"/>
              </w:rPr>
            </w:pPr>
            <w:r>
              <w:rPr>
                <w:rFonts w:ascii="Arial" w:cs="Arial" w:eastAsia="Arial" w:hAnsi="Arial"/>
                <w:sz w:val="13"/>
                <w:szCs w:val="13"/>
                <w:b w:val="1"/>
                <w:bCs w:val="1"/>
                <w:color w:val="auto"/>
              </w:rPr>
              <w:t>7</w:t>
            </w:r>
          </w:p>
        </w:tc>
      </w:tr>
      <w:tr>
        <w:trPr>
          <w:trHeight w:val="595"/>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10" w:name="page11"/>
    <w:bookmarkEnd w:id="1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814705</wp:posOffset>
            </wp:positionV>
            <wp:extent cx="5306060" cy="3917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06060" cy="391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25"/>
          <w:szCs w:val="25"/>
          <w:color w:val="auto"/>
        </w:rPr>
        <w:t>Board Refreshment</w:t>
      </w:r>
    </w:p>
    <w:p>
      <w:pPr>
        <w:spacing w:after="0" w:line="67" w:lineRule="exact"/>
        <w:rPr>
          <w:sz w:val="20"/>
          <w:szCs w:val="20"/>
          <w:color w:val="auto"/>
        </w:rPr>
      </w:pPr>
    </w:p>
    <w:p>
      <w:pPr>
        <w:ind w:left="320" w:right="399"/>
        <w:spacing w:after="0" w:line="247" w:lineRule="auto"/>
        <w:rPr>
          <w:sz w:val="20"/>
          <w:szCs w:val="20"/>
          <w:color w:val="auto"/>
        </w:rPr>
      </w:pPr>
      <w:r>
        <w:rPr>
          <w:rFonts w:ascii="Arial" w:cs="Arial" w:eastAsia="Arial" w:hAnsi="Arial"/>
          <w:sz w:val="18"/>
          <w:szCs w:val="18"/>
          <w:color w:val="auto"/>
        </w:rPr>
        <w:t>We have added four new independent directors to our Board within the past three years, including Thomas J. Baltimore, Jr. in March 2023, Louise F. Brady in October 2023, Wonya Y. Lucas in April 2024 and Gordon Smith in February 2026. David C. Novak stepped down from our Board in January 2026 to become Chairman of the Board of Directors of Versant upon completion of the spin-off.</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25"/>
          <w:szCs w:val="25"/>
          <w:color w:val="auto"/>
        </w:rPr>
        <w:t>Director Skills and Experience</w:t>
      </w:r>
    </w:p>
    <w:p>
      <w:pPr>
        <w:spacing w:after="0" w:line="121" w:lineRule="exact"/>
        <w:rPr>
          <w:sz w:val="20"/>
          <w:szCs w:val="20"/>
          <w:color w:val="auto"/>
        </w:rPr>
      </w:pPr>
    </w:p>
    <w:p>
      <w:pPr>
        <w:ind w:left="320" w:right="439"/>
        <w:spacing w:after="0" w:line="239" w:lineRule="auto"/>
        <w:rPr>
          <w:sz w:val="20"/>
          <w:szCs w:val="20"/>
          <w:color w:val="auto"/>
        </w:rPr>
      </w:pPr>
      <w:r>
        <w:rPr>
          <w:rFonts w:ascii="Arial" w:cs="Arial" w:eastAsia="Arial" w:hAnsi="Arial"/>
          <w:sz w:val="18"/>
          <w:szCs w:val="18"/>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and the Governance and Corporate Responsibility Committee (the “Governance Committee”) in turn, also consider certain director qualifications and skills, including those highlighted below, and seek directors that bring to the Board a range of experiences, viewpoints, perspectives, professional knowledge, business expertise, financial expertise, industry knowledge, entrepreneurial background and experience, and high-level business management experience to oversee and address the current issues facing our company.</w:t>
      </w:r>
    </w:p>
    <w:p>
      <w:pPr>
        <w:spacing w:after="0" w:line="75" w:lineRule="exact"/>
        <w:rPr>
          <w:sz w:val="20"/>
          <w:szCs w:val="20"/>
          <w:color w:val="auto"/>
        </w:rPr>
      </w:pPr>
    </w:p>
    <w:p>
      <w:pPr>
        <w:ind w:left="320" w:right="379"/>
        <w:spacing w:after="0" w:line="244" w:lineRule="auto"/>
        <w:rPr>
          <w:sz w:val="20"/>
          <w:szCs w:val="20"/>
          <w:color w:val="auto"/>
        </w:rPr>
      </w:pPr>
      <w:r>
        <w:rPr>
          <w:rFonts w:ascii="Arial" w:cs="Arial" w:eastAsia="Arial" w:hAnsi="Arial"/>
          <w:sz w:val="18"/>
          <w:szCs w:val="18"/>
          <w:color w:val="auto"/>
        </w:rPr>
        <w:t>Our Board and each of its committees assess their effectiveness as part of their annual self-assessment, which, among other things, evaluates the overall composition of our Board. In evaluating current directors for renomination to the Board or reappointment to Board committees, the Governance Committee considers the director’s performance, as well as the current challenges and needs of the Board and each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00" w:hanging="674"/>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1" w:name="page12"/>
    <w:bookmarkEnd w:id="11"/>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300"/>
        <w:spacing w:after="0" w:line="239" w:lineRule="auto"/>
        <w:rPr>
          <w:sz w:val="20"/>
          <w:szCs w:val="20"/>
          <w:color w:val="auto"/>
        </w:rPr>
      </w:pPr>
      <w:r>
        <w:rPr>
          <w:rFonts w:ascii="Arial" w:cs="Arial" w:eastAsia="Arial" w:hAnsi="Arial"/>
          <w:sz w:val="18"/>
          <w:szCs w:val="18"/>
          <w:color w:val="auto"/>
        </w:rPr>
        <w:t>committee. The Governance Committee further considers each director’s ability to dedicate sufficient time, energy and attention to the fulfillment of his or her duties, including other obligations and commitments and leadership positions on other boards. In accordance with our corporate governance guidelines, an independent director who is a chief executive officer of a public company may serve on the boards of no more than two other public companies in addition to our Board, while all other independent directors may serve on up to four public company boards in total. In renominating directors for election at our 2026 annual meeting, the Governance Committee and Board have determined that each of our director nominees is currently in compliance with our corporate governance guidelines and has sufficient time, energy and attention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128270</wp:posOffset>
            </wp:positionV>
            <wp:extent cx="5306060" cy="4603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06060" cy="460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Executive Leadership</w:t>
      </w:r>
    </w:p>
    <w:p>
      <w:pPr>
        <w:spacing w:after="0" w:line="34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Industry Experience</w:t>
      </w:r>
    </w:p>
    <w:p>
      <w:pPr>
        <w:spacing w:after="0" w:line="260" w:lineRule="exact"/>
        <w:rPr>
          <w:sz w:val="20"/>
          <w:szCs w:val="20"/>
          <w:color w:val="auto"/>
        </w:rPr>
      </w:pPr>
    </w:p>
    <w:p>
      <w:pPr>
        <w:ind w:left="1680" w:right="7660"/>
        <w:spacing w:after="0" w:line="264" w:lineRule="auto"/>
        <w:rPr>
          <w:sz w:val="20"/>
          <w:szCs w:val="20"/>
          <w:color w:val="auto"/>
        </w:rPr>
      </w:pPr>
      <w:r>
        <w:rPr>
          <w:rFonts w:ascii="Arial" w:cs="Arial" w:eastAsia="Arial" w:hAnsi="Arial"/>
          <w:sz w:val="15"/>
          <w:szCs w:val="15"/>
          <w:color w:val="auto"/>
        </w:rPr>
        <w:t>Consumer Products/ Customer-Oriented</w:t>
      </w:r>
    </w:p>
    <w:p>
      <w:pPr>
        <w:spacing w:after="0" w:line="215"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Technology</w:t>
      </w:r>
    </w:p>
    <w:p>
      <w:pPr>
        <w:spacing w:after="0" w:line="34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Financial/Accounting</w:t>
      </w:r>
    </w:p>
    <w:p>
      <w:pPr>
        <w:spacing w:after="0" w:line="260" w:lineRule="exact"/>
        <w:rPr>
          <w:sz w:val="20"/>
          <w:szCs w:val="20"/>
          <w:color w:val="auto"/>
        </w:rPr>
      </w:pPr>
    </w:p>
    <w:p>
      <w:pPr>
        <w:ind w:left="1680" w:right="7820"/>
        <w:spacing w:after="0" w:line="264" w:lineRule="auto"/>
        <w:rPr>
          <w:sz w:val="20"/>
          <w:szCs w:val="20"/>
          <w:color w:val="auto"/>
        </w:rPr>
      </w:pPr>
      <w:r>
        <w:rPr>
          <w:rFonts w:ascii="Arial" w:cs="Arial" w:eastAsia="Arial" w:hAnsi="Arial"/>
          <w:sz w:val="15"/>
          <w:szCs w:val="15"/>
          <w:color w:val="auto"/>
        </w:rPr>
        <w:t>Risk Management Oversight</w:t>
      </w:r>
    </w:p>
    <w:p>
      <w:pPr>
        <w:spacing w:after="0" w:line="215"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International</w:t>
      </w:r>
    </w:p>
    <w:p>
      <w:pPr>
        <w:spacing w:after="0" w:line="34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Government Affairs</w:t>
      </w:r>
    </w:p>
    <w:p>
      <w:pPr>
        <w:spacing w:after="0" w:line="260"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Human Capital</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Management</w:t>
      </w:r>
    </w:p>
    <w:p>
      <w:pPr>
        <w:spacing w:after="0" w:line="165" w:lineRule="exact"/>
        <w:rPr>
          <w:sz w:val="20"/>
          <w:szCs w:val="20"/>
          <w:color w:val="auto"/>
        </w:rPr>
      </w:pPr>
    </w:p>
    <w:p>
      <w:pPr>
        <w:ind w:left="1680" w:right="7480"/>
        <w:spacing w:after="0" w:line="264" w:lineRule="auto"/>
        <w:rPr>
          <w:sz w:val="20"/>
          <w:szCs w:val="20"/>
          <w:color w:val="auto"/>
        </w:rPr>
      </w:pPr>
      <w:r>
        <w:rPr>
          <w:rFonts w:ascii="Arial" w:cs="Arial" w:eastAsia="Arial" w:hAnsi="Arial"/>
          <w:sz w:val="15"/>
          <w:szCs w:val="15"/>
          <w:color w:val="auto"/>
        </w:rPr>
        <w:t>Non-Profit/Educational/ Philanthropic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8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40" w:type="dxa"/>
            <w:vAlign w:val="bottom"/>
          </w:tcPr>
          <w:p>
            <w:pPr>
              <w:jc w:val="right"/>
              <w:ind w:right="1117"/>
              <w:spacing w:after="0"/>
              <w:rPr>
                <w:sz w:val="20"/>
                <w:szCs w:val="20"/>
                <w:color w:val="auto"/>
              </w:rPr>
            </w:pPr>
            <w:r>
              <w:rPr>
                <w:rFonts w:ascii="Arial" w:cs="Arial" w:eastAsia="Arial" w:hAnsi="Arial"/>
                <w:sz w:val="13"/>
                <w:szCs w:val="13"/>
                <w:b w:val="1"/>
                <w:bCs w:val="1"/>
                <w:color w:val="auto"/>
              </w:rPr>
              <w:t>9</w:t>
            </w:r>
          </w:p>
        </w:tc>
      </w:tr>
      <w:tr>
        <w:trPr>
          <w:trHeight w:val="595"/>
        </w:trPr>
        <w:tc>
          <w:tcPr>
            <w:tcW w:w="9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269"/>
        </w:trPr>
        <w:tc>
          <w:tcPr>
            <w:tcW w:w="4020" w:type="dxa"/>
            <w:vAlign w:val="bottom"/>
            <w:gridSpan w:val="3"/>
          </w:tcPr>
          <w:p>
            <w:pPr>
              <w:spacing w:after="0"/>
              <w:rPr>
                <w:sz w:val="20"/>
                <w:szCs w:val="20"/>
                <w:color w:val="auto"/>
              </w:rPr>
            </w:pPr>
            <w:r>
              <w:rPr>
                <w:rFonts w:ascii="Arial" w:cs="Arial" w:eastAsia="Arial" w:hAnsi="Arial"/>
                <w:sz w:val="22"/>
                <w:szCs w:val="22"/>
                <w:color w:val="auto"/>
              </w:rPr>
              <w:t>Director Nominee Biographies</w:t>
            </w:r>
          </w:p>
        </w:tc>
        <w:tc>
          <w:tcPr>
            <w:tcW w:w="360" w:type="dxa"/>
            <w:vAlign w:val="bottom"/>
          </w:tcPr>
          <w:p>
            <w:pPr>
              <w:spacing w:after="0"/>
              <w:rPr>
                <w:sz w:val="23"/>
                <w:szCs w:val="23"/>
                <w:color w:val="auto"/>
              </w:rPr>
            </w:pPr>
          </w:p>
        </w:tc>
        <w:tc>
          <w:tcPr>
            <w:tcW w:w="398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0" w:type="dxa"/>
            <w:vAlign w:val="bottom"/>
            <w:shd w:val="clear" w:color="auto" w:fill="00A0DD"/>
          </w:tcPr>
          <w:p>
            <w:pPr>
              <w:spacing w:after="0"/>
              <w:rPr>
                <w:sz w:val="21"/>
                <w:szCs w:val="21"/>
                <w:color w:val="auto"/>
              </w:rPr>
            </w:pPr>
          </w:p>
        </w:tc>
        <w:tc>
          <w:tcPr>
            <w:tcW w:w="3920" w:type="dxa"/>
            <w:vAlign w:val="bottom"/>
            <w:shd w:val="clear" w:color="auto" w:fill="00A0DD"/>
          </w:tcPr>
          <w:p>
            <w:pPr>
              <w:ind w:left="20"/>
              <w:spacing w:after="0" w:line="243" w:lineRule="exact"/>
              <w:rPr>
                <w:sz w:val="20"/>
                <w:szCs w:val="20"/>
                <w:color w:val="auto"/>
              </w:rPr>
            </w:pPr>
            <w:r>
              <w:rPr>
                <w:rFonts w:ascii="Arial" w:cs="Arial" w:eastAsia="Arial" w:hAnsi="Arial"/>
                <w:sz w:val="22"/>
                <w:szCs w:val="22"/>
                <w:b w:val="1"/>
                <w:bCs w:val="1"/>
                <w:color w:val="FFFFFF"/>
              </w:rPr>
              <w:t>Kenneth J. Bacon</w:t>
            </w:r>
          </w:p>
        </w:tc>
        <w:tc>
          <w:tcPr>
            <w:tcW w:w="360" w:type="dxa"/>
            <w:vAlign w:val="bottom"/>
            <w:shd w:val="clear" w:color="auto" w:fill="00A0DD"/>
          </w:tcPr>
          <w:p>
            <w:pPr>
              <w:spacing w:after="0"/>
              <w:rPr>
                <w:sz w:val="21"/>
                <w:szCs w:val="21"/>
                <w:color w:val="auto"/>
              </w:rPr>
            </w:pPr>
          </w:p>
        </w:tc>
        <w:tc>
          <w:tcPr>
            <w:tcW w:w="3980" w:type="dxa"/>
            <w:vAlign w:val="bottom"/>
            <w:shd w:val="clear" w:color="auto" w:fill="00A0DD"/>
          </w:tcPr>
          <w:p>
            <w:pPr>
              <w:ind w:left="2780"/>
              <w:spacing w:after="0"/>
              <w:rPr>
                <w:sz w:val="20"/>
                <w:szCs w:val="20"/>
                <w:color w:val="auto"/>
              </w:rPr>
            </w:pPr>
            <w:r>
              <w:rPr>
                <w:rFonts w:ascii="Arial" w:cs="Arial" w:eastAsia="Arial" w:hAnsi="Arial"/>
                <w:sz w:val="18"/>
                <w:szCs w:val="18"/>
                <w:b w:val="1"/>
                <w:bCs w:val="1"/>
                <w:color w:val="FFFFFF"/>
              </w:rPr>
              <w:t>Independent</w:t>
            </w:r>
          </w:p>
        </w:tc>
      </w:tr>
      <w:tr>
        <w:trPr>
          <w:trHeight w:val="223"/>
        </w:trPr>
        <w:tc>
          <w:tcPr>
            <w:tcW w:w="20" w:type="dxa"/>
            <w:vAlign w:val="bottom"/>
          </w:tcPr>
          <w:p>
            <w:pPr>
              <w:spacing w:after="0"/>
              <w:rPr>
                <w:sz w:val="19"/>
                <w:szCs w:val="19"/>
                <w:color w:val="auto"/>
              </w:rPr>
            </w:pPr>
          </w:p>
        </w:tc>
        <w:tc>
          <w:tcPr>
            <w:tcW w:w="80" w:type="dxa"/>
            <w:vAlign w:val="bottom"/>
            <w:shd w:val="clear" w:color="auto" w:fill="E0F0FB"/>
          </w:tcPr>
          <w:p>
            <w:pPr>
              <w:spacing w:after="0"/>
              <w:rPr>
                <w:sz w:val="19"/>
                <w:szCs w:val="19"/>
                <w:color w:val="auto"/>
              </w:rPr>
            </w:pPr>
          </w:p>
        </w:tc>
        <w:tc>
          <w:tcPr>
            <w:tcW w:w="3920" w:type="dxa"/>
            <w:vAlign w:val="bottom"/>
            <w:shd w:val="clear" w:color="auto" w:fill="E0F0FB"/>
          </w:tcPr>
          <w:p>
            <w:pPr>
              <w:ind w:left="1280"/>
              <w:spacing w:after="0"/>
              <w:rPr>
                <w:sz w:val="20"/>
                <w:szCs w:val="20"/>
                <w:color w:val="auto"/>
              </w:rPr>
            </w:pPr>
            <w:r>
              <w:rPr>
                <w:rFonts w:ascii="Arial" w:cs="Arial" w:eastAsia="Arial" w:hAnsi="Arial"/>
                <w:sz w:val="15"/>
                <w:szCs w:val="15"/>
                <w:color w:val="auto"/>
              </w:rPr>
              <w:t>Partner at RailField Partners</w:t>
            </w:r>
          </w:p>
        </w:tc>
        <w:tc>
          <w:tcPr>
            <w:tcW w:w="360" w:type="dxa"/>
            <w:vAlign w:val="bottom"/>
            <w:shd w:val="clear" w:color="auto" w:fill="E0F0FB"/>
          </w:tcPr>
          <w:p>
            <w:pPr>
              <w:spacing w:after="0"/>
              <w:rPr>
                <w:sz w:val="19"/>
                <w:szCs w:val="19"/>
                <w:color w:val="auto"/>
              </w:rPr>
            </w:pPr>
          </w:p>
        </w:tc>
        <w:tc>
          <w:tcPr>
            <w:tcW w:w="3980" w:type="dxa"/>
            <w:vAlign w:val="bottom"/>
            <w:shd w:val="clear" w:color="auto" w:fill="E0F0FB"/>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920" w:type="dxa"/>
            <w:vAlign w:val="bottom"/>
            <w:shd w:val="clear" w:color="auto" w:fill="E0F0FB"/>
          </w:tcPr>
          <w:p>
            <w:pPr>
              <w:ind w:left="1280"/>
              <w:spacing w:after="0" w:line="162" w:lineRule="exact"/>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71</w:t>
            </w:r>
          </w:p>
        </w:tc>
        <w:tc>
          <w:tcPr>
            <w:tcW w:w="360" w:type="dxa"/>
            <w:vAlign w:val="bottom"/>
            <w:shd w:val="clear" w:color="auto" w:fill="E0F0FB"/>
          </w:tcPr>
          <w:p>
            <w:pPr>
              <w:spacing w:after="0"/>
              <w:rPr>
                <w:sz w:val="14"/>
                <w:szCs w:val="14"/>
                <w:color w:val="auto"/>
              </w:rPr>
            </w:pPr>
          </w:p>
        </w:tc>
        <w:tc>
          <w:tcPr>
            <w:tcW w:w="3980" w:type="dxa"/>
            <w:vAlign w:val="bottom"/>
            <w:shd w:val="clear" w:color="auto" w:fill="E0F0FB"/>
          </w:tcPr>
          <w:p>
            <w:pPr>
              <w:ind w:left="80"/>
              <w:spacing w:after="0" w:line="162" w:lineRule="exact"/>
              <w:rPr>
                <w:sz w:val="20"/>
                <w:szCs w:val="20"/>
                <w:color w:val="auto"/>
              </w:rPr>
            </w:pPr>
            <w:r>
              <w:rPr>
                <w:rFonts w:ascii="Arial" w:cs="Arial" w:eastAsia="Arial" w:hAnsi="Arial"/>
                <w:sz w:val="15"/>
                <w:szCs w:val="15"/>
                <w:b w:val="1"/>
                <w:bCs w:val="1"/>
                <w:color w:val="auto"/>
              </w:rPr>
              <w:t>Other Current Public Company Directorships:</w:t>
            </w:r>
          </w:p>
        </w:tc>
      </w:tr>
      <w:tr>
        <w:trPr>
          <w:trHeight w:val="162"/>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920" w:type="dxa"/>
            <w:vAlign w:val="bottom"/>
            <w:shd w:val="clear" w:color="auto" w:fill="E0F0FB"/>
          </w:tcPr>
          <w:p>
            <w:pPr>
              <w:ind w:left="128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2002</w:t>
            </w:r>
          </w:p>
        </w:tc>
        <w:tc>
          <w:tcPr>
            <w:tcW w:w="360" w:type="dxa"/>
            <w:vAlign w:val="bottom"/>
            <w:shd w:val="clear" w:color="auto" w:fill="E0F0FB"/>
          </w:tcPr>
          <w:p>
            <w:pPr>
              <w:spacing w:after="0"/>
              <w:rPr>
                <w:sz w:val="14"/>
                <w:szCs w:val="14"/>
                <w:color w:val="auto"/>
              </w:rPr>
            </w:pPr>
          </w:p>
        </w:tc>
        <w:tc>
          <w:tcPr>
            <w:tcW w:w="3980" w:type="dxa"/>
            <w:vAlign w:val="bottom"/>
            <w:shd w:val="clear" w:color="auto" w:fill="E0F0FB"/>
          </w:tcPr>
          <w:p>
            <w:pPr>
              <w:ind w:left="80"/>
              <w:spacing w:after="0" w:line="162" w:lineRule="exact"/>
              <w:rPr>
                <w:sz w:val="20"/>
                <w:szCs w:val="20"/>
                <w:color w:val="auto"/>
              </w:rPr>
            </w:pPr>
            <w:r>
              <w:rPr>
                <w:rFonts w:ascii="Arial" w:cs="Arial" w:eastAsia="Arial" w:hAnsi="Arial"/>
                <w:sz w:val="15"/>
                <w:szCs w:val="15"/>
                <w:color w:val="auto"/>
              </w:rPr>
              <w:t>Arbor Realty Trust, Inc., Welltower Inc.</w:t>
            </w:r>
          </w:p>
        </w:tc>
      </w:tr>
      <w:tr>
        <w:trPr>
          <w:trHeight w:val="164"/>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920" w:type="dxa"/>
            <w:vAlign w:val="bottom"/>
            <w:shd w:val="clear" w:color="auto" w:fill="E0F0FB"/>
          </w:tcPr>
          <w:p>
            <w:pPr>
              <w:ind w:left="1280"/>
              <w:spacing w:after="0" w:line="164" w:lineRule="exact"/>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Governance and</w:t>
            </w:r>
          </w:p>
        </w:tc>
        <w:tc>
          <w:tcPr>
            <w:tcW w:w="360" w:type="dxa"/>
            <w:vAlign w:val="bottom"/>
            <w:shd w:val="clear" w:color="auto" w:fill="E0F0FB"/>
          </w:tcPr>
          <w:p>
            <w:pPr>
              <w:spacing w:after="0"/>
              <w:rPr>
                <w:sz w:val="14"/>
                <w:szCs w:val="14"/>
                <w:color w:val="auto"/>
              </w:rPr>
            </w:pPr>
          </w:p>
        </w:tc>
        <w:tc>
          <w:tcPr>
            <w:tcW w:w="3980" w:type="dxa"/>
            <w:vAlign w:val="bottom"/>
            <w:shd w:val="clear" w:color="auto" w:fill="E0F0FB"/>
          </w:tcPr>
          <w:p>
            <w:pPr>
              <w:ind w:left="80"/>
              <w:spacing w:after="0" w:line="164" w:lineRule="exact"/>
              <w:rPr>
                <w:sz w:val="20"/>
                <w:szCs w:val="20"/>
                <w:color w:val="auto"/>
              </w:rPr>
            </w:pPr>
            <w:r>
              <w:rPr>
                <w:rFonts w:ascii="Arial" w:cs="Arial" w:eastAsia="Arial" w:hAnsi="Arial"/>
                <w:sz w:val="15"/>
                <w:szCs w:val="15"/>
                <w:b w:val="1"/>
                <w:bCs w:val="1"/>
                <w:color w:val="auto"/>
              </w:rPr>
              <w:t>Former Public Company Directorships:</w:t>
            </w:r>
          </w:p>
        </w:tc>
      </w:tr>
      <w:tr>
        <w:trPr>
          <w:trHeight w:val="200"/>
        </w:trPr>
        <w:tc>
          <w:tcPr>
            <w:tcW w:w="20" w:type="dxa"/>
            <w:vAlign w:val="bottom"/>
          </w:tcPr>
          <w:p>
            <w:pPr>
              <w:spacing w:after="0"/>
              <w:rPr>
                <w:sz w:val="17"/>
                <w:szCs w:val="17"/>
                <w:color w:val="auto"/>
              </w:rPr>
            </w:pPr>
          </w:p>
        </w:tc>
        <w:tc>
          <w:tcPr>
            <w:tcW w:w="80" w:type="dxa"/>
            <w:vAlign w:val="bottom"/>
            <w:shd w:val="clear" w:color="auto" w:fill="E0F0FB"/>
          </w:tcPr>
          <w:p>
            <w:pPr>
              <w:spacing w:after="0"/>
              <w:rPr>
                <w:sz w:val="17"/>
                <w:szCs w:val="17"/>
                <w:color w:val="auto"/>
              </w:rPr>
            </w:pPr>
          </w:p>
        </w:tc>
        <w:tc>
          <w:tcPr>
            <w:tcW w:w="3920" w:type="dxa"/>
            <w:vAlign w:val="bottom"/>
            <w:shd w:val="clear" w:color="auto" w:fill="E0F0FB"/>
          </w:tcPr>
          <w:p>
            <w:pPr>
              <w:ind w:left="1280"/>
              <w:spacing w:after="0"/>
              <w:rPr>
                <w:sz w:val="20"/>
                <w:szCs w:val="20"/>
                <w:color w:val="auto"/>
              </w:rPr>
            </w:pPr>
            <w:r>
              <w:rPr>
                <w:rFonts w:ascii="Arial" w:cs="Arial" w:eastAsia="Arial" w:hAnsi="Arial"/>
                <w:sz w:val="15"/>
                <w:szCs w:val="15"/>
                <w:color w:val="auto"/>
              </w:rPr>
              <w:t>Corporate Responsibility</w:t>
            </w:r>
          </w:p>
        </w:tc>
        <w:tc>
          <w:tcPr>
            <w:tcW w:w="360" w:type="dxa"/>
            <w:vAlign w:val="bottom"/>
            <w:shd w:val="clear" w:color="auto" w:fill="E0F0FB"/>
          </w:tcPr>
          <w:p>
            <w:pPr>
              <w:spacing w:after="0"/>
              <w:rPr>
                <w:sz w:val="17"/>
                <w:szCs w:val="17"/>
                <w:color w:val="auto"/>
              </w:rPr>
            </w:pPr>
          </w:p>
        </w:tc>
        <w:tc>
          <w:tcPr>
            <w:tcW w:w="3980" w:type="dxa"/>
            <w:vAlign w:val="bottom"/>
            <w:shd w:val="clear" w:color="auto" w:fill="E0F0FB"/>
          </w:tcPr>
          <w:p>
            <w:pPr>
              <w:ind w:left="80"/>
              <w:spacing w:after="0"/>
              <w:rPr>
                <w:sz w:val="20"/>
                <w:szCs w:val="20"/>
                <w:color w:val="auto"/>
              </w:rPr>
            </w:pPr>
            <w:r>
              <w:rPr>
                <w:rFonts w:ascii="Arial" w:cs="Arial" w:eastAsia="Arial" w:hAnsi="Arial"/>
                <w:sz w:val="15"/>
                <w:szCs w:val="15"/>
                <w:color w:val="auto"/>
              </w:rPr>
              <w:t>Ally Financial Inc.</w:t>
            </w:r>
          </w:p>
        </w:tc>
      </w:tr>
      <w:tr>
        <w:trPr>
          <w:trHeight w:val="208"/>
        </w:trPr>
        <w:tc>
          <w:tcPr>
            <w:tcW w:w="20" w:type="dxa"/>
            <w:vAlign w:val="bottom"/>
          </w:tcPr>
          <w:p>
            <w:pPr>
              <w:spacing w:after="0"/>
              <w:rPr>
                <w:sz w:val="18"/>
                <w:szCs w:val="18"/>
                <w:color w:val="auto"/>
              </w:rPr>
            </w:pPr>
          </w:p>
        </w:tc>
        <w:tc>
          <w:tcPr>
            <w:tcW w:w="80" w:type="dxa"/>
            <w:vAlign w:val="bottom"/>
            <w:shd w:val="clear" w:color="auto" w:fill="E0F0FB"/>
          </w:tcPr>
          <w:p>
            <w:pPr>
              <w:spacing w:after="0"/>
              <w:rPr>
                <w:sz w:val="18"/>
                <w:szCs w:val="18"/>
                <w:color w:val="auto"/>
              </w:rPr>
            </w:pPr>
          </w:p>
        </w:tc>
        <w:tc>
          <w:tcPr>
            <w:tcW w:w="3920" w:type="dxa"/>
            <w:vAlign w:val="bottom"/>
            <w:shd w:val="clear" w:color="auto" w:fill="E0F0FB"/>
          </w:tcPr>
          <w:p>
            <w:pPr>
              <w:spacing w:after="0"/>
              <w:rPr>
                <w:sz w:val="18"/>
                <w:szCs w:val="18"/>
                <w:color w:val="auto"/>
              </w:rPr>
            </w:pPr>
          </w:p>
        </w:tc>
        <w:tc>
          <w:tcPr>
            <w:tcW w:w="360" w:type="dxa"/>
            <w:vAlign w:val="bottom"/>
            <w:shd w:val="clear" w:color="auto" w:fill="E0F0FB"/>
          </w:tcPr>
          <w:p>
            <w:pPr>
              <w:spacing w:after="0"/>
              <w:rPr>
                <w:sz w:val="18"/>
                <w:szCs w:val="18"/>
                <w:color w:val="auto"/>
              </w:rPr>
            </w:pPr>
          </w:p>
        </w:tc>
        <w:tc>
          <w:tcPr>
            <w:tcW w:w="3980" w:type="dxa"/>
            <w:vAlign w:val="bottom"/>
            <w:shd w:val="clear" w:color="auto" w:fill="E0F0FB"/>
          </w:tcPr>
          <w:p>
            <w:pPr>
              <w:spacing w:after="0"/>
              <w:rPr>
                <w:sz w:val="18"/>
                <w:szCs w:val="18"/>
                <w:color w:val="auto"/>
              </w:rPr>
            </w:pPr>
          </w:p>
        </w:tc>
      </w:tr>
      <w:tr>
        <w:trPr>
          <w:trHeight w:val="249"/>
        </w:trPr>
        <w:tc>
          <w:tcPr>
            <w:tcW w:w="4020" w:type="dxa"/>
            <w:vAlign w:val="bottom"/>
            <w:gridSpan w:val="3"/>
          </w:tcPr>
          <w:p>
            <w:pPr>
              <w:spacing w:after="0"/>
              <w:rPr>
                <w:sz w:val="20"/>
                <w:szCs w:val="20"/>
                <w:color w:val="auto"/>
              </w:rPr>
            </w:pPr>
            <w:r>
              <w:rPr>
                <w:rFonts w:ascii="Arial" w:cs="Arial" w:eastAsia="Arial" w:hAnsi="Arial"/>
                <w:sz w:val="16"/>
                <w:szCs w:val="16"/>
                <w:b w:val="1"/>
                <w:bCs w:val="1"/>
                <w:color w:val="00A0DD"/>
              </w:rPr>
              <w:t>Career Highlights:</w:t>
            </w:r>
          </w:p>
        </w:tc>
        <w:tc>
          <w:tcPr>
            <w:tcW w:w="36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166"/>
        </w:trPr>
        <w:tc>
          <w:tcPr>
            <w:tcW w:w="100" w:type="dxa"/>
            <w:vAlign w:val="bottom"/>
            <w:gridSpan w:val="2"/>
          </w:tcPr>
          <w:p>
            <w:pPr>
              <w:spacing w:after="0" w:line="166" w:lineRule="exact"/>
              <w:rPr>
                <w:sz w:val="20"/>
                <w:szCs w:val="20"/>
                <w:color w:val="auto"/>
              </w:rPr>
            </w:pPr>
            <w:r>
              <w:rPr>
                <w:rFonts w:ascii="Arial" w:cs="Arial" w:eastAsia="Arial" w:hAnsi="Arial"/>
                <w:sz w:val="15"/>
                <w:szCs w:val="15"/>
                <w:color w:val="00A0DD"/>
              </w:rPr>
              <w:t>•</w:t>
            </w:r>
          </w:p>
        </w:tc>
        <w:tc>
          <w:tcPr>
            <w:tcW w:w="3920" w:type="dxa"/>
            <w:vAlign w:val="bottom"/>
          </w:tcPr>
          <w:p>
            <w:pPr>
              <w:ind w:left="240"/>
              <w:spacing w:after="0" w:line="166" w:lineRule="exact"/>
              <w:rPr>
                <w:sz w:val="20"/>
                <w:szCs w:val="20"/>
                <w:color w:val="auto"/>
              </w:rPr>
            </w:pPr>
            <w:r>
              <w:rPr>
                <w:rFonts w:ascii="Arial" w:cs="Arial" w:eastAsia="Arial" w:hAnsi="Arial"/>
                <w:sz w:val="15"/>
                <w:szCs w:val="15"/>
                <w:color w:val="auto"/>
              </w:rPr>
              <w:t>Partner, RailField Partners, a financial advisory and</w:t>
            </w:r>
          </w:p>
        </w:tc>
        <w:tc>
          <w:tcPr>
            <w:tcW w:w="360" w:type="dxa"/>
            <w:vAlign w:val="bottom"/>
          </w:tcPr>
          <w:p>
            <w:pPr>
              <w:ind w:left="240"/>
              <w:spacing w:after="0" w:line="166" w:lineRule="exact"/>
              <w:rPr>
                <w:sz w:val="20"/>
                <w:szCs w:val="20"/>
                <w:color w:val="auto"/>
              </w:rPr>
            </w:pPr>
            <w:r>
              <w:rPr>
                <w:rFonts w:ascii="Arial" w:cs="Arial" w:eastAsia="Arial" w:hAnsi="Arial"/>
                <w:sz w:val="15"/>
                <w:szCs w:val="15"/>
                <w:color w:val="00A0DD"/>
              </w:rPr>
              <w:t>•</w:t>
            </w:r>
          </w:p>
        </w:tc>
        <w:tc>
          <w:tcPr>
            <w:tcW w:w="3980" w:type="dxa"/>
            <w:vAlign w:val="bottom"/>
          </w:tcPr>
          <w:p>
            <w:pPr>
              <w:ind w:left="220"/>
              <w:spacing w:after="0" w:line="166" w:lineRule="exact"/>
              <w:rPr>
                <w:sz w:val="20"/>
                <w:szCs w:val="20"/>
                <w:color w:val="auto"/>
              </w:rPr>
            </w:pPr>
            <w:r>
              <w:rPr>
                <w:rFonts w:ascii="Arial" w:cs="Arial" w:eastAsia="Arial" w:hAnsi="Arial"/>
                <w:sz w:val="15"/>
                <w:szCs w:val="15"/>
                <w:color w:val="auto"/>
              </w:rPr>
              <w:t>Interim Executive Vice President, Housing and</w:t>
            </w: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20" w:type="dxa"/>
            <w:vAlign w:val="bottom"/>
          </w:tcPr>
          <w:p>
            <w:pPr>
              <w:ind w:left="100"/>
              <w:spacing w:after="0" w:line="162" w:lineRule="exact"/>
              <w:rPr>
                <w:sz w:val="20"/>
                <w:szCs w:val="20"/>
                <w:color w:val="auto"/>
              </w:rPr>
            </w:pPr>
            <w:r>
              <w:rPr>
                <w:rFonts w:ascii="Arial" w:cs="Arial" w:eastAsia="Arial" w:hAnsi="Arial"/>
                <w:sz w:val="15"/>
                <w:szCs w:val="15"/>
                <w:color w:val="auto"/>
              </w:rPr>
              <w:t>asset management firm, 2012 – Present</w:t>
            </w:r>
          </w:p>
        </w:tc>
        <w:tc>
          <w:tcPr>
            <w:tcW w:w="360" w:type="dxa"/>
            <w:vAlign w:val="bottom"/>
          </w:tcPr>
          <w:p>
            <w:pPr>
              <w:spacing w:after="0"/>
              <w:rPr>
                <w:sz w:val="14"/>
                <w:szCs w:val="14"/>
                <w:color w:val="auto"/>
              </w:rPr>
            </w:pPr>
          </w:p>
        </w:tc>
        <w:tc>
          <w:tcPr>
            <w:tcW w:w="3980" w:type="dxa"/>
            <w:vAlign w:val="bottom"/>
          </w:tcPr>
          <w:p>
            <w:pPr>
              <w:ind w:left="80"/>
              <w:spacing w:after="0" w:line="162" w:lineRule="exact"/>
              <w:rPr>
                <w:sz w:val="20"/>
                <w:szCs w:val="20"/>
                <w:color w:val="auto"/>
              </w:rPr>
            </w:pPr>
            <w:r>
              <w:rPr>
                <w:rFonts w:ascii="Arial" w:cs="Arial" w:eastAsia="Arial" w:hAnsi="Arial"/>
                <w:sz w:val="15"/>
                <w:szCs w:val="15"/>
                <w:color w:val="auto"/>
              </w:rPr>
              <w:t>Community Development, Fannie Mae, January 2005 –</w:t>
            </w:r>
          </w:p>
        </w:tc>
      </w:tr>
      <w:tr>
        <w:trPr>
          <w:trHeight w:val="203"/>
        </w:trPr>
        <w:tc>
          <w:tcPr>
            <w:tcW w:w="100" w:type="dxa"/>
            <w:vAlign w:val="bottom"/>
            <w:gridSpan w:val="2"/>
          </w:tcPr>
          <w:p>
            <w:pPr>
              <w:spacing w:after="0"/>
              <w:rPr>
                <w:sz w:val="20"/>
                <w:szCs w:val="20"/>
                <w:color w:val="auto"/>
              </w:rPr>
            </w:pPr>
            <w:r>
              <w:rPr>
                <w:rFonts w:ascii="Arial" w:cs="Arial" w:eastAsia="Arial" w:hAnsi="Arial"/>
                <w:sz w:val="15"/>
                <w:szCs w:val="15"/>
                <w:color w:val="00A0DD"/>
              </w:rPr>
              <w:t>•</w:t>
            </w:r>
          </w:p>
        </w:tc>
        <w:tc>
          <w:tcPr>
            <w:tcW w:w="3920" w:type="dxa"/>
            <w:vAlign w:val="bottom"/>
          </w:tcPr>
          <w:p>
            <w:pPr>
              <w:ind w:left="240"/>
              <w:spacing w:after="0"/>
              <w:rPr>
                <w:sz w:val="20"/>
                <w:szCs w:val="20"/>
                <w:color w:val="auto"/>
              </w:rPr>
            </w:pPr>
            <w:r>
              <w:rPr>
                <w:rFonts w:ascii="Arial" w:cs="Arial" w:eastAsia="Arial" w:hAnsi="Arial"/>
                <w:sz w:val="15"/>
                <w:szCs w:val="15"/>
                <w:color w:val="auto"/>
              </w:rPr>
              <w:t>Executive Vice President, multifamily mortgage</w:t>
            </w:r>
          </w:p>
        </w:tc>
        <w:tc>
          <w:tcPr>
            <w:tcW w:w="360" w:type="dxa"/>
            <w:vAlign w:val="bottom"/>
          </w:tcPr>
          <w:p>
            <w:pPr>
              <w:spacing w:after="0"/>
              <w:rPr>
                <w:sz w:val="17"/>
                <w:szCs w:val="17"/>
                <w:color w:val="auto"/>
              </w:rPr>
            </w:pPr>
          </w:p>
        </w:tc>
        <w:tc>
          <w:tcPr>
            <w:tcW w:w="3980" w:type="dxa"/>
            <w:vAlign w:val="bottom"/>
          </w:tcPr>
          <w:p>
            <w:pPr>
              <w:ind w:left="80"/>
              <w:spacing w:after="0"/>
              <w:rPr>
                <w:sz w:val="20"/>
                <w:szCs w:val="20"/>
                <w:color w:val="auto"/>
              </w:rPr>
            </w:pPr>
            <w:r>
              <w:rPr>
                <w:rFonts w:ascii="Arial" w:cs="Arial" w:eastAsia="Arial" w:hAnsi="Arial"/>
                <w:sz w:val="15"/>
                <w:szCs w:val="15"/>
                <w:color w:val="auto"/>
              </w:rPr>
              <w:t>July 2005</w:t>
            </w: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ind w:left="100"/>
              <w:spacing w:after="0"/>
              <w:rPr>
                <w:sz w:val="20"/>
                <w:szCs w:val="20"/>
                <w:color w:val="auto"/>
              </w:rPr>
            </w:pPr>
            <w:r>
              <w:rPr>
                <w:rFonts w:ascii="Arial" w:cs="Arial" w:eastAsia="Arial" w:hAnsi="Arial"/>
                <w:sz w:val="15"/>
                <w:szCs w:val="15"/>
                <w:color w:val="auto"/>
              </w:rPr>
              <w:t>business, Fannie Mae, 2005 – 2012</w:t>
            </w:r>
          </w:p>
        </w:tc>
        <w:tc>
          <w:tcPr>
            <w:tcW w:w="360" w:type="dxa"/>
            <w:vAlign w:val="bottom"/>
          </w:tcPr>
          <w:p>
            <w:pPr>
              <w:ind w:left="240"/>
              <w:spacing w:after="0"/>
              <w:rPr>
                <w:sz w:val="20"/>
                <w:szCs w:val="20"/>
                <w:color w:val="auto"/>
              </w:rPr>
            </w:pPr>
            <w:r>
              <w:rPr>
                <w:rFonts w:ascii="Arial" w:cs="Arial" w:eastAsia="Arial" w:hAnsi="Arial"/>
                <w:sz w:val="15"/>
                <w:szCs w:val="15"/>
                <w:color w:val="00A0DD"/>
              </w:rPr>
              <w:t>•</w:t>
            </w:r>
          </w:p>
        </w:tc>
        <w:tc>
          <w:tcPr>
            <w:tcW w:w="3980" w:type="dxa"/>
            <w:vAlign w:val="bottom"/>
          </w:tcPr>
          <w:p>
            <w:pPr>
              <w:ind w:left="220"/>
              <w:spacing w:after="0"/>
              <w:rPr>
                <w:sz w:val="20"/>
                <w:szCs w:val="20"/>
                <w:color w:val="auto"/>
              </w:rPr>
            </w:pPr>
            <w:r>
              <w:rPr>
                <w:rFonts w:ascii="Arial" w:cs="Arial" w:eastAsia="Arial" w:hAnsi="Arial"/>
                <w:sz w:val="15"/>
                <w:szCs w:val="15"/>
                <w:color w:val="auto"/>
              </w:rPr>
              <w:t>Member, National Multifamily Housing Council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-1307465</wp:posOffset>
            </wp:positionV>
            <wp:extent cx="659765" cy="660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b w:val="1"/>
          <w:bCs w:val="1"/>
          <w:color w:val="00A0DD"/>
        </w:rPr>
        <w:t>Skills and Qualifications:</w:t>
      </w:r>
    </w:p>
    <w:p>
      <w:pPr>
        <w:spacing w:after="0" w:line="42" w:lineRule="exact"/>
        <w:rPr>
          <w:sz w:val="20"/>
          <w:szCs w:val="20"/>
          <w:color w:val="auto"/>
        </w:rPr>
      </w:pPr>
    </w:p>
    <w:p>
      <w:pPr>
        <w:ind w:left="320" w:right="339"/>
        <w:spacing w:after="0"/>
        <w:rPr>
          <w:sz w:val="20"/>
          <w:szCs w:val="20"/>
          <w:color w:val="auto"/>
        </w:rPr>
      </w:pPr>
      <w:r>
        <w:rPr>
          <w:rFonts w:ascii="Arial" w:cs="Arial" w:eastAsia="Arial" w:hAnsi="Arial"/>
          <w:sz w:val="15"/>
          <w:szCs w:val="15"/>
          <w:color w:val="auto"/>
        </w:rPr>
        <w:t>Mr. Bacon brings decades of executive experience across the financial services, real estate and housing industries, including his current role as a partner at RailField Partners. He previously held various leadership roles at Fannie Mae, a leading source of mortgage financing across the United States, where he oversaw a portfolio of nearly $200 billion in assets and ran the company’s multifamily division, affordable lending and community development initiatives. As an industry veteran and seasoned leader in the housing market and multifamily asset class, Mr. Bacon is deeply acquainted with regulatory affairs at federal, state and municipal levels. This background enables him to provide unique perspectives in discussions of how regulatory affairs and government relations impact our business broadly. Mr. Bacon’s deep experience in finance and risk management oversight enables him to contribute to our Governance Committee’s oversight of our compliance and privacy programs. His ongoing public company board service further enhances his perspective on emerging governance priorities, stakeholder expectations and risk frameworks, which he applies to Board deliberations and committee oversight.</w:t>
      </w:r>
    </w:p>
    <w:p>
      <w:pPr>
        <w:spacing w:after="0" w:line="47" w:lineRule="exact"/>
        <w:rPr>
          <w:sz w:val="20"/>
          <w:szCs w:val="20"/>
          <w:color w:val="auto"/>
        </w:rPr>
      </w:pPr>
    </w:p>
    <w:tbl>
      <w:tblPr>
        <w:tblLayout w:type="fixed"/>
        <w:tblInd w:w="840" w:type="dxa"/>
        <w:tblCellMar>
          <w:top w:w="0" w:type="dxa"/>
          <w:left w:w="0" w:type="dxa"/>
          <w:bottom w:w="0" w:type="dxa"/>
          <w:right w:w="0" w:type="dxa"/>
        </w:tblCellMar>
      </w:tblPr>
      <w:tr>
        <w:trPr>
          <w:trHeight w:val="172"/>
        </w:trPr>
        <w:tc>
          <w:tcPr>
            <w:tcW w:w="1220" w:type="dxa"/>
            <w:vAlign w:val="bottom"/>
            <w:vMerge w:val="restart"/>
          </w:tcPr>
          <w:p>
            <w:pPr>
              <w:spacing w:after="0"/>
              <w:rPr>
                <w:sz w:val="20"/>
                <w:szCs w:val="20"/>
                <w:color w:val="auto"/>
              </w:rPr>
            </w:pPr>
            <w:r>
              <w:rPr>
                <w:rFonts w:ascii="Arial" w:cs="Arial" w:eastAsia="Arial" w:hAnsi="Arial"/>
                <w:sz w:val="15"/>
                <w:szCs w:val="15"/>
                <w:color w:val="auto"/>
              </w:rPr>
              <w:t>Executive</w:t>
            </w:r>
          </w:p>
        </w:tc>
        <w:tc>
          <w:tcPr>
            <w:tcW w:w="1680" w:type="dxa"/>
            <w:vAlign w:val="bottom"/>
            <w:vMerge w:val="restart"/>
          </w:tcPr>
          <w:p>
            <w:pPr>
              <w:ind w:left="460"/>
              <w:spacing w:after="0"/>
              <w:rPr>
                <w:sz w:val="20"/>
                <w:szCs w:val="20"/>
                <w:color w:val="auto"/>
              </w:rPr>
            </w:pPr>
            <w:r>
              <w:rPr>
                <w:rFonts w:ascii="Arial" w:cs="Arial" w:eastAsia="Arial" w:hAnsi="Arial"/>
                <w:sz w:val="15"/>
                <w:szCs w:val="15"/>
                <w:color w:val="auto"/>
              </w:rPr>
              <w:t>Financial/</w:t>
            </w:r>
          </w:p>
        </w:tc>
        <w:tc>
          <w:tcPr>
            <w:tcW w:w="1760" w:type="dxa"/>
            <w:vAlign w:val="bottom"/>
          </w:tcPr>
          <w:p>
            <w:pPr>
              <w:ind w:left="480"/>
              <w:spacing w:after="0"/>
              <w:rPr>
                <w:sz w:val="20"/>
                <w:szCs w:val="20"/>
                <w:color w:val="auto"/>
              </w:rPr>
            </w:pPr>
            <w:r>
              <w:rPr>
                <w:rFonts w:ascii="Arial" w:cs="Arial" w:eastAsia="Arial" w:hAnsi="Arial"/>
                <w:sz w:val="15"/>
                <w:szCs w:val="15"/>
                <w:color w:val="auto"/>
              </w:rPr>
              <w:t>Risk</w:t>
            </w:r>
          </w:p>
        </w:tc>
        <w:tc>
          <w:tcPr>
            <w:tcW w:w="1620" w:type="dxa"/>
            <w:vAlign w:val="bottom"/>
            <w:vMerge w:val="restart"/>
          </w:tcPr>
          <w:p>
            <w:pPr>
              <w:ind w:left="380"/>
              <w:spacing w:after="0"/>
              <w:rPr>
                <w:sz w:val="20"/>
                <w:szCs w:val="20"/>
                <w:color w:val="auto"/>
              </w:rPr>
            </w:pPr>
            <w:r>
              <w:rPr>
                <w:rFonts w:ascii="Arial" w:cs="Arial" w:eastAsia="Arial" w:hAnsi="Arial"/>
                <w:sz w:val="15"/>
                <w:szCs w:val="15"/>
                <w:color w:val="auto"/>
              </w:rPr>
              <w:t>Government</w:t>
            </w:r>
          </w:p>
        </w:tc>
        <w:tc>
          <w:tcPr>
            <w:tcW w:w="1280" w:type="dxa"/>
            <w:vAlign w:val="bottom"/>
          </w:tcPr>
          <w:p>
            <w:pPr>
              <w:ind w:left="400"/>
              <w:spacing w:after="0"/>
              <w:rPr>
                <w:sz w:val="20"/>
                <w:szCs w:val="20"/>
                <w:color w:val="auto"/>
              </w:rPr>
            </w:pPr>
            <w:r>
              <w:rPr>
                <w:rFonts w:ascii="Arial" w:cs="Arial" w:eastAsia="Arial" w:hAnsi="Arial"/>
                <w:sz w:val="15"/>
                <w:szCs w:val="15"/>
                <w:color w:val="auto"/>
              </w:rPr>
              <w:t>Non-Profit/</w:t>
            </w:r>
          </w:p>
        </w:tc>
        <w:tc>
          <w:tcPr>
            <w:tcW w:w="0" w:type="dxa"/>
            <w:vAlign w:val="bottom"/>
          </w:tcPr>
          <w:p>
            <w:pPr>
              <w:spacing w:after="0"/>
              <w:rPr>
                <w:sz w:val="1"/>
                <w:szCs w:val="1"/>
                <w:color w:val="auto"/>
              </w:rPr>
            </w:pPr>
          </w:p>
        </w:tc>
      </w:tr>
      <w:tr>
        <w:trPr>
          <w:trHeight w:val="85"/>
        </w:trPr>
        <w:tc>
          <w:tcPr>
            <w:tcW w:w="12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760" w:type="dxa"/>
            <w:vAlign w:val="bottom"/>
            <w:vMerge w:val="restart"/>
          </w:tcPr>
          <w:p>
            <w:pPr>
              <w:ind w:left="480"/>
              <w:spacing w:after="0" w:line="162" w:lineRule="exact"/>
              <w:rPr>
                <w:sz w:val="20"/>
                <w:szCs w:val="20"/>
                <w:color w:val="auto"/>
              </w:rPr>
            </w:pPr>
            <w:r>
              <w:rPr>
                <w:rFonts w:ascii="Arial" w:cs="Arial" w:eastAsia="Arial" w:hAnsi="Arial"/>
                <w:sz w:val="15"/>
                <w:szCs w:val="15"/>
                <w:color w:val="auto"/>
              </w:rPr>
              <w:t>Management</w:t>
            </w:r>
          </w:p>
        </w:tc>
        <w:tc>
          <w:tcPr>
            <w:tcW w:w="1620" w:type="dxa"/>
            <w:vAlign w:val="bottom"/>
            <w:vMerge w:val="continue"/>
          </w:tcPr>
          <w:p>
            <w:pPr>
              <w:spacing w:after="0"/>
              <w:rPr>
                <w:sz w:val="7"/>
                <w:szCs w:val="7"/>
                <w:color w:val="auto"/>
              </w:rPr>
            </w:pPr>
          </w:p>
        </w:tc>
        <w:tc>
          <w:tcPr>
            <w:tcW w:w="1280" w:type="dxa"/>
            <w:vAlign w:val="bottom"/>
            <w:vMerge w:val="restart"/>
          </w:tcPr>
          <w:p>
            <w:pPr>
              <w:ind w:left="400"/>
              <w:spacing w:after="0" w:line="162" w:lineRule="exact"/>
              <w:rPr>
                <w:sz w:val="20"/>
                <w:szCs w:val="20"/>
                <w:color w:val="auto"/>
              </w:rPr>
            </w:pPr>
            <w:r>
              <w:rPr>
                <w:rFonts w:ascii="Arial" w:cs="Arial" w:eastAsia="Arial" w:hAnsi="Arial"/>
                <w:sz w:val="15"/>
                <w:szCs w:val="15"/>
                <w:color w:val="auto"/>
              </w:rPr>
              <w:t>Educational/</w:t>
            </w:r>
          </w:p>
        </w:tc>
        <w:tc>
          <w:tcPr>
            <w:tcW w:w="0" w:type="dxa"/>
            <w:vAlign w:val="bottom"/>
          </w:tcPr>
          <w:p>
            <w:pPr>
              <w:spacing w:after="0"/>
              <w:rPr>
                <w:sz w:val="1"/>
                <w:szCs w:val="1"/>
                <w:color w:val="auto"/>
              </w:rPr>
            </w:pPr>
          </w:p>
        </w:tc>
      </w:tr>
      <w:tr>
        <w:trPr>
          <w:trHeight w:val="77"/>
        </w:trPr>
        <w:tc>
          <w:tcPr>
            <w:tcW w:w="1220" w:type="dxa"/>
            <w:vAlign w:val="bottom"/>
            <w:vMerge w:val="restart"/>
          </w:tcPr>
          <w:p>
            <w:pPr>
              <w:spacing w:after="0"/>
              <w:rPr>
                <w:sz w:val="20"/>
                <w:szCs w:val="20"/>
                <w:color w:val="auto"/>
              </w:rPr>
            </w:pPr>
            <w:r>
              <w:rPr>
                <w:rFonts w:ascii="Arial" w:cs="Arial" w:eastAsia="Arial" w:hAnsi="Arial"/>
                <w:sz w:val="15"/>
                <w:szCs w:val="15"/>
                <w:color w:val="auto"/>
              </w:rPr>
              <w:t>Leadership</w:t>
            </w:r>
          </w:p>
        </w:tc>
        <w:tc>
          <w:tcPr>
            <w:tcW w:w="1680" w:type="dxa"/>
            <w:vAlign w:val="bottom"/>
            <w:vMerge w:val="restart"/>
          </w:tcPr>
          <w:p>
            <w:pPr>
              <w:ind w:left="460"/>
              <w:spacing w:after="0"/>
              <w:rPr>
                <w:sz w:val="20"/>
                <w:szCs w:val="20"/>
                <w:color w:val="auto"/>
              </w:rPr>
            </w:pPr>
            <w:r>
              <w:rPr>
                <w:rFonts w:ascii="Arial" w:cs="Arial" w:eastAsia="Arial" w:hAnsi="Arial"/>
                <w:sz w:val="15"/>
                <w:szCs w:val="15"/>
                <w:color w:val="auto"/>
              </w:rPr>
              <w:t>Accounting</w:t>
            </w:r>
          </w:p>
        </w:tc>
        <w:tc>
          <w:tcPr>
            <w:tcW w:w="1760" w:type="dxa"/>
            <w:vAlign w:val="bottom"/>
            <w:vMerge w:val="continue"/>
          </w:tcPr>
          <w:p>
            <w:pPr>
              <w:spacing w:after="0"/>
              <w:rPr>
                <w:sz w:val="6"/>
                <w:szCs w:val="6"/>
                <w:color w:val="auto"/>
              </w:rPr>
            </w:pPr>
          </w:p>
        </w:tc>
        <w:tc>
          <w:tcPr>
            <w:tcW w:w="1620" w:type="dxa"/>
            <w:vAlign w:val="bottom"/>
            <w:vMerge w:val="restart"/>
          </w:tcPr>
          <w:p>
            <w:pPr>
              <w:ind w:left="380"/>
              <w:spacing w:after="0"/>
              <w:rPr>
                <w:sz w:val="20"/>
                <w:szCs w:val="20"/>
                <w:color w:val="auto"/>
              </w:rPr>
            </w:pPr>
            <w:r>
              <w:rPr>
                <w:rFonts w:ascii="Arial" w:cs="Arial" w:eastAsia="Arial" w:hAnsi="Arial"/>
                <w:sz w:val="15"/>
                <w:szCs w:val="15"/>
                <w:color w:val="auto"/>
              </w:rPr>
              <w:t>Affairs</w:t>
            </w: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22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760" w:type="dxa"/>
            <w:vAlign w:val="bottom"/>
            <w:vMerge w:val="restart"/>
          </w:tcPr>
          <w:p>
            <w:pPr>
              <w:ind w:left="480"/>
              <w:spacing w:after="0"/>
              <w:rPr>
                <w:sz w:val="20"/>
                <w:szCs w:val="20"/>
                <w:color w:val="auto"/>
              </w:rPr>
            </w:pPr>
            <w:r>
              <w:rPr>
                <w:rFonts w:ascii="Arial" w:cs="Arial" w:eastAsia="Arial" w:hAnsi="Arial"/>
                <w:sz w:val="15"/>
                <w:szCs w:val="15"/>
                <w:color w:val="auto"/>
              </w:rPr>
              <w:t>Oversight</w:t>
            </w:r>
          </w:p>
        </w:tc>
        <w:tc>
          <w:tcPr>
            <w:tcW w:w="1620" w:type="dxa"/>
            <w:vAlign w:val="bottom"/>
            <w:vMerge w:val="continue"/>
          </w:tcPr>
          <w:p>
            <w:pPr>
              <w:spacing w:after="0"/>
              <w:rPr>
                <w:sz w:val="11"/>
                <w:szCs w:val="11"/>
                <w:color w:val="auto"/>
              </w:rPr>
            </w:pPr>
          </w:p>
        </w:tc>
        <w:tc>
          <w:tcPr>
            <w:tcW w:w="1280" w:type="dxa"/>
            <w:vAlign w:val="bottom"/>
            <w:vMerge w:val="restart"/>
          </w:tcPr>
          <w:p>
            <w:pPr>
              <w:ind w:left="400"/>
              <w:spacing w:after="0"/>
              <w:rPr>
                <w:sz w:val="20"/>
                <w:szCs w:val="20"/>
                <w:color w:val="auto"/>
              </w:rPr>
            </w:pPr>
            <w:r>
              <w:rPr>
                <w:rFonts w:ascii="Arial" w:cs="Arial" w:eastAsia="Arial" w:hAnsi="Arial"/>
                <w:sz w:val="15"/>
                <w:szCs w:val="15"/>
                <w:color w:val="auto"/>
                <w:w w:val="99"/>
              </w:rPr>
              <w:t>Philanthropic</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-244475</wp:posOffset>
            </wp:positionV>
            <wp:extent cx="214630" cy="2311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630" cy="23114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-235585</wp:posOffset>
            </wp:positionV>
            <wp:extent cx="20574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-235585</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-235585</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-210185</wp:posOffset>
            </wp:positionV>
            <wp:extent cx="20574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shd w:val="clear" w:color="auto" w:fill="00A0DD"/>
          </w:tcPr>
          <w:p>
            <w:pPr>
              <w:spacing w:after="0"/>
              <w:rPr>
                <w:sz w:val="21"/>
                <w:szCs w:val="21"/>
                <w:color w:val="auto"/>
              </w:rPr>
            </w:pPr>
          </w:p>
        </w:tc>
        <w:tc>
          <w:tcPr>
            <w:tcW w:w="3820" w:type="dxa"/>
            <w:vAlign w:val="bottom"/>
            <w:shd w:val="clear" w:color="auto" w:fill="00A0DD"/>
          </w:tcPr>
          <w:p>
            <w:pPr>
              <w:ind w:left="60"/>
              <w:spacing w:after="0"/>
              <w:rPr>
                <w:sz w:val="20"/>
                <w:szCs w:val="20"/>
                <w:color w:val="auto"/>
              </w:rPr>
            </w:pPr>
            <w:r>
              <w:rPr>
                <w:rFonts w:ascii="Arial" w:cs="Arial" w:eastAsia="Arial" w:hAnsi="Arial"/>
                <w:sz w:val="22"/>
                <w:szCs w:val="22"/>
                <w:b w:val="1"/>
                <w:bCs w:val="1"/>
                <w:color w:val="FFFFFF"/>
              </w:rPr>
              <w:t>Thomas J. Baltimore, Jr.</w:t>
            </w:r>
          </w:p>
        </w:tc>
        <w:tc>
          <w:tcPr>
            <w:tcW w:w="360" w:type="dxa"/>
            <w:vAlign w:val="bottom"/>
            <w:shd w:val="clear" w:color="auto" w:fill="00A0DD"/>
          </w:tcPr>
          <w:p>
            <w:pPr>
              <w:spacing w:after="0"/>
              <w:rPr>
                <w:sz w:val="21"/>
                <w:szCs w:val="21"/>
                <w:color w:val="auto"/>
              </w:rPr>
            </w:pPr>
          </w:p>
        </w:tc>
        <w:tc>
          <w:tcPr>
            <w:tcW w:w="4080" w:type="dxa"/>
            <w:vAlign w:val="bottom"/>
            <w:shd w:val="clear" w:color="auto" w:fill="00A0DD"/>
          </w:tcPr>
          <w:p>
            <w:pPr>
              <w:ind w:left="288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shd w:val="clear" w:color="auto" w:fill="E0F0FB"/>
          </w:tcPr>
          <w:p>
            <w:pPr>
              <w:spacing w:after="0"/>
              <w:rPr>
                <w:sz w:val="19"/>
                <w:szCs w:val="19"/>
                <w:color w:val="auto"/>
              </w:rPr>
            </w:pPr>
          </w:p>
        </w:tc>
        <w:tc>
          <w:tcPr>
            <w:tcW w:w="8260" w:type="dxa"/>
            <w:vAlign w:val="bottom"/>
            <w:gridSpan w:val="3"/>
            <w:shd w:val="clear" w:color="auto" w:fill="E0F0FB"/>
          </w:tcPr>
          <w:p>
            <w:pPr>
              <w:ind w:left="1320"/>
              <w:spacing w:after="0"/>
              <w:rPr>
                <w:sz w:val="20"/>
                <w:szCs w:val="20"/>
                <w:color w:val="auto"/>
              </w:rPr>
            </w:pPr>
            <w:r>
              <w:rPr>
                <w:rFonts w:ascii="Arial" w:cs="Arial" w:eastAsia="Arial" w:hAnsi="Arial"/>
                <w:sz w:val="15"/>
                <w:szCs w:val="15"/>
                <w:color w:val="auto"/>
              </w:rPr>
              <w:t>Chairman, President and CEO of Park Hotels &amp; Resorts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820" w:type="dxa"/>
            <w:vAlign w:val="bottom"/>
            <w:shd w:val="clear" w:color="auto" w:fill="E0F0FB"/>
          </w:tcPr>
          <w:p>
            <w:pPr>
              <w:ind w:left="1320"/>
              <w:spacing w:after="0" w:line="162" w:lineRule="exact"/>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62</w:t>
            </w:r>
          </w:p>
        </w:tc>
        <w:tc>
          <w:tcPr>
            <w:tcW w:w="4440" w:type="dxa"/>
            <w:vAlign w:val="bottom"/>
            <w:gridSpan w:val="2"/>
            <w:shd w:val="clear" w:color="auto" w:fill="E0F0FB"/>
          </w:tcPr>
          <w:p>
            <w:pPr>
              <w:ind w:left="240"/>
              <w:spacing w:after="0" w:line="162" w:lineRule="exact"/>
              <w:rPr>
                <w:sz w:val="20"/>
                <w:szCs w:val="20"/>
                <w:color w:val="auto"/>
              </w:rPr>
            </w:pPr>
            <w:r>
              <w:rPr>
                <w:rFonts w:ascii="Arial" w:cs="Arial" w:eastAsia="Arial" w:hAnsi="Arial"/>
                <w:sz w:val="15"/>
                <w:szCs w:val="15"/>
                <w:b w:val="1"/>
                <w:bCs w:val="1"/>
                <w:color w:val="auto"/>
              </w:rPr>
              <w:t>Other Current Public Company Directorships: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820" w:type="dxa"/>
            <w:vAlign w:val="bottom"/>
            <w:shd w:val="clear" w:color="auto" w:fill="E0F0FB"/>
          </w:tcPr>
          <w:p>
            <w:pPr>
              <w:ind w:left="132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2023</w:t>
            </w:r>
          </w:p>
        </w:tc>
        <w:tc>
          <w:tcPr>
            <w:tcW w:w="4440" w:type="dxa"/>
            <w:vAlign w:val="bottom"/>
            <w:gridSpan w:val="2"/>
            <w:shd w:val="clear" w:color="auto" w:fill="E0F0FB"/>
          </w:tcPr>
          <w:p>
            <w:pPr>
              <w:ind w:left="240"/>
              <w:spacing w:after="0" w:line="162" w:lineRule="exact"/>
              <w:rPr>
                <w:sz w:val="20"/>
                <w:szCs w:val="20"/>
                <w:color w:val="auto"/>
              </w:rPr>
            </w:pPr>
            <w:r>
              <w:rPr>
                <w:rFonts w:ascii="Arial" w:cs="Arial" w:eastAsia="Arial" w:hAnsi="Arial"/>
                <w:sz w:val="15"/>
                <w:szCs w:val="15"/>
                <w:color w:val="auto"/>
              </w:rPr>
              <w:t>American Express Company, Park Hotels &amp; Resorts, Inc.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820" w:type="dxa"/>
            <w:vAlign w:val="bottom"/>
            <w:shd w:val="clear" w:color="auto" w:fill="E0F0FB"/>
          </w:tcPr>
          <w:p>
            <w:pPr>
              <w:ind w:left="1320"/>
              <w:spacing w:after="0" w:line="164" w:lineRule="exact"/>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and</w:t>
            </w:r>
          </w:p>
        </w:tc>
        <w:tc>
          <w:tcPr>
            <w:tcW w:w="4440" w:type="dxa"/>
            <w:vAlign w:val="bottom"/>
            <w:gridSpan w:val="2"/>
            <w:shd w:val="clear" w:color="auto" w:fill="E0F0FB"/>
          </w:tcPr>
          <w:p>
            <w:pPr>
              <w:ind w:left="240"/>
              <w:spacing w:after="0" w:line="164" w:lineRule="exact"/>
              <w:rPr>
                <w:sz w:val="20"/>
                <w:szCs w:val="20"/>
                <w:color w:val="auto"/>
              </w:rPr>
            </w:pPr>
            <w:r>
              <w:rPr>
                <w:rFonts w:ascii="Arial" w:cs="Arial" w:eastAsia="Arial" w:hAnsi="Arial"/>
                <w:sz w:val="15"/>
                <w:szCs w:val="15"/>
                <w:b w:val="1"/>
                <w:bCs w:val="1"/>
                <w:color w:val="auto"/>
              </w:rPr>
              <w:t>Former Public Company Directorships: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shd w:val="clear" w:color="auto" w:fill="E0F0FB"/>
          </w:tcPr>
          <w:p>
            <w:pPr>
              <w:spacing w:after="0"/>
              <w:rPr>
                <w:sz w:val="17"/>
                <w:szCs w:val="17"/>
                <w:color w:val="auto"/>
              </w:rPr>
            </w:pPr>
          </w:p>
        </w:tc>
        <w:tc>
          <w:tcPr>
            <w:tcW w:w="3820" w:type="dxa"/>
            <w:vAlign w:val="bottom"/>
            <w:shd w:val="clear" w:color="auto" w:fill="E0F0FB"/>
          </w:tcPr>
          <w:p>
            <w:pPr>
              <w:ind w:left="1320"/>
              <w:spacing w:after="0"/>
              <w:rPr>
                <w:sz w:val="20"/>
                <w:szCs w:val="20"/>
                <w:color w:val="auto"/>
              </w:rPr>
            </w:pPr>
            <w:r>
              <w:rPr>
                <w:rFonts w:ascii="Arial" w:cs="Arial" w:eastAsia="Arial" w:hAnsi="Arial"/>
                <w:sz w:val="15"/>
                <w:szCs w:val="15"/>
                <w:color w:val="auto"/>
              </w:rPr>
              <w:t>Human Capital</w:t>
            </w:r>
          </w:p>
        </w:tc>
        <w:tc>
          <w:tcPr>
            <w:tcW w:w="4440" w:type="dxa"/>
            <w:vAlign w:val="bottom"/>
            <w:gridSpan w:val="2"/>
            <w:shd w:val="clear" w:color="auto" w:fill="E0F0FB"/>
          </w:tcPr>
          <w:p>
            <w:pPr>
              <w:ind w:left="240"/>
              <w:spacing w:after="0"/>
              <w:rPr>
                <w:sz w:val="20"/>
                <w:szCs w:val="20"/>
                <w:color w:val="auto"/>
              </w:rPr>
            </w:pPr>
            <w:r>
              <w:rPr>
                <w:rFonts w:ascii="Arial" w:cs="Arial" w:eastAsia="Arial" w:hAnsi="Arial"/>
                <w:sz w:val="15"/>
                <w:szCs w:val="15"/>
                <w:color w:val="auto"/>
              </w:rPr>
              <w:t>Prudential Financial, Inc.</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0" w:type="dxa"/>
            <w:vAlign w:val="bottom"/>
            <w:shd w:val="clear" w:color="auto" w:fill="E0F0FB"/>
          </w:tcPr>
          <w:p>
            <w:pPr>
              <w:spacing w:after="0"/>
              <w:rPr>
                <w:sz w:val="18"/>
                <w:szCs w:val="18"/>
                <w:color w:val="auto"/>
              </w:rPr>
            </w:pPr>
          </w:p>
        </w:tc>
        <w:tc>
          <w:tcPr>
            <w:tcW w:w="3820" w:type="dxa"/>
            <w:vAlign w:val="bottom"/>
            <w:shd w:val="clear" w:color="auto" w:fill="E0F0FB"/>
          </w:tcPr>
          <w:p>
            <w:pPr>
              <w:spacing w:after="0"/>
              <w:rPr>
                <w:sz w:val="18"/>
                <w:szCs w:val="18"/>
                <w:color w:val="auto"/>
              </w:rPr>
            </w:pPr>
          </w:p>
        </w:tc>
        <w:tc>
          <w:tcPr>
            <w:tcW w:w="360" w:type="dxa"/>
            <w:vAlign w:val="bottom"/>
            <w:shd w:val="clear" w:color="auto" w:fill="E0F0FB"/>
          </w:tcPr>
          <w:p>
            <w:pPr>
              <w:spacing w:after="0"/>
              <w:rPr>
                <w:sz w:val="18"/>
                <w:szCs w:val="18"/>
                <w:color w:val="auto"/>
              </w:rPr>
            </w:pPr>
          </w:p>
        </w:tc>
        <w:tc>
          <w:tcPr>
            <w:tcW w:w="4080" w:type="dxa"/>
            <w:vAlign w:val="bottom"/>
            <w:shd w:val="clear" w:color="auto" w:fill="E0F0F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00" w:type="dxa"/>
            <w:vAlign w:val="bottom"/>
            <w:gridSpan w:val="2"/>
          </w:tcPr>
          <w:p>
            <w:pPr>
              <w:spacing w:after="0" w:line="171" w:lineRule="exact"/>
              <w:rPr>
                <w:sz w:val="20"/>
                <w:szCs w:val="20"/>
                <w:color w:val="auto"/>
              </w:rPr>
            </w:pPr>
            <w:r>
              <w:rPr>
                <w:rFonts w:ascii="Arial" w:cs="Arial" w:eastAsia="Arial" w:hAnsi="Arial"/>
                <w:sz w:val="16"/>
                <w:szCs w:val="16"/>
                <w:b w:val="1"/>
                <w:bCs w:val="1"/>
                <w:color w:val="00A0DD"/>
              </w:rPr>
              <w:t>Career Highlights:</w:t>
            </w: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gridSpan w:val="2"/>
          </w:tcPr>
          <w:p>
            <w:pPr>
              <w:spacing w:after="0" w:line="162" w:lineRule="exact"/>
              <w:rPr>
                <w:sz w:val="20"/>
                <w:szCs w:val="20"/>
                <w:color w:val="auto"/>
              </w:rPr>
            </w:pPr>
            <w:r>
              <w:rPr>
                <w:rFonts w:ascii="Arial" w:cs="Arial" w:eastAsia="Arial" w:hAnsi="Arial"/>
                <w:sz w:val="15"/>
                <w:szCs w:val="15"/>
                <w:color w:val="00A0DD"/>
              </w:rPr>
              <w:t>•</w:t>
            </w:r>
          </w:p>
        </w:tc>
        <w:tc>
          <w:tcPr>
            <w:tcW w:w="3820" w:type="dxa"/>
            <w:vAlign w:val="bottom"/>
          </w:tcPr>
          <w:p>
            <w:pPr>
              <w:ind w:left="240"/>
              <w:spacing w:after="0" w:line="162" w:lineRule="exact"/>
              <w:rPr>
                <w:sz w:val="20"/>
                <w:szCs w:val="20"/>
                <w:color w:val="auto"/>
              </w:rPr>
            </w:pPr>
            <w:r>
              <w:rPr>
                <w:rFonts w:ascii="Arial" w:cs="Arial" w:eastAsia="Arial" w:hAnsi="Arial"/>
                <w:sz w:val="15"/>
                <w:szCs w:val="15"/>
                <w:color w:val="auto"/>
              </w:rPr>
              <w:t>Chairman, President and CEO of Park Hotels &amp;</w:t>
            </w:r>
          </w:p>
        </w:tc>
        <w:tc>
          <w:tcPr>
            <w:tcW w:w="360" w:type="dxa"/>
            <w:vAlign w:val="bottom"/>
          </w:tcPr>
          <w:p>
            <w:pPr>
              <w:ind w:left="240"/>
              <w:spacing w:after="0" w:line="162" w:lineRule="exact"/>
              <w:rPr>
                <w:sz w:val="20"/>
                <w:szCs w:val="20"/>
                <w:color w:val="auto"/>
              </w:rPr>
            </w:pPr>
            <w:r>
              <w:rPr>
                <w:rFonts w:ascii="Arial" w:cs="Arial" w:eastAsia="Arial" w:hAnsi="Arial"/>
                <w:sz w:val="15"/>
                <w:szCs w:val="15"/>
                <w:color w:val="00A0DD"/>
              </w:rPr>
              <w:t>•</w:t>
            </w:r>
          </w:p>
        </w:tc>
        <w:tc>
          <w:tcPr>
            <w:tcW w:w="4080" w:type="dxa"/>
            <w:vAlign w:val="bottom"/>
          </w:tcPr>
          <w:p>
            <w:pPr>
              <w:ind w:left="220"/>
              <w:spacing w:after="0" w:line="162" w:lineRule="exact"/>
              <w:rPr>
                <w:sz w:val="20"/>
                <w:szCs w:val="20"/>
                <w:color w:val="auto"/>
              </w:rPr>
            </w:pPr>
            <w:r>
              <w:rPr>
                <w:rFonts w:ascii="Arial" w:cs="Arial" w:eastAsia="Arial" w:hAnsi="Arial"/>
                <w:sz w:val="15"/>
                <w:szCs w:val="15"/>
                <w:color w:val="auto"/>
              </w:rPr>
              <w:t>Board Member, University of Virginia Investment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20" w:type="dxa"/>
            <w:vAlign w:val="bottom"/>
          </w:tcPr>
          <w:p>
            <w:pPr>
              <w:ind w:left="100"/>
              <w:spacing w:after="0" w:line="162" w:lineRule="exact"/>
              <w:rPr>
                <w:sz w:val="20"/>
                <w:szCs w:val="20"/>
                <w:color w:val="auto"/>
              </w:rPr>
            </w:pPr>
            <w:r>
              <w:rPr>
                <w:rFonts w:ascii="Arial" w:cs="Arial" w:eastAsia="Arial" w:hAnsi="Arial"/>
                <w:sz w:val="15"/>
                <w:szCs w:val="15"/>
                <w:color w:val="auto"/>
              </w:rPr>
              <w:t>Resorts, Inc., a lodging and real estate investment</w:t>
            </w:r>
          </w:p>
        </w:tc>
        <w:tc>
          <w:tcPr>
            <w:tcW w:w="360" w:type="dxa"/>
            <w:vAlign w:val="bottom"/>
          </w:tcPr>
          <w:p>
            <w:pPr>
              <w:spacing w:after="0"/>
              <w:rPr>
                <w:sz w:val="14"/>
                <w:szCs w:val="14"/>
                <w:color w:val="auto"/>
              </w:rPr>
            </w:pPr>
          </w:p>
        </w:tc>
        <w:tc>
          <w:tcPr>
            <w:tcW w:w="4080" w:type="dxa"/>
            <w:vAlign w:val="bottom"/>
          </w:tcPr>
          <w:p>
            <w:pPr>
              <w:ind w:left="60"/>
              <w:spacing w:after="0" w:line="162" w:lineRule="exact"/>
              <w:rPr>
                <w:sz w:val="20"/>
                <w:szCs w:val="20"/>
                <w:color w:val="auto"/>
              </w:rPr>
            </w:pPr>
            <w:r>
              <w:rPr>
                <w:rFonts w:ascii="Arial" w:cs="Arial" w:eastAsia="Arial" w:hAnsi="Arial"/>
                <w:sz w:val="15"/>
                <w:szCs w:val="15"/>
                <w:color w:val="auto"/>
              </w:rPr>
              <w:t>Management Company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20" w:type="dxa"/>
            <w:vAlign w:val="bottom"/>
          </w:tcPr>
          <w:p>
            <w:pPr>
              <w:ind w:left="100"/>
              <w:spacing w:after="0" w:line="162" w:lineRule="exact"/>
              <w:rPr>
                <w:sz w:val="20"/>
                <w:szCs w:val="20"/>
                <w:color w:val="auto"/>
              </w:rPr>
            </w:pPr>
            <w:r>
              <w:rPr>
                <w:rFonts w:ascii="Arial" w:cs="Arial" w:eastAsia="Arial" w:hAnsi="Arial"/>
                <w:sz w:val="15"/>
                <w:szCs w:val="15"/>
                <w:color w:val="auto"/>
              </w:rPr>
              <w:t>trust, 2017 – Present</w:t>
            </w:r>
          </w:p>
        </w:tc>
        <w:tc>
          <w:tcPr>
            <w:tcW w:w="360" w:type="dxa"/>
            <w:vAlign w:val="bottom"/>
          </w:tcPr>
          <w:p>
            <w:pPr>
              <w:ind w:left="240"/>
              <w:spacing w:after="0" w:line="162" w:lineRule="exact"/>
              <w:rPr>
                <w:sz w:val="20"/>
                <w:szCs w:val="20"/>
                <w:color w:val="auto"/>
              </w:rPr>
            </w:pPr>
            <w:r>
              <w:rPr>
                <w:rFonts w:ascii="Arial" w:cs="Arial" w:eastAsia="Arial" w:hAnsi="Arial"/>
                <w:sz w:val="15"/>
                <w:szCs w:val="15"/>
                <w:color w:val="00A0DD"/>
              </w:rPr>
              <w:t>•</w:t>
            </w:r>
          </w:p>
        </w:tc>
        <w:tc>
          <w:tcPr>
            <w:tcW w:w="4080" w:type="dxa"/>
            <w:vAlign w:val="bottom"/>
          </w:tcPr>
          <w:p>
            <w:pPr>
              <w:ind w:left="220"/>
              <w:spacing w:after="0" w:line="162" w:lineRule="exact"/>
              <w:rPr>
                <w:sz w:val="20"/>
                <w:szCs w:val="20"/>
                <w:color w:val="auto"/>
              </w:rPr>
            </w:pPr>
            <w:r>
              <w:rPr>
                <w:rFonts w:ascii="Arial" w:cs="Arial" w:eastAsia="Arial" w:hAnsi="Arial"/>
                <w:sz w:val="15"/>
                <w:szCs w:val="15"/>
                <w:color w:val="auto"/>
              </w:rPr>
              <w:t>Board Member, The Real Estate Roundtable</w:t>
            </w:r>
          </w:p>
        </w:tc>
        <w:tc>
          <w:tcPr>
            <w:tcW w:w="0" w:type="dxa"/>
            <w:vAlign w:val="bottom"/>
          </w:tcPr>
          <w:p>
            <w:pPr>
              <w:spacing w:after="0"/>
              <w:rPr>
                <w:sz w:val="1"/>
                <w:szCs w:val="1"/>
                <w:color w:val="auto"/>
              </w:rPr>
            </w:pPr>
          </w:p>
        </w:tc>
      </w:tr>
      <w:tr>
        <w:trPr>
          <w:trHeight w:val="162"/>
        </w:trPr>
        <w:tc>
          <w:tcPr>
            <w:tcW w:w="100" w:type="dxa"/>
            <w:vAlign w:val="bottom"/>
            <w:gridSpan w:val="2"/>
          </w:tcPr>
          <w:p>
            <w:pPr>
              <w:spacing w:after="0" w:line="162" w:lineRule="exact"/>
              <w:rPr>
                <w:sz w:val="20"/>
                <w:szCs w:val="20"/>
                <w:color w:val="auto"/>
              </w:rPr>
            </w:pPr>
            <w:r>
              <w:rPr>
                <w:rFonts w:ascii="Arial" w:cs="Arial" w:eastAsia="Arial" w:hAnsi="Arial"/>
                <w:sz w:val="15"/>
                <w:szCs w:val="15"/>
                <w:color w:val="00A0DD"/>
              </w:rPr>
              <w:t>•</w:t>
            </w:r>
          </w:p>
        </w:tc>
        <w:tc>
          <w:tcPr>
            <w:tcW w:w="3820" w:type="dxa"/>
            <w:vAlign w:val="bottom"/>
          </w:tcPr>
          <w:p>
            <w:pPr>
              <w:ind w:left="240"/>
              <w:spacing w:after="0" w:line="162" w:lineRule="exact"/>
              <w:rPr>
                <w:sz w:val="20"/>
                <w:szCs w:val="20"/>
                <w:color w:val="auto"/>
              </w:rPr>
            </w:pPr>
            <w:r>
              <w:rPr>
                <w:rFonts w:ascii="Arial" w:cs="Arial" w:eastAsia="Arial" w:hAnsi="Arial"/>
                <w:sz w:val="15"/>
                <w:szCs w:val="15"/>
                <w:color w:val="auto"/>
              </w:rPr>
              <w:t>President, CEO and Member of Board of Trustees,</w:t>
            </w:r>
          </w:p>
        </w:tc>
        <w:tc>
          <w:tcPr>
            <w:tcW w:w="360" w:type="dxa"/>
            <w:vAlign w:val="bottom"/>
          </w:tcPr>
          <w:p>
            <w:pPr>
              <w:ind w:left="240"/>
              <w:spacing w:after="0" w:line="162" w:lineRule="exact"/>
              <w:rPr>
                <w:sz w:val="20"/>
                <w:szCs w:val="20"/>
                <w:color w:val="auto"/>
              </w:rPr>
            </w:pPr>
            <w:r>
              <w:rPr>
                <w:rFonts w:ascii="Arial" w:cs="Arial" w:eastAsia="Arial" w:hAnsi="Arial"/>
                <w:sz w:val="15"/>
                <w:szCs w:val="15"/>
                <w:color w:val="00A0DD"/>
              </w:rPr>
              <w:t>•</w:t>
            </w:r>
          </w:p>
        </w:tc>
        <w:tc>
          <w:tcPr>
            <w:tcW w:w="4080" w:type="dxa"/>
            <w:vAlign w:val="bottom"/>
          </w:tcPr>
          <w:p>
            <w:pPr>
              <w:ind w:left="220"/>
              <w:spacing w:after="0" w:line="162" w:lineRule="exact"/>
              <w:rPr>
                <w:sz w:val="20"/>
                <w:szCs w:val="20"/>
                <w:color w:val="auto"/>
              </w:rPr>
            </w:pPr>
            <w:r>
              <w:rPr>
                <w:rFonts w:ascii="Arial" w:cs="Arial" w:eastAsia="Arial" w:hAnsi="Arial"/>
                <w:sz w:val="15"/>
                <w:szCs w:val="15"/>
                <w:color w:val="auto"/>
              </w:rPr>
              <w:t>Executive Committee Member, American Hotel &amp;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20" w:type="dxa"/>
            <w:vAlign w:val="bottom"/>
          </w:tcPr>
          <w:p>
            <w:pPr>
              <w:ind w:left="100"/>
              <w:spacing w:after="0" w:line="162" w:lineRule="exact"/>
              <w:rPr>
                <w:sz w:val="20"/>
                <w:szCs w:val="20"/>
                <w:color w:val="auto"/>
              </w:rPr>
            </w:pPr>
            <w:r>
              <w:rPr>
                <w:rFonts w:ascii="Arial" w:cs="Arial" w:eastAsia="Arial" w:hAnsi="Arial"/>
                <w:sz w:val="15"/>
                <w:szCs w:val="15"/>
                <w:color w:val="auto"/>
              </w:rPr>
              <w:t>RLJ Lodging Trust, 2011 – 2016</w:t>
            </w:r>
          </w:p>
        </w:tc>
        <w:tc>
          <w:tcPr>
            <w:tcW w:w="360" w:type="dxa"/>
            <w:vAlign w:val="bottom"/>
          </w:tcPr>
          <w:p>
            <w:pPr>
              <w:spacing w:after="0"/>
              <w:rPr>
                <w:sz w:val="14"/>
                <w:szCs w:val="14"/>
                <w:color w:val="auto"/>
              </w:rPr>
            </w:pPr>
          </w:p>
        </w:tc>
        <w:tc>
          <w:tcPr>
            <w:tcW w:w="4080" w:type="dxa"/>
            <w:vAlign w:val="bottom"/>
          </w:tcPr>
          <w:p>
            <w:pPr>
              <w:ind w:left="60"/>
              <w:spacing w:after="0" w:line="162" w:lineRule="exact"/>
              <w:rPr>
                <w:sz w:val="20"/>
                <w:szCs w:val="20"/>
                <w:color w:val="auto"/>
              </w:rPr>
            </w:pPr>
            <w:r>
              <w:rPr>
                <w:rFonts w:ascii="Arial" w:cs="Arial" w:eastAsia="Arial" w:hAnsi="Arial"/>
                <w:sz w:val="15"/>
                <w:szCs w:val="15"/>
                <w:color w:val="auto"/>
              </w:rPr>
              <w:t>Lodging Association</w:t>
            </w:r>
          </w:p>
        </w:tc>
        <w:tc>
          <w:tcPr>
            <w:tcW w:w="0" w:type="dxa"/>
            <w:vAlign w:val="bottom"/>
          </w:tcPr>
          <w:p>
            <w:pPr>
              <w:spacing w:after="0"/>
              <w:rPr>
                <w:sz w:val="1"/>
                <w:szCs w:val="1"/>
                <w:color w:val="auto"/>
              </w:rPr>
            </w:pPr>
          </w:p>
        </w:tc>
      </w:tr>
      <w:tr>
        <w:trPr>
          <w:trHeight w:val="162"/>
        </w:trPr>
        <w:tc>
          <w:tcPr>
            <w:tcW w:w="100" w:type="dxa"/>
            <w:vAlign w:val="bottom"/>
            <w:gridSpan w:val="2"/>
          </w:tcPr>
          <w:p>
            <w:pPr>
              <w:spacing w:after="0" w:line="162" w:lineRule="exact"/>
              <w:rPr>
                <w:sz w:val="20"/>
                <w:szCs w:val="20"/>
                <w:color w:val="auto"/>
              </w:rPr>
            </w:pPr>
            <w:r>
              <w:rPr>
                <w:rFonts w:ascii="Arial" w:cs="Arial" w:eastAsia="Arial" w:hAnsi="Arial"/>
                <w:sz w:val="15"/>
                <w:szCs w:val="15"/>
                <w:color w:val="00A0DD"/>
              </w:rPr>
              <w:t>•</w:t>
            </w:r>
          </w:p>
        </w:tc>
        <w:tc>
          <w:tcPr>
            <w:tcW w:w="3820" w:type="dxa"/>
            <w:vAlign w:val="bottom"/>
          </w:tcPr>
          <w:p>
            <w:pPr>
              <w:ind w:left="240"/>
              <w:spacing w:after="0" w:line="162" w:lineRule="exact"/>
              <w:rPr>
                <w:sz w:val="20"/>
                <w:szCs w:val="20"/>
                <w:color w:val="auto"/>
              </w:rPr>
            </w:pPr>
            <w:r>
              <w:rPr>
                <w:rFonts w:ascii="Arial" w:cs="Arial" w:eastAsia="Arial" w:hAnsi="Arial"/>
                <w:sz w:val="15"/>
                <w:szCs w:val="15"/>
                <w:color w:val="auto"/>
              </w:rPr>
              <w:t>Co-Founder and President, RLJ Development, LLC,</w:t>
            </w:r>
          </w:p>
        </w:tc>
        <w:tc>
          <w:tcPr>
            <w:tcW w:w="360" w:type="dxa"/>
            <w:vAlign w:val="bottom"/>
          </w:tcPr>
          <w:p>
            <w:pPr>
              <w:ind w:left="240"/>
              <w:spacing w:after="0" w:line="162" w:lineRule="exact"/>
              <w:rPr>
                <w:sz w:val="20"/>
                <w:szCs w:val="20"/>
                <w:color w:val="auto"/>
              </w:rPr>
            </w:pPr>
            <w:r>
              <w:rPr>
                <w:rFonts w:ascii="Arial" w:cs="Arial" w:eastAsia="Arial" w:hAnsi="Arial"/>
                <w:sz w:val="15"/>
                <w:szCs w:val="15"/>
                <w:color w:val="00A0DD"/>
              </w:rPr>
              <w:t>•</w:t>
            </w:r>
          </w:p>
        </w:tc>
        <w:tc>
          <w:tcPr>
            <w:tcW w:w="4080" w:type="dxa"/>
            <w:vAlign w:val="bottom"/>
          </w:tcPr>
          <w:p>
            <w:pPr>
              <w:ind w:left="220"/>
              <w:spacing w:after="0" w:line="162" w:lineRule="exact"/>
              <w:rPr>
                <w:sz w:val="20"/>
                <w:szCs w:val="20"/>
                <w:color w:val="auto"/>
              </w:rPr>
            </w:pPr>
            <w:r>
              <w:rPr>
                <w:rFonts w:ascii="Arial" w:cs="Arial" w:eastAsia="Arial" w:hAnsi="Arial"/>
                <w:sz w:val="15"/>
                <w:szCs w:val="15"/>
                <w:color w:val="auto"/>
              </w:rPr>
              <w:t>Board Member, UVA McIntire School of Commerce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2000 – 2011</w:t>
            </w:r>
          </w:p>
        </w:tc>
        <w:tc>
          <w:tcPr>
            <w:tcW w:w="360" w:type="dxa"/>
            <w:vAlign w:val="bottom"/>
          </w:tcPr>
          <w:p>
            <w:pPr>
              <w:spacing w:after="0"/>
              <w:rPr>
                <w:sz w:val="15"/>
                <w:szCs w:val="15"/>
                <w:color w:val="auto"/>
              </w:rPr>
            </w:pPr>
          </w:p>
        </w:tc>
        <w:tc>
          <w:tcPr>
            <w:tcW w:w="4080" w:type="dxa"/>
            <w:vAlign w:val="bottom"/>
          </w:tcPr>
          <w:p>
            <w:pPr>
              <w:ind w:left="60"/>
              <w:spacing w:after="0"/>
              <w:rPr>
                <w:sz w:val="20"/>
                <w:szCs w:val="20"/>
                <w:color w:val="auto"/>
              </w:rPr>
            </w:pPr>
            <w:r>
              <w:rPr>
                <w:rFonts w:ascii="Arial" w:cs="Arial" w:eastAsia="Arial" w:hAnsi="Arial"/>
                <w:sz w:val="15"/>
                <w:szCs w:val="15"/>
                <w:color w:val="auto"/>
              </w:rPr>
              <w:t>Foundation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-1523365</wp:posOffset>
            </wp:positionV>
            <wp:extent cx="659765" cy="660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ind w:left="520" w:right="5039" w:hanging="194"/>
        <w:spacing w:after="0" w:line="236" w:lineRule="auto"/>
        <w:tabs>
          <w:tab w:leader="none" w:pos="666" w:val="left"/>
        </w:tabs>
        <w:numPr>
          <w:ilvl w:val="0"/>
          <w:numId w:val="10"/>
        </w:numPr>
        <w:rPr>
          <w:rFonts w:ascii="Arial" w:cs="Arial" w:eastAsia="Arial" w:hAnsi="Arial"/>
          <w:sz w:val="15"/>
          <w:szCs w:val="15"/>
          <w:color w:val="00A0DD"/>
        </w:rPr>
      </w:pPr>
      <w:r>
        <w:rPr>
          <w:rFonts w:ascii="Arial" w:cs="Arial" w:eastAsia="Arial" w:hAnsi="Arial"/>
          <w:sz w:val="15"/>
          <w:szCs w:val="15"/>
          <w:color w:val="auto"/>
        </w:rPr>
        <w:t>Various management positions at Hilton Hotels Corporation, Marriott Corporation and Host Marriott Services Corporation</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A0DD"/>
        </w:rPr>
        <w:t>Skills and Qualifications:</w:t>
      </w:r>
    </w:p>
    <w:p>
      <w:pPr>
        <w:spacing w:after="0" w:line="42" w:lineRule="exact"/>
        <w:rPr>
          <w:sz w:val="20"/>
          <w:szCs w:val="20"/>
          <w:color w:val="auto"/>
        </w:rPr>
      </w:pPr>
    </w:p>
    <w:p>
      <w:pPr>
        <w:ind w:left="320" w:right="359"/>
        <w:spacing w:after="0" w:line="228" w:lineRule="auto"/>
        <w:rPr>
          <w:sz w:val="20"/>
          <w:szCs w:val="20"/>
          <w:color w:val="auto"/>
        </w:rPr>
      </w:pPr>
      <w:r>
        <w:rPr>
          <w:rFonts w:ascii="Arial" w:cs="Arial" w:eastAsia="Arial" w:hAnsi="Arial"/>
          <w:sz w:val="15"/>
          <w:szCs w:val="15"/>
          <w:color w:val="auto"/>
        </w:rPr>
        <w:t>Mr. Baltimore currently serves as Chairman, President and CEO of Park Hotels &amp; Resorts, a real estate investment trust with 40 premium branded hotels and resorts. He draws on this experience leading a complex consumer-facing enterprise to advise the Board on our theme parks and other customer-oriented businesses. In his current role and prior senior management roles, Mr. Baltimore has gathered a wealth of leadership and management experience in the investment management, hospitality and real estate industries which informs the Board’s oversight of strategy and human capital management across our businesses. In addition to Mr. Baltimore’s extensive track record of building and running companies, he has served on the boards of multiple large public companies including Prudential Financial and American Express. This cross-industry board experience strengthens his judgment on enterprise risk and governance best practices. Mr. Baltimore also has deep finance and M&amp;A experience from his years at RLJ Development and RLJ Lodging Trust, as well as a background in accounting having begun his career in public accounting at Price Waterhouse.</w:t>
      </w:r>
    </w:p>
    <w:tbl>
      <w:tblPr>
        <w:tblLayout w:type="fixed"/>
        <w:tblInd w:w="840" w:type="dxa"/>
        <w:tblCellMar>
          <w:top w:w="0" w:type="dxa"/>
          <w:left w:w="0" w:type="dxa"/>
          <w:bottom w:w="0" w:type="dxa"/>
          <w:right w:w="0" w:type="dxa"/>
        </w:tblCellMar>
      </w:tblPr>
      <w:tr>
        <w:trPr>
          <w:trHeight w:val="152"/>
        </w:trPr>
        <w:tc>
          <w:tcPr>
            <w:tcW w:w="980" w:type="dxa"/>
            <w:vAlign w:val="bottom"/>
            <w:vMerge w:val="restart"/>
          </w:tcPr>
          <w:p>
            <w:pPr>
              <w:spacing w:after="0"/>
              <w:rPr>
                <w:sz w:val="20"/>
                <w:szCs w:val="20"/>
                <w:color w:val="auto"/>
              </w:rPr>
            </w:pPr>
            <w:r>
              <w:rPr>
                <w:rFonts w:ascii="Arial" w:cs="Arial" w:eastAsia="Arial" w:hAnsi="Arial"/>
                <w:sz w:val="14"/>
                <w:szCs w:val="14"/>
                <w:color w:val="auto"/>
              </w:rPr>
              <w:t>Executive</w:t>
            </w:r>
          </w:p>
        </w:tc>
        <w:tc>
          <w:tcPr>
            <w:tcW w:w="1220" w:type="dxa"/>
            <w:vAlign w:val="bottom"/>
            <w:vMerge w:val="restart"/>
          </w:tcPr>
          <w:p>
            <w:pPr>
              <w:ind w:left="280"/>
              <w:spacing w:after="0"/>
              <w:rPr>
                <w:sz w:val="20"/>
                <w:szCs w:val="20"/>
                <w:color w:val="auto"/>
              </w:rPr>
            </w:pPr>
            <w:r>
              <w:rPr>
                <w:rFonts w:ascii="Arial" w:cs="Arial" w:eastAsia="Arial" w:hAnsi="Arial"/>
                <w:sz w:val="14"/>
                <w:szCs w:val="14"/>
                <w:color w:val="auto"/>
              </w:rPr>
              <w:t>Industry</w:t>
            </w:r>
          </w:p>
        </w:tc>
        <w:tc>
          <w:tcPr>
            <w:tcW w:w="1780" w:type="dxa"/>
            <w:vAlign w:val="bottom"/>
            <w:vMerge w:val="restart"/>
          </w:tcPr>
          <w:p>
            <w:pPr>
              <w:ind w:left="220"/>
              <w:spacing w:after="0"/>
              <w:rPr>
                <w:sz w:val="20"/>
                <w:szCs w:val="20"/>
                <w:color w:val="auto"/>
              </w:rPr>
            </w:pPr>
            <w:r>
              <w:rPr>
                <w:rFonts w:ascii="Arial" w:cs="Arial" w:eastAsia="Arial" w:hAnsi="Arial"/>
                <w:sz w:val="14"/>
                <w:szCs w:val="14"/>
                <w:color w:val="auto"/>
              </w:rPr>
              <w:t>Consumer Products/</w:t>
            </w:r>
          </w:p>
        </w:tc>
        <w:tc>
          <w:tcPr>
            <w:tcW w:w="1260" w:type="dxa"/>
            <w:vAlign w:val="bottom"/>
            <w:vMerge w:val="restart"/>
          </w:tcPr>
          <w:p>
            <w:pPr>
              <w:ind w:left="280"/>
              <w:spacing w:after="0"/>
              <w:rPr>
                <w:sz w:val="20"/>
                <w:szCs w:val="20"/>
                <w:color w:val="auto"/>
              </w:rPr>
            </w:pPr>
            <w:r>
              <w:rPr>
                <w:rFonts w:ascii="Arial" w:cs="Arial" w:eastAsia="Arial" w:hAnsi="Arial"/>
                <w:sz w:val="15"/>
                <w:szCs w:val="15"/>
                <w:color w:val="auto"/>
              </w:rPr>
              <w:t>Financial/</w:t>
            </w:r>
          </w:p>
        </w:tc>
        <w:tc>
          <w:tcPr>
            <w:tcW w:w="1320" w:type="dxa"/>
            <w:vAlign w:val="bottom"/>
          </w:tcPr>
          <w:p>
            <w:pPr>
              <w:ind w:left="240"/>
              <w:spacing w:after="0" w:line="151" w:lineRule="exact"/>
              <w:rPr>
                <w:sz w:val="20"/>
                <w:szCs w:val="20"/>
                <w:color w:val="auto"/>
              </w:rPr>
            </w:pPr>
            <w:r>
              <w:rPr>
                <w:rFonts w:ascii="Arial" w:cs="Arial" w:eastAsia="Arial" w:hAnsi="Arial"/>
                <w:sz w:val="14"/>
                <w:szCs w:val="14"/>
                <w:color w:val="auto"/>
              </w:rPr>
              <w:t>Risk</w:t>
            </w:r>
          </w:p>
        </w:tc>
        <w:tc>
          <w:tcPr>
            <w:tcW w:w="1260" w:type="dxa"/>
            <w:vAlign w:val="bottom"/>
            <w:vMerge w:val="restart"/>
          </w:tcPr>
          <w:p>
            <w:pPr>
              <w:ind w:left="240"/>
              <w:spacing w:after="0"/>
              <w:rPr>
                <w:sz w:val="20"/>
                <w:szCs w:val="20"/>
                <w:color w:val="auto"/>
              </w:rPr>
            </w:pPr>
            <w:r>
              <w:rPr>
                <w:rFonts w:ascii="Arial" w:cs="Arial" w:eastAsia="Arial" w:hAnsi="Arial"/>
                <w:sz w:val="15"/>
                <w:szCs w:val="15"/>
                <w:color w:val="auto"/>
              </w:rPr>
              <w:t>Human Capital</w:t>
            </w:r>
          </w:p>
        </w:tc>
        <w:tc>
          <w:tcPr>
            <w:tcW w:w="0" w:type="dxa"/>
            <w:vAlign w:val="bottom"/>
          </w:tcPr>
          <w:p>
            <w:pPr>
              <w:spacing w:after="0"/>
              <w:rPr>
                <w:sz w:val="1"/>
                <w:szCs w:val="1"/>
                <w:color w:val="auto"/>
              </w:rPr>
            </w:pPr>
          </w:p>
        </w:tc>
      </w:tr>
      <w:tr>
        <w:trPr>
          <w:trHeight w:val="73"/>
        </w:trPr>
        <w:tc>
          <w:tcPr>
            <w:tcW w:w="9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320" w:type="dxa"/>
            <w:vAlign w:val="bottom"/>
            <w:vMerge w:val="restart"/>
          </w:tcPr>
          <w:p>
            <w:pPr>
              <w:ind w:left="240"/>
              <w:spacing w:after="0"/>
              <w:rPr>
                <w:sz w:val="20"/>
                <w:szCs w:val="20"/>
                <w:color w:val="auto"/>
              </w:rPr>
            </w:pPr>
            <w:r>
              <w:rPr>
                <w:rFonts w:ascii="Arial" w:cs="Arial" w:eastAsia="Arial" w:hAnsi="Arial"/>
                <w:sz w:val="14"/>
                <w:szCs w:val="14"/>
                <w:color w:val="auto"/>
              </w:rPr>
              <w:t>Management</w:t>
            </w: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980" w:type="dxa"/>
            <w:vAlign w:val="bottom"/>
            <w:vMerge w:val="restart"/>
          </w:tcPr>
          <w:p>
            <w:pPr>
              <w:spacing w:after="0"/>
              <w:rPr>
                <w:sz w:val="20"/>
                <w:szCs w:val="20"/>
                <w:color w:val="auto"/>
              </w:rPr>
            </w:pPr>
            <w:r>
              <w:rPr>
                <w:rFonts w:ascii="Arial" w:cs="Arial" w:eastAsia="Arial" w:hAnsi="Arial"/>
                <w:sz w:val="14"/>
                <w:szCs w:val="14"/>
                <w:color w:val="auto"/>
              </w:rPr>
              <w:t>Leadership</w:t>
            </w:r>
          </w:p>
        </w:tc>
        <w:tc>
          <w:tcPr>
            <w:tcW w:w="1220" w:type="dxa"/>
            <w:vAlign w:val="bottom"/>
            <w:vMerge w:val="restart"/>
          </w:tcPr>
          <w:p>
            <w:pPr>
              <w:ind w:left="280"/>
              <w:spacing w:after="0"/>
              <w:rPr>
                <w:sz w:val="20"/>
                <w:szCs w:val="20"/>
                <w:color w:val="auto"/>
              </w:rPr>
            </w:pPr>
            <w:r>
              <w:rPr>
                <w:rFonts w:ascii="Arial" w:cs="Arial" w:eastAsia="Arial" w:hAnsi="Arial"/>
                <w:sz w:val="14"/>
                <w:szCs w:val="14"/>
                <w:color w:val="auto"/>
              </w:rPr>
              <w:t>Experience</w:t>
            </w:r>
          </w:p>
        </w:tc>
        <w:tc>
          <w:tcPr>
            <w:tcW w:w="1780" w:type="dxa"/>
            <w:vAlign w:val="bottom"/>
            <w:vMerge w:val="restart"/>
          </w:tcPr>
          <w:p>
            <w:pPr>
              <w:ind w:left="220"/>
              <w:spacing w:after="0"/>
              <w:rPr>
                <w:sz w:val="20"/>
                <w:szCs w:val="20"/>
                <w:color w:val="auto"/>
              </w:rPr>
            </w:pPr>
            <w:r>
              <w:rPr>
                <w:rFonts w:ascii="Arial" w:cs="Arial" w:eastAsia="Arial" w:hAnsi="Arial"/>
                <w:sz w:val="14"/>
                <w:szCs w:val="14"/>
                <w:color w:val="auto"/>
              </w:rPr>
              <w:t>Customer-Oriented</w:t>
            </w:r>
          </w:p>
        </w:tc>
        <w:tc>
          <w:tcPr>
            <w:tcW w:w="1260" w:type="dxa"/>
            <w:vAlign w:val="bottom"/>
            <w:vMerge w:val="restart"/>
          </w:tcPr>
          <w:p>
            <w:pPr>
              <w:ind w:left="280"/>
              <w:spacing w:after="0"/>
              <w:rPr>
                <w:sz w:val="20"/>
                <w:szCs w:val="20"/>
                <w:color w:val="auto"/>
              </w:rPr>
            </w:pPr>
            <w:r>
              <w:rPr>
                <w:rFonts w:ascii="Arial" w:cs="Arial" w:eastAsia="Arial" w:hAnsi="Arial"/>
                <w:sz w:val="15"/>
                <w:szCs w:val="15"/>
                <w:color w:val="auto"/>
              </w:rPr>
              <w:t>Accounting</w:t>
            </w:r>
          </w:p>
        </w:tc>
        <w:tc>
          <w:tcPr>
            <w:tcW w:w="1320" w:type="dxa"/>
            <w:vAlign w:val="bottom"/>
            <w:vMerge w:val="continue"/>
          </w:tcPr>
          <w:p>
            <w:pPr>
              <w:spacing w:after="0"/>
              <w:rPr>
                <w:sz w:val="7"/>
                <w:szCs w:val="7"/>
                <w:color w:val="auto"/>
              </w:rPr>
            </w:pPr>
          </w:p>
        </w:tc>
        <w:tc>
          <w:tcPr>
            <w:tcW w:w="1260" w:type="dxa"/>
            <w:vAlign w:val="bottom"/>
            <w:vMerge w:val="restart"/>
          </w:tcPr>
          <w:p>
            <w:pPr>
              <w:ind w:left="240"/>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111"/>
        </w:trPr>
        <w:tc>
          <w:tcPr>
            <w:tcW w:w="9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20" w:type="dxa"/>
            <w:vAlign w:val="bottom"/>
            <w:vMerge w:val="restart"/>
          </w:tcPr>
          <w:p>
            <w:pPr>
              <w:ind w:left="240"/>
              <w:spacing w:after="0"/>
              <w:rPr>
                <w:sz w:val="20"/>
                <w:szCs w:val="20"/>
                <w:color w:val="auto"/>
              </w:rPr>
            </w:pPr>
            <w:r>
              <w:rPr>
                <w:rFonts w:ascii="Arial" w:cs="Arial" w:eastAsia="Arial" w:hAnsi="Arial"/>
                <w:sz w:val="14"/>
                <w:szCs w:val="14"/>
                <w:color w:val="auto"/>
              </w:rPr>
              <w:t>Oversight</w:t>
            </w: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-277495</wp:posOffset>
            </wp:positionV>
            <wp:extent cx="214630"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630" cy="23114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-234315</wp:posOffset>
            </wp:positionV>
            <wp:extent cx="22288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13716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-268605</wp:posOffset>
            </wp:positionV>
            <wp:extent cx="20574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-268605</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-268605</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-260350</wp:posOffset>
            </wp:positionV>
            <wp:extent cx="20574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0" w:hanging="674"/>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3" w:name="page14"/>
    <w:bookmarkEnd w:id="13"/>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tabs>
          <w:tab w:leader="none" w:pos="8320" w:val="left"/>
        </w:tabs>
        <w:rPr>
          <w:sz w:val="20"/>
          <w:szCs w:val="20"/>
          <w:color w:val="auto"/>
        </w:rPr>
      </w:pPr>
      <w:r>
        <w:rPr>
          <w:rFonts w:ascii="Arial" w:cs="Arial" w:eastAsia="Arial" w:hAnsi="Arial"/>
          <w:sz w:val="22"/>
          <w:szCs w:val="22"/>
          <w:b w:val="1"/>
          <w:bCs w:val="1"/>
          <w:color w:val="FFFFFF"/>
        </w:rPr>
        <w:t>Madeline S. Bell</w:t>
      </w:r>
      <w:r>
        <w:rPr>
          <w:sz w:val="20"/>
          <w:szCs w:val="20"/>
          <w:color w:val="auto"/>
        </w:rPr>
        <w:tab/>
      </w:r>
      <w:r>
        <w:rPr>
          <w:rFonts w:ascii="Arial" w:cs="Arial" w:eastAsia="Arial" w:hAnsi="Arial"/>
          <w:sz w:val="18"/>
          <w:szCs w:val="18"/>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-141605</wp:posOffset>
            </wp:positionV>
            <wp:extent cx="5306060" cy="796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06060" cy="796925"/>
                    </a:xfrm>
                    <a:prstGeom prst="rect">
                      <a:avLst/>
                    </a:prstGeom>
                    <a:noFill/>
                  </pic:spPr>
                </pic:pic>
              </a:graphicData>
            </a:graphic>
          </wp:anchor>
        </w:drawing>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President and CEO of The Children’s Hospital of Philadelphia</w:t>
      </w:r>
    </w:p>
    <w:p>
      <w:pPr>
        <w:spacing w:after="0" w:line="4" w:lineRule="exact"/>
        <w:rPr>
          <w:sz w:val="20"/>
          <w:szCs w:val="20"/>
          <w:color w:val="auto"/>
        </w:rPr>
      </w:pPr>
    </w:p>
    <w:p>
      <w:pPr>
        <w:ind w:left="258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64</w:t>
      </w:r>
    </w:p>
    <w:p>
      <w:pPr>
        <w:ind w:left="258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2016</w:t>
      </w:r>
    </w:p>
    <w:p>
      <w:pPr>
        <w:ind w:left="2580"/>
        <w:spacing w:after="0" w:line="225" w:lineRule="auto"/>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Governance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Corporate Responsibility</w:t>
      </w:r>
    </w:p>
    <w:p>
      <w:pPr>
        <w:sectPr>
          <w:pgSz w:w="11900" w:h="16838" w:orient="portrait"/>
          <w:cols w:equalWidth="0" w:num="1">
            <w:col w:w="10720"/>
          </w:cols>
          <w:pgMar w:left="580" w:top="229" w:right="599" w:bottom="1440" w:gutter="0" w:footer="0" w:header="0"/>
        </w:sectPr>
      </w:pP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Career Highlights:</w:t>
      </w:r>
    </w:p>
    <w:p>
      <w:pPr>
        <w:spacing w:after="0" w:line="16" w:lineRule="exact"/>
        <w:rPr>
          <w:sz w:val="20"/>
          <w:szCs w:val="20"/>
          <w:color w:val="auto"/>
        </w:rPr>
      </w:pPr>
    </w:p>
    <w:p>
      <w:pPr>
        <w:ind w:left="1380" w:hanging="194"/>
        <w:spacing w:after="0" w:line="225" w:lineRule="auto"/>
        <w:tabs>
          <w:tab w:leader="none" w:pos="1526" w:val="left"/>
        </w:tabs>
        <w:numPr>
          <w:ilvl w:val="0"/>
          <w:numId w:val="12"/>
        </w:numPr>
        <w:rPr>
          <w:rFonts w:ascii="Arial" w:cs="Arial" w:eastAsia="Arial" w:hAnsi="Arial"/>
          <w:sz w:val="15"/>
          <w:szCs w:val="15"/>
          <w:color w:val="00A0DD"/>
        </w:rPr>
      </w:pPr>
      <w:r>
        <w:rPr>
          <w:rFonts w:ascii="Arial" w:cs="Arial" w:eastAsia="Arial" w:hAnsi="Arial"/>
          <w:sz w:val="15"/>
          <w:szCs w:val="15"/>
          <w:color w:val="auto"/>
        </w:rPr>
        <w:t>President and CEO, The Children’s Hospital of Philadelphia (“CHOP”), a top-ranked children’s health system and research institute, 2015 – Present</w:t>
      </w:r>
    </w:p>
    <w:p>
      <w:pPr>
        <w:ind w:left="1380" w:right="20" w:hanging="194"/>
        <w:spacing w:after="0" w:line="225" w:lineRule="auto"/>
        <w:tabs>
          <w:tab w:leader="none" w:pos="1526" w:val="left"/>
        </w:tabs>
        <w:numPr>
          <w:ilvl w:val="0"/>
          <w:numId w:val="12"/>
        </w:numPr>
        <w:rPr>
          <w:rFonts w:ascii="Arial" w:cs="Arial" w:eastAsia="Arial" w:hAnsi="Arial"/>
          <w:sz w:val="15"/>
          <w:szCs w:val="15"/>
          <w:color w:val="00A0DD"/>
        </w:rPr>
      </w:pPr>
      <w:r>
        <w:rPr>
          <w:rFonts w:ascii="Arial" w:cs="Arial" w:eastAsia="Arial" w:hAnsi="Arial"/>
          <w:sz w:val="15"/>
          <w:szCs w:val="15"/>
          <w:color w:val="auto"/>
        </w:rPr>
        <w:t>Multiple leadership roles, including Chief Operating Officer, CHOP, 1995 – 2015</w:t>
      </w:r>
    </w:p>
    <w:p>
      <w:pPr>
        <w:ind w:left="1380" w:right="20" w:hanging="194"/>
        <w:spacing w:after="0" w:line="232" w:lineRule="auto"/>
        <w:tabs>
          <w:tab w:leader="none" w:pos="1367" w:val="left"/>
        </w:tabs>
        <w:numPr>
          <w:ilvl w:val="0"/>
          <w:numId w:val="12"/>
        </w:numPr>
        <w:rPr>
          <w:rFonts w:ascii="Arial" w:cs="Arial" w:eastAsia="Arial" w:hAnsi="Arial"/>
          <w:sz w:val="15"/>
          <w:szCs w:val="15"/>
          <w:color w:val="00A0DD"/>
        </w:rPr>
      </w:pPr>
      <w:r>
        <w:rPr>
          <w:rFonts w:ascii="Arial" w:cs="Arial" w:eastAsia="Arial" w:hAnsi="Arial"/>
          <w:sz w:val="15"/>
          <w:szCs w:val="15"/>
          <w:color w:val="auto"/>
        </w:rPr>
        <w:t>Began career as a pediatric nurse in 1983, moved from a variety of different nursing roles into hospital administration in 1989 and holds a Master of Science in Organizational Dynamics from the University of Pennsylvania</w:t>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Skills and Qualifications: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90" w:right="1740" w:hanging="190"/>
        <w:spacing w:after="0" w:line="235" w:lineRule="auto"/>
        <w:tabs>
          <w:tab w:leader="none" w:pos="335" w:val="left"/>
        </w:tabs>
        <w:numPr>
          <w:ilvl w:val="0"/>
          <w:numId w:val="13"/>
        </w:numPr>
        <w:rPr>
          <w:rFonts w:ascii="Arial" w:cs="Arial" w:eastAsia="Arial" w:hAnsi="Arial"/>
          <w:sz w:val="15"/>
          <w:szCs w:val="15"/>
          <w:color w:val="00A0DD"/>
        </w:rPr>
      </w:pPr>
      <w:r>
        <w:rPr>
          <w:rFonts w:ascii="Arial" w:cs="Arial" w:eastAsia="Arial" w:hAnsi="Arial"/>
          <w:sz w:val="15"/>
          <w:szCs w:val="15"/>
          <w:color w:val="auto"/>
        </w:rPr>
        <w:t>Board Member, Leonard Davis Institute of Health Economics</w:t>
      </w:r>
    </w:p>
    <w:p>
      <w:pPr>
        <w:jc w:val="both"/>
        <w:ind w:left="190" w:right="1520" w:hanging="190"/>
        <w:spacing w:after="0" w:line="225" w:lineRule="auto"/>
        <w:tabs>
          <w:tab w:leader="none" w:pos="335" w:val="left"/>
        </w:tabs>
        <w:numPr>
          <w:ilvl w:val="0"/>
          <w:numId w:val="13"/>
        </w:numPr>
        <w:rPr>
          <w:rFonts w:ascii="Arial" w:cs="Arial" w:eastAsia="Arial" w:hAnsi="Arial"/>
          <w:sz w:val="15"/>
          <w:szCs w:val="15"/>
          <w:color w:val="00A0DD"/>
        </w:rPr>
      </w:pPr>
      <w:r>
        <w:rPr>
          <w:rFonts w:ascii="Arial" w:cs="Arial" w:eastAsia="Arial" w:hAnsi="Arial"/>
          <w:sz w:val="15"/>
          <w:szCs w:val="15"/>
          <w:color w:val="auto"/>
        </w:rPr>
        <w:t>Executive Committee Member, Greater Philadelphia Chamber of Commerce and Member, CEO Council for Growth</w:t>
      </w:r>
    </w:p>
    <w:p>
      <w:pPr>
        <w:ind w:left="350" w:hanging="350"/>
        <w:spacing w:after="0" w:line="225" w:lineRule="auto"/>
        <w:tabs>
          <w:tab w:leader="none" w:pos="350" w:val="left"/>
        </w:tabs>
        <w:numPr>
          <w:ilvl w:val="0"/>
          <w:numId w:val="13"/>
        </w:numPr>
        <w:rPr>
          <w:rFonts w:ascii="Arial" w:cs="Arial" w:eastAsia="Arial" w:hAnsi="Arial"/>
          <w:sz w:val="15"/>
          <w:szCs w:val="15"/>
          <w:color w:val="00A0DD"/>
        </w:rPr>
      </w:pPr>
      <w:r>
        <w:rPr>
          <w:rFonts w:ascii="Arial" w:cs="Arial" w:eastAsia="Arial" w:hAnsi="Arial"/>
          <w:sz w:val="15"/>
          <w:szCs w:val="15"/>
          <w:color w:val="auto"/>
        </w:rPr>
        <w:t>Honorary Consul of Spain</w:t>
      </w:r>
    </w:p>
    <w:p>
      <w:pPr>
        <w:ind w:left="190" w:right="1920" w:hanging="190"/>
        <w:spacing w:after="0" w:line="244" w:lineRule="auto"/>
        <w:tabs>
          <w:tab w:leader="none" w:pos="335" w:val="left"/>
        </w:tabs>
        <w:numPr>
          <w:ilvl w:val="0"/>
          <w:numId w:val="13"/>
        </w:numPr>
        <w:rPr>
          <w:rFonts w:ascii="Arial" w:cs="Arial" w:eastAsia="Arial" w:hAnsi="Arial"/>
          <w:sz w:val="15"/>
          <w:szCs w:val="15"/>
          <w:color w:val="00A0DD"/>
        </w:rPr>
      </w:pPr>
      <w:r>
        <w:rPr>
          <w:rFonts w:ascii="Arial" w:cs="Arial" w:eastAsia="Arial" w:hAnsi="Arial"/>
          <w:sz w:val="15"/>
          <w:szCs w:val="15"/>
          <w:color w:val="auto"/>
        </w:rPr>
        <w:t>Former Board Chair, Federal Reserve Bank of Philadelphia</w:t>
      </w:r>
    </w:p>
    <w:p>
      <w:pPr>
        <w:spacing w:after="0" w:line="566" w:lineRule="exact"/>
        <w:rPr>
          <w:sz w:val="20"/>
          <w:szCs w:val="20"/>
          <w:color w:val="auto"/>
        </w:rPr>
      </w:pPr>
    </w:p>
    <w:p>
      <w:pPr>
        <w:sectPr>
          <w:pgSz w:w="11900" w:h="16838" w:orient="portrait"/>
          <w:cols w:equalWidth="0" w:num="2">
            <w:col w:w="5000" w:space="330"/>
            <w:col w:w="5390"/>
          </w:cols>
          <w:pgMar w:left="580" w:top="229" w:right="599" w:bottom="1440" w:gutter="0" w:footer="0" w:header="0"/>
          <w:type w:val="continuous"/>
        </w:sectPr>
      </w:pPr>
    </w:p>
    <w:p>
      <w:pPr>
        <w:ind w:left="1180" w:right="1260"/>
        <w:spacing w:after="0" w:line="232" w:lineRule="auto"/>
        <w:rPr>
          <w:sz w:val="20"/>
          <w:szCs w:val="20"/>
          <w:color w:val="auto"/>
        </w:rPr>
      </w:pPr>
      <w:r>
        <w:rPr>
          <w:rFonts w:ascii="Arial" w:cs="Arial" w:eastAsia="Arial" w:hAnsi="Arial"/>
          <w:sz w:val="15"/>
          <w:szCs w:val="15"/>
          <w:color w:val="auto"/>
        </w:rPr>
        <w:t>Ms. Bell serves as President and CEO of CHOP, one of the nation’s top-ranked children’s hospitals with annual revenue of $5.2 billion in fiscal year 2025 and more than 31,000 employees and other workforce members. Under her leadership, CHOP ranked among the Forbes List of America’s Best Large Employers in 2025. As President and CEO, Ms. Bell’s role includes facilitating and maintaining strategic partnerships with private and public partners, maintaining the hospital’s position as a premier nonprofit organization and overseeing and managing complex health and safety matters, as well as human capital strategies for a large, multi-disciplinary workforce that spans clinicians, staffers and academic research experts. These responsibilities translate to Board-level contributions on enterprise risk management, compliance culture, and workforce strategy and management across a diverse employee base.</w:t>
      </w:r>
    </w:p>
    <w:p>
      <w:pPr>
        <w:spacing w:after="0" w:line="19"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40" w:type="dxa"/>
            <w:vAlign w:val="bottom"/>
          </w:tcPr>
          <w:p>
            <w:pPr>
              <w:ind w:left="120"/>
              <w:spacing w:after="0"/>
              <w:rPr>
                <w:sz w:val="20"/>
                <w:szCs w:val="20"/>
                <w:color w:val="auto"/>
              </w:rPr>
            </w:pPr>
            <w:r>
              <w:rPr>
                <w:rFonts w:ascii="Arial" w:cs="Arial" w:eastAsia="Arial" w:hAnsi="Arial"/>
                <w:sz w:val="15"/>
                <w:szCs w:val="15"/>
                <w:color w:val="auto"/>
              </w:rPr>
              <w:t>Consumer</w:t>
            </w:r>
          </w:p>
        </w:tc>
        <w:tc>
          <w:tcPr>
            <w:tcW w:w="1340" w:type="dxa"/>
            <w:vAlign w:val="bottom"/>
            <w:vMerge w:val="restart"/>
          </w:tcPr>
          <w:p>
            <w:pPr>
              <w:ind w:left="80"/>
              <w:spacing w:after="0"/>
              <w:rPr>
                <w:sz w:val="20"/>
                <w:szCs w:val="20"/>
                <w:color w:val="auto"/>
              </w:rPr>
            </w:pPr>
            <w:r>
              <w:rPr>
                <w:rFonts w:ascii="Arial" w:cs="Arial" w:eastAsia="Arial" w:hAnsi="Arial"/>
                <w:sz w:val="15"/>
                <w:szCs w:val="15"/>
                <w:color w:val="auto"/>
              </w:rPr>
              <w:t>Risk</w:t>
            </w:r>
          </w:p>
        </w:tc>
        <w:tc>
          <w:tcPr>
            <w:tcW w:w="1740" w:type="dxa"/>
            <w:vAlign w:val="bottom"/>
          </w:tcPr>
          <w:p>
            <w:pPr>
              <w:spacing w:after="0"/>
              <w:rPr>
                <w:sz w:val="15"/>
                <w:szCs w:val="15"/>
                <w:color w:val="auto"/>
              </w:rPr>
            </w:pPr>
          </w:p>
        </w:tc>
        <w:tc>
          <w:tcPr>
            <w:tcW w:w="1540" w:type="dxa"/>
            <w:vAlign w:val="bottom"/>
            <w:vMerge w:val="restart"/>
          </w:tcPr>
          <w:p>
            <w:pPr>
              <w:ind w:left="460"/>
              <w:spacing w:after="0"/>
              <w:rPr>
                <w:sz w:val="20"/>
                <w:szCs w:val="20"/>
                <w:color w:val="auto"/>
              </w:rPr>
            </w:pPr>
            <w:r>
              <w:rPr>
                <w:rFonts w:ascii="Arial" w:cs="Arial" w:eastAsia="Arial" w:hAnsi="Arial"/>
                <w:sz w:val="15"/>
                <w:szCs w:val="15"/>
                <w:color w:val="auto"/>
              </w:rPr>
              <w:t>Non-Profit/</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940" w:type="dxa"/>
            <w:vAlign w:val="bottom"/>
            <w:vMerge w:val="restart"/>
          </w:tcPr>
          <w:p>
            <w:pPr>
              <w:ind w:left="360"/>
              <w:spacing w:after="0" w:line="162" w:lineRule="exact"/>
              <w:rPr>
                <w:sz w:val="20"/>
                <w:szCs w:val="20"/>
                <w:color w:val="auto"/>
              </w:rPr>
            </w:pPr>
            <w:r>
              <w:rPr>
                <w:rFonts w:ascii="Arial" w:cs="Arial" w:eastAsia="Arial" w:hAnsi="Arial"/>
                <w:sz w:val="15"/>
                <w:szCs w:val="15"/>
                <w:color w:val="auto"/>
              </w:rPr>
              <w:t>Executive</w:t>
            </w:r>
          </w:p>
        </w:tc>
        <w:tc>
          <w:tcPr>
            <w:tcW w:w="164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Products/</w:t>
            </w:r>
          </w:p>
        </w:tc>
        <w:tc>
          <w:tcPr>
            <w:tcW w:w="1340" w:type="dxa"/>
            <w:vAlign w:val="bottom"/>
            <w:vMerge w:val="continue"/>
          </w:tcPr>
          <w:p>
            <w:pPr>
              <w:spacing w:after="0"/>
              <w:rPr>
                <w:sz w:val="7"/>
                <w:szCs w:val="7"/>
                <w:color w:val="auto"/>
              </w:rPr>
            </w:pPr>
          </w:p>
        </w:tc>
        <w:tc>
          <w:tcPr>
            <w:tcW w:w="1740" w:type="dxa"/>
            <w:vAlign w:val="bottom"/>
            <w:vMerge w:val="restart"/>
          </w:tcPr>
          <w:p>
            <w:pPr>
              <w:ind w:left="380"/>
              <w:spacing w:after="0" w:line="162" w:lineRule="exact"/>
              <w:rPr>
                <w:sz w:val="20"/>
                <w:szCs w:val="20"/>
                <w:color w:val="auto"/>
              </w:rPr>
            </w:pPr>
            <w:r>
              <w:rPr>
                <w:rFonts w:ascii="Arial" w:cs="Arial" w:eastAsia="Arial" w:hAnsi="Arial"/>
                <w:sz w:val="15"/>
                <w:szCs w:val="15"/>
                <w:color w:val="auto"/>
              </w:rPr>
              <w:t>Human Capital</w:t>
            </w: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34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Management</w:t>
            </w:r>
          </w:p>
        </w:tc>
        <w:tc>
          <w:tcPr>
            <w:tcW w:w="1740" w:type="dxa"/>
            <w:vAlign w:val="bottom"/>
            <w:vMerge w:val="continue"/>
          </w:tcPr>
          <w:p>
            <w:pPr>
              <w:spacing w:after="0"/>
              <w:rPr>
                <w:sz w:val="7"/>
                <w:szCs w:val="7"/>
                <w:color w:val="auto"/>
              </w:rPr>
            </w:pPr>
          </w:p>
        </w:tc>
        <w:tc>
          <w:tcPr>
            <w:tcW w:w="1540" w:type="dxa"/>
            <w:vAlign w:val="bottom"/>
            <w:vMerge w:val="restart"/>
          </w:tcPr>
          <w:p>
            <w:pPr>
              <w:ind w:left="460"/>
              <w:spacing w:after="0" w:line="162" w:lineRule="exact"/>
              <w:rPr>
                <w:sz w:val="20"/>
                <w:szCs w:val="20"/>
                <w:color w:val="auto"/>
              </w:rPr>
            </w:pPr>
            <w:r>
              <w:rPr>
                <w:rFonts w:ascii="Arial" w:cs="Arial" w:eastAsia="Arial" w:hAnsi="Arial"/>
                <w:sz w:val="15"/>
                <w:szCs w:val="15"/>
                <w:color w:val="auto"/>
              </w:rPr>
              <w:t>Educational/</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940" w:type="dxa"/>
            <w:vAlign w:val="bottom"/>
            <w:vMerge w:val="restart"/>
          </w:tcPr>
          <w:p>
            <w:pPr>
              <w:ind w:left="360"/>
              <w:spacing w:after="0" w:line="162" w:lineRule="exact"/>
              <w:rPr>
                <w:sz w:val="20"/>
                <w:szCs w:val="20"/>
                <w:color w:val="auto"/>
              </w:rPr>
            </w:pPr>
            <w:r>
              <w:rPr>
                <w:rFonts w:ascii="Arial" w:cs="Arial" w:eastAsia="Arial" w:hAnsi="Arial"/>
                <w:sz w:val="15"/>
                <w:szCs w:val="15"/>
                <w:color w:val="auto"/>
              </w:rPr>
              <w:t>Leadership</w:t>
            </w:r>
          </w:p>
        </w:tc>
        <w:tc>
          <w:tcPr>
            <w:tcW w:w="164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Customer-</w:t>
            </w:r>
          </w:p>
        </w:tc>
        <w:tc>
          <w:tcPr>
            <w:tcW w:w="1340" w:type="dxa"/>
            <w:vAlign w:val="bottom"/>
            <w:vMerge w:val="continue"/>
          </w:tcPr>
          <w:p>
            <w:pPr>
              <w:spacing w:after="0"/>
              <w:rPr>
                <w:sz w:val="7"/>
                <w:szCs w:val="7"/>
                <w:color w:val="auto"/>
              </w:rPr>
            </w:pPr>
          </w:p>
        </w:tc>
        <w:tc>
          <w:tcPr>
            <w:tcW w:w="1740" w:type="dxa"/>
            <w:vAlign w:val="bottom"/>
            <w:vMerge w:val="restart"/>
          </w:tcPr>
          <w:p>
            <w:pPr>
              <w:ind w:left="380"/>
              <w:spacing w:after="0" w:line="162" w:lineRule="exact"/>
              <w:rPr>
                <w:sz w:val="20"/>
                <w:szCs w:val="20"/>
                <w:color w:val="auto"/>
              </w:rPr>
            </w:pPr>
            <w:r>
              <w:rPr>
                <w:rFonts w:ascii="Arial" w:cs="Arial" w:eastAsia="Arial" w:hAnsi="Arial"/>
                <w:sz w:val="15"/>
                <w:szCs w:val="15"/>
                <w:color w:val="auto"/>
              </w:rPr>
              <w:t>Management</w:t>
            </w: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340" w:type="dxa"/>
            <w:vAlign w:val="bottom"/>
            <w:vMerge w:val="restart"/>
          </w:tcPr>
          <w:p>
            <w:pPr>
              <w:ind w:left="80"/>
              <w:spacing w:after="0"/>
              <w:rPr>
                <w:sz w:val="20"/>
                <w:szCs w:val="20"/>
                <w:color w:val="auto"/>
              </w:rPr>
            </w:pPr>
            <w:r>
              <w:rPr>
                <w:rFonts w:ascii="Arial" w:cs="Arial" w:eastAsia="Arial" w:hAnsi="Arial"/>
                <w:sz w:val="15"/>
                <w:szCs w:val="15"/>
                <w:color w:val="auto"/>
              </w:rPr>
              <w:t>Oversight</w:t>
            </w:r>
          </w:p>
        </w:tc>
        <w:tc>
          <w:tcPr>
            <w:tcW w:w="1740" w:type="dxa"/>
            <w:vAlign w:val="bottom"/>
            <w:vMerge w:val="continue"/>
          </w:tcPr>
          <w:p>
            <w:pPr>
              <w:spacing w:after="0"/>
              <w:rPr>
                <w:sz w:val="7"/>
                <w:szCs w:val="7"/>
                <w:color w:val="auto"/>
              </w:rPr>
            </w:pPr>
          </w:p>
        </w:tc>
        <w:tc>
          <w:tcPr>
            <w:tcW w:w="1540" w:type="dxa"/>
            <w:vAlign w:val="bottom"/>
            <w:vMerge w:val="restart"/>
          </w:tcPr>
          <w:p>
            <w:pPr>
              <w:ind w:left="460"/>
              <w:spacing w:after="0"/>
              <w:rPr>
                <w:sz w:val="20"/>
                <w:szCs w:val="20"/>
                <w:color w:val="auto"/>
              </w:rPr>
            </w:pPr>
            <w:r>
              <w:rPr>
                <w:rFonts w:ascii="Arial" w:cs="Arial" w:eastAsia="Arial" w:hAnsi="Arial"/>
                <w:sz w:val="15"/>
                <w:szCs w:val="15"/>
                <w:color w:val="auto"/>
              </w:rPr>
              <w:t>Philanthropic</w:t>
            </w: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40" w:type="dxa"/>
            <w:vAlign w:val="bottom"/>
            <w:vMerge w:val="restart"/>
          </w:tcPr>
          <w:p>
            <w:pPr>
              <w:ind w:left="120"/>
              <w:spacing w:after="0"/>
              <w:rPr>
                <w:sz w:val="20"/>
                <w:szCs w:val="20"/>
                <w:color w:val="auto"/>
              </w:rPr>
            </w:pPr>
            <w:r>
              <w:rPr>
                <w:rFonts w:ascii="Arial" w:cs="Arial" w:eastAsia="Arial" w:hAnsi="Arial"/>
                <w:sz w:val="15"/>
                <w:szCs w:val="15"/>
                <w:color w:val="auto"/>
              </w:rPr>
              <w:t>Oriented</w:t>
            </w:r>
          </w:p>
        </w:tc>
        <w:tc>
          <w:tcPr>
            <w:tcW w:w="13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80" w:type="dxa"/>
            <w:vAlign w:val="bottom"/>
            <w:gridSpan w:val="2"/>
            <w:shd w:val="clear" w:color="auto" w:fill="00A0DD"/>
          </w:tcPr>
          <w:p>
            <w:pPr>
              <w:ind w:left="140"/>
              <w:spacing w:after="0" w:line="243" w:lineRule="exact"/>
              <w:rPr>
                <w:sz w:val="20"/>
                <w:szCs w:val="20"/>
                <w:color w:val="auto"/>
              </w:rPr>
            </w:pPr>
            <w:r>
              <w:rPr>
                <w:rFonts w:ascii="Arial" w:cs="Arial" w:eastAsia="Arial" w:hAnsi="Arial"/>
                <w:sz w:val="22"/>
                <w:szCs w:val="22"/>
                <w:b w:val="1"/>
                <w:bCs w:val="1"/>
                <w:color w:val="FFFFFF"/>
              </w:rPr>
              <w:t>Louise F. Brady</w:t>
            </w:r>
          </w:p>
        </w:tc>
        <w:tc>
          <w:tcPr>
            <w:tcW w:w="1640" w:type="dxa"/>
            <w:vAlign w:val="bottom"/>
            <w:shd w:val="clear" w:color="auto" w:fill="00A0DD"/>
          </w:tcPr>
          <w:p>
            <w:pPr>
              <w:spacing w:after="0"/>
              <w:rPr>
                <w:sz w:val="21"/>
                <w:szCs w:val="21"/>
                <w:color w:val="auto"/>
              </w:rPr>
            </w:pPr>
          </w:p>
        </w:tc>
        <w:tc>
          <w:tcPr>
            <w:tcW w:w="1340" w:type="dxa"/>
            <w:vAlign w:val="bottom"/>
            <w:shd w:val="clear" w:color="auto" w:fill="00A0DD"/>
          </w:tcPr>
          <w:p>
            <w:pPr>
              <w:spacing w:after="0"/>
              <w:rPr>
                <w:sz w:val="21"/>
                <w:szCs w:val="21"/>
                <w:color w:val="auto"/>
              </w:rPr>
            </w:pPr>
          </w:p>
        </w:tc>
        <w:tc>
          <w:tcPr>
            <w:tcW w:w="1740" w:type="dxa"/>
            <w:vAlign w:val="bottom"/>
            <w:shd w:val="clear" w:color="auto" w:fill="00A0DD"/>
          </w:tcPr>
          <w:p>
            <w:pPr>
              <w:spacing w:after="0"/>
              <w:rPr>
                <w:sz w:val="21"/>
                <w:szCs w:val="21"/>
                <w:color w:val="auto"/>
              </w:rPr>
            </w:pPr>
          </w:p>
        </w:tc>
        <w:tc>
          <w:tcPr>
            <w:tcW w:w="1540" w:type="dxa"/>
            <w:vAlign w:val="bottom"/>
            <w:shd w:val="clear" w:color="auto" w:fill="00A0DD"/>
          </w:tcPr>
          <w:p>
            <w:pPr>
              <w:ind w:left="34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185"/>
        </w:trPr>
        <w:tc>
          <w:tcPr>
            <w:tcW w:w="140" w:type="dxa"/>
            <w:vAlign w:val="bottom"/>
            <w:shd w:val="clear" w:color="auto" w:fill="E0F0FB"/>
          </w:tcPr>
          <w:p>
            <w:pPr>
              <w:spacing w:after="0"/>
              <w:rPr>
                <w:sz w:val="16"/>
                <w:szCs w:val="16"/>
                <w:color w:val="auto"/>
              </w:rPr>
            </w:pPr>
          </w:p>
        </w:tc>
        <w:tc>
          <w:tcPr>
            <w:tcW w:w="8200" w:type="dxa"/>
            <w:vAlign w:val="bottom"/>
            <w:gridSpan w:val="5"/>
            <w:shd w:val="clear" w:color="auto" w:fill="E0F0FB"/>
          </w:tcPr>
          <w:p>
            <w:pPr>
              <w:ind w:left="1260"/>
              <w:spacing w:after="0"/>
              <w:rPr>
                <w:sz w:val="20"/>
                <w:szCs w:val="20"/>
                <w:color w:val="auto"/>
              </w:rPr>
            </w:pPr>
            <w:r>
              <w:rPr>
                <w:rFonts w:ascii="Arial" w:cs="Arial" w:eastAsia="Arial" w:hAnsi="Arial"/>
                <w:sz w:val="15"/>
                <w:szCs w:val="15"/>
                <w:color w:val="auto"/>
              </w:rPr>
              <w:t>Co-Founder and Managing Partner of Piedmont Capital Partners, LLC, Piedmont Capital Partners II,</w:t>
            </w:r>
          </w:p>
        </w:tc>
        <w:tc>
          <w:tcPr>
            <w:tcW w:w="0" w:type="dxa"/>
            <w:vAlign w:val="bottom"/>
          </w:tcPr>
          <w:p>
            <w:pPr>
              <w:spacing w:after="0"/>
              <w:rPr>
                <w:sz w:val="1"/>
                <w:szCs w:val="1"/>
                <w:color w:val="auto"/>
              </w:rPr>
            </w:pPr>
          </w:p>
        </w:tc>
      </w:tr>
      <w:tr>
        <w:trPr>
          <w:trHeight w:val="174"/>
        </w:trPr>
        <w:tc>
          <w:tcPr>
            <w:tcW w:w="140" w:type="dxa"/>
            <w:vAlign w:val="bottom"/>
            <w:shd w:val="clear" w:color="auto" w:fill="E0F0FB"/>
          </w:tcPr>
          <w:p>
            <w:pPr>
              <w:spacing w:after="0"/>
              <w:rPr>
                <w:sz w:val="15"/>
                <w:szCs w:val="15"/>
                <w:color w:val="auto"/>
              </w:rPr>
            </w:pPr>
          </w:p>
        </w:tc>
        <w:tc>
          <w:tcPr>
            <w:tcW w:w="4920" w:type="dxa"/>
            <w:vAlign w:val="bottom"/>
            <w:gridSpan w:val="3"/>
            <w:shd w:val="clear" w:color="auto" w:fill="E0F0FB"/>
          </w:tcPr>
          <w:p>
            <w:pPr>
              <w:ind w:left="1260"/>
              <w:spacing w:after="0"/>
              <w:rPr>
                <w:sz w:val="20"/>
                <w:szCs w:val="20"/>
                <w:color w:val="auto"/>
              </w:rPr>
            </w:pPr>
            <w:r>
              <w:rPr>
                <w:rFonts w:ascii="Arial" w:cs="Arial" w:eastAsia="Arial" w:hAnsi="Arial"/>
                <w:sz w:val="15"/>
                <w:szCs w:val="15"/>
                <w:color w:val="auto"/>
              </w:rPr>
              <w:t>LLC and Piedmont Capital Investments, LLC</w:t>
            </w:r>
          </w:p>
        </w:tc>
        <w:tc>
          <w:tcPr>
            <w:tcW w:w="1740" w:type="dxa"/>
            <w:vAlign w:val="bottom"/>
            <w:shd w:val="clear" w:color="auto" w:fill="E0F0FB"/>
          </w:tcPr>
          <w:p>
            <w:pPr>
              <w:spacing w:after="0"/>
              <w:rPr>
                <w:sz w:val="15"/>
                <w:szCs w:val="15"/>
                <w:color w:val="auto"/>
              </w:rPr>
            </w:pPr>
          </w:p>
        </w:tc>
        <w:tc>
          <w:tcPr>
            <w:tcW w:w="1540" w:type="dxa"/>
            <w:vAlign w:val="bottom"/>
            <w:shd w:val="clear" w:color="auto" w:fill="E0F0F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E0F0FB"/>
          </w:tcPr>
          <w:p>
            <w:pPr>
              <w:spacing w:after="0"/>
              <w:rPr>
                <w:sz w:val="14"/>
                <w:szCs w:val="14"/>
                <w:color w:val="auto"/>
              </w:rPr>
            </w:pPr>
          </w:p>
        </w:tc>
        <w:tc>
          <w:tcPr>
            <w:tcW w:w="1940" w:type="dxa"/>
            <w:vAlign w:val="bottom"/>
            <w:shd w:val="clear" w:color="auto" w:fill="E0F0FB"/>
          </w:tcPr>
          <w:p>
            <w:pPr>
              <w:ind w:left="1260"/>
              <w:spacing w:after="0" w:line="162" w:lineRule="exact"/>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61</w:t>
            </w:r>
          </w:p>
        </w:tc>
        <w:tc>
          <w:tcPr>
            <w:tcW w:w="1640" w:type="dxa"/>
            <w:vAlign w:val="bottom"/>
            <w:shd w:val="clear" w:color="auto" w:fill="E0F0FB"/>
          </w:tcPr>
          <w:p>
            <w:pPr>
              <w:spacing w:after="0"/>
              <w:rPr>
                <w:sz w:val="14"/>
                <w:szCs w:val="14"/>
                <w:color w:val="auto"/>
              </w:rPr>
            </w:pPr>
          </w:p>
        </w:tc>
        <w:tc>
          <w:tcPr>
            <w:tcW w:w="4620" w:type="dxa"/>
            <w:vAlign w:val="bottom"/>
            <w:gridSpan w:val="3"/>
            <w:shd w:val="clear" w:color="auto" w:fill="E0F0FB"/>
          </w:tcPr>
          <w:p>
            <w:pPr>
              <w:ind w:left="420"/>
              <w:spacing w:after="0" w:line="162" w:lineRule="exact"/>
              <w:rPr>
                <w:sz w:val="20"/>
                <w:szCs w:val="20"/>
                <w:color w:val="auto"/>
              </w:rPr>
            </w:pPr>
            <w:r>
              <w:rPr>
                <w:rFonts w:ascii="Arial" w:cs="Arial" w:eastAsia="Arial" w:hAnsi="Arial"/>
                <w:sz w:val="15"/>
                <w:szCs w:val="15"/>
                <w:b w:val="1"/>
                <w:bCs w:val="1"/>
                <w:color w:val="auto"/>
              </w:rPr>
              <w:t>Other Current Public Company Directorships:</w:t>
            </w:r>
          </w:p>
        </w:tc>
        <w:tc>
          <w:tcPr>
            <w:tcW w:w="0" w:type="dxa"/>
            <w:vAlign w:val="bottom"/>
          </w:tcPr>
          <w:p>
            <w:pPr>
              <w:spacing w:after="0"/>
              <w:rPr>
                <w:sz w:val="1"/>
                <w:szCs w:val="1"/>
                <w:color w:val="auto"/>
              </w:rPr>
            </w:pPr>
          </w:p>
        </w:tc>
      </w:tr>
      <w:tr>
        <w:trPr>
          <w:trHeight w:val="162"/>
        </w:trPr>
        <w:tc>
          <w:tcPr>
            <w:tcW w:w="140" w:type="dxa"/>
            <w:vAlign w:val="bottom"/>
            <w:shd w:val="clear" w:color="auto" w:fill="E0F0FB"/>
          </w:tcPr>
          <w:p>
            <w:pPr>
              <w:spacing w:after="0"/>
              <w:rPr>
                <w:sz w:val="14"/>
                <w:szCs w:val="14"/>
                <w:color w:val="auto"/>
              </w:rPr>
            </w:pPr>
          </w:p>
        </w:tc>
        <w:tc>
          <w:tcPr>
            <w:tcW w:w="3580" w:type="dxa"/>
            <w:vAlign w:val="bottom"/>
            <w:gridSpan w:val="2"/>
            <w:shd w:val="clear" w:color="auto" w:fill="E0F0FB"/>
          </w:tcPr>
          <w:p>
            <w:pPr>
              <w:ind w:left="126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2023</w:t>
            </w:r>
          </w:p>
        </w:tc>
        <w:tc>
          <w:tcPr>
            <w:tcW w:w="3080" w:type="dxa"/>
            <w:vAlign w:val="bottom"/>
            <w:gridSpan w:val="2"/>
            <w:shd w:val="clear" w:color="auto" w:fill="E0F0FB"/>
          </w:tcPr>
          <w:p>
            <w:pPr>
              <w:ind w:left="420"/>
              <w:spacing w:after="0" w:line="162" w:lineRule="exact"/>
              <w:rPr>
                <w:sz w:val="20"/>
                <w:szCs w:val="20"/>
                <w:color w:val="auto"/>
              </w:rPr>
            </w:pPr>
            <w:r>
              <w:rPr>
                <w:rFonts w:ascii="Arial" w:cs="Arial" w:eastAsia="Arial" w:hAnsi="Arial"/>
                <w:sz w:val="15"/>
                <w:szCs w:val="15"/>
                <w:color w:val="auto"/>
              </w:rPr>
              <w:t>Travel + Leisure Co.</w:t>
            </w:r>
          </w:p>
        </w:tc>
        <w:tc>
          <w:tcPr>
            <w:tcW w:w="1540" w:type="dxa"/>
            <w:vAlign w:val="bottom"/>
            <w:shd w:val="clear" w:color="auto" w:fill="E0F0FB"/>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0" w:type="dxa"/>
            <w:vAlign w:val="bottom"/>
            <w:shd w:val="clear" w:color="auto" w:fill="E0F0FB"/>
          </w:tcPr>
          <w:p>
            <w:pPr>
              <w:spacing w:after="0"/>
              <w:rPr>
                <w:sz w:val="14"/>
                <w:szCs w:val="14"/>
                <w:color w:val="auto"/>
              </w:rPr>
            </w:pPr>
          </w:p>
        </w:tc>
        <w:tc>
          <w:tcPr>
            <w:tcW w:w="3580" w:type="dxa"/>
            <w:vAlign w:val="bottom"/>
            <w:gridSpan w:val="2"/>
            <w:shd w:val="clear" w:color="auto" w:fill="E0F0FB"/>
          </w:tcPr>
          <w:p>
            <w:pPr>
              <w:ind w:left="1260"/>
              <w:spacing w:after="0" w:line="164" w:lineRule="exact"/>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and</w:t>
            </w:r>
          </w:p>
        </w:tc>
        <w:tc>
          <w:tcPr>
            <w:tcW w:w="1340" w:type="dxa"/>
            <w:vAlign w:val="bottom"/>
            <w:shd w:val="clear" w:color="auto" w:fill="E0F0FB"/>
          </w:tcPr>
          <w:p>
            <w:pPr>
              <w:spacing w:after="0"/>
              <w:rPr>
                <w:sz w:val="14"/>
                <w:szCs w:val="14"/>
                <w:color w:val="auto"/>
              </w:rPr>
            </w:pPr>
          </w:p>
        </w:tc>
        <w:tc>
          <w:tcPr>
            <w:tcW w:w="1740" w:type="dxa"/>
            <w:vAlign w:val="bottom"/>
            <w:shd w:val="clear" w:color="auto" w:fill="E0F0FB"/>
          </w:tcPr>
          <w:p>
            <w:pPr>
              <w:spacing w:after="0"/>
              <w:rPr>
                <w:sz w:val="14"/>
                <w:szCs w:val="14"/>
                <w:color w:val="auto"/>
              </w:rPr>
            </w:pPr>
          </w:p>
        </w:tc>
        <w:tc>
          <w:tcPr>
            <w:tcW w:w="1540" w:type="dxa"/>
            <w:vAlign w:val="bottom"/>
            <w:shd w:val="clear" w:color="auto" w:fill="E0F0FB"/>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0" w:type="dxa"/>
            <w:vAlign w:val="bottom"/>
            <w:shd w:val="clear" w:color="auto" w:fill="E0F0FB"/>
          </w:tcPr>
          <w:p>
            <w:pPr>
              <w:spacing w:after="0"/>
              <w:rPr>
                <w:sz w:val="17"/>
                <w:szCs w:val="17"/>
                <w:color w:val="auto"/>
              </w:rPr>
            </w:pPr>
          </w:p>
        </w:tc>
        <w:tc>
          <w:tcPr>
            <w:tcW w:w="3580" w:type="dxa"/>
            <w:vAlign w:val="bottom"/>
            <w:gridSpan w:val="2"/>
            <w:shd w:val="clear" w:color="auto" w:fill="E0F0FB"/>
          </w:tcPr>
          <w:p>
            <w:pPr>
              <w:ind w:left="1260"/>
              <w:spacing w:after="0"/>
              <w:rPr>
                <w:sz w:val="20"/>
                <w:szCs w:val="20"/>
                <w:color w:val="auto"/>
              </w:rPr>
            </w:pPr>
            <w:r>
              <w:rPr>
                <w:rFonts w:ascii="Arial" w:cs="Arial" w:eastAsia="Arial" w:hAnsi="Arial"/>
                <w:sz w:val="15"/>
                <w:szCs w:val="15"/>
                <w:color w:val="auto"/>
              </w:rPr>
              <w:t>Human Capital</w:t>
            </w:r>
          </w:p>
        </w:tc>
        <w:tc>
          <w:tcPr>
            <w:tcW w:w="1340" w:type="dxa"/>
            <w:vAlign w:val="bottom"/>
            <w:shd w:val="clear" w:color="auto" w:fill="E0F0FB"/>
          </w:tcPr>
          <w:p>
            <w:pPr>
              <w:spacing w:after="0"/>
              <w:rPr>
                <w:sz w:val="17"/>
                <w:szCs w:val="17"/>
                <w:color w:val="auto"/>
              </w:rPr>
            </w:pPr>
          </w:p>
        </w:tc>
        <w:tc>
          <w:tcPr>
            <w:tcW w:w="1740" w:type="dxa"/>
            <w:vAlign w:val="bottom"/>
            <w:shd w:val="clear" w:color="auto" w:fill="E0F0FB"/>
          </w:tcPr>
          <w:p>
            <w:pPr>
              <w:spacing w:after="0"/>
              <w:rPr>
                <w:sz w:val="17"/>
                <w:szCs w:val="17"/>
                <w:color w:val="auto"/>
              </w:rPr>
            </w:pPr>
          </w:p>
        </w:tc>
        <w:tc>
          <w:tcPr>
            <w:tcW w:w="1540" w:type="dxa"/>
            <w:vAlign w:val="bottom"/>
            <w:shd w:val="clear" w:color="auto" w:fill="E0F0FB"/>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40" w:type="dxa"/>
            <w:vAlign w:val="bottom"/>
            <w:shd w:val="clear" w:color="auto" w:fill="E0F0FB"/>
          </w:tcPr>
          <w:p>
            <w:pPr>
              <w:spacing w:after="0"/>
              <w:rPr>
                <w:sz w:val="6"/>
                <w:szCs w:val="6"/>
                <w:color w:val="auto"/>
              </w:rPr>
            </w:pPr>
          </w:p>
        </w:tc>
        <w:tc>
          <w:tcPr>
            <w:tcW w:w="1940" w:type="dxa"/>
            <w:vAlign w:val="bottom"/>
            <w:shd w:val="clear" w:color="auto" w:fill="E0F0FB"/>
          </w:tcPr>
          <w:p>
            <w:pPr>
              <w:spacing w:after="0"/>
              <w:rPr>
                <w:sz w:val="6"/>
                <w:szCs w:val="6"/>
                <w:color w:val="auto"/>
              </w:rPr>
            </w:pPr>
          </w:p>
        </w:tc>
        <w:tc>
          <w:tcPr>
            <w:tcW w:w="1640" w:type="dxa"/>
            <w:vAlign w:val="bottom"/>
            <w:shd w:val="clear" w:color="auto" w:fill="E0F0FB"/>
          </w:tcPr>
          <w:p>
            <w:pPr>
              <w:spacing w:after="0"/>
              <w:rPr>
                <w:sz w:val="6"/>
                <w:szCs w:val="6"/>
                <w:color w:val="auto"/>
              </w:rPr>
            </w:pPr>
          </w:p>
        </w:tc>
        <w:tc>
          <w:tcPr>
            <w:tcW w:w="1340" w:type="dxa"/>
            <w:vAlign w:val="bottom"/>
            <w:shd w:val="clear" w:color="auto" w:fill="E0F0FB"/>
          </w:tcPr>
          <w:p>
            <w:pPr>
              <w:spacing w:after="0"/>
              <w:rPr>
                <w:sz w:val="6"/>
                <w:szCs w:val="6"/>
                <w:color w:val="auto"/>
              </w:rPr>
            </w:pPr>
          </w:p>
        </w:tc>
        <w:tc>
          <w:tcPr>
            <w:tcW w:w="1740" w:type="dxa"/>
            <w:vAlign w:val="bottom"/>
            <w:shd w:val="clear" w:color="auto" w:fill="E0F0FB"/>
          </w:tcPr>
          <w:p>
            <w:pPr>
              <w:spacing w:after="0"/>
              <w:rPr>
                <w:sz w:val="6"/>
                <w:szCs w:val="6"/>
                <w:color w:val="auto"/>
              </w:rPr>
            </w:pPr>
          </w:p>
        </w:tc>
        <w:tc>
          <w:tcPr>
            <w:tcW w:w="1540" w:type="dxa"/>
            <w:vAlign w:val="bottom"/>
            <w:shd w:val="clear" w:color="auto" w:fill="E0F0FB"/>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-1233805</wp:posOffset>
            </wp:positionV>
            <wp:extent cx="213995"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3995" cy="23114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-1225550</wp:posOffset>
            </wp:positionV>
            <wp:extent cx="20574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-1216660</wp:posOffset>
            </wp:positionV>
            <wp:extent cx="20574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-1208405</wp:posOffset>
            </wp:positionV>
            <wp:extent cx="20574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-1191260</wp:posOffset>
            </wp:positionV>
            <wp:extent cx="20574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 cy="15430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-685165</wp:posOffset>
            </wp:positionV>
            <wp:extent cx="659765" cy="660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Career Highlights:</w:t>
      </w:r>
    </w:p>
    <w:p>
      <w:pPr>
        <w:sectPr>
          <w:pgSz w:w="11900" w:h="16838" w:orient="portrait"/>
          <w:cols w:equalWidth="0" w:num="1">
            <w:col w:w="10720"/>
          </w:cols>
          <w:pgMar w:left="580" w:top="229" w:right="599" w:bottom="1440" w:gutter="0" w:footer="0" w:header="0"/>
          <w:type w:val="continuous"/>
        </w:sectPr>
      </w:pPr>
    </w:p>
    <w:p>
      <w:pPr>
        <w:spacing w:after="0" w:line="42" w:lineRule="exact"/>
        <w:rPr>
          <w:sz w:val="20"/>
          <w:szCs w:val="20"/>
          <w:color w:val="auto"/>
        </w:rPr>
      </w:pPr>
    </w:p>
    <w:p>
      <w:pPr>
        <w:ind w:left="1380" w:right="40" w:hanging="194"/>
        <w:spacing w:after="0" w:line="238" w:lineRule="auto"/>
        <w:tabs>
          <w:tab w:leader="none" w:pos="1526" w:val="left"/>
        </w:tabs>
        <w:numPr>
          <w:ilvl w:val="0"/>
          <w:numId w:val="14"/>
        </w:numPr>
        <w:rPr>
          <w:rFonts w:ascii="Arial" w:cs="Arial" w:eastAsia="Arial" w:hAnsi="Arial"/>
          <w:sz w:val="15"/>
          <w:szCs w:val="15"/>
          <w:color w:val="00A0DD"/>
        </w:rPr>
      </w:pPr>
      <w:r>
        <w:rPr>
          <w:rFonts w:ascii="Arial" w:cs="Arial" w:eastAsia="Arial" w:hAnsi="Arial"/>
          <w:sz w:val="15"/>
          <w:szCs w:val="15"/>
          <w:color w:val="auto"/>
        </w:rPr>
        <w:t>Co-Founder and Managing Partner of Piedmont Capital Partners, LLC, Piedmont Capital Partners II, LLC and Piedmont Capital Investments, LLC, 2013, 2019 and 2020, respectively – Present</w:t>
      </w:r>
    </w:p>
    <w:p>
      <w:pPr>
        <w:spacing w:after="0" w:line="2" w:lineRule="exact"/>
        <w:rPr>
          <w:rFonts w:ascii="Arial" w:cs="Arial" w:eastAsia="Arial" w:hAnsi="Arial"/>
          <w:sz w:val="15"/>
          <w:szCs w:val="15"/>
          <w:color w:val="00A0DD"/>
        </w:rPr>
      </w:pPr>
    </w:p>
    <w:p>
      <w:pPr>
        <w:ind w:left="1380" w:hanging="194"/>
        <w:spacing w:after="0" w:line="245" w:lineRule="auto"/>
        <w:tabs>
          <w:tab w:leader="none" w:pos="1526" w:val="left"/>
        </w:tabs>
        <w:numPr>
          <w:ilvl w:val="0"/>
          <w:numId w:val="14"/>
        </w:numPr>
        <w:rPr>
          <w:rFonts w:ascii="Arial" w:cs="Arial" w:eastAsia="Arial" w:hAnsi="Arial"/>
          <w:sz w:val="15"/>
          <w:szCs w:val="15"/>
          <w:color w:val="00A0DD"/>
        </w:rPr>
      </w:pPr>
      <w:r>
        <w:rPr>
          <w:rFonts w:ascii="Arial" w:cs="Arial" w:eastAsia="Arial" w:hAnsi="Arial"/>
          <w:sz w:val="15"/>
          <w:szCs w:val="15"/>
          <w:color w:val="auto"/>
        </w:rPr>
        <w:t>President (2014 – 2024) and Director (since 2014) of Blue Current, Inc.</w:t>
      </w:r>
    </w:p>
    <w:p>
      <w:pPr>
        <w:ind w:left="1380" w:right="340" w:hanging="194"/>
        <w:spacing w:after="0" w:line="264" w:lineRule="auto"/>
        <w:tabs>
          <w:tab w:leader="none" w:pos="1526" w:val="left"/>
        </w:tabs>
        <w:numPr>
          <w:ilvl w:val="0"/>
          <w:numId w:val="14"/>
        </w:numPr>
        <w:rPr>
          <w:rFonts w:ascii="Arial" w:cs="Arial" w:eastAsia="Arial" w:hAnsi="Arial"/>
          <w:sz w:val="15"/>
          <w:szCs w:val="15"/>
          <w:color w:val="00A0DD"/>
        </w:rPr>
      </w:pPr>
      <w:r>
        <w:rPr>
          <w:rFonts w:ascii="Arial" w:cs="Arial" w:eastAsia="Arial" w:hAnsi="Arial"/>
          <w:sz w:val="15"/>
          <w:szCs w:val="15"/>
          <w:color w:val="auto"/>
        </w:rPr>
        <w:t>Vice President of Investments at Wells Fargo Advisors Financial Services, 1996 – 2013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350" w:hanging="350"/>
        <w:spacing w:after="0"/>
        <w:tabs>
          <w:tab w:leader="none" w:pos="350" w:val="left"/>
        </w:tabs>
        <w:numPr>
          <w:ilvl w:val="0"/>
          <w:numId w:val="15"/>
        </w:numPr>
        <w:rPr>
          <w:rFonts w:ascii="Arial" w:cs="Arial" w:eastAsia="Arial" w:hAnsi="Arial"/>
          <w:sz w:val="15"/>
          <w:szCs w:val="15"/>
          <w:color w:val="00A0DD"/>
        </w:rPr>
      </w:pPr>
      <w:r>
        <w:rPr>
          <w:rFonts w:ascii="Arial" w:cs="Arial" w:eastAsia="Arial" w:hAnsi="Arial"/>
          <w:sz w:val="15"/>
          <w:szCs w:val="15"/>
          <w:color w:val="auto"/>
        </w:rPr>
        <w:t>Board Member, Piedmont Triad Partnership</w:t>
      </w:r>
    </w:p>
    <w:p>
      <w:pPr>
        <w:spacing w:after="0" w:line="27" w:lineRule="exact"/>
        <w:rPr>
          <w:rFonts w:ascii="Arial" w:cs="Arial" w:eastAsia="Arial" w:hAnsi="Arial"/>
          <w:sz w:val="15"/>
          <w:szCs w:val="15"/>
          <w:color w:val="00A0DD"/>
        </w:rPr>
      </w:pPr>
    </w:p>
    <w:p>
      <w:pPr>
        <w:ind w:left="350" w:hanging="350"/>
        <w:spacing w:after="0"/>
        <w:tabs>
          <w:tab w:leader="none" w:pos="350" w:val="left"/>
        </w:tabs>
        <w:numPr>
          <w:ilvl w:val="0"/>
          <w:numId w:val="15"/>
        </w:numPr>
        <w:rPr>
          <w:rFonts w:ascii="Arial" w:cs="Arial" w:eastAsia="Arial" w:hAnsi="Arial"/>
          <w:sz w:val="15"/>
          <w:szCs w:val="15"/>
          <w:color w:val="00A0DD"/>
        </w:rPr>
      </w:pPr>
      <w:r>
        <w:rPr>
          <w:rFonts w:ascii="Arial" w:cs="Arial" w:eastAsia="Arial" w:hAnsi="Arial"/>
          <w:sz w:val="15"/>
          <w:szCs w:val="15"/>
          <w:color w:val="auto"/>
        </w:rPr>
        <w:t>Board Member, The Bryan Foundation</w:t>
      </w:r>
    </w:p>
    <w:p>
      <w:pPr>
        <w:spacing w:after="0" w:line="18" w:lineRule="exact"/>
        <w:rPr>
          <w:rFonts w:ascii="Arial" w:cs="Arial" w:eastAsia="Arial" w:hAnsi="Arial"/>
          <w:sz w:val="15"/>
          <w:szCs w:val="15"/>
          <w:color w:val="00A0DD"/>
        </w:rPr>
      </w:pPr>
    </w:p>
    <w:p>
      <w:pPr>
        <w:ind w:left="190" w:right="1380" w:hanging="190"/>
        <w:spacing w:after="0" w:line="244" w:lineRule="auto"/>
        <w:tabs>
          <w:tab w:leader="none" w:pos="335" w:val="left"/>
        </w:tabs>
        <w:numPr>
          <w:ilvl w:val="0"/>
          <w:numId w:val="15"/>
        </w:numPr>
        <w:rPr>
          <w:rFonts w:ascii="Arial" w:cs="Arial" w:eastAsia="Arial" w:hAnsi="Arial"/>
          <w:sz w:val="15"/>
          <w:szCs w:val="15"/>
          <w:color w:val="00A0DD"/>
        </w:rPr>
      </w:pPr>
      <w:r>
        <w:rPr>
          <w:rFonts w:ascii="Arial" w:cs="Arial" w:eastAsia="Arial" w:hAnsi="Arial"/>
          <w:sz w:val="15"/>
          <w:szCs w:val="15"/>
          <w:color w:val="auto"/>
        </w:rPr>
        <w:t>Advisory Board, The Shuford Program in Entrepreneurship, University of North Carolina at Chapel Hill</w:t>
      </w:r>
    </w:p>
    <w:p>
      <w:pPr>
        <w:ind w:left="350" w:hanging="350"/>
        <w:spacing w:after="0"/>
        <w:tabs>
          <w:tab w:leader="none" w:pos="350" w:val="left"/>
        </w:tabs>
        <w:numPr>
          <w:ilvl w:val="0"/>
          <w:numId w:val="15"/>
        </w:numPr>
        <w:rPr>
          <w:rFonts w:ascii="Arial" w:cs="Arial" w:eastAsia="Arial" w:hAnsi="Arial"/>
          <w:sz w:val="15"/>
          <w:szCs w:val="15"/>
          <w:color w:val="00A0DD"/>
        </w:rPr>
      </w:pPr>
      <w:r>
        <w:rPr>
          <w:rFonts w:ascii="Arial" w:cs="Arial" w:eastAsia="Arial" w:hAnsi="Arial"/>
          <w:sz w:val="15"/>
          <w:szCs w:val="15"/>
          <w:color w:val="auto"/>
        </w:rPr>
        <w:t>Co-Chair, Board of Directors, Shift_Ed</w:t>
      </w:r>
    </w:p>
    <w:p>
      <w:pPr>
        <w:spacing w:after="0" w:line="370" w:lineRule="exact"/>
        <w:rPr>
          <w:sz w:val="20"/>
          <w:szCs w:val="20"/>
          <w:color w:val="auto"/>
        </w:rPr>
      </w:pPr>
    </w:p>
    <w:p>
      <w:pPr>
        <w:sectPr>
          <w:pgSz w:w="11900" w:h="16838" w:orient="portrait"/>
          <w:cols w:equalWidth="0" w:num="2">
            <w:col w:w="4920" w:space="410"/>
            <w:col w:w="5390"/>
          </w:cols>
          <w:pgMar w:left="580" w:top="229" w:right="599" w:bottom="1440" w:gutter="0" w:footer="0" w:header="0"/>
          <w:type w:val="continuous"/>
        </w:sectPr>
      </w:pPr>
    </w:p>
    <w:p>
      <w:pPr>
        <w:ind w:left="1180"/>
        <w:spacing w:after="0"/>
        <w:rPr>
          <w:sz w:val="20"/>
          <w:szCs w:val="20"/>
          <w:color w:val="auto"/>
        </w:rPr>
      </w:pPr>
      <w:r>
        <w:rPr>
          <w:rFonts w:ascii="Arial" w:cs="Arial" w:eastAsia="Arial" w:hAnsi="Arial"/>
          <w:sz w:val="16"/>
          <w:szCs w:val="16"/>
          <w:b w:val="1"/>
          <w:bCs w:val="1"/>
          <w:color w:val="00A0DD"/>
        </w:rPr>
        <w:t>Skills and Qualifications:</w:t>
      </w:r>
    </w:p>
    <w:p>
      <w:pPr>
        <w:spacing w:after="0" w:line="42" w:lineRule="exact"/>
        <w:rPr>
          <w:sz w:val="20"/>
          <w:szCs w:val="20"/>
          <w:color w:val="auto"/>
        </w:rPr>
      </w:pPr>
    </w:p>
    <w:p>
      <w:pPr>
        <w:ind w:left="1180" w:right="1180"/>
        <w:spacing w:after="0" w:line="232" w:lineRule="auto"/>
        <w:rPr>
          <w:sz w:val="20"/>
          <w:szCs w:val="20"/>
          <w:color w:val="auto"/>
        </w:rPr>
      </w:pPr>
      <w:r>
        <w:rPr>
          <w:rFonts w:ascii="Arial" w:cs="Arial" w:eastAsia="Arial" w:hAnsi="Arial"/>
          <w:sz w:val="15"/>
          <w:szCs w:val="15"/>
          <w:color w:val="auto"/>
        </w:rPr>
        <w:t>Ms. Brady is a seasoned business leader, having served on several management teams and company boards. As a venture capitalist, Ms. Brady has made transformative investments in emerging technology companies which helps inform strategic Board discussions. Ms. Brady has supported the development of innovative business ideas, including as an Advisory Board member of The Shuford Program in Entrepreneurship at the University of North Carolina at Chapel Hill. She also served as the President of Blue Current, a company that develops battery technology. Ms. Brady has over a decade of experience in venture capital investing and prior to that held investment-related roles at Wells Fargo Advisors and Bank of America. Her background in finance, investing, portfolio management and commercial banking enable her to make robust contributions to the Board’s evaluation of key financial, strategic and business decisions.</w:t>
      </w:r>
    </w:p>
    <w:p>
      <w:pPr>
        <w:ind w:left="1700"/>
        <w:spacing w:after="0"/>
        <w:rPr>
          <w:sz w:val="20"/>
          <w:szCs w:val="20"/>
          <w:color w:val="auto"/>
        </w:rPr>
      </w:pPr>
      <w:r>
        <w:rPr>
          <w:rFonts w:ascii="Arial" w:cs="Arial" w:eastAsia="Arial" w:hAnsi="Arial"/>
          <w:sz w:val="15"/>
          <w:szCs w:val="15"/>
          <w:color w:val="auto"/>
        </w:rPr>
        <w:t xml:space="preserve">Executive Leadership               </w:t>
      </w:r>
      <w:r>
        <w:rPr>
          <w:sz w:val="1"/>
          <w:szCs w:val="1"/>
          <w:color w:val="auto"/>
        </w:rPr>
        <w:drawing>
          <wp:inline distT="0" distB="0" distL="0" distR="0">
            <wp:extent cx="240030" cy="2381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30" cy="238125"/>
                    </a:xfrm>
                    <a:prstGeom prst="rect">
                      <a:avLst/>
                    </a:prstGeom>
                    <a:noFill/>
                    <a:ln>
                      <a:noFill/>
                    </a:ln>
                  </pic:spPr>
                </pic:pic>
              </a:graphicData>
            </a:graphic>
          </wp:inline>
        </w:drawing>
      </w:r>
      <w:r>
        <w:rPr>
          <w:rFonts w:ascii="Arial" w:cs="Arial" w:eastAsia="Arial" w:hAnsi="Arial"/>
          <w:sz w:val="15"/>
          <w:szCs w:val="15"/>
          <w:color w:val="auto"/>
        </w:rPr>
        <w:t xml:space="preserve">   Tech                  </w:t>
      </w:r>
      <w:r>
        <w:rPr>
          <w:sz w:val="1"/>
          <w:szCs w:val="1"/>
          <w:color w:val="auto"/>
        </w:rPr>
        <w:drawing>
          <wp:inline distT="0" distB="0" distL="0" distR="0">
            <wp:extent cx="205740" cy="2057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Financial/Accounting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-236220</wp:posOffset>
            </wp:positionV>
            <wp:extent cx="214630" cy="23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63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11</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14" w:name="page15"/>
    <w:bookmarkEnd w:id="14"/>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4040" w:type="dxa"/>
            <w:vAlign w:val="bottom"/>
            <w:shd w:val="clear" w:color="auto" w:fill="00A0DD"/>
          </w:tcPr>
          <w:p>
            <w:pPr>
              <w:ind w:left="120"/>
              <w:spacing w:after="0"/>
              <w:rPr>
                <w:sz w:val="20"/>
                <w:szCs w:val="20"/>
                <w:color w:val="auto"/>
              </w:rPr>
            </w:pPr>
            <w:r>
              <w:rPr>
                <w:rFonts w:ascii="Arial" w:cs="Arial" w:eastAsia="Arial" w:hAnsi="Arial"/>
                <w:sz w:val="22"/>
                <w:szCs w:val="22"/>
                <w:b w:val="1"/>
                <w:bCs w:val="1"/>
                <w:color w:val="FFFFFF"/>
              </w:rPr>
              <w:t>Edward D. Breen</w:t>
            </w:r>
          </w:p>
        </w:tc>
        <w:tc>
          <w:tcPr>
            <w:tcW w:w="4300" w:type="dxa"/>
            <w:vAlign w:val="bottom"/>
            <w:shd w:val="clear" w:color="auto" w:fill="00A0DD"/>
          </w:tcPr>
          <w:p>
            <w:pPr>
              <w:ind w:left="1900"/>
              <w:spacing w:after="0"/>
              <w:rPr>
                <w:sz w:val="20"/>
                <w:szCs w:val="20"/>
                <w:color w:val="auto"/>
              </w:rPr>
            </w:pPr>
            <w:r>
              <w:rPr>
                <w:rFonts w:ascii="Arial" w:cs="Arial" w:eastAsia="Arial" w:hAnsi="Arial"/>
                <w:sz w:val="18"/>
                <w:szCs w:val="18"/>
                <w:b w:val="1"/>
                <w:bCs w:val="1"/>
                <w:color w:val="FFFFFF"/>
              </w:rPr>
              <w:t>Lead Independent Director</w:t>
            </w:r>
          </w:p>
        </w:tc>
      </w:tr>
      <w:tr>
        <w:trPr>
          <w:trHeight w:val="197"/>
        </w:trPr>
        <w:tc>
          <w:tcPr>
            <w:tcW w:w="4040" w:type="dxa"/>
            <w:vAlign w:val="bottom"/>
            <w:shd w:val="clear" w:color="auto" w:fill="E0F0FB"/>
          </w:tcPr>
          <w:p>
            <w:pPr>
              <w:ind w:left="1360"/>
              <w:spacing w:after="0"/>
              <w:rPr>
                <w:sz w:val="20"/>
                <w:szCs w:val="20"/>
                <w:color w:val="auto"/>
              </w:rPr>
            </w:pPr>
            <w:r>
              <w:rPr>
                <w:rFonts w:ascii="Arial" w:cs="Arial" w:eastAsia="Arial" w:hAnsi="Arial"/>
                <w:sz w:val="15"/>
                <w:szCs w:val="15"/>
                <w:color w:val="auto"/>
              </w:rPr>
              <w:t>Chairman of DuPont de Nemours, Inc.</w:t>
            </w:r>
          </w:p>
        </w:tc>
        <w:tc>
          <w:tcPr>
            <w:tcW w:w="4300" w:type="dxa"/>
            <w:vAlign w:val="bottom"/>
            <w:shd w:val="clear" w:color="auto" w:fill="E0F0FB"/>
          </w:tcPr>
          <w:p>
            <w:pPr>
              <w:spacing w:after="0"/>
              <w:rPr>
                <w:sz w:val="17"/>
                <w:szCs w:val="17"/>
                <w:color w:val="auto"/>
              </w:rPr>
            </w:pPr>
          </w:p>
        </w:tc>
      </w:tr>
      <w:tr>
        <w:trPr>
          <w:trHeight w:val="162"/>
        </w:trPr>
        <w:tc>
          <w:tcPr>
            <w:tcW w:w="4040" w:type="dxa"/>
            <w:vAlign w:val="bottom"/>
            <w:shd w:val="clear" w:color="auto" w:fill="E0F0FB"/>
          </w:tcPr>
          <w:p>
            <w:pPr>
              <w:ind w:left="1360"/>
              <w:spacing w:after="0" w:line="162" w:lineRule="exact"/>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tc>
        <w:tc>
          <w:tcPr>
            <w:tcW w:w="4300" w:type="dxa"/>
            <w:vAlign w:val="bottom"/>
            <w:shd w:val="clear" w:color="auto" w:fill="E0F0FB"/>
          </w:tcPr>
          <w:p>
            <w:pPr>
              <w:ind w:left="100"/>
              <w:spacing w:after="0" w:line="162" w:lineRule="exact"/>
              <w:rPr>
                <w:sz w:val="20"/>
                <w:szCs w:val="20"/>
                <w:color w:val="auto"/>
              </w:rPr>
            </w:pPr>
            <w:r>
              <w:rPr>
                <w:rFonts w:ascii="Arial" w:cs="Arial" w:eastAsia="Arial" w:hAnsi="Arial"/>
                <w:sz w:val="15"/>
                <w:szCs w:val="15"/>
                <w:b w:val="1"/>
                <w:bCs w:val="1"/>
                <w:color w:val="auto"/>
              </w:rPr>
              <w:t>Other Current Public Company Directorships:</w:t>
            </w:r>
          </w:p>
        </w:tc>
      </w:tr>
      <w:tr>
        <w:trPr>
          <w:trHeight w:val="162"/>
        </w:trPr>
        <w:tc>
          <w:tcPr>
            <w:tcW w:w="4040" w:type="dxa"/>
            <w:vAlign w:val="bottom"/>
            <w:shd w:val="clear" w:color="auto" w:fill="E0F0FB"/>
          </w:tcPr>
          <w:p>
            <w:pPr>
              <w:ind w:left="136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2014</w:t>
            </w:r>
          </w:p>
        </w:tc>
        <w:tc>
          <w:tcPr>
            <w:tcW w:w="4300" w:type="dxa"/>
            <w:vAlign w:val="bottom"/>
            <w:shd w:val="clear" w:color="auto" w:fill="E0F0FB"/>
          </w:tcPr>
          <w:p>
            <w:pPr>
              <w:ind w:left="100"/>
              <w:spacing w:after="0" w:line="162" w:lineRule="exact"/>
              <w:rPr>
                <w:sz w:val="20"/>
                <w:szCs w:val="20"/>
                <w:color w:val="auto"/>
              </w:rPr>
            </w:pPr>
            <w:r>
              <w:rPr>
                <w:rFonts w:ascii="Arial" w:cs="Arial" w:eastAsia="Arial" w:hAnsi="Arial"/>
                <w:sz w:val="15"/>
                <w:szCs w:val="15"/>
                <w:color w:val="auto"/>
              </w:rPr>
              <w:t>DuPont de Nemours, Inc.</w:t>
            </w:r>
          </w:p>
        </w:tc>
      </w:tr>
      <w:tr>
        <w:trPr>
          <w:trHeight w:val="164"/>
        </w:trPr>
        <w:tc>
          <w:tcPr>
            <w:tcW w:w="4040" w:type="dxa"/>
            <w:vAlign w:val="bottom"/>
            <w:shd w:val="clear" w:color="auto" w:fill="E0F0FB"/>
          </w:tcPr>
          <w:p>
            <w:pPr>
              <w:ind w:left="1360"/>
              <w:spacing w:after="0" w:line="164" w:lineRule="exact"/>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Compensation and</w:t>
            </w:r>
          </w:p>
        </w:tc>
        <w:tc>
          <w:tcPr>
            <w:tcW w:w="4300" w:type="dxa"/>
            <w:vAlign w:val="bottom"/>
            <w:shd w:val="clear" w:color="auto" w:fill="E0F0FB"/>
          </w:tcPr>
          <w:p>
            <w:pPr>
              <w:ind w:left="100"/>
              <w:spacing w:after="0" w:line="164" w:lineRule="exact"/>
              <w:rPr>
                <w:sz w:val="20"/>
                <w:szCs w:val="20"/>
                <w:color w:val="auto"/>
              </w:rPr>
            </w:pPr>
            <w:r>
              <w:rPr>
                <w:rFonts w:ascii="Arial" w:cs="Arial" w:eastAsia="Arial" w:hAnsi="Arial"/>
                <w:sz w:val="15"/>
                <w:szCs w:val="15"/>
                <w:b w:val="1"/>
                <w:bCs w:val="1"/>
                <w:color w:val="auto"/>
              </w:rPr>
              <w:t>Former Public Company Directorships:</w:t>
            </w:r>
          </w:p>
        </w:tc>
      </w:tr>
      <w:tr>
        <w:trPr>
          <w:trHeight w:val="200"/>
        </w:trPr>
        <w:tc>
          <w:tcPr>
            <w:tcW w:w="4040" w:type="dxa"/>
            <w:vAlign w:val="bottom"/>
            <w:shd w:val="clear" w:color="auto" w:fill="E0F0FB"/>
          </w:tcPr>
          <w:p>
            <w:pPr>
              <w:ind w:left="1360"/>
              <w:spacing w:after="0"/>
              <w:rPr>
                <w:sz w:val="20"/>
                <w:szCs w:val="20"/>
                <w:color w:val="auto"/>
              </w:rPr>
            </w:pPr>
            <w:r>
              <w:rPr>
                <w:rFonts w:ascii="Arial" w:cs="Arial" w:eastAsia="Arial" w:hAnsi="Arial"/>
                <w:sz w:val="15"/>
                <w:szCs w:val="15"/>
                <w:color w:val="auto"/>
              </w:rPr>
              <w:t>Human Capital</w:t>
            </w:r>
          </w:p>
        </w:tc>
        <w:tc>
          <w:tcPr>
            <w:tcW w:w="4300" w:type="dxa"/>
            <w:vAlign w:val="bottom"/>
            <w:shd w:val="clear" w:color="auto" w:fill="E0F0FB"/>
          </w:tcPr>
          <w:p>
            <w:pPr>
              <w:ind w:left="100"/>
              <w:spacing w:after="0"/>
              <w:rPr>
                <w:sz w:val="20"/>
                <w:szCs w:val="20"/>
                <w:color w:val="auto"/>
              </w:rPr>
            </w:pPr>
            <w:r>
              <w:rPr>
                <w:rFonts w:ascii="Arial" w:cs="Arial" w:eastAsia="Arial" w:hAnsi="Arial"/>
                <w:sz w:val="15"/>
                <w:szCs w:val="15"/>
                <w:color w:val="auto"/>
              </w:rPr>
              <w:t>International Flavors &amp; Fragrances, Inc.</w:t>
            </w:r>
          </w:p>
        </w:tc>
      </w:tr>
      <w:tr>
        <w:trPr>
          <w:trHeight w:val="127"/>
        </w:trPr>
        <w:tc>
          <w:tcPr>
            <w:tcW w:w="4040" w:type="dxa"/>
            <w:vAlign w:val="bottom"/>
            <w:shd w:val="clear" w:color="auto" w:fill="E0F0FB"/>
          </w:tcPr>
          <w:p>
            <w:pPr>
              <w:spacing w:after="0"/>
              <w:rPr>
                <w:sz w:val="11"/>
                <w:szCs w:val="11"/>
                <w:color w:val="auto"/>
              </w:rPr>
            </w:pPr>
          </w:p>
        </w:tc>
        <w:tc>
          <w:tcPr>
            <w:tcW w:w="4300" w:type="dxa"/>
            <w:vAlign w:val="bottom"/>
            <w:shd w:val="clear" w:color="auto" w:fill="E0F0FB"/>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-616585</wp:posOffset>
            </wp:positionV>
            <wp:extent cx="660400" cy="591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400" cy="591185"/>
                    </a:xfrm>
                    <a:prstGeom prst="rect">
                      <a:avLst/>
                    </a:prstGeom>
                    <a:noFill/>
                  </pic:spPr>
                </pic:pic>
              </a:graphicData>
            </a:graphic>
          </wp:anchor>
        </w:drawing>
      </w:r>
    </w:p>
    <w:p>
      <w:pPr>
        <w:spacing w:after="0" w:line="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A0DD"/>
        </w:rPr>
        <w:t>Career Highlights:</w:t>
      </w:r>
    </w:p>
    <w:p>
      <w:pPr>
        <w:sectPr>
          <w:pgSz w:w="11900" w:h="16838" w:orient="portrait"/>
          <w:cols w:equalWidth="0" w:num="1">
            <w:col w:w="9019"/>
          </w:cols>
          <w:pgMar w:left="1440" w:top="229" w:right="1440" w:bottom="1440" w:gutter="0" w:footer="0" w:header="0"/>
        </w:sectPr>
      </w:pPr>
    </w:p>
    <w:p>
      <w:pPr>
        <w:spacing w:after="0" w:line="47" w:lineRule="exact"/>
        <w:rPr>
          <w:sz w:val="20"/>
          <w:szCs w:val="20"/>
          <w:color w:val="auto"/>
        </w:rPr>
      </w:pPr>
    </w:p>
    <w:p>
      <w:pPr>
        <w:ind w:left="520" w:right="60" w:hanging="194"/>
        <w:spacing w:after="0"/>
        <w:tabs>
          <w:tab w:leader="none" w:pos="625" w:val="left"/>
        </w:tabs>
        <w:numPr>
          <w:ilvl w:val="0"/>
          <w:numId w:val="16"/>
        </w:numPr>
        <w:rPr>
          <w:rFonts w:ascii="Arial" w:cs="Arial" w:eastAsia="Arial" w:hAnsi="Arial"/>
          <w:sz w:val="15"/>
          <w:szCs w:val="15"/>
          <w:color w:val="00A0DD"/>
        </w:rPr>
      </w:pPr>
      <w:r>
        <w:rPr>
          <w:rFonts w:ascii="Arial" w:cs="Arial" w:eastAsia="Arial" w:hAnsi="Arial"/>
          <w:sz w:val="13"/>
          <w:szCs w:val="13"/>
          <w:color w:val="auto"/>
        </w:rPr>
        <w:t>Chairman (since November 2025) and former Executive Chairman (2019 – 2025) and CEO (2020 – 2024), DuPont de Nemours, Inc., a provider of technology-based materials, ingredients and solutions</w:t>
      </w:r>
    </w:p>
    <w:p>
      <w:pPr>
        <w:ind w:left="620" w:hanging="294"/>
        <w:spacing w:after="0"/>
        <w:tabs>
          <w:tab w:leader="none" w:pos="620" w:val="left"/>
        </w:tabs>
        <w:numPr>
          <w:ilvl w:val="0"/>
          <w:numId w:val="16"/>
        </w:numPr>
        <w:rPr>
          <w:rFonts w:ascii="Arial" w:cs="Arial" w:eastAsia="Arial" w:hAnsi="Arial"/>
          <w:sz w:val="15"/>
          <w:szCs w:val="15"/>
          <w:color w:val="00A0DD"/>
        </w:rPr>
      </w:pPr>
      <w:r>
        <w:rPr>
          <w:rFonts w:ascii="Arial" w:cs="Arial" w:eastAsia="Arial" w:hAnsi="Arial"/>
          <w:sz w:val="13"/>
          <w:szCs w:val="13"/>
          <w:color w:val="auto"/>
        </w:rPr>
        <w:t>CEO and Director, DowDuPont, 2017 – 2019</w:t>
      </w:r>
    </w:p>
    <w:p>
      <w:pPr>
        <w:spacing w:after="0" w:line="9" w:lineRule="exact"/>
        <w:rPr>
          <w:rFonts w:ascii="Arial" w:cs="Arial" w:eastAsia="Arial" w:hAnsi="Arial"/>
          <w:sz w:val="15"/>
          <w:szCs w:val="15"/>
          <w:color w:val="00A0DD"/>
        </w:rPr>
      </w:pPr>
    </w:p>
    <w:p>
      <w:pPr>
        <w:ind w:left="520" w:hanging="194"/>
        <w:spacing w:after="0" w:line="237" w:lineRule="auto"/>
        <w:tabs>
          <w:tab w:leader="none" w:pos="625" w:val="left"/>
        </w:tabs>
        <w:numPr>
          <w:ilvl w:val="0"/>
          <w:numId w:val="16"/>
        </w:numPr>
        <w:rPr>
          <w:rFonts w:ascii="Arial" w:cs="Arial" w:eastAsia="Arial" w:hAnsi="Arial"/>
          <w:sz w:val="15"/>
          <w:szCs w:val="15"/>
          <w:color w:val="00A0DD"/>
        </w:rPr>
      </w:pPr>
      <w:r>
        <w:rPr>
          <w:rFonts w:ascii="Arial" w:cs="Arial" w:eastAsia="Arial" w:hAnsi="Arial"/>
          <w:sz w:val="13"/>
          <w:szCs w:val="13"/>
          <w:color w:val="auto"/>
        </w:rPr>
        <w:t>Chairman and CEO, E.I. du Pont de Nemours &amp; Co., 2015 – 2017</w:t>
      </w:r>
    </w:p>
    <w:p>
      <w:pPr>
        <w:spacing w:after="0" w:line="12" w:lineRule="exact"/>
        <w:rPr>
          <w:rFonts w:ascii="Arial" w:cs="Arial" w:eastAsia="Arial" w:hAnsi="Arial"/>
          <w:sz w:val="15"/>
          <w:szCs w:val="15"/>
          <w:color w:val="00A0DD"/>
        </w:rPr>
      </w:pPr>
    </w:p>
    <w:p>
      <w:pPr>
        <w:ind w:left="520" w:right="120" w:hanging="194"/>
        <w:spacing w:after="0" w:line="244" w:lineRule="auto"/>
        <w:tabs>
          <w:tab w:leader="none" w:pos="625" w:val="left"/>
        </w:tabs>
        <w:numPr>
          <w:ilvl w:val="0"/>
          <w:numId w:val="16"/>
        </w:numPr>
        <w:rPr>
          <w:rFonts w:ascii="Arial" w:cs="Arial" w:eastAsia="Arial" w:hAnsi="Arial"/>
          <w:sz w:val="15"/>
          <w:szCs w:val="15"/>
          <w:color w:val="00A0DD"/>
        </w:rPr>
      </w:pPr>
      <w:r>
        <w:rPr>
          <w:rFonts w:ascii="Arial" w:cs="Arial" w:eastAsia="Arial" w:hAnsi="Arial"/>
          <w:sz w:val="13"/>
          <w:szCs w:val="13"/>
          <w:color w:val="auto"/>
        </w:rPr>
        <w:t>CEO, Tyco International Ltd., 2002 – 2012; Chairman until 2016</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90" w:right="579" w:hanging="190"/>
        <w:spacing w:after="0"/>
        <w:tabs>
          <w:tab w:leader="none" w:pos="295" w:val="left"/>
        </w:tabs>
        <w:numPr>
          <w:ilvl w:val="0"/>
          <w:numId w:val="17"/>
        </w:numPr>
        <w:rPr>
          <w:rFonts w:ascii="Arial" w:cs="Arial" w:eastAsia="Arial" w:hAnsi="Arial"/>
          <w:sz w:val="15"/>
          <w:szCs w:val="15"/>
          <w:color w:val="00A0DD"/>
        </w:rPr>
      </w:pPr>
      <w:r>
        <w:rPr>
          <w:rFonts w:ascii="Arial" w:cs="Arial" w:eastAsia="Arial" w:hAnsi="Arial"/>
          <w:sz w:val="13"/>
          <w:szCs w:val="13"/>
          <w:color w:val="auto"/>
        </w:rPr>
        <w:t>Previous President, Motorola, and multiple leadership roles in Motorola’s Networks Sector and Broadband Communications Sector</w:t>
      </w:r>
    </w:p>
    <w:p>
      <w:pPr>
        <w:spacing w:after="0" w:line="1" w:lineRule="exact"/>
        <w:rPr>
          <w:rFonts w:ascii="Arial" w:cs="Arial" w:eastAsia="Arial" w:hAnsi="Arial"/>
          <w:sz w:val="15"/>
          <w:szCs w:val="15"/>
          <w:color w:val="00A0DD"/>
        </w:rPr>
      </w:pPr>
    </w:p>
    <w:p>
      <w:pPr>
        <w:ind w:left="190" w:right="419" w:hanging="190"/>
        <w:spacing w:after="0" w:line="241" w:lineRule="auto"/>
        <w:tabs>
          <w:tab w:leader="none" w:pos="295" w:val="left"/>
        </w:tabs>
        <w:numPr>
          <w:ilvl w:val="0"/>
          <w:numId w:val="17"/>
        </w:numPr>
        <w:rPr>
          <w:rFonts w:ascii="Arial" w:cs="Arial" w:eastAsia="Arial" w:hAnsi="Arial"/>
          <w:sz w:val="15"/>
          <w:szCs w:val="15"/>
          <w:color w:val="00A0DD"/>
        </w:rPr>
      </w:pPr>
      <w:r>
        <w:rPr>
          <w:rFonts w:ascii="Arial" w:cs="Arial" w:eastAsia="Arial" w:hAnsi="Arial"/>
          <w:sz w:val="13"/>
          <w:szCs w:val="13"/>
          <w:color w:val="auto"/>
        </w:rPr>
        <w:t>Chairman, President and CEO, General Instrument Corporation, 1997 – 2000</w:t>
      </w:r>
    </w:p>
    <w:p>
      <w:pPr>
        <w:ind w:left="310" w:hanging="310"/>
        <w:spacing w:after="0"/>
        <w:tabs>
          <w:tab w:leader="none" w:pos="310" w:val="left"/>
        </w:tabs>
        <w:numPr>
          <w:ilvl w:val="0"/>
          <w:numId w:val="17"/>
        </w:numPr>
        <w:rPr>
          <w:rFonts w:ascii="Arial" w:cs="Arial" w:eastAsia="Arial" w:hAnsi="Arial"/>
          <w:sz w:val="15"/>
          <w:szCs w:val="15"/>
          <w:color w:val="00A0DD"/>
        </w:rPr>
      </w:pPr>
      <w:r>
        <w:rPr>
          <w:rFonts w:ascii="Arial" w:cs="Arial" w:eastAsia="Arial" w:hAnsi="Arial"/>
          <w:sz w:val="13"/>
          <w:szCs w:val="13"/>
          <w:color w:val="auto"/>
        </w:rPr>
        <w:t>Previously a director of Comcast from 2005 – 2011</w:t>
      </w:r>
    </w:p>
    <w:p>
      <w:pPr>
        <w:spacing w:after="0" w:line="15" w:lineRule="exact"/>
        <w:rPr>
          <w:rFonts w:ascii="Arial" w:cs="Arial" w:eastAsia="Arial" w:hAnsi="Arial"/>
          <w:sz w:val="15"/>
          <w:szCs w:val="15"/>
          <w:color w:val="00A0DD"/>
        </w:rPr>
      </w:pPr>
    </w:p>
    <w:p>
      <w:pPr>
        <w:ind w:left="310" w:hanging="310"/>
        <w:spacing w:after="0"/>
        <w:tabs>
          <w:tab w:leader="none" w:pos="310" w:val="left"/>
        </w:tabs>
        <w:numPr>
          <w:ilvl w:val="0"/>
          <w:numId w:val="17"/>
        </w:numPr>
        <w:rPr>
          <w:rFonts w:ascii="Arial" w:cs="Arial" w:eastAsia="Arial" w:hAnsi="Arial"/>
          <w:sz w:val="15"/>
          <w:szCs w:val="15"/>
          <w:color w:val="00A0DD"/>
        </w:rPr>
      </w:pPr>
      <w:r>
        <w:rPr>
          <w:rFonts w:ascii="Arial" w:cs="Arial" w:eastAsia="Arial" w:hAnsi="Arial"/>
          <w:sz w:val="13"/>
          <w:szCs w:val="13"/>
          <w:color w:val="auto"/>
        </w:rPr>
        <w:t>Chair, Board of Trustees, Grove City College</w:t>
      </w:r>
    </w:p>
    <w:p>
      <w:pPr>
        <w:spacing w:after="0" w:line="312" w:lineRule="exact"/>
        <w:rPr>
          <w:sz w:val="20"/>
          <w:szCs w:val="20"/>
          <w:color w:val="auto"/>
        </w:rPr>
      </w:pPr>
    </w:p>
    <w:p>
      <w:pPr>
        <w:sectPr>
          <w:pgSz w:w="11900" w:h="16838" w:orient="portrait"/>
          <w:cols w:equalWidth="0" w:num="2">
            <w:col w:w="4220" w:space="250"/>
            <w:col w:w="4549"/>
          </w:cols>
          <w:pgMar w:left="1440" w:top="229" w:right="1440" w:bottom="1440" w:gutter="0" w:footer="0" w:header="0"/>
          <w:type w:val="continuous"/>
        </w:sectPr>
      </w:pPr>
    </w:p>
    <w:p>
      <w:pPr>
        <w:ind w:left="320"/>
        <w:spacing w:after="0"/>
        <w:rPr>
          <w:sz w:val="20"/>
          <w:szCs w:val="20"/>
          <w:color w:val="auto"/>
        </w:rPr>
      </w:pPr>
      <w:r>
        <w:rPr>
          <w:rFonts w:ascii="Arial" w:cs="Arial" w:eastAsia="Arial" w:hAnsi="Arial"/>
          <w:sz w:val="16"/>
          <w:szCs w:val="16"/>
          <w:b w:val="1"/>
          <w:bCs w:val="1"/>
          <w:color w:val="00A0DD"/>
        </w:rPr>
        <w:t>Skills and Qualifications:</w:t>
      </w:r>
    </w:p>
    <w:p>
      <w:pPr>
        <w:spacing w:after="0" w:line="39" w:lineRule="exact"/>
        <w:rPr>
          <w:sz w:val="20"/>
          <w:szCs w:val="20"/>
          <w:color w:val="auto"/>
        </w:rPr>
      </w:pPr>
    </w:p>
    <w:p>
      <w:pPr>
        <w:ind w:left="320" w:right="399"/>
        <w:spacing w:after="0" w:line="227" w:lineRule="auto"/>
        <w:rPr>
          <w:sz w:val="20"/>
          <w:szCs w:val="20"/>
          <w:color w:val="auto"/>
        </w:rPr>
      </w:pPr>
      <w:r>
        <w:rPr>
          <w:rFonts w:ascii="Arial" w:cs="Arial" w:eastAsia="Arial" w:hAnsi="Arial"/>
          <w:sz w:val="15"/>
          <w:szCs w:val="15"/>
          <w:color w:val="auto"/>
        </w:rPr>
        <w:t>Mr. Breen currently serves as Chairman of the Board of Directors of DuPont de Nemours, a role he has held since November 2025, having previously served as the Executive Chairman of the Board from 2019 to November 2025 and the CEO from 2020 to 2024. Prior to DuPont, he served as Chairman and CEO of Tyco International. His years of experience as a transformational leader position Mr. Breen well to oversee strategy, provide input into capital allocation decisions and support the Board’s oversight of strategic and financial management of our company. His track record of complex separations, integrations and operational turnarounds informs the Board’s approach to long-term value creation, cost discipline and capital returns. Additionally, Mr. Breen’s vast corporate board experience provides him with a deep foundation in the principles of corporate governance. From his experience at Tyco International and previously at Motorola, Mr. Breen has gained invaluable experience in the technology, equipment supplier and consumer products sectors. In particular, he has deep knowledge of how those sectors relate to our Connectivity &amp; Platforms businesses.</w:t>
      </w:r>
    </w:p>
    <w:tbl>
      <w:tblPr>
        <w:tblLayout w:type="fixed"/>
        <w:tblInd w:w="76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color w:val="auto"/>
              </w:rPr>
              <w:t>Executive</w:t>
            </w:r>
          </w:p>
        </w:tc>
        <w:tc>
          <w:tcPr>
            <w:tcW w:w="1160" w:type="dxa"/>
            <w:vAlign w:val="bottom"/>
            <w:vMerge w:val="restart"/>
          </w:tcPr>
          <w:p>
            <w:pPr>
              <w:ind w:left="220"/>
              <w:spacing w:after="0"/>
              <w:rPr>
                <w:sz w:val="20"/>
                <w:szCs w:val="20"/>
                <w:color w:val="auto"/>
              </w:rPr>
            </w:pPr>
            <w:r>
              <w:rPr>
                <w:rFonts w:ascii="Arial" w:cs="Arial" w:eastAsia="Arial" w:hAnsi="Arial"/>
                <w:sz w:val="14"/>
                <w:szCs w:val="14"/>
                <w:color w:val="auto"/>
              </w:rPr>
              <w:t>Industry</w:t>
            </w:r>
          </w:p>
        </w:tc>
        <w:tc>
          <w:tcPr>
            <w:tcW w:w="1760" w:type="dxa"/>
            <w:vAlign w:val="bottom"/>
            <w:vMerge w:val="restart"/>
          </w:tcPr>
          <w:p>
            <w:pPr>
              <w:ind w:left="220"/>
              <w:spacing w:after="0"/>
              <w:rPr>
                <w:sz w:val="20"/>
                <w:szCs w:val="20"/>
                <w:color w:val="auto"/>
              </w:rPr>
            </w:pPr>
            <w:r>
              <w:rPr>
                <w:rFonts w:ascii="Arial" w:cs="Arial" w:eastAsia="Arial" w:hAnsi="Arial"/>
                <w:sz w:val="14"/>
                <w:szCs w:val="14"/>
                <w:color w:val="auto"/>
              </w:rPr>
              <w:t>Consumer Products/</w:t>
            </w:r>
          </w:p>
        </w:tc>
        <w:tc>
          <w:tcPr>
            <w:tcW w:w="78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Risk</w:t>
            </w:r>
          </w:p>
        </w:tc>
        <w:tc>
          <w:tcPr>
            <w:tcW w:w="940" w:type="dxa"/>
            <w:vAlign w:val="bottom"/>
            <w:vMerge w:val="restart"/>
          </w:tcPr>
          <w:p>
            <w:pPr>
              <w:ind w:left="240"/>
              <w:spacing w:after="0"/>
              <w:rPr>
                <w:sz w:val="20"/>
                <w:szCs w:val="20"/>
                <w:color w:val="auto"/>
              </w:rPr>
            </w:pPr>
            <w:r>
              <w:rPr>
                <w:rFonts w:ascii="Arial" w:cs="Arial" w:eastAsia="Arial" w:hAnsi="Arial"/>
                <w:sz w:val="14"/>
                <w:szCs w:val="14"/>
                <w:color w:val="auto"/>
              </w:rPr>
              <w:t>Inter-</w:t>
            </w:r>
          </w:p>
        </w:tc>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Human</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780" w:type="dxa"/>
            <w:vAlign w:val="bottom"/>
            <w:vMerge w:val="restart"/>
          </w:tcPr>
          <w:p>
            <w:pPr>
              <w:ind w:left="240"/>
              <w:spacing w:after="0"/>
              <w:rPr>
                <w:sz w:val="20"/>
                <w:szCs w:val="20"/>
                <w:color w:val="auto"/>
              </w:rPr>
            </w:pPr>
            <w:r>
              <w:rPr>
                <w:rFonts w:ascii="Arial" w:cs="Arial" w:eastAsia="Arial" w:hAnsi="Arial"/>
                <w:sz w:val="14"/>
                <w:szCs w:val="14"/>
                <w:color w:val="auto"/>
              </w:rPr>
              <w:t>Tech</w:t>
            </w:r>
          </w:p>
        </w:tc>
        <w:tc>
          <w:tcPr>
            <w:tcW w:w="1260" w:type="dxa"/>
            <w:vAlign w:val="bottom"/>
            <w:vMerge w:val="restart"/>
          </w:tcPr>
          <w:p>
            <w:pPr>
              <w:ind w:left="200"/>
              <w:spacing w:after="0"/>
              <w:rPr>
                <w:sz w:val="20"/>
                <w:szCs w:val="20"/>
                <w:color w:val="auto"/>
              </w:rPr>
            </w:pPr>
            <w:r>
              <w:rPr>
                <w:rFonts w:ascii="Arial" w:cs="Arial" w:eastAsia="Arial" w:hAnsi="Arial"/>
                <w:sz w:val="14"/>
                <w:szCs w:val="14"/>
                <w:color w:val="auto"/>
              </w:rPr>
              <w:t>Management</w:t>
            </w:r>
          </w:p>
        </w:tc>
        <w:tc>
          <w:tcPr>
            <w:tcW w:w="940" w:type="dxa"/>
            <w:vAlign w:val="bottom"/>
            <w:vMerge w:val="continue"/>
          </w:tcPr>
          <w:p>
            <w:pPr>
              <w:spacing w:after="0"/>
              <w:rPr>
                <w:sz w:val="7"/>
                <w:szCs w:val="7"/>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81"/>
        </w:trPr>
        <w:tc>
          <w:tcPr>
            <w:tcW w:w="920" w:type="dxa"/>
            <w:vAlign w:val="bottom"/>
            <w:vMerge w:val="restart"/>
          </w:tcPr>
          <w:p>
            <w:pPr>
              <w:spacing w:after="0"/>
              <w:rPr>
                <w:sz w:val="20"/>
                <w:szCs w:val="20"/>
                <w:color w:val="auto"/>
              </w:rPr>
            </w:pPr>
            <w:r>
              <w:rPr>
                <w:rFonts w:ascii="Arial" w:cs="Arial" w:eastAsia="Arial" w:hAnsi="Arial"/>
                <w:sz w:val="14"/>
                <w:szCs w:val="14"/>
                <w:color w:val="auto"/>
              </w:rPr>
              <w:t>Leadership</w:t>
            </w:r>
          </w:p>
        </w:tc>
        <w:tc>
          <w:tcPr>
            <w:tcW w:w="1160" w:type="dxa"/>
            <w:vAlign w:val="bottom"/>
            <w:vMerge w:val="restart"/>
          </w:tcPr>
          <w:p>
            <w:pPr>
              <w:ind w:left="220"/>
              <w:spacing w:after="0"/>
              <w:rPr>
                <w:sz w:val="20"/>
                <w:szCs w:val="20"/>
                <w:color w:val="auto"/>
              </w:rPr>
            </w:pPr>
            <w:r>
              <w:rPr>
                <w:rFonts w:ascii="Arial" w:cs="Arial" w:eastAsia="Arial" w:hAnsi="Arial"/>
                <w:sz w:val="14"/>
                <w:szCs w:val="14"/>
                <w:color w:val="auto"/>
              </w:rPr>
              <w:t>Experience</w:t>
            </w:r>
          </w:p>
        </w:tc>
        <w:tc>
          <w:tcPr>
            <w:tcW w:w="1760" w:type="dxa"/>
            <w:vAlign w:val="bottom"/>
            <w:vMerge w:val="restart"/>
          </w:tcPr>
          <w:p>
            <w:pPr>
              <w:ind w:left="220"/>
              <w:spacing w:after="0"/>
              <w:rPr>
                <w:sz w:val="20"/>
                <w:szCs w:val="20"/>
                <w:color w:val="auto"/>
              </w:rPr>
            </w:pPr>
            <w:r>
              <w:rPr>
                <w:rFonts w:ascii="Arial" w:cs="Arial" w:eastAsia="Arial" w:hAnsi="Arial"/>
                <w:sz w:val="14"/>
                <w:szCs w:val="14"/>
                <w:color w:val="auto"/>
              </w:rPr>
              <w:t>Customer-Oriented</w:t>
            </w:r>
          </w:p>
        </w:tc>
        <w:tc>
          <w:tcPr>
            <w:tcW w:w="7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940" w:type="dxa"/>
            <w:vAlign w:val="bottom"/>
            <w:vMerge w:val="restart"/>
          </w:tcPr>
          <w:p>
            <w:pPr>
              <w:ind w:left="240"/>
              <w:spacing w:after="0"/>
              <w:rPr>
                <w:sz w:val="20"/>
                <w:szCs w:val="20"/>
                <w:color w:val="auto"/>
              </w:rPr>
            </w:pPr>
            <w:r>
              <w:rPr>
                <w:rFonts w:ascii="Arial" w:cs="Arial" w:eastAsia="Arial" w:hAnsi="Arial"/>
                <w:sz w:val="14"/>
                <w:szCs w:val="14"/>
                <w:color w:val="auto"/>
              </w:rPr>
              <w:t>national</w:t>
            </w: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vMerge w:val="restart"/>
          </w:tcPr>
          <w:p>
            <w:pPr>
              <w:ind w:left="200"/>
              <w:spacing w:after="0"/>
              <w:rPr>
                <w:sz w:val="20"/>
                <w:szCs w:val="20"/>
                <w:color w:val="auto"/>
              </w:rPr>
            </w:pPr>
            <w:r>
              <w:rPr>
                <w:rFonts w:ascii="Arial" w:cs="Arial" w:eastAsia="Arial" w:hAnsi="Arial"/>
                <w:sz w:val="14"/>
                <w:szCs w:val="14"/>
                <w:color w:val="auto"/>
              </w:rPr>
              <w:t>Oversight</w:t>
            </w:r>
          </w:p>
        </w:tc>
        <w:tc>
          <w:tcPr>
            <w:tcW w:w="940" w:type="dxa"/>
            <w:vAlign w:val="bottom"/>
            <w:vMerge w:val="continue"/>
          </w:tcPr>
          <w:p>
            <w:pPr>
              <w:spacing w:after="0"/>
              <w:rPr>
                <w:sz w:val="9"/>
                <w:szCs w:val="9"/>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-277495</wp:posOffset>
            </wp:positionV>
            <wp:extent cx="213995"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3995" cy="23177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-234315</wp:posOffset>
            </wp:positionV>
            <wp:extent cx="22288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13716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-268605</wp:posOffset>
            </wp:positionV>
            <wp:extent cx="20574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-285750</wp:posOffset>
            </wp:positionV>
            <wp:extent cx="240030" cy="248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030" cy="24828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-268605</wp:posOffset>
            </wp:positionV>
            <wp:extent cx="20574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-268605</wp:posOffset>
            </wp:positionV>
            <wp:extent cx="18859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595" cy="20574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-260350</wp:posOffset>
            </wp:positionV>
            <wp:extent cx="20574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5740" cy="196850"/>
                    </a:xfrm>
                    <a:prstGeom prst="rect">
                      <a:avLst/>
                    </a:prstGeom>
                    <a:noFill/>
                  </pic:spPr>
                </pic:pic>
              </a:graphicData>
            </a:graphic>
          </wp:anchor>
        </w:drawing>
      </w:r>
    </w:p>
    <w:p>
      <w:pPr>
        <w:spacing w:after="0" w:line="1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FFFFFF"/>
        </w:rPr>
        <w:t>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-141605</wp:posOffset>
            </wp:positionV>
            <wp:extent cx="5306060" cy="796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06060" cy="79692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Co-CEO of Comcast</w:t>
      </w:r>
    </w:p>
    <w:p>
      <w:pPr>
        <w:spacing w:after="0" w:line="52"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60</w:t>
      </w:r>
    </w:p>
    <w:p>
      <w:pPr>
        <w:ind w:left="1720"/>
        <w:spacing w:after="0" w:line="233"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2026</w:t>
      </w:r>
    </w:p>
    <w:p>
      <w:pPr>
        <w:ind w:left="17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None</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A0DD"/>
        </w:rPr>
        <w:t>Career Highlights:</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120" w:type="dxa"/>
            <w:vAlign w:val="bottom"/>
          </w:tcPr>
          <w:p>
            <w:pPr>
              <w:spacing w:after="0"/>
              <w:rPr>
                <w:sz w:val="20"/>
                <w:szCs w:val="20"/>
                <w:color w:val="auto"/>
              </w:rPr>
            </w:pPr>
            <w:r>
              <w:rPr>
                <w:rFonts w:ascii="Arial" w:cs="Arial" w:eastAsia="Arial" w:hAnsi="Arial"/>
                <w:sz w:val="15"/>
                <w:szCs w:val="15"/>
                <w:color w:val="00A0DD"/>
              </w:rPr>
              <w:t>•</w:t>
            </w:r>
          </w:p>
        </w:tc>
        <w:tc>
          <w:tcPr>
            <w:tcW w:w="3900" w:type="dxa"/>
            <w:vAlign w:val="bottom"/>
          </w:tcPr>
          <w:p>
            <w:pPr>
              <w:ind w:left="180"/>
              <w:spacing w:after="0"/>
              <w:rPr>
                <w:sz w:val="20"/>
                <w:szCs w:val="20"/>
                <w:color w:val="auto"/>
              </w:rPr>
            </w:pPr>
            <w:r>
              <w:rPr>
                <w:rFonts w:ascii="Arial" w:cs="Arial" w:eastAsia="Arial" w:hAnsi="Arial"/>
                <w:sz w:val="13"/>
                <w:szCs w:val="13"/>
                <w:color w:val="auto"/>
              </w:rPr>
              <w:t>Co-CEO and Director, Comcast, January 2026 – Present</w:t>
            </w:r>
          </w:p>
        </w:tc>
        <w:tc>
          <w:tcPr>
            <w:tcW w:w="260" w:type="dxa"/>
            <w:vAlign w:val="bottom"/>
          </w:tcPr>
          <w:p>
            <w:pPr>
              <w:ind w:left="140"/>
              <w:spacing w:after="0"/>
              <w:rPr>
                <w:sz w:val="20"/>
                <w:szCs w:val="20"/>
                <w:color w:val="auto"/>
              </w:rPr>
            </w:pPr>
            <w:r>
              <w:rPr>
                <w:rFonts w:ascii="Arial" w:cs="Arial" w:eastAsia="Arial" w:hAnsi="Arial"/>
                <w:sz w:val="15"/>
                <w:szCs w:val="15"/>
                <w:color w:val="00A0DD"/>
              </w:rPr>
              <w:t>•</w:t>
            </w:r>
          </w:p>
        </w:tc>
        <w:tc>
          <w:tcPr>
            <w:tcW w:w="3920" w:type="dxa"/>
            <w:vAlign w:val="bottom"/>
          </w:tcPr>
          <w:p>
            <w:pPr>
              <w:ind w:left="180"/>
              <w:spacing w:after="0"/>
              <w:rPr>
                <w:sz w:val="20"/>
                <w:szCs w:val="20"/>
                <w:color w:val="auto"/>
              </w:rPr>
            </w:pPr>
            <w:r>
              <w:rPr>
                <w:rFonts w:ascii="Arial" w:cs="Arial" w:eastAsia="Arial" w:hAnsi="Arial"/>
                <w:sz w:val="13"/>
                <w:szCs w:val="13"/>
                <w:color w:val="auto"/>
              </w:rPr>
              <w:t>CEO, Treasury &amp; Securities Services, JPMorgan Chase &amp; Co.,</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20"/>
                <w:szCs w:val="20"/>
                <w:color w:val="auto"/>
              </w:rPr>
            </w:pPr>
            <w:r>
              <w:rPr>
                <w:rFonts w:ascii="Arial" w:cs="Arial" w:eastAsia="Arial" w:hAnsi="Arial"/>
                <w:sz w:val="15"/>
                <w:szCs w:val="15"/>
                <w:color w:val="00A0DD"/>
              </w:rPr>
              <w:t>•</w:t>
            </w:r>
          </w:p>
        </w:tc>
        <w:tc>
          <w:tcPr>
            <w:tcW w:w="3900" w:type="dxa"/>
            <w:vAlign w:val="bottom"/>
          </w:tcPr>
          <w:p>
            <w:pPr>
              <w:ind w:left="180"/>
              <w:spacing w:after="0"/>
              <w:rPr>
                <w:sz w:val="20"/>
                <w:szCs w:val="20"/>
                <w:color w:val="auto"/>
              </w:rPr>
            </w:pPr>
            <w:r>
              <w:rPr>
                <w:rFonts w:ascii="Arial" w:cs="Arial" w:eastAsia="Arial" w:hAnsi="Arial"/>
                <w:sz w:val="13"/>
                <w:szCs w:val="13"/>
                <w:color w:val="auto"/>
              </w:rPr>
              <w:t>President, Comcast, 2022 – Present</w:t>
            </w:r>
          </w:p>
        </w:tc>
        <w:tc>
          <w:tcPr>
            <w:tcW w:w="260" w:type="dxa"/>
            <w:vAlign w:val="bottom"/>
            <w:vMerge w:val="restart"/>
          </w:tcPr>
          <w:p>
            <w:pPr>
              <w:ind w:left="140"/>
              <w:spacing w:after="0"/>
              <w:rPr>
                <w:sz w:val="20"/>
                <w:szCs w:val="20"/>
                <w:color w:val="auto"/>
              </w:rPr>
            </w:pPr>
            <w:r>
              <w:rPr>
                <w:rFonts w:ascii="Arial" w:cs="Arial" w:eastAsia="Arial" w:hAnsi="Arial"/>
                <w:sz w:val="15"/>
                <w:szCs w:val="15"/>
                <w:color w:val="00A0DD"/>
              </w:rPr>
              <w:t>•</w:t>
            </w:r>
          </w:p>
        </w:tc>
        <w:tc>
          <w:tcPr>
            <w:tcW w:w="3920" w:type="dxa"/>
            <w:vAlign w:val="bottom"/>
          </w:tcPr>
          <w:p>
            <w:pPr>
              <w:ind w:left="60"/>
              <w:spacing w:after="0"/>
              <w:rPr>
                <w:sz w:val="20"/>
                <w:szCs w:val="20"/>
                <w:color w:val="auto"/>
              </w:rPr>
            </w:pPr>
            <w:r>
              <w:rPr>
                <w:rFonts w:ascii="Arial" w:cs="Arial" w:eastAsia="Arial" w:hAnsi="Arial"/>
                <w:sz w:val="13"/>
                <w:szCs w:val="13"/>
                <w:color w:val="auto"/>
              </w:rPr>
              <w:t>2010 – 2012</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20"/>
                <w:szCs w:val="20"/>
                <w:color w:val="auto"/>
              </w:rPr>
            </w:pPr>
            <w:r>
              <w:rPr>
                <w:rFonts w:ascii="Arial" w:cs="Arial" w:eastAsia="Arial" w:hAnsi="Arial"/>
                <w:sz w:val="15"/>
                <w:szCs w:val="15"/>
                <w:color w:val="00A0DD"/>
              </w:rPr>
              <w:t>•</w:t>
            </w:r>
          </w:p>
        </w:tc>
        <w:tc>
          <w:tcPr>
            <w:tcW w:w="3900" w:type="dxa"/>
            <w:vAlign w:val="bottom"/>
          </w:tcPr>
          <w:p>
            <w:pPr>
              <w:ind w:left="180"/>
              <w:spacing w:after="0"/>
              <w:rPr>
                <w:sz w:val="20"/>
                <w:szCs w:val="20"/>
                <w:color w:val="auto"/>
              </w:rPr>
            </w:pPr>
            <w:r>
              <w:rPr>
                <w:rFonts w:ascii="Arial" w:cs="Arial" w:eastAsia="Arial" w:hAnsi="Arial"/>
                <w:sz w:val="13"/>
                <w:szCs w:val="13"/>
                <w:color w:val="auto"/>
              </w:rPr>
              <w:t>Chief Financial Officer, Comcast, 2015 – 2023</w:t>
            </w:r>
          </w:p>
        </w:tc>
        <w:tc>
          <w:tcPr>
            <w:tcW w:w="260" w:type="dxa"/>
            <w:vAlign w:val="bottom"/>
            <w:vMerge w:val="continue"/>
          </w:tcPr>
          <w:p>
            <w:pPr>
              <w:spacing w:after="0"/>
              <w:rPr>
                <w:sz w:val="15"/>
                <w:szCs w:val="15"/>
                <w:color w:val="auto"/>
              </w:rPr>
            </w:pPr>
          </w:p>
        </w:tc>
        <w:tc>
          <w:tcPr>
            <w:tcW w:w="3920" w:type="dxa"/>
            <w:vAlign w:val="bottom"/>
          </w:tcPr>
          <w:p>
            <w:pPr>
              <w:ind w:left="180"/>
              <w:spacing w:after="0"/>
              <w:rPr>
                <w:sz w:val="20"/>
                <w:szCs w:val="20"/>
                <w:color w:val="auto"/>
              </w:rPr>
            </w:pPr>
            <w:r>
              <w:rPr>
                <w:rFonts w:ascii="Arial" w:cs="Arial" w:eastAsia="Arial" w:hAnsi="Arial"/>
                <w:sz w:val="13"/>
                <w:szCs w:val="13"/>
                <w:color w:val="auto"/>
              </w:rPr>
              <w:t>Chief Financial Officer, JPMorgan Chase &amp; Co., 2004 – 2010</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20"/>
                <w:szCs w:val="20"/>
                <w:color w:val="auto"/>
              </w:rPr>
            </w:pPr>
            <w:r>
              <w:rPr>
                <w:rFonts w:ascii="Arial" w:cs="Arial" w:eastAsia="Arial" w:hAnsi="Arial"/>
                <w:sz w:val="15"/>
                <w:szCs w:val="15"/>
                <w:color w:val="00A0DD"/>
              </w:rPr>
              <w:t>•</w:t>
            </w:r>
          </w:p>
        </w:tc>
        <w:tc>
          <w:tcPr>
            <w:tcW w:w="3900" w:type="dxa"/>
            <w:vAlign w:val="bottom"/>
          </w:tcPr>
          <w:p>
            <w:pPr>
              <w:ind w:left="180"/>
              <w:spacing w:after="0"/>
              <w:rPr>
                <w:sz w:val="20"/>
                <w:szCs w:val="20"/>
                <w:color w:val="auto"/>
              </w:rPr>
            </w:pPr>
            <w:r>
              <w:rPr>
                <w:rFonts w:ascii="Arial" w:cs="Arial" w:eastAsia="Arial" w:hAnsi="Arial"/>
                <w:sz w:val="13"/>
                <w:szCs w:val="13"/>
                <w:color w:val="auto"/>
              </w:rPr>
              <w:t>Co-President and Co-Chief Operating Officer, The Carlyle</w:t>
            </w:r>
          </w:p>
        </w:tc>
        <w:tc>
          <w:tcPr>
            <w:tcW w:w="260" w:type="dxa"/>
            <w:vAlign w:val="bottom"/>
          </w:tcPr>
          <w:p>
            <w:pPr>
              <w:ind w:left="140"/>
              <w:spacing w:after="0"/>
              <w:rPr>
                <w:sz w:val="20"/>
                <w:szCs w:val="20"/>
                <w:color w:val="auto"/>
              </w:rPr>
            </w:pPr>
            <w:r>
              <w:rPr>
                <w:rFonts w:ascii="Arial" w:cs="Arial" w:eastAsia="Arial" w:hAnsi="Arial"/>
                <w:sz w:val="15"/>
                <w:szCs w:val="15"/>
                <w:color w:val="00A0DD"/>
              </w:rPr>
              <w:t>•</w:t>
            </w:r>
          </w:p>
        </w:tc>
        <w:tc>
          <w:tcPr>
            <w:tcW w:w="3920" w:type="dxa"/>
            <w:vAlign w:val="bottom"/>
          </w:tcPr>
          <w:p>
            <w:pPr>
              <w:ind w:left="180"/>
              <w:spacing w:after="0"/>
              <w:rPr>
                <w:sz w:val="20"/>
                <w:szCs w:val="20"/>
                <w:color w:val="auto"/>
              </w:rPr>
            </w:pPr>
            <w:r>
              <w:rPr>
                <w:rFonts w:ascii="Arial" w:cs="Arial" w:eastAsia="Arial" w:hAnsi="Arial"/>
                <w:sz w:val="13"/>
                <w:szCs w:val="13"/>
                <w:color w:val="auto"/>
              </w:rPr>
              <w:t>Board of Trustees and Chair of Investment Committee, Yale</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3900" w:type="dxa"/>
            <w:vAlign w:val="bottom"/>
          </w:tcPr>
          <w:p>
            <w:pPr>
              <w:ind w:left="80"/>
              <w:spacing w:after="0"/>
              <w:rPr>
                <w:sz w:val="20"/>
                <w:szCs w:val="20"/>
                <w:color w:val="auto"/>
              </w:rPr>
            </w:pPr>
            <w:r>
              <w:rPr>
                <w:rFonts w:ascii="Arial" w:cs="Arial" w:eastAsia="Arial" w:hAnsi="Arial"/>
                <w:sz w:val="13"/>
                <w:szCs w:val="13"/>
                <w:color w:val="auto"/>
              </w:rPr>
              <w:t>Group, 2014 – 2015</w:t>
            </w:r>
          </w:p>
        </w:tc>
        <w:tc>
          <w:tcPr>
            <w:tcW w:w="260" w:type="dxa"/>
            <w:vAlign w:val="bottom"/>
            <w:vMerge w:val="restart"/>
          </w:tcPr>
          <w:p>
            <w:pPr>
              <w:ind w:left="140"/>
              <w:spacing w:after="0"/>
              <w:rPr>
                <w:sz w:val="20"/>
                <w:szCs w:val="20"/>
                <w:color w:val="auto"/>
              </w:rPr>
            </w:pPr>
            <w:r>
              <w:rPr>
                <w:rFonts w:ascii="Arial" w:cs="Arial" w:eastAsia="Arial" w:hAnsi="Arial"/>
                <w:sz w:val="15"/>
                <w:szCs w:val="15"/>
                <w:color w:val="00A0DD"/>
              </w:rPr>
              <w:t>•</w:t>
            </w:r>
          </w:p>
        </w:tc>
        <w:tc>
          <w:tcPr>
            <w:tcW w:w="3920" w:type="dxa"/>
            <w:vAlign w:val="bottom"/>
          </w:tcPr>
          <w:p>
            <w:pPr>
              <w:ind w:left="60"/>
              <w:spacing w:after="0"/>
              <w:rPr>
                <w:sz w:val="20"/>
                <w:szCs w:val="20"/>
                <w:color w:val="auto"/>
              </w:rPr>
            </w:pPr>
            <w:r>
              <w:rPr>
                <w:rFonts w:ascii="Arial" w:cs="Arial" w:eastAsia="Arial" w:hAnsi="Arial"/>
                <w:sz w:val="13"/>
                <w:szCs w:val="13"/>
                <w:color w:val="auto"/>
              </w:rPr>
              <w:t>University</w:t>
            </w:r>
          </w:p>
        </w:tc>
        <w:tc>
          <w:tcPr>
            <w:tcW w:w="0" w:type="dxa"/>
            <w:vAlign w:val="bottom"/>
          </w:tcPr>
          <w:p>
            <w:pPr>
              <w:spacing w:after="0"/>
              <w:rPr>
                <w:sz w:val="1"/>
                <w:szCs w:val="1"/>
                <w:color w:val="auto"/>
              </w:rPr>
            </w:pPr>
          </w:p>
        </w:tc>
      </w:tr>
      <w:tr>
        <w:trPr>
          <w:trHeight w:val="161"/>
        </w:trPr>
        <w:tc>
          <w:tcPr>
            <w:tcW w:w="120" w:type="dxa"/>
            <w:vAlign w:val="bottom"/>
          </w:tcPr>
          <w:p>
            <w:pPr>
              <w:spacing w:after="0" w:line="161" w:lineRule="exact"/>
              <w:rPr>
                <w:sz w:val="20"/>
                <w:szCs w:val="20"/>
                <w:color w:val="auto"/>
              </w:rPr>
            </w:pPr>
            <w:r>
              <w:rPr>
                <w:rFonts w:ascii="Arial" w:cs="Arial" w:eastAsia="Arial" w:hAnsi="Arial"/>
                <w:sz w:val="15"/>
                <w:szCs w:val="15"/>
                <w:color w:val="00A0DD"/>
              </w:rPr>
              <w:t>•</w:t>
            </w:r>
          </w:p>
        </w:tc>
        <w:tc>
          <w:tcPr>
            <w:tcW w:w="3900" w:type="dxa"/>
            <w:vAlign w:val="bottom"/>
          </w:tcPr>
          <w:p>
            <w:pPr>
              <w:ind w:left="180"/>
              <w:spacing w:after="0"/>
              <w:rPr>
                <w:sz w:val="20"/>
                <w:szCs w:val="20"/>
                <w:color w:val="auto"/>
              </w:rPr>
            </w:pPr>
            <w:r>
              <w:rPr>
                <w:rFonts w:ascii="Arial" w:cs="Arial" w:eastAsia="Arial" w:hAnsi="Arial"/>
                <w:sz w:val="13"/>
                <w:szCs w:val="13"/>
                <w:color w:val="auto"/>
              </w:rPr>
              <w:t>Co-CEO, Corporate &amp; Investment Bank, JPMorgan Chase &amp;</w:t>
            </w:r>
          </w:p>
        </w:tc>
        <w:tc>
          <w:tcPr>
            <w:tcW w:w="260" w:type="dxa"/>
            <w:vAlign w:val="bottom"/>
            <w:vMerge w:val="continue"/>
          </w:tcPr>
          <w:p>
            <w:pPr>
              <w:spacing w:after="0"/>
              <w:rPr>
                <w:sz w:val="14"/>
                <w:szCs w:val="14"/>
                <w:color w:val="auto"/>
              </w:rPr>
            </w:pPr>
          </w:p>
        </w:tc>
        <w:tc>
          <w:tcPr>
            <w:tcW w:w="3920" w:type="dxa"/>
            <w:vAlign w:val="bottom"/>
          </w:tcPr>
          <w:p>
            <w:pPr>
              <w:ind w:left="180"/>
              <w:spacing w:after="0"/>
              <w:rPr>
                <w:sz w:val="20"/>
                <w:szCs w:val="20"/>
                <w:color w:val="auto"/>
              </w:rPr>
            </w:pPr>
            <w:r>
              <w:rPr>
                <w:rFonts w:ascii="Arial" w:cs="Arial" w:eastAsia="Arial" w:hAnsi="Arial"/>
                <w:sz w:val="13"/>
                <w:szCs w:val="13"/>
                <w:color w:val="auto"/>
              </w:rPr>
              <w:t>Board of Directors, HealthVerity, Inc.</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3900" w:type="dxa"/>
            <w:vAlign w:val="bottom"/>
          </w:tcPr>
          <w:p>
            <w:pPr>
              <w:ind w:left="80"/>
              <w:spacing w:after="0"/>
              <w:rPr>
                <w:sz w:val="20"/>
                <w:szCs w:val="20"/>
                <w:color w:val="auto"/>
              </w:rPr>
            </w:pPr>
            <w:r>
              <w:rPr>
                <w:rFonts w:ascii="Arial" w:cs="Arial" w:eastAsia="Arial" w:hAnsi="Arial"/>
                <w:sz w:val="13"/>
                <w:szCs w:val="13"/>
                <w:color w:val="auto"/>
              </w:rPr>
              <w:t>Co., 2012 – 2014</w:t>
            </w:r>
          </w:p>
        </w:tc>
        <w:tc>
          <w:tcPr>
            <w:tcW w:w="260" w:type="dxa"/>
            <w:vAlign w:val="bottom"/>
          </w:tcPr>
          <w:p>
            <w:pPr>
              <w:ind w:left="140"/>
              <w:spacing w:after="0"/>
              <w:rPr>
                <w:sz w:val="20"/>
                <w:szCs w:val="20"/>
                <w:color w:val="auto"/>
              </w:rPr>
            </w:pPr>
            <w:r>
              <w:rPr>
                <w:rFonts w:ascii="Arial" w:cs="Arial" w:eastAsia="Arial" w:hAnsi="Arial"/>
                <w:sz w:val="15"/>
                <w:szCs w:val="15"/>
                <w:color w:val="00A0DD"/>
              </w:rPr>
              <w:t>•</w:t>
            </w:r>
          </w:p>
        </w:tc>
        <w:tc>
          <w:tcPr>
            <w:tcW w:w="3920" w:type="dxa"/>
            <w:vAlign w:val="bottom"/>
          </w:tcPr>
          <w:p>
            <w:pPr>
              <w:ind w:left="180"/>
              <w:spacing w:after="0"/>
              <w:rPr>
                <w:sz w:val="20"/>
                <w:szCs w:val="20"/>
                <w:color w:val="auto"/>
              </w:rPr>
            </w:pPr>
            <w:r>
              <w:rPr>
                <w:rFonts w:ascii="Arial" w:cs="Arial" w:eastAsia="Arial" w:hAnsi="Arial"/>
                <w:sz w:val="13"/>
                <w:szCs w:val="13"/>
                <w:color w:val="auto"/>
              </w:rPr>
              <w:t>Member, Council on Foreign Relations</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A0DD"/>
        </w:rPr>
        <w:t>Skills and Qualifications:</w:t>
      </w:r>
    </w:p>
    <w:p>
      <w:pPr>
        <w:spacing w:after="0" w:line="29" w:lineRule="exact"/>
        <w:rPr>
          <w:sz w:val="20"/>
          <w:szCs w:val="20"/>
          <w:color w:val="auto"/>
        </w:rPr>
      </w:pPr>
    </w:p>
    <w:p>
      <w:pPr>
        <w:jc w:val="both"/>
        <w:ind w:left="320" w:right="519"/>
        <w:spacing w:after="0" w:line="232" w:lineRule="auto"/>
        <w:rPr>
          <w:sz w:val="20"/>
          <w:szCs w:val="20"/>
          <w:color w:val="auto"/>
        </w:rPr>
      </w:pPr>
      <w:r>
        <w:rPr>
          <w:rFonts w:ascii="Arial" w:cs="Arial" w:eastAsia="Arial" w:hAnsi="Arial"/>
          <w:sz w:val="15"/>
          <w:szCs w:val="15"/>
          <w:color w:val="auto"/>
        </w:rPr>
        <w:t>Mr. Cavanagh brings to the Board a proven record of enterprise leadership, financial stewardship and strategic execution across complex, scaled, global organizations. As Comcast’s Co-CEO, he oversees strategy, capital allocation and</w:t>
      </w:r>
    </w:p>
    <w:p>
      <w:pPr>
        <w:spacing w:after="0" w:line="1" w:lineRule="exact"/>
        <w:rPr>
          <w:sz w:val="20"/>
          <w:szCs w:val="20"/>
          <w:color w:val="auto"/>
        </w:rPr>
      </w:pPr>
    </w:p>
    <w:p>
      <w:pPr>
        <w:ind w:left="320"/>
        <w:spacing w:after="0" w:line="173" w:lineRule="exact"/>
        <w:rPr>
          <w:sz w:val="20"/>
          <w:szCs w:val="20"/>
          <w:color w:val="auto"/>
        </w:rPr>
      </w:pPr>
      <w:r>
        <w:rPr>
          <w:rFonts w:ascii="Arial" w:cs="Arial" w:eastAsia="Arial" w:hAnsi="Arial"/>
          <w:sz w:val="15"/>
          <w:szCs w:val="15"/>
          <w:color w:val="auto"/>
        </w:rPr>
        <w:t>long</w:t>
      </w:r>
      <w:r>
        <w:rPr>
          <w:rFonts w:ascii="MS PGothic" w:cs="MS PGothic" w:eastAsia="MS PGothic" w:hAnsi="MS PGothic"/>
          <w:sz w:val="15"/>
          <w:szCs w:val="15"/>
          <w:color w:val="auto"/>
        </w:rPr>
        <w:t>‑</w:t>
      </w:r>
      <w:r>
        <w:rPr>
          <w:rFonts w:ascii="Arial" w:cs="Arial" w:eastAsia="Arial" w:hAnsi="Arial"/>
          <w:sz w:val="15"/>
          <w:szCs w:val="15"/>
          <w:color w:val="auto"/>
        </w:rPr>
        <w:t>term investment priorities and, drawing on his deep knowledge of our company and industries, supports effective</w:t>
      </w:r>
    </w:p>
    <w:p>
      <w:pPr>
        <w:spacing w:after="0" w:line="7" w:lineRule="exact"/>
        <w:rPr>
          <w:sz w:val="20"/>
          <w:szCs w:val="20"/>
          <w:color w:val="auto"/>
        </w:rPr>
      </w:pPr>
    </w:p>
    <w:p>
      <w:pPr>
        <w:ind w:left="320" w:right="599"/>
        <w:spacing w:after="0" w:line="228" w:lineRule="auto"/>
        <w:rPr>
          <w:sz w:val="20"/>
          <w:szCs w:val="20"/>
          <w:color w:val="auto"/>
        </w:rPr>
      </w:pPr>
      <w:r>
        <w:rPr>
          <w:rFonts w:ascii="Arial" w:cs="Arial" w:eastAsia="Arial" w:hAnsi="Arial"/>
          <w:sz w:val="15"/>
          <w:szCs w:val="15"/>
          <w:color w:val="auto"/>
        </w:rPr>
        <w:t>Board-management dialogue and comprehensive oversight of performance and operations. His experience as CFO of JPMorgan Chase during the global financial crisis and subsequent senior leadership of its Corporate &amp; Investment Bank equip him with deep financial expertise, which is fundamental to the Board’s oversight of our financial strategy and resilience. These roles also provided extensive cross-border operating and regulatory experience, informing Board</w:t>
      </w:r>
    </w:p>
    <w:p>
      <w:pPr>
        <w:spacing w:after="0" w:line="3" w:lineRule="exact"/>
        <w:rPr>
          <w:sz w:val="20"/>
          <w:szCs w:val="20"/>
          <w:color w:val="auto"/>
        </w:rPr>
      </w:pPr>
    </w:p>
    <w:p>
      <w:pPr>
        <w:ind w:left="320" w:right="339"/>
        <w:spacing w:after="0" w:line="184" w:lineRule="exact"/>
        <w:rPr>
          <w:sz w:val="20"/>
          <w:szCs w:val="20"/>
          <w:color w:val="auto"/>
        </w:rPr>
      </w:pPr>
      <w:r>
        <w:rPr>
          <w:rFonts w:ascii="Arial" w:cs="Arial" w:eastAsia="Arial" w:hAnsi="Arial"/>
          <w:sz w:val="15"/>
          <w:szCs w:val="15"/>
          <w:color w:val="auto"/>
        </w:rPr>
        <w:t>oversight of our global businesses. His tenure as Co</w:t>
      </w:r>
      <w:r>
        <w:rPr>
          <w:rFonts w:ascii="MS PGothic" w:cs="MS PGothic" w:eastAsia="MS PGothic" w:hAnsi="MS PGothic"/>
          <w:sz w:val="15"/>
          <w:szCs w:val="15"/>
          <w:color w:val="auto"/>
        </w:rPr>
        <w:t>‑</w:t>
      </w:r>
      <w:r>
        <w:rPr>
          <w:rFonts w:ascii="Arial" w:cs="Arial" w:eastAsia="Arial" w:hAnsi="Arial"/>
          <w:sz w:val="15"/>
          <w:szCs w:val="15"/>
          <w:color w:val="auto"/>
        </w:rPr>
        <w:t>President and Co</w:t>
      </w:r>
      <w:r>
        <w:rPr>
          <w:rFonts w:ascii="MS PGothic" w:cs="MS PGothic" w:eastAsia="MS PGothic" w:hAnsi="MS PGothic"/>
          <w:sz w:val="15"/>
          <w:szCs w:val="15"/>
          <w:color w:val="auto"/>
        </w:rPr>
        <w:t>‑</w:t>
      </w:r>
      <w:r>
        <w:rPr>
          <w:rFonts w:ascii="Arial" w:cs="Arial" w:eastAsia="Arial" w:hAnsi="Arial"/>
          <w:sz w:val="15"/>
          <w:szCs w:val="15"/>
          <w:color w:val="auto"/>
        </w:rPr>
        <w:t>Chief Operating Officer of The Carlyle Group adds an investor</w:t>
      </w:r>
      <w:r>
        <w:rPr>
          <w:rFonts w:ascii="MS PGothic" w:cs="MS PGothic" w:eastAsia="MS PGothic" w:hAnsi="MS PGothic"/>
          <w:sz w:val="15"/>
          <w:szCs w:val="15"/>
          <w:color w:val="auto"/>
        </w:rPr>
        <w:t>‑</w:t>
      </w:r>
      <w:r>
        <w:rPr>
          <w:rFonts w:ascii="Arial" w:cs="Arial" w:eastAsia="Arial" w:hAnsi="Arial"/>
          <w:sz w:val="15"/>
          <w:szCs w:val="15"/>
          <w:color w:val="auto"/>
        </w:rPr>
        <w:t>oriented perspective to evaluating organic growth, portfolio optimization and transformative transactions. Across</w:t>
      </w:r>
    </w:p>
    <w:p>
      <w:pPr>
        <w:ind w:left="320" w:right="359"/>
        <w:spacing w:after="0" w:line="229" w:lineRule="auto"/>
        <w:rPr>
          <w:sz w:val="20"/>
          <w:szCs w:val="20"/>
          <w:color w:val="auto"/>
        </w:rPr>
      </w:pPr>
      <w:r>
        <w:rPr>
          <w:rFonts w:ascii="Arial" w:cs="Arial" w:eastAsia="Arial" w:hAnsi="Arial"/>
          <w:sz w:val="15"/>
          <w:szCs w:val="15"/>
          <w:color w:val="auto"/>
        </w:rPr>
        <w:t>his leadership positions, Mr. Cavanagh has managed large, multinational teams and complex talent systems, bringing practical human capital expertise to the Board on leadership succession, executive development, organizational design and culture.</w:t>
      </w:r>
    </w:p>
    <w:tbl>
      <w:tblPr>
        <w:tblLayout w:type="fixed"/>
        <w:tblInd w:w="700" w:type="dxa"/>
        <w:tblCellMar>
          <w:top w:w="0" w:type="dxa"/>
          <w:left w:w="0" w:type="dxa"/>
          <w:bottom w:w="0" w:type="dxa"/>
          <w:right w:w="0" w:type="dxa"/>
        </w:tblCellMar>
      </w:tblPr>
      <w:tr>
        <w:trPr>
          <w:trHeight w:val="148"/>
        </w:trPr>
        <w:tc>
          <w:tcPr>
            <w:tcW w:w="940" w:type="dxa"/>
            <w:vAlign w:val="bottom"/>
          </w:tcPr>
          <w:p>
            <w:pPr>
              <w:spacing w:after="0"/>
              <w:rPr>
                <w:sz w:val="12"/>
                <w:szCs w:val="12"/>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color w:val="auto"/>
              </w:rPr>
              <w:t>Industry</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Consumer</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Risk</w:t>
            </w:r>
          </w:p>
        </w:tc>
        <w:tc>
          <w:tcPr>
            <w:tcW w:w="940" w:type="dxa"/>
            <w:vAlign w:val="bottom"/>
          </w:tcPr>
          <w:p>
            <w:pPr>
              <w:spacing w:after="0"/>
              <w:rPr>
                <w:sz w:val="12"/>
                <w:szCs w:val="12"/>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color w:val="auto"/>
              </w:rPr>
              <w:t>Human</w:t>
            </w:r>
          </w:p>
        </w:tc>
        <w:tc>
          <w:tcPr>
            <w:tcW w:w="0" w:type="dxa"/>
            <w:vAlign w:val="bottom"/>
          </w:tcPr>
          <w:p>
            <w:pPr>
              <w:spacing w:after="0"/>
              <w:rPr>
                <w:sz w:val="1"/>
                <w:szCs w:val="1"/>
                <w:color w:val="auto"/>
              </w:rPr>
            </w:pPr>
          </w:p>
        </w:tc>
      </w:tr>
      <w:tr>
        <w:trPr>
          <w:trHeight w:val="81"/>
        </w:trPr>
        <w:tc>
          <w:tcPr>
            <w:tcW w:w="940" w:type="dxa"/>
            <w:vAlign w:val="bottom"/>
            <w:vMerge w:val="restart"/>
          </w:tcPr>
          <w:p>
            <w:pPr>
              <w:spacing w:after="0"/>
              <w:rPr>
                <w:sz w:val="20"/>
                <w:szCs w:val="20"/>
                <w:color w:val="auto"/>
              </w:rPr>
            </w:pPr>
            <w:r>
              <w:rPr>
                <w:rFonts w:ascii="Arial" w:cs="Arial" w:eastAsia="Arial" w:hAnsi="Arial"/>
                <w:sz w:val="14"/>
                <w:szCs w:val="14"/>
                <w:color w:val="auto"/>
              </w:rPr>
              <w:t>Executive</w:t>
            </w:r>
          </w:p>
        </w:tc>
        <w:tc>
          <w:tcPr>
            <w:tcW w:w="980" w:type="dxa"/>
            <w:vAlign w:val="bottom"/>
            <w:vMerge w:val="continue"/>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Products/</w:t>
            </w:r>
          </w:p>
        </w:tc>
        <w:tc>
          <w:tcPr>
            <w:tcW w:w="760" w:type="dxa"/>
            <w:vAlign w:val="bottom"/>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Financial/</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Manage-</w:t>
            </w:r>
          </w:p>
        </w:tc>
        <w:tc>
          <w:tcPr>
            <w:tcW w:w="940" w:type="dxa"/>
            <w:vAlign w:val="bottom"/>
            <w:vMerge w:val="restart"/>
          </w:tcPr>
          <w:p>
            <w:pPr>
              <w:ind w:left="220"/>
              <w:spacing w:after="0"/>
              <w:rPr>
                <w:sz w:val="20"/>
                <w:szCs w:val="20"/>
                <w:color w:val="auto"/>
              </w:rPr>
            </w:pPr>
            <w:r>
              <w:rPr>
                <w:rFonts w:ascii="Arial" w:cs="Arial" w:eastAsia="Arial" w:hAnsi="Arial"/>
                <w:sz w:val="14"/>
                <w:szCs w:val="14"/>
                <w:color w:val="auto"/>
              </w:rPr>
              <w:t>Inter-</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color w:val="auto"/>
              </w:rPr>
              <w:t>Expe-</w:t>
            </w:r>
          </w:p>
        </w:tc>
        <w:tc>
          <w:tcPr>
            <w:tcW w:w="1120" w:type="dxa"/>
            <w:vAlign w:val="bottom"/>
            <w:vMerge w:val="continue"/>
          </w:tcPr>
          <w:p>
            <w:pPr>
              <w:spacing w:after="0"/>
              <w:rPr>
                <w:sz w:val="7"/>
                <w:szCs w:val="7"/>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color w:val="auto"/>
              </w:rPr>
              <w:t>Tech</w:t>
            </w:r>
          </w:p>
        </w:tc>
        <w:tc>
          <w:tcPr>
            <w:tcW w:w="11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color w:val="auto"/>
              </w:rPr>
              <w:t>Capital</w:t>
            </w:r>
          </w:p>
        </w:tc>
        <w:tc>
          <w:tcPr>
            <w:tcW w:w="0" w:type="dxa"/>
            <w:vAlign w:val="bottom"/>
          </w:tcPr>
          <w:p>
            <w:pPr>
              <w:spacing w:after="0"/>
              <w:rPr>
                <w:sz w:val="1"/>
                <w:szCs w:val="1"/>
                <w:color w:val="auto"/>
              </w:rPr>
            </w:pPr>
          </w:p>
        </w:tc>
      </w:tr>
      <w:tr>
        <w:trPr>
          <w:trHeight w:val="81"/>
        </w:trPr>
        <w:tc>
          <w:tcPr>
            <w:tcW w:w="940" w:type="dxa"/>
            <w:vAlign w:val="bottom"/>
            <w:vMerge w:val="restart"/>
          </w:tcPr>
          <w:p>
            <w:pPr>
              <w:spacing w:after="0"/>
              <w:rPr>
                <w:sz w:val="20"/>
                <w:szCs w:val="20"/>
                <w:color w:val="auto"/>
              </w:rPr>
            </w:pPr>
            <w:r>
              <w:rPr>
                <w:rFonts w:ascii="Arial" w:cs="Arial" w:eastAsia="Arial" w:hAnsi="Arial"/>
                <w:sz w:val="14"/>
                <w:szCs w:val="14"/>
                <w:color w:val="auto"/>
              </w:rPr>
              <w:t>Leadership</w:t>
            </w:r>
          </w:p>
        </w:tc>
        <w:tc>
          <w:tcPr>
            <w:tcW w:w="980" w:type="dxa"/>
            <w:vAlign w:val="bottom"/>
            <w:vMerge w:val="continue"/>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Customer-</w:t>
            </w:r>
          </w:p>
        </w:tc>
        <w:tc>
          <w:tcPr>
            <w:tcW w:w="760" w:type="dxa"/>
            <w:vAlign w:val="bottom"/>
            <w:vMerge w:val="continue"/>
          </w:tcPr>
          <w:p>
            <w:pPr>
              <w:spacing w:after="0"/>
              <w:rPr>
                <w:sz w:val="7"/>
                <w:szCs w:val="7"/>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Accounting</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ment</w:t>
            </w:r>
          </w:p>
        </w:tc>
        <w:tc>
          <w:tcPr>
            <w:tcW w:w="940" w:type="dxa"/>
            <w:vAlign w:val="bottom"/>
            <w:vMerge w:val="restart"/>
          </w:tcPr>
          <w:p>
            <w:pPr>
              <w:ind w:left="220"/>
              <w:spacing w:after="0"/>
              <w:rPr>
                <w:sz w:val="20"/>
                <w:szCs w:val="20"/>
                <w:color w:val="auto"/>
              </w:rPr>
            </w:pPr>
            <w:r>
              <w:rPr>
                <w:rFonts w:ascii="Arial" w:cs="Arial" w:eastAsia="Arial" w:hAnsi="Arial"/>
                <w:sz w:val="14"/>
                <w:szCs w:val="14"/>
                <w:color w:val="auto"/>
              </w:rPr>
              <w:t>national</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40" w:type="dxa"/>
            <w:vAlign w:val="bottom"/>
            <w:vMerge w:val="continue"/>
          </w:tcPr>
          <w:p>
            <w:pPr>
              <w:spacing w:after="0"/>
              <w:rPr>
                <w:sz w:val="7"/>
                <w:szCs w:val="7"/>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color w:val="auto"/>
              </w:rPr>
              <w:t>rience</w:t>
            </w:r>
          </w:p>
        </w:tc>
        <w:tc>
          <w:tcPr>
            <w:tcW w:w="11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123"/>
        </w:trPr>
        <w:tc>
          <w:tcPr>
            <w:tcW w:w="9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color w:val="auto"/>
              </w:rPr>
              <w:t>Oriented</w:t>
            </w: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Oversight</w:t>
            </w:r>
          </w:p>
        </w:tc>
        <w:tc>
          <w:tcPr>
            <w:tcW w:w="9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-328930</wp:posOffset>
            </wp:positionV>
            <wp:extent cx="214630"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630" cy="2317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-285750</wp:posOffset>
            </wp:positionV>
            <wp:extent cx="22288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13716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-320040</wp:posOffset>
            </wp:positionV>
            <wp:extent cx="20574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-328930</wp:posOffset>
            </wp:positionV>
            <wp:extent cx="231140" cy="2317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-320040</wp:posOffset>
            </wp:positionV>
            <wp:extent cx="20574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-320040</wp:posOffset>
            </wp:positionV>
            <wp:extent cx="20574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-328930</wp:posOffset>
            </wp:positionV>
            <wp:extent cx="205740"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 cy="23177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-311785</wp:posOffset>
            </wp:positionV>
            <wp:extent cx="20574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0" w:hanging="674"/>
        <w:spacing w:after="0"/>
        <w:tabs>
          <w:tab w:leader="none" w:pos="10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15" w:name="page16"/>
    <w:bookmarkEnd w:id="15"/>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40"/>
        <w:spacing w:after="0"/>
        <w:tabs>
          <w:tab w:leader="none" w:pos="8320" w:val="left"/>
        </w:tabs>
        <w:rPr>
          <w:sz w:val="20"/>
          <w:szCs w:val="20"/>
          <w:color w:val="auto"/>
        </w:rPr>
      </w:pPr>
      <w:r>
        <w:rPr>
          <w:rFonts w:ascii="Arial" w:cs="Arial" w:eastAsia="Arial" w:hAnsi="Arial"/>
          <w:sz w:val="22"/>
          <w:szCs w:val="22"/>
          <w:b w:val="1"/>
          <w:bCs w:val="1"/>
          <w:color w:val="FFFFFF"/>
        </w:rPr>
        <w:t>Jeffrey A. Honickman</w:t>
      </w:r>
      <w:r>
        <w:rPr>
          <w:sz w:val="20"/>
          <w:szCs w:val="20"/>
          <w:color w:val="auto"/>
        </w:rPr>
        <w:tab/>
      </w:r>
      <w:r>
        <w:rPr>
          <w:rFonts w:ascii="Arial" w:cs="Arial" w:eastAsia="Arial" w:hAnsi="Arial"/>
          <w:sz w:val="18"/>
          <w:szCs w:val="18"/>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-141605</wp:posOffset>
            </wp:positionV>
            <wp:extent cx="5306060" cy="865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06060" cy="865505"/>
                    </a:xfrm>
                    <a:prstGeom prst="rect">
                      <a:avLst/>
                    </a:prstGeom>
                    <a:noFill/>
                  </pic:spPr>
                </pic:pic>
              </a:graphicData>
            </a:graphic>
          </wp:anchor>
        </w:drawing>
      </w:r>
    </w:p>
    <w:p>
      <w:pPr>
        <w:spacing w:after="0" w:line="116"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CEO of Pepsi-Cola &amp; National Brand Beverages, Ltd.</w:t>
      </w:r>
    </w:p>
    <w:p>
      <w:pPr>
        <w:ind w:left="2580"/>
        <w:spacing w:after="0" w:line="230" w:lineRule="auto"/>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69</w:t>
      </w:r>
    </w:p>
    <w:p>
      <w:pPr>
        <w:ind w:left="2580"/>
        <w:spacing w:after="0" w:line="225"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2005</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 and Governance and Corporate Responsibility</w:t>
      </w:r>
    </w:p>
    <w:p>
      <w:pPr>
        <w:spacing w:after="0" w:line="35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Career Highlights:</w:t>
      </w:r>
    </w:p>
    <w:p>
      <w:pPr>
        <w:sectPr>
          <w:pgSz w:w="11900" w:h="16838" w:orient="portrait"/>
          <w:cols w:equalWidth="0" w:num="1">
            <w:col w:w="10720"/>
          </w:cols>
          <w:pgMar w:left="580" w:top="229" w:right="599" w:bottom="1440" w:gutter="0" w:footer="0" w:header="0"/>
        </w:sectPr>
      </w:pPr>
    </w:p>
    <w:p>
      <w:pPr>
        <w:spacing w:after="0" w:line="50" w:lineRule="exact"/>
        <w:rPr>
          <w:sz w:val="20"/>
          <w:szCs w:val="20"/>
          <w:color w:val="auto"/>
        </w:rPr>
      </w:pPr>
    </w:p>
    <w:p>
      <w:pPr>
        <w:ind w:left="1380" w:hanging="194"/>
        <w:spacing w:after="0" w:line="247" w:lineRule="auto"/>
        <w:tabs>
          <w:tab w:leader="none" w:pos="1505" w:val="left"/>
        </w:tabs>
        <w:numPr>
          <w:ilvl w:val="0"/>
          <w:numId w:val="19"/>
        </w:numPr>
        <w:rPr>
          <w:rFonts w:ascii="Arial" w:cs="Arial" w:eastAsia="Arial" w:hAnsi="Arial"/>
          <w:sz w:val="15"/>
          <w:szCs w:val="15"/>
          <w:color w:val="00A0DD"/>
        </w:rPr>
      </w:pPr>
      <w:r>
        <w:rPr>
          <w:rFonts w:ascii="Arial" w:cs="Arial" w:eastAsia="Arial" w:hAnsi="Arial"/>
          <w:sz w:val="14"/>
          <w:szCs w:val="14"/>
          <w:color w:val="auto"/>
        </w:rPr>
        <w:t>CEO, Pepsi-Cola &amp; National Brand Beverages, Ltd., a bottling and distribution company, which includes among its affiliates Pepsi-Cola Bottling Company of New York, Inc. and Canada Dry bottling companies from New Jersey to Virginia, 1990 – Present</w:t>
      </w:r>
    </w:p>
    <w:p>
      <w:pPr>
        <w:spacing w:after="0" w:line="10" w:lineRule="exact"/>
        <w:rPr>
          <w:rFonts w:ascii="Arial" w:cs="Arial" w:eastAsia="Arial" w:hAnsi="Arial"/>
          <w:sz w:val="15"/>
          <w:szCs w:val="15"/>
          <w:color w:val="00A0DD"/>
        </w:rPr>
      </w:pPr>
    </w:p>
    <w:p>
      <w:pPr>
        <w:ind w:left="1380" w:right="20" w:hanging="194"/>
        <w:spacing w:after="0" w:line="249" w:lineRule="auto"/>
        <w:tabs>
          <w:tab w:leader="none" w:pos="1505" w:val="left"/>
        </w:tabs>
        <w:numPr>
          <w:ilvl w:val="0"/>
          <w:numId w:val="19"/>
        </w:numPr>
        <w:rPr>
          <w:rFonts w:ascii="Arial" w:cs="Arial" w:eastAsia="Arial" w:hAnsi="Arial"/>
          <w:sz w:val="15"/>
          <w:szCs w:val="15"/>
          <w:color w:val="00A0DD"/>
        </w:rPr>
      </w:pPr>
      <w:r>
        <w:rPr>
          <w:rFonts w:ascii="Arial" w:cs="Arial" w:eastAsia="Arial" w:hAnsi="Arial"/>
          <w:sz w:val="14"/>
          <w:szCs w:val="14"/>
          <w:color w:val="auto"/>
        </w:rPr>
        <w:t>Vice President and Secretary of Antonio Origlio Inc., a beverage distributor based in Philadelphia, Pennsylvania, which does business as Origlio Beverages, 1987 – Present</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Skills and Qualifications: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10" w:hanging="310"/>
        <w:spacing w:after="0"/>
        <w:tabs>
          <w:tab w:leader="none" w:pos="310" w:val="left"/>
        </w:tabs>
        <w:numPr>
          <w:ilvl w:val="0"/>
          <w:numId w:val="20"/>
        </w:numPr>
        <w:rPr>
          <w:rFonts w:ascii="Arial" w:cs="Arial" w:eastAsia="Arial" w:hAnsi="Arial"/>
          <w:sz w:val="15"/>
          <w:szCs w:val="15"/>
          <w:color w:val="00A0DD"/>
        </w:rPr>
      </w:pPr>
      <w:r>
        <w:rPr>
          <w:rFonts w:ascii="Arial" w:cs="Arial" w:eastAsia="Arial" w:hAnsi="Arial"/>
          <w:sz w:val="14"/>
          <w:szCs w:val="14"/>
          <w:color w:val="auto"/>
        </w:rPr>
        <w:t>Board of Directors, American Beverage Association</w:t>
      </w:r>
    </w:p>
    <w:p>
      <w:pPr>
        <w:spacing w:after="0" w:line="30" w:lineRule="exact"/>
        <w:rPr>
          <w:rFonts w:ascii="Arial" w:cs="Arial" w:eastAsia="Arial" w:hAnsi="Arial"/>
          <w:sz w:val="15"/>
          <w:szCs w:val="15"/>
          <w:color w:val="00A0DD"/>
        </w:rPr>
      </w:pPr>
    </w:p>
    <w:p>
      <w:pPr>
        <w:ind w:left="310" w:hanging="310"/>
        <w:spacing w:after="0"/>
        <w:tabs>
          <w:tab w:leader="none" w:pos="310" w:val="left"/>
        </w:tabs>
        <w:numPr>
          <w:ilvl w:val="0"/>
          <w:numId w:val="20"/>
        </w:numPr>
        <w:rPr>
          <w:rFonts w:ascii="Arial" w:cs="Arial" w:eastAsia="Arial" w:hAnsi="Arial"/>
          <w:sz w:val="15"/>
          <w:szCs w:val="15"/>
          <w:color w:val="00A0DD"/>
        </w:rPr>
      </w:pPr>
      <w:r>
        <w:rPr>
          <w:rFonts w:ascii="Arial" w:cs="Arial" w:eastAsia="Arial" w:hAnsi="Arial"/>
          <w:sz w:val="14"/>
          <w:szCs w:val="14"/>
          <w:color w:val="auto"/>
        </w:rPr>
        <w:t>Board of Trustees, Barnes Foundation</w:t>
      </w:r>
    </w:p>
    <w:p>
      <w:pPr>
        <w:spacing w:after="0" w:line="19" w:lineRule="exact"/>
        <w:rPr>
          <w:rFonts w:ascii="Arial" w:cs="Arial" w:eastAsia="Arial" w:hAnsi="Arial"/>
          <w:sz w:val="15"/>
          <w:szCs w:val="15"/>
          <w:color w:val="00A0DD"/>
        </w:rPr>
      </w:pPr>
    </w:p>
    <w:p>
      <w:pPr>
        <w:ind w:left="190" w:right="1200" w:hanging="190"/>
        <w:spacing w:after="0" w:line="263" w:lineRule="auto"/>
        <w:tabs>
          <w:tab w:leader="none" w:pos="315" w:val="left"/>
        </w:tabs>
        <w:numPr>
          <w:ilvl w:val="0"/>
          <w:numId w:val="20"/>
        </w:numPr>
        <w:rPr>
          <w:rFonts w:ascii="Arial" w:cs="Arial" w:eastAsia="Arial" w:hAnsi="Arial"/>
          <w:sz w:val="15"/>
          <w:szCs w:val="15"/>
          <w:color w:val="00A0DD"/>
        </w:rPr>
      </w:pPr>
      <w:r>
        <w:rPr>
          <w:rFonts w:ascii="Arial" w:cs="Arial" w:eastAsia="Arial" w:hAnsi="Arial"/>
          <w:sz w:val="14"/>
          <w:szCs w:val="14"/>
          <w:color w:val="auto"/>
        </w:rPr>
        <w:t>President’s Advisory Council, Sidney Kimmel Cancer Center, Jefferson Health</w:t>
      </w:r>
    </w:p>
    <w:p>
      <w:pPr>
        <w:spacing w:after="0" w:line="999" w:lineRule="exact"/>
        <w:rPr>
          <w:sz w:val="20"/>
          <w:szCs w:val="20"/>
          <w:color w:val="auto"/>
        </w:rPr>
      </w:pPr>
    </w:p>
    <w:p>
      <w:pPr>
        <w:sectPr>
          <w:pgSz w:w="11900" w:h="16838" w:orient="portrait"/>
          <w:cols w:equalWidth="0" w:num="2">
            <w:col w:w="5060" w:space="270"/>
            <w:col w:w="5390"/>
          </w:cols>
          <w:pgMar w:left="580" w:top="229" w:right="599" w:bottom="1440" w:gutter="0" w:footer="0" w:header="0"/>
          <w:type w:val="continuous"/>
        </w:sectPr>
      </w:pPr>
    </w:p>
    <w:p>
      <w:pPr>
        <w:ind w:left="1180" w:right="1220"/>
        <w:spacing w:after="0" w:line="231" w:lineRule="auto"/>
        <w:rPr>
          <w:sz w:val="20"/>
          <w:szCs w:val="20"/>
          <w:color w:val="auto"/>
        </w:rPr>
      </w:pPr>
      <w:r>
        <w:rPr>
          <w:rFonts w:ascii="Arial" w:cs="Arial" w:eastAsia="Arial" w:hAnsi="Arial"/>
          <w:sz w:val="15"/>
          <w:szCs w:val="15"/>
          <w:color w:val="auto"/>
        </w:rPr>
        <w:t>For over 30 years, Mr. Honickman has served as CEO of Pepsi-Cola &amp; National Brand Beverages, one of the largest bottling and distribution companies in the United States. Leading large-scale consumer operations equips him to advise the Board on our consumer-facing businesses. Mr. Honickman has also been Vice President and Secretary of beverage distributor Antonio Origlio since 1987. From these roles, Mr. Honickman has a wealth of experience in financial management, budgeting and capital allocation. Mr. Honickman also holds a master’s degree in finance and a bachelor’s degree in accounting. In addition to his executive management roles, Mr. Honickman has served on a number of consumer industry boards, including his current service as a member of the Board of Directors of The American Beverage Association. This mix of operating and industry leadership informs Board discussions on enterprise risk management, capital allocation, consumer product marketing, brand strategy and consumer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13970</wp:posOffset>
            </wp:positionV>
            <wp:extent cx="214630"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630" cy="231775"/>
                    </a:xfrm>
                    <a:prstGeom prst="rect">
                      <a:avLst/>
                    </a:prstGeom>
                    <a:noFill/>
                  </pic:spPr>
                </pic:pic>
              </a:graphicData>
            </a:graphic>
          </wp:anchor>
        </w:drawing>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xml:space="preserve">Executive Leadership      </w:t>
      </w:r>
      <w:r>
        <w:rPr>
          <w:sz w:val="1"/>
          <w:szCs w:val="1"/>
          <w:color w:val="auto"/>
        </w:rPr>
        <w:drawing>
          <wp:inline distT="0" distB="0" distL="0" distR="0">
            <wp:extent cx="205740" cy="2146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214630"/>
                    </a:xfrm>
                    <a:prstGeom prst="rect">
                      <a:avLst/>
                    </a:prstGeom>
                    <a:noFill/>
                    <a:ln>
                      <a:noFill/>
                    </a:ln>
                  </pic:spPr>
                </pic:pic>
              </a:graphicData>
            </a:graphic>
          </wp:inline>
        </w:drawing>
      </w:r>
      <w:r>
        <w:rPr>
          <w:rFonts w:ascii="Arial" w:cs="Arial" w:eastAsia="Arial" w:hAnsi="Arial"/>
          <w:sz w:val="15"/>
          <w:szCs w:val="15"/>
          <w:color w:val="auto"/>
        </w:rPr>
        <w:t xml:space="preserve">  Consumer Products/Customer-Oriented    </w:t>
      </w:r>
      <w:r>
        <w:rPr>
          <w:sz w:val="1"/>
          <w:szCs w:val="1"/>
          <w:color w:val="auto"/>
        </w:rPr>
        <w:drawing>
          <wp:inline distT="0" distB="0" distL="0" distR="0">
            <wp:extent cx="205740" cy="2057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Financial/Accounting</w:t>
      </w:r>
    </w:p>
    <w:p>
      <w:pPr>
        <w:spacing w:after="0" w:line="80"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3900" w:type="dxa"/>
            <w:vAlign w:val="bottom"/>
            <w:shd w:val="clear" w:color="auto" w:fill="00A0DD"/>
          </w:tcPr>
          <w:p>
            <w:pPr>
              <w:ind w:left="140"/>
              <w:spacing w:after="0"/>
              <w:rPr>
                <w:sz w:val="20"/>
                <w:szCs w:val="20"/>
                <w:color w:val="auto"/>
              </w:rPr>
            </w:pPr>
            <w:r>
              <w:rPr>
                <w:rFonts w:ascii="Arial" w:cs="Arial" w:eastAsia="Arial" w:hAnsi="Arial"/>
                <w:sz w:val="22"/>
                <w:szCs w:val="22"/>
                <w:b w:val="1"/>
                <w:bCs w:val="1"/>
                <w:color w:val="FFFFFF"/>
              </w:rPr>
              <w:t>Wonya Y. Lucas</w:t>
            </w:r>
          </w:p>
        </w:tc>
        <w:tc>
          <w:tcPr>
            <w:tcW w:w="4440" w:type="dxa"/>
            <w:vAlign w:val="bottom"/>
            <w:shd w:val="clear" w:color="auto" w:fill="00A0DD"/>
          </w:tcPr>
          <w:p>
            <w:pPr>
              <w:ind w:left="3240"/>
              <w:spacing w:after="0"/>
              <w:rPr>
                <w:sz w:val="20"/>
                <w:szCs w:val="20"/>
                <w:color w:val="auto"/>
              </w:rPr>
            </w:pPr>
            <w:r>
              <w:rPr>
                <w:rFonts w:ascii="Arial" w:cs="Arial" w:eastAsia="Arial" w:hAnsi="Arial"/>
                <w:sz w:val="18"/>
                <w:szCs w:val="18"/>
                <w:b w:val="1"/>
                <w:bCs w:val="1"/>
                <w:color w:val="FFFFFF"/>
              </w:rPr>
              <w:t>Independent</w:t>
            </w:r>
          </w:p>
        </w:tc>
      </w:tr>
      <w:tr>
        <w:trPr>
          <w:trHeight w:val="223"/>
        </w:trPr>
        <w:tc>
          <w:tcPr>
            <w:tcW w:w="8340" w:type="dxa"/>
            <w:vAlign w:val="bottom"/>
            <w:gridSpan w:val="2"/>
            <w:shd w:val="clear" w:color="auto" w:fill="E0F0FB"/>
          </w:tcPr>
          <w:p>
            <w:pPr>
              <w:ind w:left="1400"/>
              <w:spacing w:after="0"/>
              <w:rPr>
                <w:sz w:val="20"/>
                <w:szCs w:val="20"/>
                <w:color w:val="auto"/>
              </w:rPr>
            </w:pPr>
            <w:r>
              <w:rPr>
                <w:rFonts w:ascii="Arial" w:cs="Arial" w:eastAsia="Arial" w:hAnsi="Arial"/>
                <w:sz w:val="15"/>
                <w:szCs w:val="15"/>
                <w:color w:val="auto"/>
              </w:rPr>
              <w:t>Former President and CEO of Hallmark Media Networks</w:t>
            </w:r>
          </w:p>
        </w:tc>
      </w:tr>
      <w:tr>
        <w:trPr>
          <w:trHeight w:val="162"/>
        </w:trPr>
        <w:tc>
          <w:tcPr>
            <w:tcW w:w="3900" w:type="dxa"/>
            <w:vAlign w:val="bottom"/>
            <w:shd w:val="clear" w:color="auto" w:fill="E0F0FB"/>
          </w:tcPr>
          <w:p>
            <w:pPr>
              <w:ind w:left="1400"/>
              <w:spacing w:after="0" w:line="162" w:lineRule="exact"/>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65</w:t>
            </w:r>
          </w:p>
        </w:tc>
        <w:tc>
          <w:tcPr>
            <w:tcW w:w="4440" w:type="dxa"/>
            <w:vAlign w:val="bottom"/>
            <w:shd w:val="clear" w:color="auto" w:fill="E0F0FB"/>
          </w:tcPr>
          <w:p>
            <w:pPr>
              <w:ind w:left="240"/>
              <w:spacing w:after="0" w:line="162" w:lineRule="exact"/>
              <w:rPr>
                <w:sz w:val="20"/>
                <w:szCs w:val="20"/>
                <w:color w:val="auto"/>
              </w:rPr>
            </w:pPr>
            <w:r>
              <w:rPr>
                <w:rFonts w:ascii="Arial" w:cs="Arial" w:eastAsia="Arial" w:hAnsi="Arial"/>
                <w:sz w:val="15"/>
                <w:szCs w:val="15"/>
                <w:b w:val="1"/>
                <w:bCs w:val="1"/>
                <w:color w:val="auto"/>
              </w:rPr>
              <w:t>Other Current Public Company Directorships:</w:t>
            </w:r>
          </w:p>
        </w:tc>
      </w:tr>
      <w:tr>
        <w:trPr>
          <w:trHeight w:val="162"/>
        </w:trPr>
        <w:tc>
          <w:tcPr>
            <w:tcW w:w="3900" w:type="dxa"/>
            <w:vAlign w:val="bottom"/>
            <w:shd w:val="clear" w:color="auto" w:fill="E0F0FB"/>
          </w:tcPr>
          <w:p>
            <w:pPr>
              <w:ind w:left="140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2024</w:t>
            </w:r>
          </w:p>
        </w:tc>
        <w:tc>
          <w:tcPr>
            <w:tcW w:w="4440" w:type="dxa"/>
            <w:vAlign w:val="bottom"/>
            <w:shd w:val="clear" w:color="auto" w:fill="E0F0FB"/>
          </w:tcPr>
          <w:p>
            <w:pPr>
              <w:ind w:left="240"/>
              <w:spacing w:after="0" w:line="162" w:lineRule="exact"/>
              <w:rPr>
                <w:sz w:val="20"/>
                <w:szCs w:val="20"/>
                <w:color w:val="auto"/>
              </w:rPr>
            </w:pPr>
            <w:r>
              <w:rPr>
                <w:rFonts w:ascii="Arial" w:cs="Arial" w:eastAsia="Arial" w:hAnsi="Arial"/>
                <w:sz w:val="15"/>
                <w:szCs w:val="15"/>
                <w:color w:val="auto"/>
              </w:rPr>
              <w:t>Atlanta Braves Holdings, Inc.</w:t>
            </w:r>
          </w:p>
        </w:tc>
      </w:tr>
      <w:tr>
        <w:trPr>
          <w:trHeight w:val="164"/>
        </w:trPr>
        <w:tc>
          <w:tcPr>
            <w:tcW w:w="3900" w:type="dxa"/>
            <w:vAlign w:val="bottom"/>
            <w:shd w:val="clear" w:color="auto" w:fill="E0F0FB"/>
          </w:tcPr>
          <w:p>
            <w:pPr>
              <w:ind w:left="1400"/>
              <w:spacing w:after="0" w:line="164" w:lineRule="exact"/>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tc>
        <w:tc>
          <w:tcPr>
            <w:tcW w:w="4440" w:type="dxa"/>
            <w:vAlign w:val="bottom"/>
            <w:shd w:val="clear" w:color="auto" w:fill="E0F0FB"/>
          </w:tcPr>
          <w:p>
            <w:pPr>
              <w:ind w:left="240"/>
              <w:spacing w:after="0" w:line="164" w:lineRule="exact"/>
              <w:rPr>
                <w:sz w:val="20"/>
                <w:szCs w:val="20"/>
                <w:color w:val="auto"/>
              </w:rPr>
            </w:pPr>
            <w:r>
              <w:rPr>
                <w:rFonts w:ascii="Arial" w:cs="Arial" w:eastAsia="Arial" w:hAnsi="Arial"/>
                <w:sz w:val="15"/>
                <w:szCs w:val="15"/>
                <w:b w:val="1"/>
                <w:bCs w:val="1"/>
                <w:color w:val="auto"/>
              </w:rPr>
              <w:t>Former Public Company Directorships:</w:t>
            </w:r>
          </w:p>
        </w:tc>
      </w:tr>
      <w:tr>
        <w:trPr>
          <w:trHeight w:val="200"/>
        </w:trPr>
        <w:tc>
          <w:tcPr>
            <w:tcW w:w="3900" w:type="dxa"/>
            <w:vAlign w:val="bottom"/>
            <w:shd w:val="clear" w:color="auto" w:fill="E0F0FB"/>
          </w:tcPr>
          <w:p>
            <w:pPr>
              <w:spacing w:after="0"/>
              <w:rPr>
                <w:sz w:val="17"/>
                <w:szCs w:val="17"/>
                <w:color w:val="auto"/>
              </w:rPr>
            </w:pPr>
          </w:p>
        </w:tc>
        <w:tc>
          <w:tcPr>
            <w:tcW w:w="4440" w:type="dxa"/>
            <w:vAlign w:val="bottom"/>
            <w:shd w:val="clear" w:color="auto" w:fill="E0F0FB"/>
          </w:tcPr>
          <w:p>
            <w:pPr>
              <w:ind w:left="240"/>
              <w:spacing w:after="0"/>
              <w:rPr>
                <w:sz w:val="20"/>
                <w:szCs w:val="20"/>
                <w:color w:val="auto"/>
              </w:rPr>
            </w:pPr>
            <w:r>
              <w:rPr>
                <w:rFonts w:ascii="Arial" w:cs="Arial" w:eastAsia="Arial" w:hAnsi="Arial"/>
                <w:sz w:val="15"/>
                <w:szCs w:val="15"/>
                <w:color w:val="auto"/>
              </w:rPr>
              <w:t>E.W. Scripps Company</w:t>
            </w:r>
          </w:p>
        </w:tc>
      </w:tr>
      <w:tr>
        <w:trPr>
          <w:trHeight w:val="209"/>
        </w:trPr>
        <w:tc>
          <w:tcPr>
            <w:tcW w:w="3900" w:type="dxa"/>
            <w:vAlign w:val="bottom"/>
            <w:shd w:val="clear" w:color="auto" w:fill="E0F0FB"/>
          </w:tcPr>
          <w:p>
            <w:pPr>
              <w:spacing w:after="0"/>
              <w:rPr>
                <w:sz w:val="18"/>
                <w:szCs w:val="18"/>
                <w:color w:val="auto"/>
              </w:rPr>
            </w:pPr>
          </w:p>
        </w:tc>
        <w:tc>
          <w:tcPr>
            <w:tcW w:w="4440" w:type="dxa"/>
            <w:vAlign w:val="bottom"/>
            <w:shd w:val="clear" w:color="auto" w:fill="E0F0FB"/>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-685165</wp:posOffset>
            </wp:positionV>
            <wp:extent cx="659765" cy="660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Career Highlights:</w:t>
      </w:r>
    </w:p>
    <w:p>
      <w:pPr>
        <w:sectPr>
          <w:pgSz w:w="11900" w:h="16838" w:orient="portrait"/>
          <w:cols w:equalWidth="0" w:num="1">
            <w:col w:w="10720"/>
          </w:cols>
          <w:pgMar w:left="580" w:top="229" w:right="599" w:bottom="1440" w:gutter="0" w:footer="0" w:header="0"/>
          <w:type w:val="continuous"/>
        </w:sectPr>
      </w:pPr>
    </w:p>
    <w:p>
      <w:pPr>
        <w:spacing w:after="0" w:line="50" w:lineRule="exact"/>
        <w:rPr>
          <w:sz w:val="20"/>
          <w:szCs w:val="20"/>
          <w:color w:val="auto"/>
        </w:rPr>
      </w:pPr>
    </w:p>
    <w:p>
      <w:pPr>
        <w:ind w:left="1380" w:hanging="194"/>
        <w:spacing w:after="0" w:line="253" w:lineRule="auto"/>
        <w:tabs>
          <w:tab w:leader="none" w:pos="1505" w:val="left"/>
        </w:tabs>
        <w:numPr>
          <w:ilvl w:val="0"/>
          <w:numId w:val="21"/>
        </w:numPr>
        <w:rPr>
          <w:rFonts w:ascii="Arial" w:cs="Arial" w:eastAsia="Arial" w:hAnsi="Arial"/>
          <w:sz w:val="15"/>
          <w:szCs w:val="15"/>
          <w:color w:val="00A0DD"/>
        </w:rPr>
      </w:pPr>
      <w:r>
        <w:rPr>
          <w:rFonts w:ascii="Arial" w:cs="Arial" w:eastAsia="Arial" w:hAnsi="Arial"/>
          <w:sz w:val="14"/>
          <w:szCs w:val="14"/>
          <w:color w:val="auto"/>
        </w:rPr>
        <w:t>President and CEO, Hallmark Media Networks, 2020 – 2023</w:t>
      </w:r>
    </w:p>
    <w:p>
      <w:pPr>
        <w:ind w:left="1500" w:hanging="314"/>
        <w:spacing w:after="0"/>
        <w:tabs>
          <w:tab w:leader="none" w:pos="1500" w:val="left"/>
        </w:tabs>
        <w:numPr>
          <w:ilvl w:val="0"/>
          <w:numId w:val="21"/>
        </w:numPr>
        <w:rPr>
          <w:rFonts w:ascii="Arial" w:cs="Arial" w:eastAsia="Arial" w:hAnsi="Arial"/>
          <w:sz w:val="15"/>
          <w:szCs w:val="15"/>
          <w:color w:val="00A0DD"/>
        </w:rPr>
      </w:pPr>
      <w:r>
        <w:rPr>
          <w:rFonts w:ascii="Arial" w:cs="Arial" w:eastAsia="Arial" w:hAnsi="Arial"/>
          <w:sz w:val="14"/>
          <w:szCs w:val="14"/>
          <w:color w:val="auto"/>
        </w:rPr>
        <w:t>President and CEO, Public Broadcasting Atlanta, 2015</w:t>
      </w:r>
    </w:p>
    <w:p>
      <w:pPr>
        <w:spacing w:after="0" w:line="2" w:lineRule="exact"/>
        <w:rPr>
          <w:rFonts w:ascii="Arial" w:cs="Arial" w:eastAsia="Arial" w:hAnsi="Arial"/>
          <w:sz w:val="15"/>
          <w:szCs w:val="15"/>
          <w:color w:val="00A0DD"/>
        </w:rPr>
      </w:pPr>
    </w:p>
    <w:p>
      <w:pPr>
        <w:ind w:left="1380"/>
        <w:spacing w:after="0"/>
        <w:rPr>
          <w:rFonts w:ascii="Arial" w:cs="Arial" w:eastAsia="Arial" w:hAnsi="Arial"/>
          <w:sz w:val="15"/>
          <w:szCs w:val="15"/>
          <w:color w:val="00A0DD"/>
        </w:rPr>
      </w:pPr>
      <w:r>
        <w:rPr>
          <w:rFonts w:ascii="Arial" w:cs="Arial" w:eastAsia="Arial" w:hAnsi="Arial"/>
          <w:sz w:val="14"/>
          <w:szCs w:val="14"/>
          <w:color w:val="auto"/>
        </w:rPr>
        <w:t>– 2020</w:t>
      </w:r>
    </w:p>
    <w:p>
      <w:pPr>
        <w:spacing w:after="0" w:line="27" w:lineRule="exact"/>
        <w:rPr>
          <w:rFonts w:ascii="Arial" w:cs="Arial" w:eastAsia="Arial" w:hAnsi="Arial"/>
          <w:sz w:val="15"/>
          <w:szCs w:val="15"/>
          <w:color w:val="00A0DD"/>
        </w:rPr>
      </w:pPr>
    </w:p>
    <w:p>
      <w:pPr>
        <w:ind w:left="1380" w:right="180" w:hanging="194"/>
        <w:spacing w:after="0" w:line="256" w:lineRule="auto"/>
        <w:tabs>
          <w:tab w:leader="none" w:pos="1505" w:val="left"/>
        </w:tabs>
        <w:numPr>
          <w:ilvl w:val="0"/>
          <w:numId w:val="21"/>
        </w:numPr>
        <w:rPr>
          <w:rFonts w:ascii="Arial" w:cs="Arial" w:eastAsia="Arial" w:hAnsi="Arial"/>
          <w:sz w:val="15"/>
          <w:szCs w:val="15"/>
          <w:color w:val="00A0DD"/>
        </w:rPr>
      </w:pPr>
      <w:r>
        <w:rPr>
          <w:rFonts w:ascii="Arial" w:cs="Arial" w:eastAsia="Arial" w:hAnsi="Arial"/>
          <w:sz w:val="14"/>
          <w:szCs w:val="14"/>
          <w:color w:val="auto"/>
        </w:rPr>
        <w:t>President, Lucas Strategic Consultants LLC, 2013 – 2015</w:t>
      </w:r>
    </w:p>
    <w:p>
      <w:pPr>
        <w:spacing w:after="0" w:line="8" w:lineRule="exact"/>
        <w:rPr>
          <w:rFonts w:ascii="Arial" w:cs="Arial" w:eastAsia="Arial" w:hAnsi="Arial"/>
          <w:sz w:val="15"/>
          <w:szCs w:val="15"/>
          <w:color w:val="00A0DD"/>
        </w:rPr>
      </w:pPr>
    </w:p>
    <w:p>
      <w:pPr>
        <w:ind w:left="1500" w:hanging="314"/>
        <w:spacing w:after="0"/>
        <w:tabs>
          <w:tab w:leader="none" w:pos="1500" w:val="left"/>
        </w:tabs>
        <w:numPr>
          <w:ilvl w:val="0"/>
          <w:numId w:val="21"/>
        </w:numPr>
        <w:rPr>
          <w:rFonts w:ascii="Arial" w:cs="Arial" w:eastAsia="Arial" w:hAnsi="Arial"/>
          <w:sz w:val="15"/>
          <w:szCs w:val="15"/>
          <w:color w:val="00A0DD"/>
        </w:rPr>
      </w:pPr>
      <w:r>
        <w:rPr>
          <w:rFonts w:ascii="Arial" w:cs="Arial" w:eastAsia="Arial" w:hAnsi="Arial"/>
          <w:sz w:val="14"/>
          <w:szCs w:val="14"/>
          <w:color w:val="auto"/>
        </w:rPr>
        <w:t>President and CEO, TV One, 2011 – 2013</w:t>
      </w:r>
    </w:p>
    <w:p>
      <w:pPr>
        <w:spacing w:after="0" w:line="19" w:lineRule="exact"/>
        <w:rPr>
          <w:rFonts w:ascii="Arial" w:cs="Arial" w:eastAsia="Arial" w:hAnsi="Arial"/>
          <w:sz w:val="15"/>
          <w:szCs w:val="15"/>
          <w:color w:val="00A0DD"/>
        </w:rPr>
      </w:pPr>
    </w:p>
    <w:p>
      <w:pPr>
        <w:ind w:left="1500" w:hanging="314"/>
        <w:spacing w:after="0"/>
        <w:tabs>
          <w:tab w:leader="none" w:pos="1500" w:val="left"/>
        </w:tabs>
        <w:numPr>
          <w:ilvl w:val="0"/>
          <w:numId w:val="21"/>
        </w:numPr>
        <w:rPr>
          <w:rFonts w:ascii="Arial" w:cs="Arial" w:eastAsia="Arial" w:hAnsi="Arial"/>
          <w:sz w:val="15"/>
          <w:szCs w:val="15"/>
          <w:color w:val="00A0DD"/>
        </w:rPr>
      </w:pPr>
      <w:r>
        <w:rPr>
          <w:rFonts w:ascii="Arial" w:cs="Arial" w:eastAsia="Arial" w:hAnsi="Arial"/>
          <w:sz w:val="14"/>
          <w:szCs w:val="14"/>
          <w:color w:val="auto"/>
        </w:rPr>
        <w:t>Chair, Board of Jurors, Peabody Awards</w:t>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A0DD"/>
        </w:rPr>
        <w:t>Skills and Qualifications: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10" w:hanging="310"/>
        <w:spacing w:after="0"/>
        <w:tabs>
          <w:tab w:leader="none" w:pos="310" w:val="left"/>
        </w:tabs>
        <w:numPr>
          <w:ilvl w:val="0"/>
          <w:numId w:val="22"/>
        </w:numPr>
        <w:rPr>
          <w:rFonts w:ascii="Arial" w:cs="Arial" w:eastAsia="Arial" w:hAnsi="Arial"/>
          <w:sz w:val="15"/>
          <w:szCs w:val="15"/>
          <w:color w:val="00A0DD"/>
        </w:rPr>
      </w:pPr>
      <w:r>
        <w:rPr>
          <w:rFonts w:ascii="Arial" w:cs="Arial" w:eastAsia="Arial" w:hAnsi="Arial"/>
          <w:sz w:val="14"/>
          <w:szCs w:val="14"/>
          <w:color w:val="auto"/>
        </w:rPr>
        <w:t>Board of Trustees, Children’s Healthcare of Atlanta</w:t>
      </w:r>
    </w:p>
    <w:p>
      <w:pPr>
        <w:spacing w:after="0" w:line="19" w:lineRule="exact"/>
        <w:rPr>
          <w:rFonts w:ascii="Arial" w:cs="Arial" w:eastAsia="Arial" w:hAnsi="Arial"/>
          <w:sz w:val="15"/>
          <w:szCs w:val="15"/>
          <w:color w:val="00A0DD"/>
        </w:rPr>
      </w:pPr>
    </w:p>
    <w:p>
      <w:pPr>
        <w:ind w:left="190" w:right="1600" w:hanging="190"/>
        <w:spacing w:after="0" w:line="254" w:lineRule="auto"/>
        <w:tabs>
          <w:tab w:leader="none" w:pos="315" w:val="left"/>
        </w:tabs>
        <w:numPr>
          <w:ilvl w:val="0"/>
          <w:numId w:val="22"/>
        </w:numPr>
        <w:rPr>
          <w:rFonts w:ascii="Arial" w:cs="Arial" w:eastAsia="Arial" w:hAnsi="Arial"/>
          <w:sz w:val="15"/>
          <w:szCs w:val="15"/>
          <w:color w:val="00A0DD"/>
        </w:rPr>
      </w:pPr>
      <w:r>
        <w:rPr>
          <w:rFonts w:ascii="Arial" w:cs="Arial" w:eastAsia="Arial" w:hAnsi="Arial"/>
          <w:sz w:val="14"/>
          <w:szCs w:val="14"/>
          <w:color w:val="auto"/>
        </w:rPr>
        <w:t>Board of Directors, Community Foundation for Greater Atlanta</w:t>
      </w:r>
    </w:p>
    <w:p>
      <w:pPr>
        <w:spacing w:after="0" w:line="8" w:lineRule="exact"/>
        <w:rPr>
          <w:rFonts w:ascii="Arial" w:cs="Arial" w:eastAsia="Arial" w:hAnsi="Arial"/>
          <w:sz w:val="15"/>
          <w:szCs w:val="15"/>
          <w:color w:val="00A0DD"/>
        </w:rPr>
      </w:pPr>
    </w:p>
    <w:p>
      <w:pPr>
        <w:ind w:left="310" w:hanging="310"/>
        <w:spacing w:after="0"/>
        <w:tabs>
          <w:tab w:leader="none" w:pos="310" w:val="left"/>
        </w:tabs>
        <w:numPr>
          <w:ilvl w:val="0"/>
          <w:numId w:val="22"/>
        </w:numPr>
        <w:rPr>
          <w:rFonts w:ascii="Arial" w:cs="Arial" w:eastAsia="Arial" w:hAnsi="Arial"/>
          <w:sz w:val="15"/>
          <w:szCs w:val="15"/>
          <w:color w:val="00A0DD"/>
        </w:rPr>
      </w:pPr>
      <w:r>
        <w:rPr>
          <w:rFonts w:ascii="Arial" w:cs="Arial" w:eastAsia="Arial" w:hAnsi="Arial"/>
          <w:sz w:val="14"/>
          <w:szCs w:val="14"/>
          <w:color w:val="auto"/>
        </w:rPr>
        <w:t>Board of Trustees, Georgia Tech Foundation</w:t>
      </w:r>
    </w:p>
    <w:p>
      <w:pPr>
        <w:spacing w:after="0" w:line="30" w:lineRule="exact"/>
        <w:rPr>
          <w:rFonts w:ascii="Arial" w:cs="Arial" w:eastAsia="Arial" w:hAnsi="Arial"/>
          <w:sz w:val="15"/>
          <w:szCs w:val="15"/>
          <w:color w:val="00A0DD"/>
        </w:rPr>
      </w:pPr>
    </w:p>
    <w:p>
      <w:pPr>
        <w:ind w:left="310" w:hanging="310"/>
        <w:spacing w:after="0"/>
        <w:tabs>
          <w:tab w:leader="none" w:pos="310" w:val="left"/>
        </w:tabs>
        <w:numPr>
          <w:ilvl w:val="0"/>
          <w:numId w:val="22"/>
        </w:numPr>
        <w:rPr>
          <w:rFonts w:ascii="Arial" w:cs="Arial" w:eastAsia="Arial" w:hAnsi="Arial"/>
          <w:sz w:val="15"/>
          <w:szCs w:val="15"/>
          <w:color w:val="00A0DD"/>
        </w:rPr>
      </w:pPr>
      <w:r>
        <w:rPr>
          <w:rFonts w:ascii="Arial" w:cs="Arial" w:eastAsia="Arial" w:hAnsi="Arial"/>
          <w:sz w:val="14"/>
          <w:szCs w:val="14"/>
          <w:color w:val="auto"/>
        </w:rPr>
        <w:t>Board of Trustees, Sundance Institute</w:t>
      </w:r>
    </w:p>
    <w:p>
      <w:pPr>
        <w:spacing w:after="0" w:line="19" w:lineRule="exact"/>
        <w:rPr>
          <w:rFonts w:ascii="Arial" w:cs="Arial" w:eastAsia="Arial" w:hAnsi="Arial"/>
          <w:sz w:val="15"/>
          <w:szCs w:val="15"/>
          <w:color w:val="00A0DD"/>
        </w:rPr>
      </w:pPr>
    </w:p>
    <w:p>
      <w:pPr>
        <w:ind w:left="190" w:right="2320" w:hanging="190"/>
        <w:spacing w:after="0" w:line="263" w:lineRule="auto"/>
        <w:tabs>
          <w:tab w:leader="none" w:pos="315" w:val="left"/>
        </w:tabs>
        <w:numPr>
          <w:ilvl w:val="0"/>
          <w:numId w:val="22"/>
        </w:numPr>
        <w:rPr>
          <w:rFonts w:ascii="Arial" w:cs="Arial" w:eastAsia="Arial" w:hAnsi="Arial"/>
          <w:sz w:val="15"/>
          <w:szCs w:val="15"/>
          <w:color w:val="00A0DD"/>
        </w:rPr>
      </w:pPr>
      <w:r>
        <w:rPr>
          <w:rFonts w:ascii="Arial" w:cs="Arial" w:eastAsia="Arial" w:hAnsi="Arial"/>
          <w:sz w:val="14"/>
          <w:szCs w:val="14"/>
          <w:color w:val="auto"/>
        </w:rPr>
        <w:t>Former Board Member, National Cable and Telecommunications Association (NCTA)</w:t>
      </w:r>
    </w:p>
    <w:p>
      <w:pPr>
        <w:spacing w:after="0" w:line="392" w:lineRule="exact"/>
        <w:rPr>
          <w:sz w:val="20"/>
          <w:szCs w:val="20"/>
          <w:color w:val="auto"/>
        </w:rPr>
      </w:pPr>
    </w:p>
    <w:p>
      <w:pPr>
        <w:sectPr>
          <w:pgSz w:w="11900" w:h="16838" w:orient="portrait"/>
          <w:cols w:equalWidth="0" w:num="2">
            <w:col w:w="4980" w:space="350"/>
            <w:col w:w="5390"/>
          </w:cols>
          <w:pgMar w:left="580" w:top="229" w:right="599" w:bottom="1440" w:gutter="0" w:footer="0" w:header="0"/>
          <w:type w:val="continuous"/>
        </w:sectPr>
      </w:pPr>
    </w:p>
    <w:p>
      <w:pPr>
        <w:ind w:left="1180" w:right="1220"/>
        <w:spacing w:after="0" w:line="228" w:lineRule="auto"/>
        <w:rPr>
          <w:sz w:val="20"/>
          <w:szCs w:val="20"/>
          <w:color w:val="auto"/>
        </w:rPr>
      </w:pPr>
      <w:r>
        <w:rPr>
          <w:rFonts w:ascii="Arial" w:cs="Arial" w:eastAsia="Arial" w:hAnsi="Arial"/>
          <w:sz w:val="15"/>
          <w:szCs w:val="15"/>
          <w:color w:val="auto"/>
        </w:rPr>
        <w:t>Ms. Lucas has previously held senior executive positions at Hallmark Media Networks, Public Broadcasting Atlanta and TV One. In addition to her senior management roles, Ms. Lucas has wide-ranging experience and recognition in the media and entertainment sector. Her more recent accolades include induction into the Broadcasting &amp; Cable Hall of Fame and the Cable Hall of Fame in 2023. Her service on industry-related boards includes her position as Chair of the Board of Jurors of the Peabody Awards, as a member of the Board of Trustees of the Sundance Institute and, formerly, as a member of the Board of the National Cable and Telecommunications Association. During her expansive career, Ms. Lucas has developed a deep expertise in consumer marketing and brand development. This includes previous roles at Westinghouse Electric, The Clorox Company, The Coca Cola Company, Turner Broadcasting and Discovery Communications, where she served as Chief Global Marketing Officer. Her deep knowledge of the entertainment and media industry is highly relevant to our company, and her previous leadership across content, distribution and media businesses provides the Board with insight into consumer sentiment and evolving media consumption.</w:t>
      </w:r>
    </w:p>
    <w:tbl>
      <w:tblPr>
        <w:tblLayout w:type="fixed"/>
        <w:tblInd w:w="1640" w:type="dxa"/>
        <w:tblCellMar>
          <w:top w:w="0" w:type="dxa"/>
          <w:left w:w="0" w:type="dxa"/>
          <w:bottom w:w="0" w:type="dxa"/>
          <w:right w:w="0" w:type="dxa"/>
        </w:tblCellMar>
      </w:tblPr>
      <w:tr>
        <w:trPr>
          <w:trHeight w:val="155"/>
        </w:trPr>
        <w:tc>
          <w:tcPr>
            <w:tcW w:w="1380" w:type="dxa"/>
            <w:vAlign w:val="bottom"/>
            <w:vMerge w:val="restart"/>
          </w:tcPr>
          <w:p>
            <w:pPr>
              <w:spacing w:after="0"/>
              <w:rPr>
                <w:sz w:val="20"/>
                <w:szCs w:val="20"/>
                <w:color w:val="auto"/>
              </w:rPr>
            </w:pPr>
            <w:r>
              <w:rPr>
                <w:rFonts w:ascii="Arial" w:cs="Arial" w:eastAsia="Arial" w:hAnsi="Arial"/>
                <w:sz w:val="15"/>
                <w:szCs w:val="15"/>
                <w:color w:val="auto"/>
              </w:rPr>
              <w:t>Executive</w:t>
            </w:r>
          </w:p>
        </w:tc>
        <w:tc>
          <w:tcPr>
            <w:tcW w:w="2020" w:type="dxa"/>
            <w:vAlign w:val="bottom"/>
            <w:vMerge w:val="restart"/>
          </w:tcPr>
          <w:p>
            <w:pPr>
              <w:ind w:left="640"/>
              <w:spacing w:after="0"/>
              <w:rPr>
                <w:sz w:val="20"/>
                <w:szCs w:val="20"/>
                <w:color w:val="auto"/>
              </w:rPr>
            </w:pPr>
            <w:r>
              <w:rPr>
                <w:rFonts w:ascii="Arial" w:cs="Arial" w:eastAsia="Arial" w:hAnsi="Arial"/>
                <w:sz w:val="15"/>
                <w:szCs w:val="15"/>
                <w:color w:val="auto"/>
              </w:rPr>
              <w:t>Industry</w:t>
            </w:r>
          </w:p>
        </w:tc>
        <w:tc>
          <w:tcPr>
            <w:tcW w:w="2500" w:type="dxa"/>
            <w:vAlign w:val="bottom"/>
            <w:vMerge w:val="restart"/>
          </w:tcPr>
          <w:p>
            <w:pPr>
              <w:ind w:left="600"/>
              <w:spacing w:after="0"/>
              <w:rPr>
                <w:sz w:val="20"/>
                <w:szCs w:val="20"/>
                <w:color w:val="auto"/>
              </w:rPr>
            </w:pPr>
            <w:r>
              <w:rPr>
                <w:rFonts w:ascii="Arial" w:cs="Arial" w:eastAsia="Arial" w:hAnsi="Arial"/>
                <w:sz w:val="15"/>
                <w:szCs w:val="15"/>
                <w:color w:val="auto"/>
              </w:rPr>
              <w:t>Consumer Products/</w:t>
            </w:r>
          </w:p>
        </w:tc>
        <w:tc>
          <w:tcPr>
            <w:tcW w:w="1380" w:type="dxa"/>
            <w:vAlign w:val="bottom"/>
          </w:tcPr>
          <w:p>
            <w:pPr>
              <w:ind w:left="480"/>
              <w:spacing w:after="0" w:line="155" w:lineRule="exact"/>
              <w:rPr>
                <w:sz w:val="20"/>
                <w:szCs w:val="20"/>
                <w:color w:val="auto"/>
              </w:rPr>
            </w:pPr>
            <w:r>
              <w:rPr>
                <w:rFonts w:ascii="Arial" w:cs="Arial" w:eastAsia="Arial" w:hAnsi="Arial"/>
                <w:sz w:val="15"/>
                <w:szCs w:val="15"/>
                <w:color w:val="auto"/>
              </w:rPr>
              <w:t>Risk</w:t>
            </w:r>
          </w:p>
        </w:tc>
        <w:tc>
          <w:tcPr>
            <w:tcW w:w="0" w:type="dxa"/>
            <w:vAlign w:val="bottom"/>
          </w:tcPr>
          <w:p>
            <w:pPr>
              <w:spacing w:after="0"/>
              <w:rPr>
                <w:sz w:val="1"/>
                <w:szCs w:val="1"/>
                <w:color w:val="auto"/>
              </w:rPr>
            </w:pPr>
          </w:p>
        </w:tc>
      </w:tr>
      <w:tr>
        <w:trPr>
          <w:trHeight w:val="81"/>
        </w:trPr>
        <w:tc>
          <w:tcPr>
            <w:tcW w:w="138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1380" w:type="dxa"/>
            <w:vAlign w:val="bottom"/>
            <w:vMerge w:val="restart"/>
          </w:tcPr>
          <w:p>
            <w:pPr>
              <w:ind w:left="480"/>
              <w:spacing w:after="0" w:line="162" w:lineRule="exact"/>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81"/>
        </w:trPr>
        <w:tc>
          <w:tcPr>
            <w:tcW w:w="1380" w:type="dxa"/>
            <w:vAlign w:val="bottom"/>
            <w:vMerge w:val="restart"/>
          </w:tcPr>
          <w:p>
            <w:pPr>
              <w:spacing w:after="0"/>
              <w:rPr>
                <w:sz w:val="20"/>
                <w:szCs w:val="20"/>
                <w:color w:val="auto"/>
              </w:rPr>
            </w:pPr>
            <w:r>
              <w:rPr>
                <w:rFonts w:ascii="Arial" w:cs="Arial" w:eastAsia="Arial" w:hAnsi="Arial"/>
                <w:sz w:val="15"/>
                <w:szCs w:val="15"/>
                <w:color w:val="auto"/>
              </w:rPr>
              <w:t>Leadership</w:t>
            </w:r>
          </w:p>
        </w:tc>
        <w:tc>
          <w:tcPr>
            <w:tcW w:w="2020" w:type="dxa"/>
            <w:vAlign w:val="bottom"/>
            <w:vMerge w:val="restart"/>
          </w:tcPr>
          <w:p>
            <w:pPr>
              <w:ind w:left="640"/>
              <w:spacing w:after="0"/>
              <w:rPr>
                <w:sz w:val="20"/>
                <w:szCs w:val="20"/>
                <w:color w:val="auto"/>
              </w:rPr>
            </w:pPr>
            <w:r>
              <w:rPr>
                <w:rFonts w:ascii="Arial" w:cs="Arial" w:eastAsia="Arial" w:hAnsi="Arial"/>
                <w:sz w:val="15"/>
                <w:szCs w:val="15"/>
                <w:color w:val="auto"/>
              </w:rPr>
              <w:t>Experience</w:t>
            </w:r>
          </w:p>
        </w:tc>
        <w:tc>
          <w:tcPr>
            <w:tcW w:w="2500" w:type="dxa"/>
            <w:vAlign w:val="bottom"/>
            <w:vMerge w:val="restart"/>
          </w:tcPr>
          <w:p>
            <w:pPr>
              <w:ind w:left="600"/>
              <w:spacing w:after="0"/>
              <w:rPr>
                <w:sz w:val="20"/>
                <w:szCs w:val="20"/>
                <w:color w:val="auto"/>
              </w:rPr>
            </w:pPr>
            <w:r>
              <w:rPr>
                <w:rFonts w:ascii="Arial" w:cs="Arial" w:eastAsia="Arial" w:hAnsi="Arial"/>
                <w:sz w:val="15"/>
                <w:szCs w:val="15"/>
                <w:color w:val="auto"/>
              </w:rPr>
              <w:t>Customer-Oriented</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8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380" w:type="dxa"/>
            <w:vAlign w:val="bottom"/>
            <w:vMerge w:val="restart"/>
          </w:tcPr>
          <w:p>
            <w:pPr>
              <w:ind w:left="480"/>
              <w:spacing w:after="0"/>
              <w:rPr>
                <w:sz w:val="20"/>
                <w:szCs w:val="20"/>
                <w:color w:val="auto"/>
              </w:rPr>
            </w:pPr>
            <w:r>
              <w:rPr>
                <w:rFonts w:ascii="Arial" w:cs="Arial" w:eastAsia="Arial" w:hAnsi="Arial"/>
                <w:sz w:val="15"/>
                <w:szCs w:val="15"/>
                <w:color w:val="auto"/>
              </w:rPr>
              <w:t>Oversight</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-278765</wp:posOffset>
            </wp:positionV>
            <wp:extent cx="214630"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630" cy="23177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-235585</wp:posOffset>
            </wp:positionV>
            <wp:extent cx="22288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885" cy="13716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-269875</wp:posOffset>
            </wp:positionV>
            <wp:extent cx="20574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-269875</wp:posOffset>
            </wp:positionV>
            <wp:extent cx="20574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13</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16" w:name="page17"/>
    <w:bookmarkEnd w:id="16"/>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900" w:type="dxa"/>
            <w:vAlign w:val="bottom"/>
            <w:shd w:val="clear" w:color="auto" w:fill="00A0DD"/>
          </w:tcPr>
          <w:p>
            <w:pPr>
              <w:ind w:left="140"/>
              <w:spacing w:after="0"/>
              <w:rPr>
                <w:sz w:val="20"/>
                <w:szCs w:val="20"/>
                <w:color w:val="auto"/>
              </w:rPr>
            </w:pPr>
            <w:r>
              <w:rPr>
                <w:rFonts w:ascii="Arial" w:cs="Arial" w:eastAsia="Arial" w:hAnsi="Arial"/>
                <w:sz w:val="22"/>
                <w:szCs w:val="22"/>
                <w:b w:val="1"/>
                <w:bCs w:val="1"/>
                <w:color w:val="FFFFFF"/>
              </w:rPr>
              <w:t>Asuka Nakahara</w:t>
            </w:r>
          </w:p>
        </w:tc>
        <w:tc>
          <w:tcPr>
            <w:tcW w:w="4440" w:type="dxa"/>
            <w:vAlign w:val="bottom"/>
            <w:shd w:val="clear" w:color="auto" w:fill="00A0DD"/>
          </w:tcPr>
          <w:p>
            <w:pPr>
              <w:ind w:left="3240"/>
              <w:spacing w:after="0"/>
              <w:rPr>
                <w:sz w:val="20"/>
                <w:szCs w:val="20"/>
                <w:color w:val="auto"/>
              </w:rPr>
            </w:pPr>
            <w:r>
              <w:rPr>
                <w:rFonts w:ascii="Arial" w:cs="Arial" w:eastAsia="Arial" w:hAnsi="Arial"/>
                <w:sz w:val="18"/>
                <w:szCs w:val="18"/>
                <w:b w:val="1"/>
                <w:bCs w:val="1"/>
                <w:color w:val="FFFFFF"/>
              </w:rPr>
              <w:t>Independent</w:t>
            </w:r>
          </w:p>
        </w:tc>
      </w:tr>
      <w:tr>
        <w:trPr>
          <w:trHeight w:val="224"/>
        </w:trPr>
        <w:tc>
          <w:tcPr>
            <w:tcW w:w="3900" w:type="dxa"/>
            <w:vAlign w:val="bottom"/>
            <w:shd w:val="clear" w:color="auto" w:fill="E0F0FB"/>
          </w:tcPr>
          <w:p>
            <w:pPr>
              <w:ind w:left="1400"/>
              <w:spacing w:after="0"/>
              <w:rPr>
                <w:sz w:val="20"/>
                <w:szCs w:val="20"/>
                <w:color w:val="auto"/>
              </w:rPr>
            </w:pPr>
            <w:r>
              <w:rPr>
                <w:rFonts w:ascii="Arial" w:cs="Arial" w:eastAsia="Arial" w:hAnsi="Arial"/>
                <w:sz w:val="15"/>
                <w:szCs w:val="15"/>
                <w:color w:val="auto"/>
              </w:rPr>
              <w:t>Partner at Triton Atlantic Partners</w:t>
            </w:r>
          </w:p>
        </w:tc>
        <w:tc>
          <w:tcPr>
            <w:tcW w:w="4440" w:type="dxa"/>
            <w:vAlign w:val="bottom"/>
            <w:shd w:val="clear" w:color="auto" w:fill="E0F0FB"/>
          </w:tcPr>
          <w:p>
            <w:pPr>
              <w:spacing w:after="0"/>
              <w:rPr>
                <w:sz w:val="19"/>
                <w:szCs w:val="19"/>
                <w:color w:val="auto"/>
              </w:rPr>
            </w:pPr>
          </w:p>
        </w:tc>
      </w:tr>
      <w:tr>
        <w:trPr>
          <w:trHeight w:val="216"/>
        </w:trPr>
        <w:tc>
          <w:tcPr>
            <w:tcW w:w="3900" w:type="dxa"/>
            <w:vAlign w:val="bottom"/>
            <w:shd w:val="clear" w:color="auto" w:fill="E0F0FB"/>
          </w:tcPr>
          <w:p>
            <w:pPr>
              <w:ind w:left="140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70</w:t>
            </w:r>
          </w:p>
        </w:tc>
        <w:tc>
          <w:tcPr>
            <w:tcW w:w="4440" w:type="dxa"/>
            <w:vAlign w:val="bottom"/>
            <w:shd w:val="clear" w:color="auto" w:fill="E0F0FB"/>
          </w:tcPr>
          <w:p>
            <w:pPr>
              <w:ind w:left="240"/>
              <w:spacing w:after="0"/>
              <w:rPr>
                <w:sz w:val="20"/>
                <w:szCs w:val="20"/>
                <w:color w:val="auto"/>
              </w:rPr>
            </w:pPr>
            <w:r>
              <w:rPr>
                <w:rFonts w:ascii="Arial" w:cs="Arial" w:eastAsia="Arial" w:hAnsi="Arial"/>
                <w:sz w:val="15"/>
                <w:szCs w:val="15"/>
                <w:b w:val="1"/>
                <w:bCs w:val="1"/>
                <w:color w:val="auto"/>
              </w:rPr>
              <w:t>Other Current Public Company Directorships:</w:t>
            </w:r>
          </w:p>
        </w:tc>
      </w:tr>
      <w:tr>
        <w:trPr>
          <w:trHeight w:val="162"/>
        </w:trPr>
        <w:tc>
          <w:tcPr>
            <w:tcW w:w="3900" w:type="dxa"/>
            <w:vAlign w:val="bottom"/>
            <w:shd w:val="clear" w:color="auto" w:fill="E0F0FB"/>
          </w:tcPr>
          <w:p>
            <w:pPr>
              <w:ind w:left="140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2017</w:t>
            </w:r>
          </w:p>
        </w:tc>
        <w:tc>
          <w:tcPr>
            <w:tcW w:w="4440" w:type="dxa"/>
            <w:vAlign w:val="bottom"/>
            <w:shd w:val="clear" w:color="auto" w:fill="E0F0FB"/>
          </w:tcPr>
          <w:p>
            <w:pPr>
              <w:ind w:left="240"/>
              <w:spacing w:after="0" w:line="162" w:lineRule="exact"/>
              <w:rPr>
                <w:sz w:val="20"/>
                <w:szCs w:val="20"/>
                <w:color w:val="auto"/>
              </w:rPr>
            </w:pPr>
            <w:r>
              <w:rPr>
                <w:rFonts w:ascii="Arial" w:cs="Arial" w:eastAsia="Arial" w:hAnsi="Arial"/>
                <w:sz w:val="15"/>
                <w:szCs w:val="15"/>
                <w:color w:val="auto"/>
              </w:rPr>
              <w:t>CBRE Global Real Estate Income Fund</w:t>
            </w:r>
          </w:p>
        </w:tc>
      </w:tr>
      <w:tr>
        <w:trPr>
          <w:trHeight w:val="210"/>
        </w:trPr>
        <w:tc>
          <w:tcPr>
            <w:tcW w:w="3900" w:type="dxa"/>
            <w:vAlign w:val="bottom"/>
            <w:shd w:val="clear" w:color="auto" w:fill="E0F0FB"/>
          </w:tcPr>
          <w:p>
            <w:pPr>
              <w:ind w:left="140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tc>
        <w:tc>
          <w:tcPr>
            <w:tcW w:w="4440" w:type="dxa"/>
            <w:vAlign w:val="bottom"/>
            <w:shd w:val="clear" w:color="auto" w:fill="E0F0FB"/>
          </w:tcPr>
          <w:p>
            <w:pPr>
              <w:spacing w:after="0"/>
              <w:rPr>
                <w:sz w:val="18"/>
                <w:szCs w:val="18"/>
                <w:color w:val="auto"/>
              </w:rPr>
            </w:pPr>
          </w:p>
        </w:tc>
      </w:tr>
      <w:tr>
        <w:trPr>
          <w:trHeight w:val="308"/>
        </w:trPr>
        <w:tc>
          <w:tcPr>
            <w:tcW w:w="3900" w:type="dxa"/>
            <w:vAlign w:val="bottom"/>
            <w:shd w:val="clear" w:color="auto" w:fill="E0F0FB"/>
          </w:tcPr>
          <w:p>
            <w:pPr>
              <w:spacing w:after="0"/>
              <w:rPr>
                <w:sz w:val="24"/>
                <w:szCs w:val="24"/>
                <w:color w:val="auto"/>
              </w:rPr>
            </w:pPr>
          </w:p>
        </w:tc>
        <w:tc>
          <w:tcPr>
            <w:tcW w:w="4440" w:type="dxa"/>
            <w:vAlign w:val="bottom"/>
            <w:shd w:val="clear" w:color="auto" w:fill="E0F0FB"/>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-685165</wp:posOffset>
            </wp:positionV>
            <wp:extent cx="659765" cy="659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b w:val="1"/>
          <w:bCs w:val="1"/>
          <w:color w:val="00A0DD"/>
        </w:rPr>
        <w:t>Career Highlights:</w:t>
      </w:r>
    </w:p>
    <w:tbl>
      <w:tblPr>
        <w:tblLayout w:type="fixed"/>
        <w:tblInd w:w="320" w:type="dxa"/>
        <w:tblCellMar>
          <w:top w:w="0" w:type="dxa"/>
          <w:left w:w="0" w:type="dxa"/>
          <w:bottom w:w="0" w:type="dxa"/>
          <w:right w:w="0" w:type="dxa"/>
        </w:tblCellMar>
      </w:tblPr>
      <w:tr>
        <w:trPr>
          <w:trHeight w:val="158"/>
        </w:trPr>
        <w:tc>
          <w:tcPr>
            <w:tcW w:w="120" w:type="dxa"/>
            <w:vAlign w:val="bottom"/>
          </w:tcPr>
          <w:p>
            <w:pPr>
              <w:spacing w:after="0" w:line="158" w:lineRule="exact"/>
              <w:rPr>
                <w:sz w:val="20"/>
                <w:szCs w:val="20"/>
                <w:color w:val="auto"/>
              </w:rPr>
            </w:pPr>
            <w:r>
              <w:rPr>
                <w:rFonts w:ascii="Arial" w:cs="Arial" w:eastAsia="Arial" w:hAnsi="Arial"/>
                <w:sz w:val="15"/>
                <w:szCs w:val="15"/>
                <w:color w:val="00A0DD"/>
              </w:rPr>
              <w:t>•</w:t>
            </w:r>
          </w:p>
        </w:tc>
        <w:tc>
          <w:tcPr>
            <w:tcW w:w="3860" w:type="dxa"/>
            <w:vAlign w:val="bottom"/>
          </w:tcPr>
          <w:p>
            <w:pPr>
              <w:ind w:left="200"/>
              <w:spacing w:after="0" w:line="158" w:lineRule="exact"/>
              <w:rPr>
                <w:sz w:val="20"/>
                <w:szCs w:val="20"/>
                <w:color w:val="auto"/>
              </w:rPr>
            </w:pPr>
            <w:r>
              <w:rPr>
                <w:rFonts w:ascii="Arial" w:cs="Arial" w:eastAsia="Arial" w:hAnsi="Arial"/>
                <w:sz w:val="14"/>
                <w:szCs w:val="14"/>
                <w:color w:val="auto"/>
              </w:rPr>
              <w:t>Co-Founder, Incompass Labs, Inc., a peer assessment</w:t>
            </w:r>
          </w:p>
        </w:tc>
        <w:tc>
          <w:tcPr>
            <w:tcW w:w="300" w:type="dxa"/>
            <w:vAlign w:val="bottom"/>
          </w:tcPr>
          <w:p>
            <w:pPr>
              <w:ind w:left="180"/>
              <w:spacing w:after="0" w:line="158" w:lineRule="exact"/>
              <w:rPr>
                <w:sz w:val="20"/>
                <w:szCs w:val="20"/>
                <w:color w:val="auto"/>
              </w:rPr>
            </w:pPr>
            <w:r>
              <w:rPr>
                <w:rFonts w:ascii="Arial" w:cs="Arial" w:eastAsia="Arial" w:hAnsi="Arial"/>
                <w:sz w:val="15"/>
                <w:szCs w:val="15"/>
                <w:color w:val="00A0DD"/>
              </w:rPr>
              <w:t>•</w:t>
            </w:r>
          </w:p>
        </w:tc>
        <w:tc>
          <w:tcPr>
            <w:tcW w:w="4020" w:type="dxa"/>
            <w:vAlign w:val="bottom"/>
          </w:tcPr>
          <w:p>
            <w:pPr>
              <w:ind w:left="180"/>
              <w:spacing w:after="0" w:line="158" w:lineRule="exact"/>
              <w:rPr>
                <w:sz w:val="20"/>
                <w:szCs w:val="20"/>
                <w:color w:val="auto"/>
              </w:rPr>
            </w:pPr>
            <w:r>
              <w:rPr>
                <w:rFonts w:ascii="Arial" w:cs="Arial" w:eastAsia="Arial" w:hAnsi="Arial"/>
                <w:sz w:val="14"/>
                <w:szCs w:val="14"/>
                <w:color w:val="auto"/>
              </w:rPr>
              <w:t>Trammell Crow Company, various leadership roles including</w:t>
            </w:r>
          </w:p>
        </w:tc>
        <w:tc>
          <w:tcPr>
            <w:tcW w:w="0" w:type="dxa"/>
            <w:vAlign w:val="bottom"/>
          </w:tcPr>
          <w:p>
            <w:pPr>
              <w:spacing w:after="0"/>
              <w:rPr>
                <w:sz w:val="1"/>
                <w:szCs w:val="1"/>
                <w:color w:val="auto"/>
              </w:rPr>
            </w:pPr>
          </w:p>
        </w:tc>
      </w:tr>
      <w:tr>
        <w:trPr>
          <w:trHeight w:val="162"/>
        </w:trPr>
        <w:tc>
          <w:tcPr>
            <w:tcW w:w="120" w:type="dxa"/>
            <w:vAlign w:val="bottom"/>
            <w:vMerge w:val="restart"/>
          </w:tcPr>
          <w:p>
            <w:pPr>
              <w:spacing w:after="0"/>
              <w:rPr>
                <w:sz w:val="20"/>
                <w:szCs w:val="20"/>
                <w:color w:val="auto"/>
              </w:rPr>
            </w:pPr>
            <w:r>
              <w:rPr>
                <w:rFonts w:ascii="Arial" w:cs="Arial" w:eastAsia="Arial" w:hAnsi="Arial"/>
                <w:sz w:val="15"/>
                <w:szCs w:val="15"/>
                <w:color w:val="00A0DD"/>
              </w:rPr>
              <w:t>•</w:t>
            </w:r>
          </w:p>
        </w:tc>
        <w:tc>
          <w:tcPr>
            <w:tcW w:w="3860" w:type="dxa"/>
            <w:vAlign w:val="bottom"/>
          </w:tcPr>
          <w:p>
            <w:pPr>
              <w:ind w:left="80"/>
              <w:spacing w:after="0"/>
              <w:rPr>
                <w:sz w:val="20"/>
                <w:szCs w:val="20"/>
                <w:color w:val="auto"/>
              </w:rPr>
            </w:pPr>
            <w:r>
              <w:rPr>
                <w:rFonts w:ascii="Arial" w:cs="Arial" w:eastAsia="Arial" w:hAnsi="Arial"/>
                <w:sz w:val="14"/>
                <w:szCs w:val="14"/>
                <w:color w:val="auto"/>
              </w:rPr>
              <w:t>software company, 2022 – Present</w:t>
            </w:r>
          </w:p>
        </w:tc>
        <w:tc>
          <w:tcPr>
            <w:tcW w:w="30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4"/>
                <w:szCs w:val="14"/>
                <w:color w:val="auto"/>
              </w:rPr>
              <w:t>Chief Financial Officer (overseeing finance, capital markets,</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Partner, Triton Atlantic Partners, a real estate advisory</w:t>
            </w:r>
          </w:p>
        </w:tc>
        <w:tc>
          <w:tcPr>
            <w:tcW w:w="30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4"/>
                <w:szCs w:val="14"/>
                <w:color w:val="auto"/>
              </w:rPr>
              <w:t>mergers and acquisitions, marketing, Trammell Crow</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860" w:type="dxa"/>
            <w:vAlign w:val="bottom"/>
          </w:tcPr>
          <w:p>
            <w:pPr>
              <w:ind w:left="80"/>
              <w:spacing w:after="0"/>
              <w:rPr>
                <w:sz w:val="20"/>
                <w:szCs w:val="20"/>
                <w:color w:val="auto"/>
              </w:rPr>
            </w:pPr>
            <w:r>
              <w:rPr>
                <w:rFonts w:ascii="Arial" w:cs="Arial" w:eastAsia="Arial" w:hAnsi="Arial"/>
                <w:sz w:val="14"/>
                <w:szCs w:val="14"/>
                <w:color w:val="auto"/>
              </w:rPr>
              <w:t>firm and investment vehicle that he co-founded, 2009 –</w:t>
            </w:r>
          </w:p>
        </w:tc>
        <w:tc>
          <w:tcPr>
            <w:tcW w:w="300" w:type="dxa"/>
            <w:vAlign w:val="bottom"/>
          </w:tcPr>
          <w:p>
            <w:pPr>
              <w:spacing w:after="0"/>
              <w:rPr>
                <w:sz w:val="14"/>
                <w:szCs w:val="14"/>
                <w:color w:val="auto"/>
              </w:rPr>
            </w:pPr>
          </w:p>
        </w:tc>
        <w:tc>
          <w:tcPr>
            <w:tcW w:w="4020" w:type="dxa"/>
            <w:vAlign w:val="bottom"/>
          </w:tcPr>
          <w:p>
            <w:pPr>
              <w:ind w:left="60"/>
              <w:spacing w:after="0"/>
              <w:rPr>
                <w:sz w:val="20"/>
                <w:szCs w:val="20"/>
                <w:color w:val="auto"/>
              </w:rPr>
            </w:pPr>
            <w:r>
              <w:rPr>
                <w:rFonts w:ascii="Arial" w:cs="Arial" w:eastAsia="Arial" w:hAnsi="Arial"/>
                <w:sz w:val="14"/>
                <w:szCs w:val="14"/>
                <w:color w:val="auto"/>
              </w:rPr>
              <w:t>University, human resources and other new business</w:t>
            </w:r>
          </w:p>
        </w:tc>
        <w:tc>
          <w:tcPr>
            <w:tcW w:w="0" w:type="dxa"/>
            <w:vAlign w:val="bottom"/>
          </w:tcPr>
          <w:p>
            <w:pPr>
              <w:spacing w:after="0"/>
              <w:rPr>
                <w:sz w:val="1"/>
                <w:szCs w:val="1"/>
                <w:color w:val="auto"/>
              </w:rPr>
            </w:pPr>
          </w:p>
        </w:tc>
      </w:tr>
      <w:tr>
        <w:trPr>
          <w:trHeight w:val="162"/>
        </w:trPr>
        <w:tc>
          <w:tcPr>
            <w:tcW w:w="120" w:type="dxa"/>
            <w:vAlign w:val="bottom"/>
            <w:vMerge w:val="restart"/>
          </w:tcPr>
          <w:p>
            <w:pPr>
              <w:spacing w:after="0"/>
              <w:rPr>
                <w:sz w:val="20"/>
                <w:szCs w:val="20"/>
                <w:color w:val="auto"/>
              </w:rPr>
            </w:pPr>
            <w:r>
              <w:rPr>
                <w:rFonts w:ascii="Arial" w:cs="Arial" w:eastAsia="Arial" w:hAnsi="Arial"/>
                <w:sz w:val="15"/>
                <w:szCs w:val="15"/>
                <w:color w:val="00A0DD"/>
              </w:rPr>
              <w:t>•</w:t>
            </w:r>
          </w:p>
        </w:tc>
        <w:tc>
          <w:tcPr>
            <w:tcW w:w="3860" w:type="dxa"/>
            <w:vAlign w:val="bottom"/>
          </w:tcPr>
          <w:p>
            <w:pPr>
              <w:ind w:left="80"/>
              <w:spacing w:after="0"/>
              <w:rPr>
                <w:sz w:val="20"/>
                <w:szCs w:val="20"/>
                <w:color w:val="auto"/>
              </w:rPr>
            </w:pPr>
            <w:r>
              <w:rPr>
                <w:rFonts w:ascii="Arial" w:cs="Arial" w:eastAsia="Arial" w:hAnsi="Arial"/>
                <w:sz w:val="14"/>
                <w:szCs w:val="14"/>
                <w:color w:val="auto"/>
              </w:rPr>
              <w:t>Present</w:t>
            </w:r>
          </w:p>
        </w:tc>
        <w:tc>
          <w:tcPr>
            <w:tcW w:w="300" w:type="dxa"/>
            <w:vAlign w:val="bottom"/>
            <w:vMerge w:val="restart"/>
          </w:tcPr>
          <w:p>
            <w:pPr>
              <w:ind w:left="180"/>
              <w:spacing w:after="0"/>
              <w:rPr>
                <w:sz w:val="20"/>
                <w:szCs w:val="20"/>
                <w:color w:val="auto"/>
              </w:rPr>
            </w:pPr>
            <w:r>
              <w:rPr>
                <w:rFonts w:ascii="Arial" w:cs="Arial" w:eastAsia="Arial" w:hAnsi="Arial"/>
                <w:sz w:val="15"/>
                <w:szCs w:val="15"/>
                <w:color w:val="00A0DD"/>
              </w:rPr>
              <w:t>•</w:t>
            </w:r>
          </w:p>
        </w:tc>
        <w:tc>
          <w:tcPr>
            <w:tcW w:w="4020" w:type="dxa"/>
            <w:vAlign w:val="bottom"/>
          </w:tcPr>
          <w:p>
            <w:pPr>
              <w:ind w:left="60"/>
              <w:spacing w:after="0"/>
              <w:rPr>
                <w:sz w:val="20"/>
                <w:szCs w:val="20"/>
                <w:color w:val="auto"/>
              </w:rPr>
            </w:pPr>
            <w:r>
              <w:rPr>
                <w:rFonts w:ascii="Arial" w:cs="Arial" w:eastAsia="Arial" w:hAnsi="Arial"/>
                <w:sz w:val="14"/>
                <w:szCs w:val="14"/>
                <w:color w:val="auto"/>
              </w:rPr>
              <w:t>initiatives), 1980 – 1999</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60" w:type="dxa"/>
            <w:vAlign w:val="bottom"/>
          </w:tcPr>
          <w:p>
            <w:pPr>
              <w:ind w:left="200"/>
              <w:spacing w:after="0"/>
              <w:rPr>
                <w:sz w:val="20"/>
                <w:szCs w:val="20"/>
                <w:color w:val="auto"/>
              </w:rPr>
            </w:pPr>
            <w:r>
              <w:rPr>
                <w:rFonts w:ascii="Arial" w:cs="Arial" w:eastAsia="Arial" w:hAnsi="Arial"/>
                <w:sz w:val="14"/>
                <w:szCs w:val="14"/>
                <w:color w:val="auto"/>
              </w:rPr>
              <w:t>Senior Fellow, Zell-Lurie Real Estate Center, and</w:t>
            </w:r>
          </w:p>
        </w:tc>
        <w:tc>
          <w:tcPr>
            <w:tcW w:w="300" w:type="dxa"/>
            <w:vAlign w:val="bottom"/>
            <w:vMerge w:val="continue"/>
          </w:tcPr>
          <w:p>
            <w:pPr>
              <w:spacing w:after="0"/>
              <w:rPr>
                <w:sz w:val="14"/>
                <w:szCs w:val="14"/>
                <w:color w:val="auto"/>
              </w:rPr>
            </w:pPr>
          </w:p>
        </w:tc>
        <w:tc>
          <w:tcPr>
            <w:tcW w:w="4020" w:type="dxa"/>
            <w:vAlign w:val="bottom"/>
          </w:tcPr>
          <w:p>
            <w:pPr>
              <w:ind w:left="180"/>
              <w:spacing w:after="0"/>
              <w:rPr>
                <w:sz w:val="20"/>
                <w:szCs w:val="20"/>
                <w:color w:val="auto"/>
              </w:rPr>
            </w:pPr>
            <w:r>
              <w:rPr>
                <w:rFonts w:ascii="Arial" w:cs="Arial" w:eastAsia="Arial" w:hAnsi="Arial"/>
                <w:sz w:val="14"/>
                <w:szCs w:val="14"/>
                <w:color w:val="auto"/>
              </w:rPr>
              <w:t>Board of Trustees, Rice University</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860" w:type="dxa"/>
            <w:vAlign w:val="bottom"/>
          </w:tcPr>
          <w:p>
            <w:pPr>
              <w:ind w:left="80"/>
              <w:spacing w:after="0"/>
              <w:rPr>
                <w:sz w:val="20"/>
                <w:szCs w:val="20"/>
                <w:color w:val="auto"/>
              </w:rPr>
            </w:pPr>
            <w:r>
              <w:rPr>
                <w:rFonts w:ascii="Arial" w:cs="Arial" w:eastAsia="Arial" w:hAnsi="Arial"/>
                <w:sz w:val="14"/>
                <w:szCs w:val="14"/>
                <w:color w:val="auto"/>
              </w:rPr>
              <w:t>Practice Professor, Real Estate Department, Wharton</w:t>
            </w:r>
          </w:p>
        </w:tc>
        <w:tc>
          <w:tcPr>
            <w:tcW w:w="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3860" w:type="dxa"/>
            <w:vAlign w:val="bottom"/>
          </w:tcPr>
          <w:p>
            <w:pPr>
              <w:ind w:left="80"/>
              <w:spacing w:after="0"/>
              <w:rPr>
                <w:sz w:val="20"/>
                <w:szCs w:val="20"/>
                <w:color w:val="auto"/>
              </w:rPr>
            </w:pPr>
            <w:r>
              <w:rPr>
                <w:rFonts w:ascii="Arial" w:cs="Arial" w:eastAsia="Arial" w:hAnsi="Arial"/>
                <w:sz w:val="14"/>
                <w:szCs w:val="14"/>
                <w:color w:val="auto"/>
              </w:rPr>
              <w:t>School of the University of Pennsylvania, 1999 – Present</w:t>
            </w:r>
          </w:p>
        </w:tc>
        <w:tc>
          <w:tcPr>
            <w:tcW w:w="3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A0DD"/>
        </w:rPr>
        <w:t>Skills and Qualifications:</w:t>
      </w:r>
    </w:p>
    <w:p>
      <w:pPr>
        <w:spacing w:after="0" w:line="16" w:lineRule="exact"/>
        <w:rPr>
          <w:sz w:val="20"/>
          <w:szCs w:val="20"/>
          <w:color w:val="auto"/>
        </w:rPr>
      </w:pPr>
    </w:p>
    <w:p>
      <w:pPr>
        <w:ind w:left="320" w:right="359"/>
        <w:spacing w:after="0" w:line="228" w:lineRule="auto"/>
        <w:rPr>
          <w:sz w:val="20"/>
          <w:szCs w:val="20"/>
          <w:color w:val="auto"/>
        </w:rPr>
      </w:pPr>
      <w:r>
        <w:rPr>
          <w:rFonts w:ascii="Arial" w:cs="Arial" w:eastAsia="Arial" w:hAnsi="Arial"/>
          <w:sz w:val="15"/>
          <w:szCs w:val="15"/>
          <w:color w:val="auto"/>
        </w:rPr>
        <w:t>Over the course of a nearly 20-year real estate career at Trammell Crow Company, Mr. Nakahara held a number of senior leadership roles spanning finance, capital markets, M&amp;A, talent development and organizational development, including service as Chief Financial Officer. These experiences have provided him with executive leadership, management, strategic planning and financial expertise credentials that are beneficial to the full range of Board responsibilities and support his service on our Audit Committee, including oversight of financial reporting, internal controls and enterprise risk. Mr. Nakahara is a co-founder and partner of real estate investment and advisory firm Triton Atlantic Partners, where he has over 15 years of experience in investment management and related fields. As an advisor, he provides strategic, leadership and capital markets advice to management teams. His public company board service at CBRE Global Real Estate Income Fund adds investment oversight and governance perspectives that he brings to Board deliberations. Mr. Nakahara has also been a dedicated educator throughout his career. He has served as Senior Fellow of the Zell-Lurie Real Estate Center at the Wharton School of the University of Pennsylvania for over 25 years, and he also serves on the Board of Trustees of Rice University. Mr. Nakahara brings this same expertise in training, leadership and oversight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13970</wp:posOffset>
            </wp:positionV>
            <wp:extent cx="21463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630" cy="231775"/>
                    </a:xfrm>
                    <a:prstGeom prst="rect">
                      <a:avLst/>
                    </a:prstGeom>
                    <a:noFill/>
                  </pic:spPr>
                </pic:pic>
              </a:graphicData>
            </a:graphic>
          </wp:anchor>
        </w:drawing>
      </w:r>
    </w:p>
    <w:p>
      <w:pPr>
        <w:spacing w:after="0" w:line="3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xml:space="preserve">Executive Leadership          </w:t>
      </w:r>
      <w:r>
        <w:rPr>
          <w:sz w:val="1"/>
          <w:szCs w:val="1"/>
          <w:color w:val="auto"/>
        </w:rPr>
        <w:drawing>
          <wp:inline distT="0" distB="0" distL="0" distR="0">
            <wp:extent cx="205740" cy="20574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5"/>
          <w:szCs w:val="15"/>
          <w:color w:val="auto"/>
        </w:rPr>
        <w:t xml:space="preserve">   Financial/Accounting        </w:t>
      </w:r>
      <w:r>
        <w:rPr>
          <w:sz w:val="1"/>
          <w:szCs w:val="1"/>
          <w:color w:val="auto"/>
        </w:rPr>
        <w:drawing>
          <wp:inline distT="0" distB="0" distL="0" distR="0">
            <wp:extent cx="205740" cy="1543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5"/>
          <w:szCs w:val="15"/>
          <w:color w:val="auto"/>
        </w:rPr>
        <w:t xml:space="preserve">  Non-Profit/Educational/Philanthropic</w:t>
      </w:r>
    </w:p>
    <w:p>
      <w:pPr>
        <w:spacing w:after="0" w:line="53"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FFFFFF"/>
        </w:rPr>
        <w:t>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-141605</wp:posOffset>
            </wp:positionV>
            <wp:extent cx="5306060" cy="796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06060" cy="79692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Chairman and Co-CEO of Comcast</w:t>
      </w:r>
    </w:p>
    <w:p>
      <w:pPr>
        <w:spacing w:after="0" w:line="52"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66</w:t>
      </w:r>
    </w:p>
    <w:p>
      <w:pPr>
        <w:ind w:left="1720"/>
        <w:spacing w:after="0" w:line="233" w:lineRule="auto"/>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1988</w:t>
      </w:r>
    </w:p>
    <w:p>
      <w:pPr>
        <w:ind w:left="17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None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A0DD"/>
        </w:rPr>
        <w:t>Career Highlights:</w:t>
      </w:r>
    </w:p>
    <w:p>
      <w:pPr>
        <w:spacing w:after="0" w:line="50" w:lineRule="exact"/>
        <w:rPr>
          <w:sz w:val="20"/>
          <w:szCs w:val="20"/>
          <w:color w:val="auto"/>
        </w:rPr>
      </w:pPr>
    </w:p>
    <w:p>
      <w:pPr>
        <w:ind w:left="640" w:hanging="314"/>
        <w:spacing w:after="0"/>
        <w:tabs>
          <w:tab w:leader="none" w:pos="640" w:val="left"/>
        </w:tabs>
        <w:numPr>
          <w:ilvl w:val="0"/>
          <w:numId w:val="23"/>
        </w:numPr>
        <w:rPr>
          <w:rFonts w:ascii="Arial" w:cs="Arial" w:eastAsia="Arial" w:hAnsi="Arial"/>
          <w:sz w:val="15"/>
          <w:szCs w:val="15"/>
          <w:color w:val="00A0DD"/>
        </w:rPr>
      </w:pPr>
      <w:r>
        <w:rPr>
          <w:rFonts w:ascii="Arial" w:cs="Arial" w:eastAsia="Arial" w:hAnsi="Arial"/>
          <w:sz w:val="14"/>
          <w:szCs w:val="14"/>
          <w:color w:val="auto"/>
        </w:rPr>
        <w:t>Chairman of the Board, Comcast, 2004 – Present</w:t>
      </w:r>
    </w:p>
    <w:p>
      <w:pPr>
        <w:spacing w:after="0" w:line="30" w:lineRule="exact"/>
        <w:rPr>
          <w:rFonts w:ascii="Arial" w:cs="Arial" w:eastAsia="Arial" w:hAnsi="Arial"/>
          <w:sz w:val="15"/>
          <w:szCs w:val="15"/>
          <w:color w:val="00A0DD"/>
        </w:rPr>
      </w:pPr>
    </w:p>
    <w:p>
      <w:pPr>
        <w:ind w:left="640" w:hanging="314"/>
        <w:spacing w:after="0"/>
        <w:tabs>
          <w:tab w:leader="none" w:pos="640" w:val="left"/>
        </w:tabs>
        <w:numPr>
          <w:ilvl w:val="0"/>
          <w:numId w:val="23"/>
        </w:numPr>
        <w:rPr>
          <w:rFonts w:ascii="Arial" w:cs="Arial" w:eastAsia="Arial" w:hAnsi="Arial"/>
          <w:sz w:val="15"/>
          <w:szCs w:val="15"/>
          <w:color w:val="00A0DD"/>
        </w:rPr>
      </w:pPr>
      <w:r>
        <w:rPr>
          <w:rFonts w:ascii="Arial" w:cs="Arial" w:eastAsia="Arial" w:hAnsi="Arial"/>
          <w:sz w:val="14"/>
          <w:szCs w:val="14"/>
          <w:color w:val="auto"/>
        </w:rPr>
        <w:t>CEO, Comcast, 2002 – Present</w:t>
      </w:r>
    </w:p>
    <w:p>
      <w:pPr>
        <w:spacing w:after="0" w:line="19" w:lineRule="exact"/>
        <w:rPr>
          <w:rFonts w:ascii="Arial" w:cs="Arial" w:eastAsia="Arial" w:hAnsi="Arial"/>
          <w:sz w:val="15"/>
          <w:szCs w:val="15"/>
          <w:color w:val="00A0DD"/>
        </w:rPr>
      </w:pPr>
    </w:p>
    <w:p>
      <w:pPr>
        <w:ind w:left="640" w:hanging="314"/>
        <w:spacing w:after="0"/>
        <w:tabs>
          <w:tab w:leader="none" w:pos="640" w:val="left"/>
        </w:tabs>
        <w:numPr>
          <w:ilvl w:val="0"/>
          <w:numId w:val="23"/>
        </w:numPr>
        <w:rPr>
          <w:rFonts w:ascii="Arial" w:cs="Arial" w:eastAsia="Arial" w:hAnsi="Arial"/>
          <w:sz w:val="15"/>
          <w:szCs w:val="15"/>
          <w:color w:val="00A0DD"/>
        </w:rPr>
      </w:pPr>
      <w:r>
        <w:rPr>
          <w:rFonts w:ascii="Arial" w:cs="Arial" w:eastAsia="Arial" w:hAnsi="Arial"/>
          <w:sz w:val="14"/>
          <w:szCs w:val="14"/>
          <w:color w:val="auto"/>
        </w:rPr>
        <w:t>President, Comcast, 1990 – 2022</w:t>
      </w:r>
    </w:p>
    <w:p>
      <w:pPr>
        <w:spacing w:after="0" w:line="26" w:lineRule="exact"/>
        <w:rPr>
          <w:rFonts w:ascii="Arial" w:cs="Arial" w:eastAsia="Arial" w:hAnsi="Arial"/>
          <w:sz w:val="15"/>
          <w:szCs w:val="15"/>
          <w:color w:val="00A0DD"/>
        </w:rPr>
      </w:pPr>
    </w:p>
    <w:p>
      <w:pPr>
        <w:ind w:left="520" w:right="280" w:hanging="194"/>
        <w:spacing w:after="0" w:line="267" w:lineRule="auto"/>
        <w:tabs>
          <w:tab w:leader="none" w:pos="645" w:val="left"/>
        </w:tabs>
        <w:numPr>
          <w:ilvl w:val="0"/>
          <w:numId w:val="23"/>
        </w:numPr>
        <w:rPr>
          <w:rFonts w:ascii="Arial" w:cs="Arial" w:eastAsia="Arial" w:hAnsi="Arial"/>
          <w:sz w:val="15"/>
          <w:szCs w:val="15"/>
          <w:color w:val="00A0DD"/>
        </w:rPr>
      </w:pPr>
      <w:r>
        <w:rPr>
          <w:rFonts w:ascii="Arial" w:cs="Arial" w:eastAsia="Arial" w:hAnsi="Arial"/>
          <w:sz w:val="14"/>
          <w:szCs w:val="14"/>
          <w:color w:val="auto"/>
        </w:rPr>
        <w:t>Director Emeritus, CableLabs, the cable industry’s research and development consortium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39"/>
        <w:spacing w:after="0" w:line="256" w:lineRule="auto"/>
        <w:rPr>
          <w:sz w:val="20"/>
          <w:szCs w:val="20"/>
          <w:color w:val="auto"/>
        </w:rPr>
      </w:pPr>
      <w:r>
        <w:rPr>
          <w:rFonts w:ascii="Arial" w:cs="Arial" w:eastAsia="Arial" w:hAnsi="Arial"/>
          <w:sz w:val="14"/>
          <w:szCs w:val="14"/>
          <w:color w:val="auto"/>
        </w:rPr>
        <w:t>As of December 31, 2025, Mr. Roberts, through his ownership of our Class B common stock, had sole voting power over 33 1/3% of the combined voting power of our two classes of 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-1192530</wp:posOffset>
            </wp:positionV>
            <wp:extent cx="5212080" cy="61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61722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-1192530</wp:posOffset>
            </wp:positionV>
            <wp:extent cx="5212080" cy="6172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61722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4120" w:space="360"/>
            <w:col w:w="4539"/>
          </w:cols>
          <w:pgMar w:left="1440" w:top="229" w:right="1440" w:bottom="1440" w:gutter="0" w:footer="0" w:header="0"/>
          <w:type w:val="continuous"/>
        </w:sectPr>
      </w:pPr>
    </w:p>
    <w:p>
      <w:pPr>
        <w:ind w:left="320"/>
        <w:spacing w:after="0"/>
        <w:rPr>
          <w:sz w:val="20"/>
          <w:szCs w:val="20"/>
          <w:color w:val="auto"/>
        </w:rPr>
      </w:pPr>
      <w:r>
        <w:rPr>
          <w:rFonts w:ascii="Arial" w:cs="Arial" w:eastAsia="Arial" w:hAnsi="Arial"/>
          <w:sz w:val="16"/>
          <w:szCs w:val="16"/>
          <w:b w:val="1"/>
          <w:bCs w:val="1"/>
          <w:color w:val="00A0DD"/>
        </w:rPr>
        <w:t>Skills and Qualifications:</w:t>
      </w:r>
    </w:p>
    <w:p>
      <w:pPr>
        <w:spacing w:after="0" w:line="16" w:lineRule="exact"/>
        <w:rPr>
          <w:sz w:val="20"/>
          <w:szCs w:val="20"/>
          <w:color w:val="auto"/>
        </w:rPr>
      </w:pPr>
    </w:p>
    <w:p>
      <w:pPr>
        <w:ind w:left="320" w:right="459"/>
        <w:spacing w:after="0" w:line="226" w:lineRule="auto"/>
        <w:rPr>
          <w:sz w:val="20"/>
          <w:szCs w:val="20"/>
          <w:color w:val="auto"/>
        </w:rPr>
      </w:pPr>
      <w:r>
        <w:rPr>
          <w:rFonts w:ascii="Arial" w:cs="Arial" w:eastAsia="Arial" w:hAnsi="Arial"/>
          <w:sz w:val="15"/>
          <w:szCs w:val="15"/>
          <w:color w:val="auto"/>
        </w:rPr>
        <w:t>Mr. Roberts joined Comcast in 1981 and has served as our Chairman and CEO for over two decades. He has been a strong and effective leader at both the company and Board levels, navigating our company through multiple macroeconomic cycles and industry transformations. Mr. Roberts has overseen a strategy that has included organic growth, new business innovations and transformative strategic transactions, while also returning significant capital to shareholders and maintaining balance sheet discipline. He also serves as an effective bridge between the Board and management, facilitating strong collaboration and encouraging open lines of communication with the Board. He brings extensive familiarity with industry regulation and external stakeholder engagement, supporting the Board’s oversight of public policy, compliance culture and reputation. Given his tenure and direct engagement with leaders across all divisions, he has deep familiarity with our workforce, culture, talent pipeline and employee engagement, supporting effective Board oversight of human capital management and succession planning. His deep company history, broad knowledge of all aspects of our businesses, operations and risks, and extensive connections in the media and telecommunications industries uniquely position him to guide our company through challenges and evaluate future opportunities for growth.</w:t>
      </w:r>
    </w:p>
    <w:tbl>
      <w:tblPr>
        <w:tblLayout w:type="fixed"/>
        <w:tblInd w:w="740" w:type="dxa"/>
        <w:tblCellMar>
          <w:top w:w="0" w:type="dxa"/>
          <w:left w:w="0" w:type="dxa"/>
          <w:bottom w:w="0" w:type="dxa"/>
          <w:right w:w="0" w:type="dxa"/>
        </w:tblCellMar>
      </w:tblPr>
      <w:tr>
        <w:trPr>
          <w:trHeight w:val="151"/>
        </w:trPr>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tcPr>
          <w:p>
            <w:pPr>
              <w:ind w:left="300"/>
              <w:spacing w:after="0" w:line="151" w:lineRule="exact"/>
              <w:rPr>
                <w:sz w:val="20"/>
                <w:szCs w:val="20"/>
                <w:color w:val="auto"/>
              </w:rPr>
            </w:pPr>
            <w:r>
              <w:rPr>
                <w:rFonts w:ascii="Arial" w:cs="Arial" w:eastAsia="Arial" w:hAnsi="Arial"/>
                <w:sz w:val="14"/>
                <w:szCs w:val="14"/>
                <w:color w:val="auto"/>
              </w:rPr>
              <w:t>Consumer</w:t>
            </w:r>
          </w:p>
        </w:tc>
        <w:tc>
          <w:tcPr>
            <w:tcW w:w="860" w:type="dxa"/>
            <w:vAlign w:val="bottom"/>
          </w:tcPr>
          <w:p>
            <w:pPr>
              <w:spacing w:after="0"/>
              <w:rPr>
                <w:sz w:val="13"/>
                <w:szCs w:val="13"/>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color w:val="auto"/>
              </w:rPr>
              <w:t>Risk</w:t>
            </w:r>
          </w:p>
        </w:tc>
        <w:tc>
          <w:tcPr>
            <w:tcW w:w="1040" w:type="dxa"/>
            <w:vAlign w:val="bottom"/>
          </w:tcPr>
          <w:p>
            <w:pPr>
              <w:spacing w:after="0"/>
              <w:rPr>
                <w:sz w:val="13"/>
                <w:szCs w:val="13"/>
                <w:color w:val="auto"/>
              </w:rPr>
            </w:pPr>
          </w:p>
        </w:tc>
        <w:tc>
          <w:tcPr>
            <w:tcW w:w="1180" w:type="dxa"/>
            <w:vAlign w:val="bottom"/>
            <w:vMerge w:val="restart"/>
          </w:tcPr>
          <w:p>
            <w:pPr>
              <w:ind w:left="280"/>
              <w:spacing w:after="0"/>
              <w:rPr>
                <w:sz w:val="20"/>
                <w:szCs w:val="20"/>
                <w:color w:val="auto"/>
              </w:rPr>
            </w:pPr>
            <w:r>
              <w:rPr>
                <w:rFonts w:ascii="Arial" w:cs="Arial" w:eastAsia="Arial" w:hAnsi="Arial"/>
                <w:sz w:val="15"/>
                <w:szCs w:val="15"/>
                <w:color w:val="auto"/>
              </w:rPr>
              <w:t>Human</w:t>
            </w: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20"/>
                <w:szCs w:val="20"/>
                <w:color w:val="auto"/>
              </w:rPr>
            </w:pPr>
            <w:r>
              <w:rPr>
                <w:rFonts w:ascii="Arial" w:cs="Arial" w:eastAsia="Arial" w:hAnsi="Arial"/>
                <w:sz w:val="14"/>
                <w:szCs w:val="14"/>
                <w:color w:val="auto"/>
              </w:rPr>
              <w:t>Executive</w:t>
            </w:r>
          </w:p>
        </w:tc>
        <w:tc>
          <w:tcPr>
            <w:tcW w:w="1300" w:type="dxa"/>
            <w:vAlign w:val="bottom"/>
            <w:vMerge w:val="restart"/>
          </w:tcPr>
          <w:p>
            <w:pPr>
              <w:ind w:left="260"/>
              <w:spacing w:after="0"/>
              <w:rPr>
                <w:sz w:val="20"/>
                <w:szCs w:val="20"/>
                <w:color w:val="auto"/>
              </w:rPr>
            </w:pPr>
            <w:r>
              <w:rPr>
                <w:rFonts w:ascii="Arial" w:cs="Arial" w:eastAsia="Arial" w:hAnsi="Arial"/>
                <w:sz w:val="14"/>
                <w:szCs w:val="14"/>
                <w:color w:val="auto"/>
              </w:rPr>
              <w:t>Industry</w:t>
            </w:r>
          </w:p>
        </w:tc>
        <w:tc>
          <w:tcPr>
            <w:tcW w:w="1260" w:type="dxa"/>
            <w:vAlign w:val="bottom"/>
            <w:vMerge w:val="restart"/>
          </w:tcPr>
          <w:p>
            <w:pPr>
              <w:ind w:left="300"/>
              <w:spacing w:after="0"/>
              <w:rPr>
                <w:sz w:val="20"/>
                <w:szCs w:val="20"/>
                <w:color w:val="auto"/>
              </w:rPr>
            </w:pPr>
            <w:r>
              <w:rPr>
                <w:rFonts w:ascii="Arial" w:cs="Arial" w:eastAsia="Arial" w:hAnsi="Arial"/>
                <w:sz w:val="14"/>
                <w:szCs w:val="14"/>
                <w:color w:val="auto"/>
              </w:rPr>
              <w:t>Products/</w:t>
            </w:r>
          </w:p>
        </w:tc>
        <w:tc>
          <w:tcPr>
            <w:tcW w:w="860" w:type="dxa"/>
            <w:vAlign w:val="bottom"/>
            <w:vMerge w:val="restart"/>
          </w:tcPr>
          <w:p>
            <w:pPr>
              <w:ind w:left="280"/>
              <w:spacing w:after="0"/>
              <w:rPr>
                <w:sz w:val="20"/>
                <w:szCs w:val="20"/>
                <w:color w:val="auto"/>
              </w:rPr>
            </w:pPr>
            <w:r>
              <w:rPr>
                <w:rFonts w:ascii="Arial" w:cs="Arial" w:eastAsia="Arial" w:hAnsi="Arial"/>
                <w:sz w:val="15"/>
                <w:szCs w:val="15"/>
                <w:color w:val="auto"/>
              </w:rPr>
              <w:t>Tech</w:t>
            </w:r>
          </w:p>
        </w:tc>
        <w:tc>
          <w:tcPr>
            <w:tcW w:w="1280" w:type="dxa"/>
            <w:vAlign w:val="bottom"/>
            <w:vMerge w:val="continue"/>
          </w:tcPr>
          <w:p>
            <w:pPr>
              <w:spacing w:after="0"/>
              <w:rPr>
                <w:sz w:val="7"/>
                <w:szCs w:val="7"/>
                <w:color w:val="auto"/>
              </w:rPr>
            </w:pPr>
          </w:p>
        </w:tc>
        <w:tc>
          <w:tcPr>
            <w:tcW w:w="10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Inter-</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color w:val="auto"/>
              </w:rPr>
              <w:t>Management</w:t>
            </w:r>
          </w:p>
        </w:tc>
        <w:tc>
          <w:tcPr>
            <w:tcW w:w="1040" w:type="dxa"/>
            <w:vAlign w:val="bottom"/>
            <w:vMerge w:val="continue"/>
          </w:tcPr>
          <w:p>
            <w:pPr>
              <w:spacing w:after="0"/>
              <w:rPr>
                <w:sz w:val="7"/>
                <w:szCs w:val="7"/>
                <w:color w:val="auto"/>
              </w:rPr>
            </w:pPr>
          </w:p>
        </w:tc>
        <w:tc>
          <w:tcPr>
            <w:tcW w:w="1180" w:type="dxa"/>
            <w:vAlign w:val="bottom"/>
            <w:vMerge w:val="restart"/>
          </w:tcPr>
          <w:p>
            <w:pPr>
              <w:ind w:left="280"/>
              <w:spacing w:after="0" w:line="162" w:lineRule="exact"/>
              <w:rPr>
                <w:sz w:val="20"/>
                <w:szCs w:val="20"/>
                <w:color w:val="auto"/>
              </w:rPr>
            </w:pPr>
            <w:r>
              <w:rPr>
                <w:rFonts w:ascii="Arial" w:cs="Arial" w:eastAsia="Arial" w:hAnsi="Arial"/>
                <w:sz w:val="15"/>
                <w:szCs w:val="15"/>
                <w:color w:val="auto"/>
              </w:rPr>
              <w:t>Capital</w:t>
            </w: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20"/>
                <w:szCs w:val="20"/>
                <w:color w:val="auto"/>
              </w:rPr>
            </w:pPr>
            <w:r>
              <w:rPr>
                <w:rFonts w:ascii="Arial" w:cs="Arial" w:eastAsia="Arial" w:hAnsi="Arial"/>
                <w:sz w:val="14"/>
                <w:szCs w:val="14"/>
                <w:color w:val="auto"/>
              </w:rPr>
              <w:t>Leadership</w:t>
            </w:r>
          </w:p>
        </w:tc>
        <w:tc>
          <w:tcPr>
            <w:tcW w:w="1300" w:type="dxa"/>
            <w:vAlign w:val="bottom"/>
            <w:vMerge w:val="restart"/>
          </w:tcPr>
          <w:p>
            <w:pPr>
              <w:ind w:left="260"/>
              <w:spacing w:after="0"/>
              <w:rPr>
                <w:sz w:val="20"/>
                <w:szCs w:val="20"/>
                <w:color w:val="auto"/>
              </w:rPr>
            </w:pPr>
            <w:r>
              <w:rPr>
                <w:rFonts w:ascii="Arial" w:cs="Arial" w:eastAsia="Arial" w:hAnsi="Arial"/>
                <w:sz w:val="14"/>
                <w:szCs w:val="14"/>
                <w:color w:val="auto"/>
              </w:rPr>
              <w:t>Experience</w:t>
            </w:r>
          </w:p>
        </w:tc>
        <w:tc>
          <w:tcPr>
            <w:tcW w:w="1260" w:type="dxa"/>
            <w:vAlign w:val="bottom"/>
            <w:vMerge w:val="restart"/>
          </w:tcPr>
          <w:p>
            <w:pPr>
              <w:ind w:left="300"/>
              <w:spacing w:after="0"/>
              <w:rPr>
                <w:sz w:val="20"/>
                <w:szCs w:val="20"/>
                <w:color w:val="auto"/>
              </w:rPr>
            </w:pPr>
            <w:r>
              <w:rPr>
                <w:rFonts w:ascii="Arial" w:cs="Arial" w:eastAsia="Arial" w:hAnsi="Arial"/>
                <w:sz w:val="14"/>
                <w:szCs w:val="14"/>
                <w:color w:val="auto"/>
              </w:rPr>
              <w:t>Customer-</w:t>
            </w:r>
          </w:p>
        </w:tc>
        <w:tc>
          <w:tcPr>
            <w:tcW w:w="86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national</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color w:val="auto"/>
              </w:rPr>
              <w:t>Oversight</w:t>
            </w:r>
          </w:p>
        </w:tc>
        <w:tc>
          <w:tcPr>
            <w:tcW w:w="1040" w:type="dxa"/>
            <w:vAlign w:val="bottom"/>
            <w:vMerge w:val="continue"/>
          </w:tcPr>
          <w:p>
            <w:pPr>
              <w:spacing w:after="0"/>
              <w:rPr>
                <w:sz w:val="7"/>
                <w:szCs w:val="7"/>
                <w:color w:val="auto"/>
              </w:rPr>
            </w:pPr>
          </w:p>
        </w:tc>
        <w:tc>
          <w:tcPr>
            <w:tcW w:w="1180" w:type="dxa"/>
            <w:vAlign w:val="bottom"/>
            <w:vMerge w:val="restart"/>
          </w:tcPr>
          <w:p>
            <w:pPr>
              <w:ind w:left="280"/>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vMerge w:val="restart"/>
          </w:tcPr>
          <w:p>
            <w:pPr>
              <w:ind w:left="300"/>
              <w:spacing w:after="0"/>
              <w:rPr>
                <w:sz w:val="20"/>
                <w:szCs w:val="20"/>
                <w:color w:val="auto"/>
              </w:rPr>
            </w:pPr>
            <w:r>
              <w:rPr>
                <w:rFonts w:ascii="Arial" w:cs="Arial" w:eastAsia="Arial" w:hAnsi="Arial"/>
                <w:sz w:val="14"/>
                <w:szCs w:val="14"/>
                <w:color w:val="auto"/>
              </w:rPr>
              <w:t>Oriented</w:t>
            </w:r>
          </w:p>
        </w:tc>
        <w:tc>
          <w:tcPr>
            <w:tcW w:w="8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-328295</wp:posOffset>
            </wp:positionV>
            <wp:extent cx="214630" cy="231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630" cy="23114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-285750</wp:posOffset>
            </wp:positionV>
            <wp:extent cx="22288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 cy="13716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-320040</wp:posOffset>
            </wp:positionV>
            <wp:extent cx="205740" cy="2139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21399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-337185</wp:posOffset>
            </wp:positionV>
            <wp:extent cx="240030" cy="2482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0030" cy="24828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-320040</wp:posOffset>
            </wp:positionV>
            <wp:extent cx="205740"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-328295</wp:posOffset>
            </wp:positionV>
            <wp:extent cx="205740" cy="2311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3114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-311150</wp:posOffset>
            </wp:positionV>
            <wp:extent cx="20574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0" w:hanging="674"/>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17" w:name="page18"/>
    <w:bookmarkEnd w:id="17"/>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8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shd w:val="clear" w:color="auto" w:fill="00A0DD"/>
          </w:tcPr>
          <w:p>
            <w:pPr>
              <w:spacing w:after="0"/>
              <w:rPr>
                <w:sz w:val="21"/>
                <w:szCs w:val="21"/>
                <w:color w:val="auto"/>
              </w:rPr>
            </w:pPr>
          </w:p>
        </w:tc>
        <w:tc>
          <w:tcPr>
            <w:tcW w:w="3820" w:type="dxa"/>
            <w:vAlign w:val="bottom"/>
            <w:shd w:val="clear" w:color="auto" w:fill="00A0DD"/>
          </w:tcPr>
          <w:p>
            <w:pPr>
              <w:ind w:left="60"/>
              <w:spacing w:after="0"/>
              <w:rPr>
                <w:sz w:val="20"/>
                <w:szCs w:val="20"/>
                <w:color w:val="auto"/>
              </w:rPr>
            </w:pPr>
            <w:r>
              <w:rPr>
                <w:rFonts w:ascii="Arial" w:cs="Arial" w:eastAsia="Arial" w:hAnsi="Arial"/>
                <w:sz w:val="22"/>
                <w:szCs w:val="22"/>
                <w:b w:val="1"/>
                <w:bCs w:val="1"/>
                <w:color w:val="FFFFFF"/>
              </w:rPr>
              <w:t>Gordon Smith</w:t>
            </w:r>
          </w:p>
        </w:tc>
        <w:tc>
          <w:tcPr>
            <w:tcW w:w="360" w:type="dxa"/>
            <w:vAlign w:val="bottom"/>
            <w:shd w:val="clear" w:color="auto" w:fill="00A0DD"/>
          </w:tcPr>
          <w:p>
            <w:pPr>
              <w:spacing w:after="0"/>
              <w:rPr>
                <w:sz w:val="21"/>
                <w:szCs w:val="21"/>
                <w:color w:val="auto"/>
              </w:rPr>
            </w:pPr>
          </w:p>
        </w:tc>
        <w:tc>
          <w:tcPr>
            <w:tcW w:w="4080" w:type="dxa"/>
            <w:vAlign w:val="bottom"/>
            <w:shd w:val="clear" w:color="auto" w:fill="00A0DD"/>
          </w:tcPr>
          <w:p>
            <w:pPr>
              <w:ind w:left="288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shd w:val="clear" w:color="auto" w:fill="E0F0FB"/>
          </w:tcPr>
          <w:p>
            <w:pPr>
              <w:spacing w:after="0"/>
              <w:rPr>
                <w:sz w:val="19"/>
                <w:szCs w:val="19"/>
                <w:color w:val="auto"/>
              </w:rPr>
            </w:pPr>
          </w:p>
        </w:tc>
        <w:tc>
          <w:tcPr>
            <w:tcW w:w="8260" w:type="dxa"/>
            <w:vAlign w:val="bottom"/>
            <w:gridSpan w:val="3"/>
            <w:shd w:val="clear" w:color="auto" w:fill="E0F0FB"/>
          </w:tcPr>
          <w:p>
            <w:pPr>
              <w:ind w:left="1320"/>
              <w:spacing w:after="0"/>
              <w:rPr>
                <w:sz w:val="20"/>
                <w:szCs w:val="20"/>
                <w:color w:val="auto"/>
              </w:rPr>
            </w:pPr>
            <w:r>
              <w:rPr>
                <w:rFonts w:ascii="Arial" w:cs="Arial" w:eastAsia="Arial" w:hAnsi="Arial"/>
                <w:sz w:val="15"/>
                <w:szCs w:val="15"/>
                <w:color w:val="auto"/>
              </w:rPr>
              <w:t>Former Co-President and Chief Operating Officer of JPMorgan Chase &amp;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E0F0FB"/>
          </w:tcPr>
          <w:p>
            <w:pPr>
              <w:spacing w:after="0"/>
              <w:rPr>
                <w:sz w:val="18"/>
                <w:szCs w:val="18"/>
                <w:color w:val="auto"/>
              </w:rPr>
            </w:pPr>
          </w:p>
        </w:tc>
        <w:tc>
          <w:tcPr>
            <w:tcW w:w="3820" w:type="dxa"/>
            <w:vAlign w:val="bottom"/>
            <w:shd w:val="clear" w:color="auto" w:fill="E0F0FB"/>
          </w:tcPr>
          <w:p>
            <w:pPr>
              <w:ind w:left="1320"/>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67</w:t>
            </w:r>
          </w:p>
        </w:tc>
        <w:tc>
          <w:tcPr>
            <w:tcW w:w="4440" w:type="dxa"/>
            <w:vAlign w:val="bottom"/>
            <w:gridSpan w:val="2"/>
            <w:shd w:val="clear" w:color="auto" w:fill="E0F0FB"/>
          </w:tcPr>
          <w:p>
            <w:pPr>
              <w:ind w:left="240"/>
              <w:spacing w:after="0"/>
              <w:rPr>
                <w:sz w:val="20"/>
                <w:szCs w:val="20"/>
                <w:color w:val="auto"/>
              </w:rPr>
            </w:pPr>
            <w:r>
              <w:rPr>
                <w:rFonts w:ascii="Arial" w:cs="Arial" w:eastAsia="Arial" w:hAnsi="Arial"/>
                <w:sz w:val="15"/>
                <w:szCs w:val="15"/>
                <w:b w:val="1"/>
                <w:bCs w:val="1"/>
                <w:color w:val="auto"/>
              </w:rPr>
              <w:t>Other Current Public Company Directorships: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E0F0FB"/>
          </w:tcPr>
          <w:p>
            <w:pPr>
              <w:spacing w:after="0"/>
              <w:rPr>
                <w:sz w:val="14"/>
                <w:szCs w:val="14"/>
                <w:color w:val="auto"/>
              </w:rPr>
            </w:pPr>
          </w:p>
        </w:tc>
        <w:tc>
          <w:tcPr>
            <w:tcW w:w="3820" w:type="dxa"/>
            <w:vAlign w:val="bottom"/>
            <w:shd w:val="clear" w:color="auto" w:fill="E0F0FB"/>
          </w:tcPr>
          <w:p>
            <w:pPr>
              <w:ind w:left="1320"/>
              <w:spacing w:after="0" w:line="162" w:lineRule="exact"/>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2026</w:t>
            </w:r>
          </w:p>
        </w:tc>
        <w:tc>
          <w:tcPr>
            <w:tcW w:w="4440" w:type="dxa"/>
            <w:vAlign w:val="bottom"/>
            <w:gridSpan w:val="2"/>
            <w:shd w:val="clear" w:color="auto" w:fill="E0F0FB"/>
          </w:tcPr>
          <w:p>
            <w:pPr>
              <w:ind w:left="240"/>
              <w:spacing w:after="0" w:line="162" w:lineRule="exact"/>
              <w:rPr>
                <w:sz w:val="20"/>
                <w:szCs w:val="20"/>
                <w:color w:val="auto"/>
              </w:rPr>
            </w:pPr>
            <w:r>
              <w:rPr>
                <w:rFonts w:ascii="Arial" w:cs="Arial" w:eastAsia="Arial" w:hAnsi="Arial"/>
                <w:sz w:val="15"/>
                <w:szCs w:val="15"/>
                <w:color w:val="auto"/>
              </w:rPr>
              <w:t>Choice Hotels International, Inc., Humana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shd w:val="clear" w:color="auto" w:fill="E0F0FB"/>
          </w:tcPr>
          <w:p>
            <w:pPr>
              <w:spacing w:after="0"/>
              <w:rPr>
                <w:sz w:val="18"/>
                <w:szCs w:val="18"/>
                <w:color w:val="auto"/>
              </w:rPr>
            </w:pPr>
          </w:p>
        </w:tc>
        <w:tc>
          <w:tcPr>
            <w:tcW w:w="3820" w:type="dxa"/>
            <w:vAlign w:val="bottom"/>
            <w:shd w:val="clear" w:color="auto" w:fill="E0F0FB"/>
          </w:tcPr>
          <w:p>
            <w:pPr>
              <w:ind w:left="1320"/>
              <w:spacing w:after="0"/>
              <w:rPr>
                <w:sz w:val="20"/>
                <w:szCs w:val="20"/>
                <w:color w:val="auto"/>
              </w:rPr>
            </w:pPr>
            <w:r>
              <w:rPr>
                <w:rFonts w:ascii="Arial" w:cs="Arial" w:eastAsia="Arial" w:hAnsi="Arial"/>
                <w:sz w:val="15"/>
                <w:szCs w:val="15"/>
                <w:b w:val="1"/>
                <w:bCs w:val="1"/>
                <w:color w:val="auto"/>
              </w:rPr>
              <w:t xml:space="preserve">Committees: </w:t>
            </w:r>
            <w:r>
              <w:rPr>
                <w:rFonts w:ascii="Arial" w:cs="Arial" w:eastAsia="Arial" w:hAnsi="Arial"/>
                <w:sz w:val="15"/>
                <w:szCs w:val="15"/>
                <w:color w:val="auto"/>
              </w:rPr>
              <w:t>Audit</w:t>
            </w:r>
          </w:p>
        </w:tc>
        <w:tc>
          <w:tcPr>
            <w:tcW w:w="360" w:type="dxa"/>
            <w:vAlign w:val="bottom"/>
            <w:shd w:val="clear" w:color="auto" w:fill="E0F0FB"/>
          </w:tcPr>
          <w:p>
            <w:pPr>
              <w:spacing w:after="0"/>
              <w:rPr>
                <w:sz w:val="18"/>
                <w:szCs w:val="18"/>
                <w:color w:val="auto"/>
              </w:rPr>
            </w:pPr>
          </w:p>
        </w:tc>
        <w:tc>
          <w:tcPr>
            <w:tcW w:w="4080" w:type="dxa"/>
            <w:vAlign w:val="bottom"/>
            <w:shd w:val="clear" w:color="auto" w:fill="E0F0FB"/>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vMerge w:val="restart"/>
          </w:tcPr>
          <w:p>
            <w:pPr>
              <w:spacing w:after="0"/>
              <w:rPr>
                <w:sz w:val="24"/>
                <w:szCs w:val="24"/>
                <w:color w:val="auto"/>
              </w:rPr>
            </w:pPr>
          </w:p>
        </w:tc>
        <w:tc>
          <w:tcPr>
            <w:tcW w:w="80" w:type="dxa"/>
            <w:vAlign w:val="bottom"/>
            <w:shd w:val="clear" w:color="auto" w:fill="E0F0FB"/>
          </w:tcPr>
          <w:p>
            <w:pPr>
              <w:spacing w:after="0"/>
              <w:rPr>
                <w:sz w:val="24"/>
                <w:szCs w:val="24"/>
                <w:color w:val="auto"/>
              </w:rPr>
            </w:pPr>
          </w:p>
        </w:tc>
        <w:tc>
          <w:tcPr>
            <w:tcW w:w="3820" w:type="dxa"/>
            <w:vAlign w:val="bottom"/>
            <w:shd w:val="clear" w:color="auto" w:fill="E0F0FB"/>
          </w:tcPr>
          <w:p>
            <w:pPr>
              <w:spacing w:after="0"/>
              <w:rPr>
                <w:sz w:val="24"/>
                <w:szCs w:val="24"/>
                <w:color w:val="auto"/>
              </w:rPr>
            </w:pPr>
          </w:p>
        </w:tc>
        <w:tc>
          <w:tcPr>
            <w:tcW w:w="360" w:type="dxa"/>
            <w:vAlign w:val="bottom"/>
            <w:shd w:val="clear" w:color="auto" w:fill="E0F0FB"/>
          </w:tcPr>
          <w:p>
            <w:pPr>
              <w:spacing w:after="0"/>
              <w:rPr>
                <w:sz w:val="24"/>
                <w:szCs w:val="24"/>
                <w:color w:val="auto"/>
              </w:rPr>
            </w:pPr>
          </w:p>
        </w:tc>
        <w:tc>
          <w:tcPr>
            <w:tcW w:w="408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6"/>
                <w:szCs w:val="16"/>
                <w:b w:val="1"/>
                <w:bCs w:val="1"/>
                <w:color w:val="00A0DD"/>
              </w:rPr>
              <w:t>Career Highlights:</w:t>
            </w:r>
          </w:p>
        </w:tc>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gridSpan w:val="2"/>
          </w:tcPr>
          <w:p>
            <w:pPr>
              <w:spacing w:after="0" w:line="162" w:lineRule="exact"/>
              <w:rPr>
                <w:sz w:val="20"/>
                <w:szCs w:val="20"/>
                <w:color w:val="auto"/>
              </w:rPr>
            </w:pPr>
            <w:r>
              <w:rPr>
                <w:rFonts w:ascii="Arial" w:cs="Arial" w:eastAsia="Arial" w:hAnsi="Arial"/>
                <w:sz w:val="15"/>
                <w:szCs w:val="15"/>
                <w:color w:val="00A0DD"/>
              </w:rPr>
              <w:t>•</w:t>
            </w:r>
          </w:p>
        </w:tc>
        <w:tc>
          <w:tcPr>
            <w:tcW w:w="3820" w:type="dxa"/>
            <w:vAlign w:val="bottom"/>
          </w:tcPr>
          <w:p>
            <w:pPr>
              <w:ind w:left="240"/>
              <w:spacing w:after="0" w:line="162" w:lineRule="exact"/>
              <w:rPr>
                <w:sz w:val="20"/>
                <w:szCs w:val="20"/>
                <w:color w:val="auto"/>
              </w:rPr>
            </w:pPr>
            <w:r>
              <w:rPr>
                <w:rFonts w:ascii="Arial" w:cs="Arial" w:eastAsia="Arial" w:hAnsi="Arial"/>
                <w:sz w:val="15"/>
                <w:szCs w:val="15"/>
                <w:color w:val="auto"/>
              </w:rPr>
              <w:t>Co-President and Chief Operating Officer of</w:t>
            </w:r>
          </w:p>
        </w:tc>
        <w:tc>
          <w:tcPr>
            <w:tcW w:w="360" w:type="dxa"/>
            <w:vAlign w:val="bottom"/>
          </w:tcPr>
          <w:p>
            <w:pPr>
              <w:ind w:left="240"/>
              <w:spacing w:after="0" w:line="162" w:lineRule="exact"/>
              <w:rPr>
                <w:sz w:val="20"/>
                <w:szCs w:val="20"/>
                <w:color w:val="auto"/>
              </w:rPr>
            </w:pPr>
            <w:r>
              <w:rPr>
                <w:rFonts w:ascii="Arial" w:cs="Arial" w:eastAsia="Arial" w:hAnsi="Arial"/>
                <w:sz w:val="15"/>
                <w:szCs w:val="15"/>
                <w:color w:val="00A0DD"/>
              </w:rPr>
              <w:t>•</w:t>
            </w:r>
          </w:p>
        </w:tc>
        <w:tc>
          <w:tcPr>
            <w:tcW w:w="4080" w:type="dxa"/>
            <w:vAlign w:val="bottom"/>
          </w:tcPr>
          <w:p>
            <w:pPr>
              <w:ind w:left="220"/>
              <w:spacing w:after="0" w:line="162" w:lineRule="exact"/>
              <w:rPr>
                <w:sz w:val="20"/>
                <w:szCs w:val="20"/>
                <w:color w:val="auto"/>
              </w:rPr>
            </w:pPr>
            <w:r>
              <w:rPr>
                <w:rFonts w:ascii="Arial" w:cs="Arial" w:eastAsia="Arial" w:hAnsi="Arial"/>
                <w:sz w:val="15"/>
                <w:szCs w:val="15"/>
                <w:color w:val="auto"/>
              </w:rPr>
              <w:t>CEO, Chase Card Services, 2007 –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JPMorgan Chase &amp; Co., 2018 – 2022</w:t>
            </w:r>
          </w:p>
        </w:tc>
        <w:tc>
          <w:tcPr>
            <w:tcW w:w="360" w:type="dxa"/>
            <w:vAlign w:val="bottom"/>
          </w:tcPr>
          <w:p>
            <w:pPr>
              <w:ind w:left="240"/>
              <w:spacing w:after="0"/>
              <w:rPr>
                <w:sz w:val="20"/>
                <w:szCs w:val="20"/>
                <w:color w:val="auto"/>
              </w:rPr>
            </w:pPr>
            <w:r>
              <w:rPr>
                <w:rFonts w:ascii="Arial" w:cs="Arial" w:eastAsia="Arial" w:hAnsi="Arial"/>
                <w:sz w:val="15"/>
                <w:szCs w:val="15"/>
                <w:color w:val="00A0DD"/>
              </w:rPr>
              <w:t>•</w:t>
            </w:r>
          </w:p>
        </w:tc>
        <w:tc>
          <w:tcPr>
            <w:tcW w:w="4080" w:type="dxa"/>
            <w:vAlign w:val="bottom"/>
          </w:tcPr>
          <w:p>
            <w:pPr>
              <w:ind w:left="220"/>
              <w:spacing w:after="0"/>
              <w:rPr>
                <w:sz w:val="20"/>
                <w:szCs w:val="20"/>
                <w:color w:val="auto"/>
              </w:rPr>
            </w:pPr>
            <w:r>
              <w:rPr>
                <w:rFonts w:ascii="Arial" w:cs="Arial" w:eastAsia="Arial" w:hAnsi="Arial"/>
                <w:sz w:val="15"/>
                <w:szCs w:val="15"/>
                <w:color w:val="auto"/>
              </w:rPr>
              <w:t>Various leadership roles at American Express, including</w:t>
            </w:r>
          </w:p>
        </w:tc>
        <w:tc>
          <w:tcPr>
            <w:tcW w:w="0" w:type="dxa"/>
            <w:vAlign w:val="bottom"/>
          </w:tcPr>
          <w:p>
            <w:pPr>
              <w:spacing w:after="0"/>
              <w:rPr>
                <w:sz w:val="1"/>
                <w:szCs w:val="1"/>
                <w:color w:val="auto"/>
              </w:rPr>
            </w:pPr>
          </w:p>
        </w:tc>
      </w:tr>
      <w:tr>
        <w:trPr>
          <w:trHeight w:val="162"/>
        </w:trPr>
        <w:tc>
          <w:tcPr>
            <w:tcW w:w="100" w:type="dxa"/>
            <w:vAlign w:val="bottom"/>
            <w:gridSpan w:val="2"/>
          </w:tcPr>
          <w:p>
            <w:pPr>
              <w:spacing w:after="0" w:line="162" w:lineRule="exact"/>
              <w:rPr>
                <w:sz w:val="20"/>
                <w:szCs w:val="20"/>
                <w:color w:val="auto"/>
              </w:rPr>
            </w:pPr>
            <w:r>
              <w:rPr>
                <w:rFonts w:ascii="Arial" w:cs="Arial" w:eastAsia="Arial" w:hAnsi="Arial"/>
                <w:sz w:val="15"/>
                <w:szCs w:val="15"/>
                <w:color w:val="00A0DD"/>
              </w:rPr>
              <w:t>•</w:t>
            </w:r>
          </w:p>
        </w:tc>
        <w:tc>
          <w:tcPr>
            <w:tcW w:w="3820" w:type="dxa"/>
            <w:vAlign w:val="bottom"/>
          </w:tcPr>
          <w:p>
            <w:pPr>
              <w:ind w:left="240"/>
              <w:spacing w:after="0" w:line="162" w:lineRule="exact"/>
              <w:rPr>
                <w:sz w:val="20"/>
                <w:szCs w:val="20"/>
                <w:color w:val="auto"/>
              </w:rPr>
            </w:pPr>
            <w:r>
              <w:rPr>
                <w:rFonts w:ascii="Arial" w:cs="Arial" w:eastAsia="Arial" w:hAnsi="Arial"/>
                <w:sz w:val="15"/>
                <w:szCs w:val="15"/>
                <w:color w:val="auto"/>
              </w:rPr>
              <w:t>CEO, Consumer and Community Banking,</w:t>
            </w:r>
          </w:p>
        </w:tc>
        <w:tc>
          <w:tcPr>
            <w:tcW w:w="360" w:type="dxa"/>
            <w:vAlign w:val="bottom"/>
          </w:tcPr>
          <w:p>
            <w:pPr>
              <w:spacing w:after="0"/>
              <w:rPr>
                <w:sz w:val="14"/>
                <w:szCs w:val="14"/>
                <w:color w:val="auto"/>
              </w:rPr>
            </w:pPr>
          </w:p>
        </w:tc>
        <w:tc>
          <w:tcPr>
            <w:tcW w:w="4080" w:type="dxa"/>
            <w:vAlign w:val="bottom"/>
          </w:tcPr>
          <w:p>
            <w:pPr>
              <w:ind w:left="60"/>
              <w:spacing w:after="0" w:line="162" w:lineRule="exact"/>
              <w:rPr>
                <w:sz w:val="20"/>
                <w:szCs w:val="20"/>
                <w:color w:val="auto"/>
              </w:rPr>
            </w:pPr>
            <w:r>
              <w:rPr>
                <w:rFonts w:ascii="Arial" w:cs="Arial" w:eastAsia="Arial" w:hAnsi="Arial"/>
                <w:sz w:val="15"/>
                <w:szCs w:val="15"/>
                <w:color w:val="auto"/>
              </w:rPr>
              <w:t>the U.S. Domestic Consumer Card and Global Commercial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JPMorgan Chase &amp; Co., 2012 – 2021</w:t>
            </w:r>
          </w:p>
        </w:tc>
        <w:tc>
          <w:tcPr>
            <w:tcW w:w="360" w:type="dxa"/>
            <w:vAlign w:val="bottom"/>
          </w:tcPr>
          <w:p>
            <w:pPr>
              <w:spacing w:after="0"/>
              <w:rPr>
                <w:sz w:val="16"/>
                <w:szCs w:val="16"/>
                <w:color w:val="auto"/>
              </w:rPr>
            </w:pPr>
          </w:p>
        </w:tc>
        <w:tc>
          <w:tcPr>
            <w:tcW w:w="4080" w:type="dxa"/>
            <w:vAlign w:val="bottom"/>
          </w:tcPr>
          <w:p>
            <w:pPr>
              <w:ind w:left="60"/>
              <w:spacing w:after="0"/>
              <w:rPr>
                <w:sz w:val="20"/>
                <w:szCs w:val="20"/>
                <w:color w:val="auto"/>
              </w:rPr>
            </w:pPr>
            <w:r>
              <w:rPr>
                <w:rFonts w:ascii="Arial" w:cs="Arial" w:eastAsia="Arial" w:hAnsi="Arial"/>
                <w:sz w:val="15"/>
                <w:szCs w:val="15"/>
                <w:color w:val="auto"/>
              </w:rPr>
              <w:t>Card Businesses, 1976 – 2007</w:t>
            </w:r>
          </w:p>
        </w:tc>
        <w:tc>
          <w:tcPr>
            <w:tcW w:w="0" w:type="dxa"/>
            <w:vAlign w:val="bottom"/>
          </w:tcPr>
          <w:p>
            <w:pPr>
              <w:spacing w:after="0"/>
              <w:rPr>
                <w:sz w:val="1"/>
                <w:szCs w:val="1"/>
                <w:color w:val="auto"/>
              </w:rPr>
            </w:pPr>
          </w:p>
        </w:tc>
      </w:tr>
      <w:tr>
        <w:trPr>
          <w:trHeight w:val="162"/>
        </w:trPr>
        <w:tc>
          <w:tcPr>
            <w:tcW w:w="100" w:type="dxa"/>
            <w:vAlign w:val="bottom"/>
            <w:gridSpan w:val="2"/>
          </w:tcPr>
          <w:p>
            <w:pPr>
              <w:spacing w:after="0" w:line="162" w:lineRule="exact"/>
              <w:rPr>
                <w:sz w:val="20"/>
                <w:szCs w:val="20"/>
                <w:color w:val="auto"/>
              </w:rPr>
            </w:pPr>
            <w:r>
              <w:rPr>
                <w:rFonts w:ascii="Arial" w:cs="Arial" w:eastAsia="Arial" w:hAnsi="Arial"/>
                <w:sz w:val="15"/>
                <w:szCs w:val="15"/>
                <w:color w:val="00A0DD"/>
              </w:rPr>
              <w:t>•</w:t>
            </w:r>
          </w:p>
        </w:tc>
        <w:tc>
          <w:tcPr>
            <w:tcW w:w="3820" w:type="dxa"/>
            <w:vAlign w:val="bottom"/>
          </w:tcPr>
          <w:p>
            <w:pPr>
              <w:ind w:left="240"/>
              <w:spacing w:after="0" w:line="162" w:lineRule="exact"/>
              <w:rPr>
                <w:sz w:val="20"/>
                <w:szCs w:val="20"/>
                <w:color w:val="auto"/>
              </w:rPr>
            </w:pPr>
            <w:r>
              <w:rPr>
                <w:rFonts w:ascii="Arial" w:cs="Arial" w:eastAsia="Arial" w:hAnsi="Arial"/>
                <w:sz w:val="15"/>
                <w:szCs w:val="15"/>
                <w:color w:val="auto"/>
              </w:rPr>
              <w:t>CEO, Chase Card Services, Auto Finance and</w:t>
            </w:r>
          </w:p>
        </w:tc>
        <w:tc>
          <w:tcPr>
            <w:tcW w:w="360" w:type="dxa"/>
            <w:vAlign w:val="bottom"/>
          </w:tcPr>
          <w:p>
            <w:pPr>
              <w:ind w:left="240"/>
              <w:spacing w:after="0" w:line="162" w:lineRule="exact"/>
              <w:rPr>
                <w:sz w:val="20"/>
                <w:szCs w:val="20"/>
                <w:color w:val="auto"/>
              </w:rPr>
            </w:pPr>
            <w:r>
              <w:rPr>
                <w:rFonts w:ascii="Arial" w:cs="Arial" w:eastAsia="Arial" w:hAnsi="Arial"/>
                <w:sz w:val="15"/>
                <w:szCs w:val="15"/>
                <w:color w:val="00A0DD"/>
              </w:rPr>
              <w:t>•</w:t>
            </w:r>
          </w:p>
        </w:tc>
        <w:tc>
          <w:tcPr>
            <w:tcW w:w="4080" w:type="dxa"/>
            <w:vAlign w:val="bottom"/>
          </w:tcPr>
          <w:p>
            <w:pPr>
              <w:ind w:left="220"/>
              <w:spacing w:after="0" w:line="162" w:lineRule="exact"/>
              <w:rPr>
                <w:sz w:val="20"/>
                <w:szCs w:val="20"/>
                <w:color w:val="auto"/>
              </w:rPr>
            </w:pPr>
            <w:r>
              <w:rPr>
                <w:rFonts w:ascii="Arial" w:cs="Arial" w:eastAsia="Arial" w:hAnsi="Arial"/>
                <w:sz w:val="15"/>
                <w:szCs w:val="15"/>
                <w:color w:val="auto"/>
              </w:rPr>
              <w:t>Operating Advisor, Clayton Dubilier &amp; Rice, LLC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Student Lending, 2011 – 2012</w:t>
            </w:r>
          </w:p>
        </w:tc>
        <w:tc>
          <w:tcPr>
            <w:tcW w:w="3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-1504315</wp:posOffset>
            </wp:positionV>
            <wp:extent cx="659765" cy="659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6"/>
          <w:szCs w:val="16"/>
          <w:b w:val="1"/>
          <w:bCs w:val="1"/>
          <w:color w:val="00A0DD"/>
        </w:rPr>
        <w:t>Skills and Qualifications:</w:t>
      </w:r>
    </w:p>
    <w:p>
      <w:pPr>
        <w:spacing w:after="0" w:line="39" w:lineRule="exact"/>
        <w:rPr>
          <w:sz w:val="20"/>
          <w:szCs w:val="20"/>
          <w:color w:val="auto"/>
        </w:rPr>
      </w:pPr>
    </w:p>
    <w:p>
      <w:pPr>
        <w:ind w:left="1180" w:right="1180"/>
        <w:spacing w:after="0" w:line="225" w:lineRule="auto"/>
        <w:rPr>
          <w:sz w:val="20"/>
          <w:szCs w:val="20"/>
          <w:color w:val="auto"/>
        </w:rPr>
      </w:pPr>
      <w:r>
        <w:rPr>
          <w:rFonts w:ascii="Arial" w:cs="Arial" w:eastAsia="Arial" w:hAnsi="Arial"/>
          <w:sz w:val="15"/>
          <w:szCs w:val="15"/>
          <w:color w:val="auto"/>
        </w:rPr>
        <w:t>Mr. Smith brings extensive operating and risk management experience from his tenure as Co-President and Chief Operating Officer of JPMorgan Chase and as long-time leader of its Consumer and Community Banking franchise. He has led complex, technology-enabled, customer-facing businesses at scale, with accountability for growth, service, operations and controls. His roles at JPMorgan Chase and earlier at American Express, including leadership of its Global Commercial Card Business, give him practical international experience managing cross-border operations, multi-jurisdictional regulatory requirements and global payments infrastructure. This background equips him to advise the Board on international strategy, compliance, operational excellence, digital transformation, customer experience and enterprise risk, including data protection. His earlier leadership of card services and payments businesses also provides insight into subscription management and customer loyalty. Mr. Smith’s public company board service at Choice Hotels and Humana adds perspectives on consumer behavior, service quality and regulated industry dynamics.</w:t>
      </w:r>
    </w:p>
    <w:tbl>
      <w:tblPr>
        <w:tblLayout w:type="fixed"/>
        <w:tblInd w:w="1600" w:type="dxa"/>
        <w:tblCellMar>
          <w:top w:w="0" w:type="dxa"/>
          <w:left w:w="0" w:type="dxa"/>
          <w:bottom w:w="0" w:type="dxa"/>
          <w:right w:w="0" w:type="dxa"/>
        </w:tblCellMar>
      </w:tblPr>
      <w:tr>
        <w:trPr>
          <w:trHeight w:val="155"/>
        </w:trPr>
        <w:tc>
          <w:tcPr>
            <w:tcW w:w="980" w:type="dxa"/>
            <w:vAlign w:val="bottom"/>
          </w:tcPr>
          <w:p>
            <w:pPr>
              <w:spacing w:after="0"/>
              <w:rPr>
                <w:sz w:val="13"/>
                <w:szCs w:val="13"/>
                <w:color w:val="auto"/>
              </w:rPr>
            </w:pPr>
          </w:p>
        </w:tc>
        <w:tc>
          <w:tcPr>
            <w:tcW w:w="1300" w:type="dxa"/>
            <w:vAlign w:val="bottom"/>
          </w:tcPr>
          <w:p>
            <w:pPr>
              <w:ind w:left="260"/>
              <w:spacing w:after="0" w:line="155" w:lineRule="exact"/>
              <w:rPr>
                <w:sz w:val="20"/>
                <w:szCs w:val="20"/>
                <w:color w:val="auto"/>
              </w:rPr>
            </w:pPr>
            <w:r>
              <w:rPr>
                <w:rFonts w:ascii="Arial" w:cs="Arial" w:eastAsia="Arial" w:hAnsi="Arial"/>
                <w:sz w:val="15"/>
                <w:szCs w:val="15"/>
                <w:color w:val="auto"/>
              </w:rPr>
              <w:t>Consumer</w:t>
            </w: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color w:val="auto"/>
              </w:rPr>
              <w:t>Risk</w:t>
            </w:r>
          </w:p>
        </w:tc>
        <w:tc>
          <w:tcPr>
            <w:tcW w:w="1040" w:type="dxa"/>
            <w:vAlign w:val="bottom"/>
          </w:tcPr>
          <w:p>
            <w:pPr>
              <w:spacing w:after="0"/>
              <w:rPr>
                <w:sz w:val="13"/>
                <w:szCs w:val="13"/>
                <w:color w:val="auto"/>
              </w:rPr>
            </w:pPr>
          </w:p>
        </w:tc>
        <w:tc>
          <w:tcPr>
            <w:tcW w:w="1180" w:type="dxa"/>
            <w:vAlign w:val="bottom"/>
            <w:vMerge w:val="restart"/>
          </w:tcPr>
          <w:p>
            <w:pPr>
              <w:ind w:left="280"/>
              <w:spacing w:after="0"/>
              <w:rPr>
                <w:sz w:val="20"/>
                <w:szCs w:val="20"/>
                <w:color w:val="auto"/>
              </w:rPr>
            </w:pPr>
            <w:r>
              <w:rPr>
                <w:rFonts w:ascii="Arial" w:cs="Arial" w:eastAsia="Arial" w:hAnsi="Arial"/>
                <w:sz w:val="15"/>
                <w:szCs w:val="15"/>
                <w:color w:val="auto"/>
              </w:rPr>
              <w:t>Human</w:t>
            </w: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20"/>
                <w:szCs w:val="20"/>
                <w:color w:val="auto"/>
              </w:rPr>
            </w:pPr>
            <w:r>
              <w:rPr>
                <w:rFonts w:ascii="Arial" w:cs="Arial" w:eastAsia="Arial" w:hAnsi="Arial"/>
                <w:sz w:val="14"/>
                <w:szCs w:val="14"/>
                <w:color w:val="auto"/>
              </w:rPr>
              <w:t>Executive</w:t>
            </w:r>
          </w:p>
        </w:tc>
        <w:tc>
          <w:tcPr>
            <w:tcW w:w="1300" w:type="dxa"/>
            <w:vAlign w:val="bottom"/>
            <w:vMerge w:val="restart"/>
          </w:tcPr>
          <w:p>
            <w:pPr>
              <w:ind w:left="260"/>
              <w:spacing w:after="0" w:line="162" w:lineRule="exact"/>
              <w:rPr>
                <w:sz w:val="20"/>
                <w:szCs w:val="20"/>
                <w:color w:val="auto"/>
              </w:rPr>
            </w:pPr>
            <w:r>
              <w:rPr>
                <w:rFonts w:ascii="Arial" w:cs="Arial" w:eastAsia="Arial" w:hAnsi="Arial"/>
                <w:sz w:val="15"/>
                <w:szCs w:val="15"/>
                <w:color w:val="auto"/>
              </w:rPr>
              <w:t>Products/</w:t>
            </w:r>
          </w:p>
        </w:tc>
        <w:tc>
          <w:tcPr>
            <w:tcW w:w="880" w:type="dxa"/>
            <w:vAlign w:val="bottom"/>
          </w:tcPr>
          <w:p>
            <w:pPr>
              <w:spacing w:after="0"/>
              <w:rPr>
                <w:sz w:val="7"/>
                <w:szCs w:val="7"/>
                <w:color w:val="auto"/>
              </w:rPr>
            </w:pPr>
          </w:p>
        </w:tc>
        <w:tc>
          <w:tcPr>
            <w:tcW w:w="1240" w:type="dxa"/>
            <w:vAlign w:val="bottom"/>
            <w:vMerge w:val="restart"/>
          </w:tcPr>
          <w:p>
            <w:pPr>
              <w:ind w:left="240"/>
              <w:spacing w:after="0" w:line="162" w:lineRule="exact"/>
              <w:rPr>
                <w:sz w:val="20"/>
                <w:szCs w:val="20"/>
                <w:color w:val="auto"/>
              </w:rPr>
            </w:pPr>
            <w:r>
              <w:rPr>
                <w:rFonts w:ascii="Arial" w:cs="Arial" w:eastAsia="Arial" w:hAnsi="Arial"/>
                <w:sz w:val="15"/>
                <w:szCs w:val="15"/>
                <w:color w:val="auto"/>
              </w:rPr>
              <w:t>Financial/</w:t>
            </w:r>
          </w:p>
        </w:tc>
        <w:tc>
          <w:tcPr>
            <w:tcW w:w="1280" w:type="dxa"/>
            <w:vAlign w:val="bottom"/>
            <w:vMerge w:val="continue"/>
          </w:tcPr>
          <w:p>
            <w:pPr>
              <w:spacing w:after="0"/>
              <w:rPr>
                <w:sz w:val="7"/>
                <w:szCs w:val="7"/>
                <w:color w:val="auto"/>
              </w:rPr>
            </w:pPr>
          </w:p>
        </w:tc>
        <w:tc>
          <w:tcPr>
            <w:tcW w:w="10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Inter-</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880" w:type="dxa"/>
            <w:vAlign w:val="bottom"/>
            <w:vMerge w:val="restart"/>
          </w:tcPr>
          <w:p>
            <w:pPr>
              <w:ind w:left="300"/>
              <w:spacing w:after="0" w:line="162" w:lineRule="exact"/>
              <w:rPr>
                <w:sz w:val="20"/>
                <w:szCs w:val="20"/>
                <w:color w:val="auto"/>
              </w:rPr>
            </w:pPr>
            <w:r>
              <w:rPr>
                <w:rFonts w:ascii="Arial" w:cs="Arial" w:eastAsia="Arial" w:hAnsi="Arial"/>
                <w:sz w:val="15"/>
                <w:szCs w:val="15"/>
                <w:color w:val="auto"/>
              </w:rPr>
              <w:t>Tech</w:t>
            </w:r>
          </w:p>
        </w:tc>
        <w:tc>
          <w:tcPr>
            <w:tcW w:w="1240" w:type="dxa"/>
            <w:vAlign w:val="bottom"/>
            <w:vMerge w:val="continue"/>
          </w:tcPr>
          <w:p>
            <w:pPr>
              <w:spacing w:after="0"/>
              <w:rPr>
                <w:sz w:val="7"/>
                <w:szCs w:val="7"/>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color w:val="auto"/>
              </w:rPr>
              <w:t>Management</w:t>
            </w:r>
          </w:p>
        </w:tc>
        <w:tc>
          <w:tcPr>
            <w:tcW w:w="1040" w:type="dxa"/>
            <w:vAlign w:val="bottom"/>
            <w:vMerge w:val="continue"/>
          </w:tcPr>
          <w:p>
            <w:pPr>
              <w:spacing w:after="0"/>
              <w:rPr>
                <w:sz w:val="7"/>
                <w:szCs w:val="7"/>
                <w:color w:val="auto"/>
              </w:rPr>
            </w:pPr>
          </w:p>
        </w:tc>
        <w:tc>
          <w:tcPr>
            <w:tcW w:w="1180" w:type="dxa"/>
            <w:vAlign w:val="bottom"/>
            <w:vMerge w:val="restart"/>
          </w:tcPr>
          <w:p>
            <w:pPr>
              <w:ind w:left="280"/>
              <w:spacing w:after="0" w:line="162" w:lineRule="exact"/>
              <w:rPr>
                <w:sz w:val="20"/>
                <w:szCs w:val="20"/>
                <w:color w:val="auto"/>
              </w:rPr>
            </w:pPr>
            <w:r>
              <w:rPr>
                <w:rFonts w:ascii="Arial" w:cs="Arial" w:eastAsia="Arial" w:hAnsi="Arial"/>
                <w:sz w:val="15"/>
                <w:szCs w:val="15"/>
                <w:color w:val="auto"/>
              </w:rPr>
              <w:t>Capital</w:t>
            </w:r>
          </w:p>
        </w:tc>
        <w:tc>
          <w:tcPr>
            <w:tcW w:w="0" w:type="dxa"/>
            <w:vAlign w:val="bottom"/>
          </w:tcPr>
          <w:p>
            <w:pPr>
              <w:spacing w:after="0"/>
              <w:rPr>
                <w:sz w:val="1"/>
                <w:szCs w:val="1"/>
                <w:color w:val="auto"/>
              </w:rPr>
            </w:pPr>
          </w:p>
        </w:tc>
      </w:tr>
      <w:tr>
        <w:trPr>
          <w:trHeight w:val="81"/>
        </w:trPr>
        <w:tc>
          <w:tcPr>
            <w:tcW w:w="980" w:type="dxa"/>
            <w:vAlign w:val="bottom"/>
            <w:vMerge w:val="restart"/>
          </w:tcPr>
          <w:p>
            <w:pPr>
              <w:spacing w:after="0"/>
              <w:rPr>
                <w:sz w:val="20"/>
                <w:szCs w:val="20"/>
                <w:color w:val="auto"/>
              </w:rPr>
            </w:pPr>
            <w:r>
              <w:rPr>
                <w:rFonts w:ascii="Arial" w:cs="Arial" w:eastAsia="Arial" w:hAnsi="Arial"/>
                <w:sz w:val="14"/>
                <w:szCs w:val="14"/>
                <w:color w:val="auto"/>
              </w:rPr>
              <w:t>Leadership</w:t>
            </w:r>
          </w:p>
        </w:tc>
        <w:tc>
          <w:tcPr>
            <w:tcW w:w="1300" w:type="dxa"/>
            <w:vAlign w:val="bottom"/>
            <w:vMerge w:val="restart"/>
          </w:tcPr>
          <w:p>
            <w:pPr>
              <w:ind w:left="260"/>
              <w:spacing w:after="0" w:line="162" w:lineRule="exact"/>
              <w:rPr>
                <w:sz w:val="20"/>
                <w:szCs w:val="20"/>
                <w:color w:val="auto"/>
              </w:rPr>
            </w:pPr>
            <w:r>
              <w:rPr>
                <w:rFonts w:ascii="Arial" w:cs="Arial" w:eastAsia="Arial" w:hAnsi="Arial"/>
                <w:sz w:val="15"/>
                <w:szCs w:val="15"/>
                <w:color w:val="auto"/>
              </w:rPr>
              <w:t>Customer-</w:t>
            </w:r>
          </w:p>
        </w:tc>
        <w:tc>
          <w:tcPr>
            <w:tcW w:w="880" w:type="dxa"/>
            <w:vAlign w:val="bottom"/>
            <w:vMerge w:val="continue"/>
          </w:tcPr>
          <w:p>
            <w:pPr>
              <w:spacing w:after="0"/>
              <w:rPr>
                <w:sz w:val="7"/>
                <w:szCs w:val="7"/>
                <w:color w:val="auto"/>
              </w:rPr>
            </w:pPr>
          </w:p>
        </w:tc>
        <w:tc>
          <w:tcPr>
            <w:tcW w:w="1240" w:type="dxa"/>
            <w:vAlign w:val="bottom"/>
            <w:vMerge w:val="restart"/>
          </w:tcPr>
          <w:p>
            <w:pPr>
              <w:ind w:left="240"/>
              <w:spacing w:after="0" w:line="162" w:lineRule="exact"/>
              <w:rPr>
                <w:sz w:val="20"/>
                <w:szCs w:val="20"/>
                <w:color w:val="auto"/>
              </w:rPr>
            </w:pPr>
            <w:r>
              <w:rPr>
                <w:rFonts w:ascii="Arial" w:cs="Arial" w:eastAsia="Arial" w:hAnsi="Arial"/>
                <w:sz w:val="15"/>
                <w:szCs w:val="15"/>
                <w:color w:val="auto"/>
              </w:rPr>
              <w:t>Accounting</w:t>
            </w:r>
          </w:p>
        </w:tc>
        <w:tc>
          <w:tcPr>
            <w:tcW w:w="1280" w:type="dxa"/>
            <w:vAlign w:val="bottom"/>
            <w:vMerge w:val="continue"/>
          </w:tcPr>
          <w:p>
            <w:pPr>
              <w:spacing w:after="0"/>
              <w:rPr>
                <w:sz w:val="7"/>
                <w:szCs w:val="7"/>
                <w:color w:val="auto"/>
              </w:rPr>
            </w:pPr>
          </w:p>
        </w:tc>
        <w:tc>
          <w:tcPr>
            <w:tcW w:w="1040" w:type="dxa"/>
            <w:vAlign w:val="bottom"/>
            <w:vMerge w:val="restart"/>
          </w:tcPr>
          <w:p>
            <w:pPr>
              <w:ind w:left="200"/>
              <w:spacing w:after="0" w:line="162" w:lineRule="exact"/>
              <w:rPr>
                <w:sz w:val="20"/>
                <w:szCs w:val="20"/>
                <w:color w:val="auto"/>
              </w:rPr>
            </w:pPr>
            <w:r>
              <w:rPr>
                <w:rFonts w:ascii="Arial" w:cs="Arial" w:eastAsia="Arial" w:hAnsi="Arial"/>
                <w:sz w:val="15"/>
                <w:szCs w:val="15"/>
                <w:color w:val="auto"/>
              </w:rPr>
              <w:t>national</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color w:val="auto"/>
              </w:rPr>
              <w:t>Oversight</w:t>
            </w:r>
          </w:p>
        </w:tc>
        <w:tc>
          <w:tcPr>
            <w:tcW w:w="1040" w:type="dxa"/>
            <w:vAlign w:val="bottom"/>
            <w:vMerge w:val="continue"/>
          </w:tcPr>
          <w:p>
            <w:pPr>
              <w:spacing w:after="0"/>
              <w:rPr>
                <w:sz w:val="7"/>
                <w:szCs w:val="7"/>
                <w:color w:val="auto"/>
              </w:rPr>
            </w:pPr>
          </w:p>
        </w:tc>
        <w:tc>
          <w:tcPr>
            <w:tcW w:w="1180" w:type="dxa"/>
            <w:vAlign w:val="bottom"/>
            <w:vMerge w:val="restart"/>
          </w:tcPr>
          <w:p>
            <w:pPr>
              <w:ind w:left="280"/>
              <w:spacing w:after="0"/>
              <w:rPr>
                <w:sz w:val="20"/>
                <w:szCs w:val="20"/>
                <w:color w:val="auto"/>
              </w:rPr>
            </w:pPr>
            <w:r>
              <w:rPr>
                <w:rFonts w:ascii="Arial" w:cs="Arial" w:eastAsia="Arial" w:hAnsi="Arial"/>
                <w:sz w:val="15"/>
                <w:szCs w:val="15"/>
                <w:color w:val="auto"/>
              </w:rPr>
              <w:t>Management</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300" w:type="dxa"/>
            <w:vAlign w:val="bottom"/>
            <w:vMerge w:val="restart"/>
          </w:tcPr>
          <w:p>
            <w:pPr>
              <w:ind w:left="260"/>
              <w:spacing w:after="0"/>
              <w:rPr>
                <w:sz w:val="20"/>
                <w:szCs w:val="20"/>
                <w:color w:val="auto"/>
              </w:rPr>
            </w:pPr>
            <w:r>
              <w:rPr>
                <w:rFonts w:ascii="Arial" w:cs="Arial" w:eastAsia="Arial" w:hAnsi="Arial"/>
                <w:sz w:val="15"/>
                <w:szCs w:val="15"/>
                <w:color w:val="auto"/>
              </w:rPr>
              <w:t>Oriented</w:t>
            </w: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-329565</wp:posOffset>
            </wp:positionV>
            <wp:extent cx="214630"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4630" cy="2317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-321310</wp:posOffset>
            </wp:positionV>
            <wp:extent cx="205740" cy="2139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 cy="21399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-338455</wp:posOffset>
            </wp:positionV>
            <wp:extent cx="240030" cy="2489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-321310</wp:posOffset>
            </wp:positionV>
            <wp:extent cx="20574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-321310</wp:posOffset>
            </wp:positionV>
            <wp:extent cx="20574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-329565</wp:posOffset>
            </wp:positionV>
            <wp:extent cx="205740" cy="231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23177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-312420</wp:posOffset>
            </wp:positionV>
            <wp:extent cx="205740"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197485"/>
                    </a:xfrm>
                    <a:prstGeom prst="rect">
                      <a:avLst/>
                    </a:prstGeom>
                    <a:noFill/>
                  </pic:spPr>
                </pic:pic>
              </a:graphicData>
            </a:graphic>
          </wp:anchor>
        </w:drawing>
      </w:r>
    </w:p>
    <w:p>
      <w:pPr>
        <w:spacing w:after="0" w:line="72"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Independence Determinations</w:t>
      </w:r>
    </w:p>
    <w:p>
      <w:pPr>
        <w:spacing w:after="0" w:line="121" w:lineRule="exact"/>
        <w:rPr>
          <w:sz w:val="20"/>
          <w:szCs w:val="20"/>
          <w:color w:val="auto"/>
        </w:rPr>
      </w:pPr>
    </w:p>
    <w:p>
      <w:pPr>
        <w:ind w:left="1180" w:right="1200"/>
        <w:spacing w:after="0" w:line="237" w:lineRule="auto"/>
        <w:rPr>
          <w:sz w:val="20"/>
          <w:szCs w:val="20"/>
          <w:color w:val="auto"/>
        </w:rPr>
      </w:pPr>
      <w:r>
        <w:rPr>
          <w:rFonts w:ascii="Arial" w:cs="Arial" w:eastAsia="Arial" w:hAnsi="Arial"/>
          <w:sz w:val="18"/>
          <w:szCs w:val="18"/>
          <w:color w:val="auto"/>
        </w:rPr>
        <w:t xml:space="preserve">Our Board has determined that our nonemployee directors are, and were during 2025, independent in accordance with the director independence definition specified in our corporate governance guidelines, which are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 and in accordance with the applicable rules of The Nasdaq Stock Market LLC</w:t>
      </w:r>
      <w:r>
        <w:rPr>
          <w:rFonts w:ascii="Arial" w:cs="Arial" w:eastAsia="Arial" w:hAnsi="Arial"/>
          <w:sz w:val="18"/>
          <w:szCs w:val="18"/>
          <w:i w:val="1"/>
          <w:iCs w:val="1"/>
          <w:color w:val="auto"/>
        </w:rPr>
        <w:t xml:space="preserve"> </w:t>
      </w:r>
      <w:r>
        <w:rPr>
          <w:rFonts w:ascii="Arial" w:cs="Arial" w:eastAsia="Arial" w:hAnsi="Arial"/>
          <w:sz w:val="18"/>
          <w:szCs w:val="18"/>
          <w:color w:val="auto"/>
        </w:rPr>
        <w:t>(“Nasdaq”). In making its independence determinations, our Board considered transactions and relationships between each director or any member of his or her immediate family and us, including those reported under “Related Party Transactions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and organizations at which certain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Retirement Age and Director Tenure</w:t>
      </w:r>
    </w:p>
    <w:p>
      <w:pPr>
        <w:spacing w:after="0" w:line="121" w:lineRule="exact"/>
        <w:rPr>
          <w:sz w:val="20"/>
          <w:szCs w:val="20"/>
          <w:color w:val="auto"/>
        </w:rPr>
      </w:pPr>
    </w:p>
    <w:p>
      <w:pPr>
        <w:ind w:left="1180" w:right="1320"/>
        <w:spacing w:after="0" w:line="266" w:lineRule="auto"/>
        <w:rPr>
          <w:sz w:val="20"/>
          <w:szCs w:val="20"/>
          <w:color w:val="auto"/>
        </w:rPr>
      </w:pPr>
      <w:r>
        <w:rPr>
          <w:rFonts w:ascii="Arial" w:cs="Arial" w:eastAsia="Arial" w:hAnsi="Arial"/>
          <w:sz w:val="17"/>
          <w:szCs w:val="17"/>
          <w:color w:val="auto"/>
        </w:rPr>
        <w:t>Our corporate governance guidelines require that our independent directors not stand for re-election to the Board after reaching the age of 75. We believe that our retirement policy and natural turnover achieve the appropriate balance between maintaining longer-term directors with deep institutional knowledge and refreshing the Board with new directors and different areas of expertise and knowledge.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15</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439"/>
        <w:spacing w:after="0" w:line="247" w:lineRule="auto"/>
        <w:rPr>
          <w:sz w:val="20"/>
          <w:szCs w:val="20"/>
          <w:color w:val="auto"/>
        </w:rPr>
      </w:pPr>
      <w:r>
        <w:rPr>
          <w:rFonts w:ascii="Arial" w:cs="Arial" w:eastAsia="Arial" w:hAnsi="Arial"/>
          <w:sz w:val="18"/>
          <w:szCs w:val="18"/>
          <w:color w:val="auto"/>
        </w:rPr>
        <w:t>Our Board considers director tenure in connection with its independence determinations, even though neither our corporate governance guidelines nor Nasdaq or SEC rules deem a long-tenured director not independent. Following the annual meeting of shareholders, if all director nominees are elected to serve as our directors, the average tenure of our independent directors will be nine years.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25"/>
          <w:szCs w:val="25"/>
          <w:color w:val="auto"/>
        </w:rPr>
        <w:t>Director Nominations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Identifying and Evaluating Director Nominees</w:t>
      </w:r>
    </w:p>
    <w:p>
      <w:pPr>
        <w:spacing w:after="0" w:line="106" w:lineRule="exact"/>
        <w:rPr>
          <w:sz w:val="20"/>
          <w:szCs w:val="20"/>
          <w:color w:val="auto"/>
        </w:rPr>
      </w:pPr>
    </w:p>
    <w:p>
      <w:pPr>
        <w:ind w:left="320" w:right="339"/>
        <w:spacing w:after="0"/>
        <w:rPr>
          <w:sz w:val="20"/>
          <w:szCs w:val="20"/>
          <w:color w:val="auto"/>
        </w:rPr>
      </w:pPr>
      <w:r>
        <w:rPr>
          <w:rFonts w:ascii="Arial" w:cs="Arial" w:eastAsia="Arial" w:hAnsi="Arial"/>
          <w:sz w:val="18"/>
          <w:szCs w:val="18"/>
          <w:color w:val="auto"/>
        </w:rPr>
        <w:t>Our Governance Committee will consider director candidates recommended by shareholders and will evaluate any such candidates in a similar manner as any other candidates. In identifying and evaluating candidates, whether recommended by the Governance Committee or by shareholders, the Governance Committee will consider the attributes outlined above in “Director Skills and Experience,” as well as applicable independence requirements. All of our nominees are current directors and were elected by the shareholders at our 2025 annual meeting, other than Gordon Smith who joined the Board in February 2026.</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Shareholder Nominees</w:t>
      </w:r>
    </w:p>
    <w:p>
      <w:pPr>
        <w:spacing w:after="0" w:line="106" w:lineRule="exact"/>
        <w:rPr>
          <w:sz w:val="20"/>
          <w:szCs w:val="20"/>
          <w:color w:val="auto"/>
        </w:rPr>
      </w:pPr>
    </w:p>
    <w:p>
      <w:pPr>
        <w:ind w:left="320" w:right="339"/>
        <w:spacing w:after="0"/>
        <w:rPr>
          <w:sz w:val="20"/>
          <w:szCs w:val="20"/>
          <w:color w:val="auto"/>
        </w:rPr>
      </w:pPr>
      <w:r>
        <w:rPr>
          <w:rFonts w:ascii="Arial" w:cs="Arial" w:eastAsia="Arial" w:hAnsi="Arial"/>
          <w:sz w:val="18"/>
          <w:szCs w:val="18"/>
          <w:color w:val="auto"/>
        </w:rPr>
        <w:t>To submit a nomination for the election of directors, shareholders must provide a written notice in accordance with Section 3.10 of our bylaws. For the election of directors at the 2027 annual meeting of shareholders, if such meeting is called for a date between May 11, 2027 and July 10, 2027, we must receive written notice at the mailing address given on page 65 on or after February 10, 2027 and no later than the close of business on March 12, 2027. If we call the 2027 annual meeting of shareholders for any other date, we must receive written notice no later than the close of business on the tenth day following the day on which we first make a public announcement of the date of the meeting.</w:t>
      </w:r>
    </w:p>
    <w:p>
      <w:pPr>
        <w:spacing w:after="0" w:line="77" w:lineRule="exact"/>
        <w:rPr>
          <w:sz w:val="20"/>
          <w:szCs w:val="20"/>
          <w:color w:val="auto"/>
        </w:rPr>
      </w:pPr>
    </w:p>
    <w:p>
      <w:pPr>
        <w:ind w:left="320" w:right="359"/>
        <w:spacing w:after="0" w:line="238" w:lineRule="auto"/>
        <w:rPr>
          <w:sz w:val="20"/>
          <w:szCs w:val="20"/>
          <w:color w:val="auto"/>
        </w:rPr>
      </w:pPr>
      <w:r>
        <w:rPr>
          <w:rFonts w:ascii="Arial" w:cs="Arial" w:eastAsia="Arial" w:hAnsi="Arial"/>
          <w:sz w:val="18"/>
          <w:szCs w:val="18"/>
          <w:color w:val="auto"/>
        </w:rPr>
        <w:t>In addition, in accordance with Section 3.11 of our bylaws,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Written notice of proxy access director nominees for the election of directors at the 2027 annual meeting of shareholders, if such meeting is called for a date between May 11, 2027 and July 10, 2027, must be received at the mailing address given on page 65 on or after November 25, 2026 and no later than the close of business on December 25, 2026. If such meeting is called for any other date, we must receive written notice no later than the close of business on the later of the date that is 180 days prior to such meeting or the tenth day following the day on which we first make a public announcement of the date of the meeting.</w:t>
      </w:r>
    </w:p>
    <w:p>
      <w:pPr>
        <w:spacing w:after="0" w:line="78" w:lineRule="exact"/>
        <w:rPr>
          <w:sz w:val="20"/>
          <w:szCs w:val="20"/>
          <w:color w:val="auto"/>
        </w:rPr>
      </w:pPr>
    </w:p>
    <w:p>
      <w:pPr>
        <w:ind w:left="320" w:right="539"/>
        <w:spacing w:after="0" w:line="247" w:lineRule="auto"/>
        <w:rPr>
          <w:sz w:val="20"/>
          <w:szCs w:val="20"/>
          <w:color w:val="auto"/>
        </w:rPr>
      </w:pPr>
      <w:r>
        <w:rPr>
          <w:rFonts w:ascii="Arial" w:cs="Arial" w:eastAsia="Arial" w:hAnsi="Arial"/>
          <w:sz w:val="18"/>
          <w:szCs w:val="18"/>
          <w:color w:val="auto"/>
        </w:rPr>
        <w:t xml:space="preserve">Shareholders can obtain a copy of our bylaws by writing to Thomas J. Reid, Secretary, Comcast Corporation, at the mailing address given on page 65. A copy of our bylaws is filed with the SEC as an exhibit to our Annual Report on Form 10-K for the year ended December 31, 2025 and is posted under “Corporate Governance” in the Investors section of our website at </w:t>
      </w:r>
      <w:r>
        <w:rPr>
          <w:rFonts w:ascii="Arial" w:cs="Arial" w:eastAsia="Arial" w:hAnsi="Arial"/>
          <w:sz w:val="18"/>
          <w:szCs w:val="18"/>
          <w:i w:val="1"/>
          <w:iCs w:val="1"/>
          <w:color w:val="auto"/>
        </w:rPr>
        <w:t>www.cmcsa.com.</w:t>
      </w:r>
    </w:p>
    <w:p>
      <w:pPr>
        <w:spacing w:after="0" w:line="200" w:lineRule="exact"/>
        <w:rPr>
          <w:sz w:val="20"/>
          <w:szCs w:val="20"/>
          <w:color w:val="auto"/>
        </w:rPr>
      </w:pPr>
    </w:p>
    <w:p>
      <w:pPr>
        <w:spacing w:after="0" w:line="299" w:lineRule="exact"/>
        <w:rPr>
          <w:sz w:val="20"/>
          <w:szCs w:val="20"/>
          <w:color w:val="auto"/>
        </w:rPr>
      </w:pPr>
    </w:p>
    <w:p>
      <w:pPr>
        <w:ind w:left="1000" w:hanging="674"/>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9" w:name="page20"/>
    <w:bookmarkEnd w:id="1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Board Structure and Responsibilities</w:t>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Board Leadership Structure</w:t>
      </w:r>
    </w:p>
    <w:p>
      <w:pPr>
        <w:spacing w:after="0" w:line="121" w:lineRule="exact"/>
        <w:rPr>
          <w:sz w:val="20"/>
          <w:szCs w:val="20"/>
          <w:color w:val="auto"/>
        </w:rPr>
      </w:pPr>
    </w:p>
    <w:p>
      <w:pPr>
        <w:ind w:left="1180" w:right="1300"/>
        <w:spacing w:after="0"/>
        <w:rPr>
          <w:sz w:val="20"/>
          <w:szCs w:val="20"/>
          <w:color w:val="auto"/>
        </w:rPr>
      </w:pPr>
      <w:r>
        <w:rPr>
          <w:rFonts w:ascii="Arial" w:cs="Arial" w:eastAsia="Arial" w:hAnsi="Arial"/>
          <w:sz w:val="18"/>
          <w:szCs w:val="18"/>
          <w:color w:val="auto"/>
        </w:rPr>
        <w:t>Our Board believes that our company and shareholders are best served by maintaining the flexibility for the Board to split or combine the offices of Chairman and Chief Executive Officer depending upon the best interests of our company at a given point in time. To that end, our Governance Committee and Board regularly review our Board leadership structure to ensure that the most appropriate structure is in place. These reviews may consider a variety of factors, such as our state corporation laws, our governance practices, the efficiency and effectiveness of our existing Board leadership structure and feedback from our Board members as well as shareholders on our Board and its leadership structure.</w:t>
      </w:r>
    </w:p>
    <w:p>
      <w:pPr>
        <w:spacing w:after="0" w:line="77" w:lineRule="exact"/>
        <w:rPr>
          <w:sz w:val="20"/>
          <w:szCs w:val="20"/>
          <w:color w:val="auto"/>
        </w:rPr>
      </w:pPr>
    </w:p>
    <w:p>
      <w:pPr>
        <w:ind w:left="1180" w:right="1240"/>
        <w:spacing w:after="0"/>
        <w:rPr>
          <w:sz w:val="20"/>
          <w:szCs w:val="20"/>
          <w:color w:val="auto"/>
        </w:rPr>
      </w:pPr>
      <w:r>
        <w:rPr>
          <w:rFonts w:ascii="Arial" w:cs="Arial" w:eastAsia="Arial" w:hAnsi="Arial"/>
          <w:sz w:val="18"/>
          <w:szCs w:val="18"/>
          <w:color w:val="auto"/>
        </w:rPr>
        <w:t>Our Board currently believes that we and our shareholders continue to be best served by having Mr. Roberts serve as both our Chairman and co-CEO, working together with a strong Lead Independent Director. Mr. Roberts is a strong and effective leader, at both the company and Board levels, who – together with Mr. Cavanagh, who was elevated to co-CEO in January 2026 – provides critical leadership in carrying out our strategic initiatives and confronting our challenges. Mr. Roberts serves as an effective bridge between the Board and management, facilitating strong collaboration and encouraging open lines of communication with the Board. In his role as Chairman, he also brings to Board discussions extensive knowledge of all aspects of our current business, operations and risks.</w:t>
      </w:r>
    </w:p>
    <w:p>
      <w:pPr>
        <w:spacing w:after="0" w:line="72" w:lineRule="exact"/>
        <w:rPr>
          <w:sz w:val="20"/>
          <w:szCs w:val="20"/>
          <w:color w:val="auto"/>
        </w:rPr>
      </w:pPr>
    </w:p>
    <w:p>
      <w:pPr>
        <w:ind w:left="1180" w:right="1400"/>
        <w:spacing w:after="0" w:line="253" w:lineRule="auto"/>
        <w:rPr>
          <w:sz w:val="20"/>
          <w:szCs w:val="20"/>
          <w:color w:val="auto"/>
        </w:rPr>
      </w:pPr>
      <w:r>
        <w:rPr>
          <w:rFonts w:ascii="Arial" w:cs="Arial" w:eastAsia="Arial" w:hAnsi="Arial"/>
          <w:sz w:val="18"/>
          <w:szCs w:val="18"/>
          <w:color w:val="auto"/>
        </w:rPr>
        <w:t>In addition to our combined Chairman and co-CEO role, our independent directors are led by our Lead Independent Director, who ensures a strong, independent and active Board by promoting effective communication and consideration of strategy and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59055</wp:posOffset>
            </wp:positionV>
            <wp:extent cx="5306060" cy="386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06060" cy="386080"/>
                    </a:xfrm>
                    <a:prstGeom prst="rect">
                      <a:avLst/>
                    </a:prstGeom>
                    <a:noFill/>
                  </pic:spPr>
                </pic:pic>
              </a:graphicData>
            </a:graphic>
          </wp:anchor>
        </w:drawing>
      </w:r>
    </w:p>
    <w:p>
      <w:pPr>
        <w:spacing w:after="0" w:line="99"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FFFFFF"/>
        </w:rPr>
        <w:t>Edward D. Breen</w:t>
      </w:r>
    </w:p>
    <w:p>
      <w:pPr>
        <w:spacing w:after="0" w:line="54" w:lineRule="exact"/>
        <w:rPr>
          <w:sz w:val="20"/>
          <w:szCs w:val="20"/>
          <w:color w:val="auto"/>
        </w:rPr>
      </w:pPr>
    </w:p>
    <w:p>
      <w:pPr>
        <w:ind w:left="1320"/>
        <w:spacing w:after="0"/>
        <w:rPr>
          <w:sz w:val="20"/>
          <w:szCs w:val="20"/>
          <w:color w:val="auto"/>
        </w:rPr>
      </w:pPr>
      <w:r>
        <w:rPr>
          <w:rFonts w:ascii="Arial" w:cs="Arial" w:eastAsia="Arial" w:hAnsi="Arial"/>
          <w:sz w:val="18"/>
          <w:szCs w:val="18"/>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43180</wp:posOffset>
            </wp:positionV>
            <wp:extent cx="5306060" cy="267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06060" cy="2674620"/>
                    </a:xfrm>
                    <a:prstGeom prst="rect">
                      <a:avLst/>
                    </a:prstGeom>
                    <a:noFill/>
                  </pic:spPr>
                </pic:pic>
              </a:graphicData>
            </a:graphic>
          </wp:anchor>
        </w:drawing>
      </w:r>
    </w:p>
    <w:p>
      <w:pPr>
        <w:spacing w:after="0" w:line="94" w:lineRule="exact"/>
        <w:rPr>
          <w:sz w:val="20"/>
          <w:szCs w:val="20"/>
          <w:color w:val="auto"/>
        </w:rPr>
      </w:pPr>
    </w:p>
    <w:p>
      <w:pPr>
        <w:ind w:left="1320" w:right="1260"/>
        <w:spacing w:after="0" w:line="267" w:lineRule="auto"/>
        <w:rPr>
          <w:sz w:val="20"/>
          <w:szCs w:val="20"/>
          <w:color w:val="auto"/>
        </w:rPr>
      </w:pPr>
      <w:r>
        <w:rPr>
          <w:rFonts w:ascii="Arial" w:cs="Arial" w:eastAsia="Arial" w:hAnsi="Arial"/>
          <w:sz w:val="17"/>
          <w:szCs w:val="17"/>
          <w:color w:val="auto"/>
        </w:rPr>
        <w:t>In accordance with our corporate governance guidelines, our Board has a strong Lead Independent Director position, currently filled by Mr. Breen. The Lead Independent Director:</w:t>
      </w:r>
    </w:p>
    <w:p>
      <w:pPr>
        <w:sectPr>
          <w:pgSz w:w="11900" w:h="16838" w:orient="portrait"/>
          <w:cols w:equalWidth="0" w:num="1">
            <w:col w:w="10720"/>
          </w:cols>
          <w:pgMar w:left="580" w:top="229" w:right="599" w:bottom="1440" w:gutter="0" w:footer="0" w:header="0"/>
        </w:sectPr>
      </w:pPr>
    </w:p>
    <w:p>
      <w:pPr>
        <w:spacing w:after="0" w:line="92" w:lineRule="exact"/>
        <w:rPr>
          <w:sz w:val="20"/>
          <w:szCs w:val="20"/>
          <w:color w:val="auto"/>
        </w:rPr>
      </w:pPr>
    </w:p>
    <w:p>
      <w:pPr>
        <w:ind w:left="1500" w:right="80" w:hanging="185"/>
        <w:spacing w:after="0" w:line="241" w:lineRule="auto"/>
        <w:tabs>
          <w:tab w:leader="none" w:pos="1685" w:val="left"/>
        </w:tabs>
        <w:numPr>
          <w:ilvl w:val="0"/>
          <w:numId w:val="26"/>
        </w:numPr>
        <w:rPr>
          <w:rFonts w:ascii="Arial" w:cs="Arial" w:eastAsia="Arial" w:hAnsi="Arial"/>
          <w:sz w:val="17"/>
          <w:szCs w:val="17"/>
          <w:color w:val="00A0DD"/>
        </w:rPr>
      </w:pPr>
      <w:r>
        <w:rPr>
          <w:rFonts w:ascii="Arial" w:cs="Arial" w:eastAsia="Arial" w:hAnsi="Arial"/>
          <w:sz w:val="17"/>
          <w:szCs w:val="17"/>
          <w:color w:val="auto"/>
        </w:rPr>
        <w:t>Presides at meetings of the Board at which the Chairman is not present, including executive sessions of the independent directors that are held at almost all regularly scheduled Board meetings.</w:t>
      </w:r>
    </w:p>
    <w:p>
      <w:pPr>
        <w:spacing w:after="0" w:line="44" w:lineRule="exact"/>
        <w:rPr>
          <w:rFonts w:ascii="Arial" w:cs="Arial" w:eastAsia="Arial" w:hAnsi="Arial"/>
          <w:sz w:val="17"/>
          <w:szCs w:val="17"/>
          <w:color w:val="00A0DD"/>
        </w:rPr>
      </w:pPr>
    </w:p>
    <w:p>
      <w:pPr>
        <w:ind w:left="1500" w:right="60" w:hanging="185"/>
        <w:spacing w:after="0" w:line="241" w:lineRule="auto"/>
        <w:tabs>
          <w:tab w:leader="none" w:pos="1685" w:val="left"/>
        </w:tabs>
        <w:numPr>
          <w:ilvl w:val="0"/>
          <w:numId w:val="26"/>
        </w:numPr>
        <w:rPr>
          <w:rFonts w:ascii="Arial" w:cs="Arial" w:eastAsia="Arial" w:hAnsi="Arial"/>
          <w:sz w:val="17"/>
          <w:szCs w:val="17"/>
          <w:color w:val="00A0DD"/>
        </w:rPr>
      </w:pPr>
      <w:r>
        <w:rPr>
          <w:rFonts w:ascii="Arial" w:cs="Arial" w:eastAsia="Arial" w:hAnsi="Arial"/>
          <w:sz w:val="17"/>
          <w:szCs w:val="17"/>
          <w:color w:val="auto"/>
        </w:rPr>
        <w:t>Facilitates communication between the Chairman and the independent directors and encourages director participation by fostering an environment of open dialogue and constructive feedback.</w:t>
      </w:r>
    </w:p>
    <w:p>
      <w:pPr>
        <w:spacing w:after="0" w:line="31" w:lineRule="exact"/>
        <w:rPr>
          <w:rFonts w:ascii="Arial" w:cs="Arial" w:eastAsia="Arial" w:hAnsi="Arial"/>
          <w:sz w:val="17"/>
          <w:szCs w:val="17"/>
          <w:color w:val="00A0DD"/>
        </w:rPr>
      </w:pPr>
    </w:p>
    <w:p>
      <w:pPr>
        <w:ind w:left="1500" w:hanging="185"/>
        <w:spacing w:after="0" w:line="241" w:lineRule="auto"/>
        <w:tabs>
          <w:tab w:leader="none" w:pos="1685" w:val="left"/>
        </w:tabs>
        <w:numPr>
          <w:ilvl w:val="0"/>
          <w:numId w:val="26"/>
        </w:numPr>
        <w:rPr>
          <w:rFonts w:ascii="Arial" w:cs="Arial" w:eastAsia="Arial" w:hAnsi="Arial"/>
          <w:sz w:val="17"/>
          <w:szCs w:val="17"/>
          <w:color w:val="00A0DD"/>
        </w:rPr>
      </w:pPr>
      <w:r>
        <w:rPr>
          <w:rFonts w:ascii="Arial" w:cs="Arial" w:eastAsia="Arial" w:hAnsi="Arial"/>
          <w:sz w:val="17"/>
          <w:szCs w:val="17"/>
          <w:color w:val="auto"/>
        </w:rPr>
        <w:t>Communicates periodically as necessary between Board meetings and executive sessions with our independent directors and with management on topics of importance to our independent directors.</w:t>
      </w:r>
    </w:p>
    <w:p>
      <w:pPr>
        <w:spacing w:after="0" w:line="31" w:lineRule="exact"/>
        <w:rPr>
          <w:rFonts w:ascii="Arial" w:cs="Arial" w:eastAsia="Arial" w:hAnsi="Arial"/>
          <w:sz w:val="17"/>
          <w:szCs w:val="17"/>
          <w:color w:val="00A0DD"/>
        </w:rPr>
      </w:pPr>
    </w:p>
    <w:p>
      <w:pPr>
        <w:ind w:left="1500" w:right="400" w:hanging="185"/>
        <w:spacing w:after="0" w:line="249" w:lineRule="auto"/>
        <w:tabs>
          <w:tab w:leader="none" w:pos="1685" w:val="left"/>
        </w:tabs>
        <w:numPr>
          <w:ilvl w:val="0"/>
          <w:numId w:val="26"/>
        </w:numPr>
        <w:rPr>
          <w:rFonts w:ascii="Arial" w:cs="Arial" w:eastAsia="Arial" w:hAnsi="Arial"/>
          <w:sz w:val="17"/>
          <w:szCs w:val="17"/>
          <w:color w:val="00A0DD"/>
        </w:rPr>
      </w:pPr>
      <w:r>
        <w:rPr>
          <w:rFonts w:ascii="Arial" w:cs="Arial" w:eastAsia="Arial" w:hAnsi="Arial"/>
          <w:sz w:val="17"/>
          <w:szCs w:val="17"/>
          <w:color w:val="auto"/>
        </w:rPr>
        <w:t>Is authorized to schedule meetings of the independent directors, including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-11430</wp:posOffset>
            </wp:positionV>
            <wp:extent cx="530606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0606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92" w:right="1280" w:hanging="192"/>
        <w:spacing w:after="0" w:line="244" w:lineRule="auto"/>
        <w:tabs>
          <w:tab w:leader="none" w:pos="377" w:val="left"/>
        </w:tabs>
        <w:numPr>
          <w:ilvl w:val="0"/>
          <w:numId w:val="27"/>
        </w:numPr>
        <w:rPr>
          <w:rFonts w:ascii="Arial" w:cs="Arial" w:eastAsia="Arial" w:hAnsi="Arial"/>
          <w:sz w:val="17"/>
          <w:szCs w:val="17"/>
          <w:color w:val="00A0DD"/>
        </w:rPr>
      </w:pPr>
      <w:r>
        <w:rPr>
          <w:rFonts w:ascii="Arial" w:cs="Arial" w:eastAsia="Arial" w:hAnsi="Arial"/>
          <w:sz w:val="17"/>
          <w:szCs w:val="17"/>
          <w:color w:val="auto"/>
        </w:rPr>
        <w:t>Is authorized to review and approve agendas, materials and schedules for Board meetings, which may include matters relating to significant risks of our company.</w:t>
      </w:r>
    </w:p>
    <w:p>
      <w:pPr>
        <w:spacing w:after="0" w:line="42" w:lineRule="exact"/>
        <w:rPr>
          <w:rFonts w:ascii="Arial" w:cs="Arial" w:eastAsia="Arial" w:hAnsi="Arial"/>
          <w:sz w:val="17"/>
          <w:szCs w:val="17"/>
          <w:color w:val="00A0DD"/>
        </w:rPr>
      </w:pPr>
    </w:p>
    <w:p>
      <w:pPr>
        <w:ind w:left="192" w:right="1440" w:hanging="192"/>
        <w:spacing w:after="0" w:line="244" w:lineRule="auto"/>
        <w:tabs>
          <w:tab w:leader="none" w:pos="377" w:val="left"/>
        </w:tabs>
        <w:numPr>
          <w:ilvl w:val="0"/>
          <w:numId w:val="27"/>
        </w:numPr>
        <w:rPr>
          <w:rFonts w:ascii="Arial" w:cs="Arial" w:eastAsia="Arial" w:hAnsi="Arial"/>
          <w:sz w:val="17"/>
          <w:szCs w:val="17"/>
          <w:color w:val="00A0DD"/>
        </w:rPr>
      </w:pPr>
      <w:r>
        <w:rPr>
          <w:rFonts w:ascii="Arial" w:cs="Arial" w:eastAsia="Arial" w:hAnsi="Arial"/>
          <w:sz w:val="17"/>
          <w:szCs w:val="17"/>
          <w:color w:val="auto"/>
        </w:rPr>
        <w:t>With the Compensation and Human Capital Committee (“Compensation Committee”), organizes the annual Board evaluation of the performance of our senior management.</w:t>
      </w:r>
    </w:p>
    <w:p>
      <w:pPr>
        <w:spacing w:after="0" w:line="28" w:lineRule="exact"/>
        <w:rPr>
          <w:rFonts w:ascii="Arial" w:cs="Arial" w:eastAsia="Arial" w:hAnsi="Arial"/>
          <w:sz w:val="17"/>
          <w:szCs w:val="17"/>
          <w:color w:val="00A0DD"/>
        </w:rPr>
      </w:pPr>
    </w:p>
    <w:p>
      <w:pPr>
        <w:ind w:left="192" w:right="1240" w:hanging="192"/>
        <w:spacing w:after="0" w:line="249" w:lineRule="auto"/>
        <w:tabs>
          <w:tab w:leader="none" w:pos="377" w:val="left"/>
        </w:tabs>
        <w:numPr>
          <w:ilvl w:val="0"/>
          <w:numId w:val="27"/>
        </w:numPr>
        <w:rPr>
          <w:rFonts w:ascii="Arial" w:cs="Arial" w:eastAsia="Arial" w:hAnsi="Arial"/>
          <w:sz w:val="17"/>
          <w:szCs w:val="17"/>
          <w:color w:val="00A0DD"/>
        </w:rPr>
      </w:pPr>
      <w:r>
        <w:rPr>
          <w:rFonts w:ascii="Arial" w:cs="Arial" w:eastAsia="Arial" w:hAnsi="Arial"/>
          <w:sz w:val="17"/>
          <w:szCs w:val="17"/>
          <w:color w:val="auto"/>
        </w:rPr>
        <w:t>With the Governance Committee, reviews and approves the process for the annual self-assessment of our Board and its committees.</w:t>
      </w:r>
    </w:p>
    <w:p>
      <w:pPr>
        <w:spacing w:after="0" w:line="26" w:lineRule="exact"/>
        <w:rPr>
          <w:rFonts w:ascii="Arial" w:cs="Arial" w:eastAsia="Arial" w:hAnsi="Arial"/>
          <w:sz w:val="17"/>
          <w:szCs w:val="17"/>
          <w:color w:val="00A0DD"/>
        </w:rPr>
      </w:pPr>
    </w:p>
    <w:p>
      <w:pPr>
        <w:ind w:left="192" w:right="1500" w:hanging="192"/>
        <w:spacing w:after="0" w:line="244" w:lineRule="auto"/>
        <w:tabs>
          <w:tab w:leader="none" w:pos="377" w:val="left"/>
        </w:tabs>
        <w:numPr>
          <w:ilvl w:val="0"/>
          <w:numId w:val="27"/>
        </w:numPr>
        <w:rPr>
          <w:rFonts w:ascii="Arial" w:cs="Arial" w:eastAsia="Arial" w:hAnsi="Arial"/>
          <w:sz w:val="17"/>
          <w:szCs w:val="17"/>
          <w:color w:val="00A0DD"/>
        </w:rPr>
      </w:pPr>
      <w:r>
        <w:rPr>
          <w:rFonts w:ascii="Arial" w:cs="Arial" w:eastAsia="Arial" w:hAnsi="Arial"/>
          <w:sz w:val="17"/>
          <w:szCs w:val="17"/>
          <w:color w:val="auto"/>
        </w:rPr>
        <w:t>Represents independent directors in communications with external constituencies, including significant shareholders, as appropriate.</w:t>
      </w:r>
    </w:p>
    <w:p>
      <w:pPr>
        <w:spacing w:after="0" w:line="747" w:lineRule="exact"/>
        <w:rPr>
          <w:sz w:val="20"/>
          <w:szCs w:val="20"/>
          <w:color w:val="auto"/>
        </w:rPr>
      </w:pPr>
    </w:p>
    <w:p>
      <w:pPr>
        <w:sectPr>
          <w:pgSz w:w="11900" w:h="16838" w:orient="portrait"/>
          <w:cols w:equalWidth="0" w:num="2">
            <w:col w:w="5220" w:space="388"/>
            <w:col w:w="5112"/>
          </w:cols>
          <w:pgMar w:left="580" w:top="229" w:right="599" w:bottom="1440" w:gutter="0" w:footer="0" w:header="0"/>
          <w:type w:val="continuous"/>
        </w:sectPr>
      </w:pPr>
    </w:p>
    <w:p>
      <w:pPr>
        <w:ind w:left="1180" w:right="1420"/>
        <w:spacing w:after="0" w:line="247" w:lineRule="auto"/>
        <w:rPr>
          <w:sz w:val="20"/>
          <w:szCs w:val="20"/>
          <w:color w:val="auto"/>
        </w:rPr>
      </w:pPr>
      <w:r>
        <w:rPr>
          <w:rFonts w:ascii="Arial" w:cs="Arial" w:eastAsia="Arial" w:hAnsi="Arial"/>
          <w:sz w:val="18"/>
          <w:szCs w:val="18"/>
          <w:color w:val="auto"/>
        </w:rPr>
        <w:t>The role of Lead Independent Director is filled by an independent director recommended by the Governance Committee, which is chaired by and composed entirely of independent directors, and appointed by the independent directors of the Board annually. In recommending Mr. Breen to serve as our Lead Independent</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17</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20" w:name="page21"/>
    <w:bookmarkEnd w:id="2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559"/>
        <w:spacing w:after="0" w:line="271" w:lineRule="auto"/>
        <w:rPr>
          <w:sz w:val="20"/>
          <w:szCs w:val="20"/>
          <w:color w:val="auto"/>
        </w:rPr>
      </w:pPr>
      <w:r>
        <w:rPr>
          <w:rFonts w:ascii="Arial" w:cs="Arial" w:eastAsia="Arial" w:hAnsi="Arial"/>
          <w:sz w:val="18"/>
          <w:szCs w:val="18"/>
          <w:color w:val="auto"/>
        </w:rPr>
        <w:t>Director, our Governance Committee considered, among other qualifications, his extensive experience as a board chairman and chief executive officer seasoned in board-level risk oversight.</w:t>
      </w:r>
    </w:p>
    <w:p>
      <w:pPr>
        <w:spacing w:after="0" w:line="46" w:lineRule="exact"/>
        <w:rPr>
          <w:sz w:val="20"/>
          <w:szCs w:val="20"/>
          <w:color w:val="auto"/>
        </w:rPr>
      </w:pPr>
    </w:p>
    <w:p>
      <w:pPr>
        <w:ind w:left="320" w:right="399"/>
        <w:spacing w:after="0" w:line="259" w:lineRule="auto"/>
        <w:rPr>
          <w:sz w:val="20"/>
          <w:szCs w:val="20"/>
          <w:color w:val="auto"/>
        </w:rPr>
      </w:pPr>
      <w:r>
        <w:rPr>
          <w:rFonts w:ascii="Arial" w:cs="Arial" w:eastAsia="Arial" w:hAnsi="Arial"/>
          <w:sz w:val="17"/>
          <w:szCs w:val="17"/>
          <w:color w:val="auto"/>
        </w:rPr>
        <w:t>Our Board believes that board independence and oversight of management are effectively maintained, and management plans are critically reviewed, through our existing governance structure and policies. The composition of our Board evolves gradually over time, which provides stability and experience, but the processes by which the Board works are dynamic and are designed to address the most critical risks and circumstances prevailing at any point in time. In addition to the Lead Independent Director position, we have strong and effective governance practices that support independent Board oversight, including:</w:t>
      </w:r>
    </w:p>
    <w:p>
      <w:pPr>
        <w:spacing w:after="0" w:line="30" w:lineRule="exact"/>
        <w:rPr>
          <w:sz w:val="20"/>
          <w:szCs w:val="20"/>
          <w:color w:val="auto"/>
        </w:rPr>
      </w:pPr>
    </w:p>
    <w:p>
      <w:pPr>
        <w:ind w:left="520" w:right="999" w:hanging="196"/>
        <w:spacing w:after="0" w:line="270" w:lineRule="auto"/>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Board independence and oversight of management effectively maintained through the Board’s composition, where nine of 11 of our director nominees are independent.</w:t>
      </w:r>
    </w:p>
    <w:p>
      <w:pPr>
        <w:spacing w:after="0" w:line="5" w:lineRule="exact"/>
        <w:rPr>
          <w:rFonts w:ascii="Times New Roman" w:cs="Times New Roman" w:eastAsia="Times New Roman" w:hAnsi="Times New Roman"/>
          <w:sz w:val="18"/>
          <w:szCs w:val="18"/>
          <w:color w:val="00A0DD"/>
        </w:rPr>
      </w:pPr>
    </w:p>
    <w:p>
      <w:pPr>
        <w:ind w:left="520" w:right="739" w:hanging="196"/>
        <w:spacing w:after="0" w:line="270" w:lineRule="auto"/>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All Board-level committees (Audit, Compensation and Governance) are chaired by and composed entirely of independent directors, and appointed by the Board annually.</w:t>
      </w:r>
    </w:p>
    <w:p>
      <w:pPr>
        <w:spacing w:after="0" w:line="5" w:lineRule="exact"/>
        <w:rPr>
          <w:rFonts w:ascii="Times New Roman" w:cs="Times New Roman" w:eastAsia="Times New Roman" w:hAnsi="Times New Roman"/>
          <w:sz w:val="18"/>
          <w:szCs w:val="18"/>
          <w:color w:val="00A0DD"/>
        </w:rPr>
      </w:pPr>
    </w:p>
    <w:p>
      <w:pPr>
        <w:ind w:left="520" w:hanging="196"/>
        <w:spacing w:after="0"/>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All directors have access to management, external experts and independent auditors.</w:t>
      </w:r>
    </w:p>
    <w:p>
      <w:pPr>
        <w:spacing w:after="0" w:line="89" w:lineRule="exact"/>
        <w:rPr>
          <w:rFonts w:ascii="Times New Roman" w:cs="Times New Roman" w:eastAsia="Times New Roman" w:hAnsi="Times New Roman"/>
          <w:sz w:val="18"/>
          <w:szCs w:val="18"/>
          <w:color w:val="00A0DD"/>
        </w:rPr>
      </w:pPr>
    </w:p>
    <w:p>
      <w:pPr>
        <w:ind w:left="520" w:right="339" w:hanging="196"/>
        <w:spacing w:after="0" w:line="246" w:lineRule="auto"/>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Independent directors regularly meet in executive sessions without management present, chaired at our Board by our Lead Independent Director and at committees by committee chairs, to review, among other things, our strategy and risks, operating and financial performance, management effectiveness and succession planning.</w:t>
      </w:r>
    </w:p>
    <w:p>
      <w:pPr>
        <w:spacing w:after="0" w:line="28" w:lineRule="exact"/>
        <w:rPr>
          <w:rFonts w:ascii="Times New Roman" w:cs="Times New Roman" w:eastAsia="Times New Roman" w:hAnsi="Times New Roman"/>
          <w:sz w:val="18"/>
          <w:szCs w:val="18"/>
          <w:color w:val="00A0DD"/>
        </w:rPr>
      </w:pPr>
    </w:p>
    <w:p>
      <w:pPr>
        <w:ind w:left="520" w:right="459" w:hanging="196"/>
        <w:spacing w:after="0" w:line="246" w:lineRule="auto"/>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Annual Board assessment process includes independent director input (which includes the Lead Independent Director) for Board and committee meeting agendas on key business and risk topics, director educational topics and the design, composition and effectiveness of our Board, its leadership structure and Board committees.</w:t>
      </w:r>
    </w:p>
    <w:p>
      <w:pPr>
        <w:spacing w:after="0" w:line="28" w:lineRule="exact"/>
        <w:rPr>
          <w:rFonts w:ascii="Times New Roman" w:cs="Times New Roman" w:eastAsia="Times New Roman" w:hAnsi="Times New Roman"/>
          <w:sz w:val="18"/>
          <w:szCs w:val="18"/>
          <w:color w:val="00A0DD"/>
        </w:rPr>
      </w:pPr>
    </w:p>
    <w:p>
      <w:pPr>
        <w:ind w:left="520" w:hanging="196"/>
        <w:spacing w:after="0"/>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All directors may suggest inclusion of additional subjects on Board or committee agendas.</w:t>
      </w:r>
    </w:p>
    <w:p>
      <w:pPr>
        <w:spacing w:after="0" w:line="89" w:lineRule="exact"/>
        <w:rPr>
          <w:rFonts w:ascii="Times New Roman" w:cs="Times New Roman" w:eastAsia="Times New Roman" w:hAnsi="Times New Roman"/>
          <w:sz w:val="18"/>
          <w:szCs w:val="18"/>
          <w:color w:val="00A0DD"/>
        </w:rPr>
      </w:pPr>
    </w:p>
    <w:p>
      <w:pPr>
        <w:ind w:left="520" w:right="859" w:hanging="196"/>
        <w:spacing w:after="0" w:line="270" w:lineRule="auto"/>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Independent director participation in and oversight of key governance processes, such as senior management performance, executive compensation and succession planning.</w:t>
      </w:r>
    </w:p>
    <w:p>
      <w:pPr>
        <w:spacing w:after="0" w:line="5" w:lineRule="exact"/>
        <w:rPr>
          <w:rFonts w:ascii="Times New Roman" w:cs="Times New Roman" w:eastAsia="Times New Roman" w:hAnsi="Times New Roman"/>
          <w:sz w:val="18"/>
          <w:szCs w:val="18"/>
          <w:color w:val="00A0DD"/>
        </w:rPr>
      </w:pPr>
    </w:p>
    <w:p>
      <w:pPr>
        <w:ind w:left="520" w:right="879" w:hanging="196"/>
        <w:spacing w:after="0" w:line="270" w:lineRule="auto"/>
        <w:tabs>
          <w:tab w:leader="none" w:pos="520" w:val="left"/>
        </w:tabs>
        <w:numPr>
          <w:ilvl w:val="0"/>
          <w:numId w:val="28"/>
        </w:numPr>
        <w:rPr>
          <w:rFonts w:ascii="Times New Roman" w:cs="Times New Roman" w:eastAsia="Times New Roman" w:hAnsi="Times New Roman"/>
          <w:sz w:val="18"/>
          <w:szCs w:val="18"/>
          <w:color w:val="00A0DD"/>
        </w:rPr>
      </w:pPr>
      <w:r>
        <w:rPr>
          <w:rFonts w:ascii="Arial" w:cs="Arial" w:eastAsia="Arial" w:hAnsi="Arial"/>
          <w:sz w:val="18"/>
          <w:szCs w:val="18"/>
          <w:color w:val="auto"/>
        </w:rPr>
        <w:t>Our Chairman and co-CEO and our Lead Independent Director meet and speak with each other regularly about our Board and our company.</w:t>
      </w:r>
    </w:p>
    <w:p>
      <w:pPr>
        <w:spacing w:after="0" w:line="46" w:lineRule="exact"/>
        <w:rPr>
          <w:sz w:val="20"/>
          <w:szCs w:val="20"/>
          <w:color w:val="auto"/>
        </w:rPr>
      </w:pPr>
    </w:p>
    <w:p>
      <w:pPr>
        <w:ind w:left="320" w:right="659"/>
        <w:spacing w:after="0" w:line="242" w:lineRule="auto"/>
        <w:rPr>
          <w:sz w:val="20"/>
          <w:szCs w:val="20"/>
          <w:color w:val="auto"/>
        </w:rPr>
      </w:pPr>
      <w:r>
        <w:rPr>
          <w:rFonts w:ascii="Arial" w:cs="Arial" w:eastAsia="Arial" w:hAnsi="Arial"/>
          <w:sz w:val="18"/>
          <w:szCs w:val="18"/>
          <w:color w:val="auto"/>
        </w:rPr>
        <w:t>In addition, having one individual perform the roles of Chairman and co-CEO is not restricted or prohibited by current laws or regulations. Board action is the product of consensus following informed and thorough discussion, relying on external expertise when appropriate to supplement management resources or provide the independent directors with additional support. No director has the right to override the vote of any other director, but in practical terms Board action is based on consensus not contested votes.</w:t>
      </w:r>
    </w:p>
    <w:p>
      <w:pPr>
        <w:spacing w:after="0" w:line="71" w:lineRule="exact"/>
        <w:rPr>
          <w:sz w:val="20"/>
          <w:szCs w:val="20"/>
          <w:color w:val="auto"/>
        </w:rPr>
      </w:pPr>
    </w:p>
    <w:p>
      <w:pPr>
        <w:ind w:left="320" w:right="559"/>
        <w:spacing w:after="0" w:line="247" w:lineRule="auto"/>
        <w:rPr>
          <w:sz w:val="20"/>
          <w:szCs w:val="20"/>
          <w:color w:val="auto"/>
        </w:rPr>
      </w:pPr>
      <w:r>
        <w:rPr>
          <w:rFonts w:ascii="Arial" w:cs="Arial" w:eastAsia="Arial" w:hAnsi="Arial"/>
          <w:sz w:val="18"/>
          <w:szCs w:val="18"/>
          <w:color w:val="auto"/>
        </w:rPr>
        <w:t>Ultimately, we believe that our current leadership structure, together with our strong governance practices, creates a productive relationship between our Board and management, including strong and effective leadership of our company, as well as strong independent oversight that benefits our shareholders.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25"/>
          <w:szCs w:val="25"/>
          <w:color w:val="auto"/>
        </w:rPr>
        <w:t>Board Meetings and Attendance</w:t>
      </w:r>
    </w:p>
    <w:p>
      <w:pPr>
        <w:spacing w:after="0" w:line="121" w:lineRule="exact"/>
        <w:rPr>
          <w:sz w:val="20"/>
          <w:szCs w:val="20"/>
          <w:color w:val="auto"/>
        </w:rPr>
      </w:pPr>
    </w:p>
    <w:p>
      <w:pPr>
        <w:ind w:left="320" w:right="399"/>
        <w:spacing w:after="0" w:line="247" w:lineRule="auto"/>
        <w:rPr>
          <w:sz w:val="20"/>
          <w:szCs w:val="20"/>
          <w:color w:val="auto"/>
        </w:rPr>
      </w:pPr>
      <w:r>
        <w:rPr>
          <w:rFonts w:ascii="Arial" w:cs="Arial" w:eastAsia="Arial" w:hAnsi="Arial"/>
          <w:sz w:val="18"/>
          <w:szCs w:val="18"/>
          <w:color w:val="auto"/>
        </w:rPr>
        <w:t>Our Board and various committees of the Board meet throughout the year. During 2025, there were nine meetings of our Board and a total of 19 committee meetings. Each director attended more than 75% of the aggregate number of Board meetings and the number of meetings held by all of the committees on which he or she served.</w:t>
      </w:r>
    </w:p>
    <w:p>
      <w:pPr>
        <w:spacing w:after="0" w:line="66" w:lineRule="exact"/>
        <w:rPr>
          <w:sz w:val="20"/>
          <w:szCs w:val="20"/>
          <w:color w:val="auto"/>
        </w:rPr>
      </w:pPr>
    </w:p>
    <w:p>
      <w:pPr>
        <w:ind w:left="320" w:right="779"/>
        <w:spacing w:after="0" w:line="253" w:lineRule="auto"/>
        <w:rPr>
          <w:sz w:val="20"/>
          <w:szCs w:val="20"/>
          <w:color w:val="auto"/>
        </w:rPr>
      </w:pPr>
      <w:r>
        <w:rPr>
          <w:rFonts w:ascii="Arial" w:cs="Arial" w:eastAsia="Arial" w:hAnsi="Arial"/>
          <w:sz w:val="18"/>
          <w:szCs w:val="18"/>
          <w:color w:val="auto"/>
        </w:rPr>
        <w:t>We require our directors to participate in the annual meeting of shareholders, barring unusual circumstances. Each director then in office participated in the 2025 annual meeting of shareholders, other than Mr. Novak.</w:t>
      </w:r>
    </w:p>
    <w:p>
      <w:pPr>
        <w:spacing w:after="0" w:line="200" w:lineRule="exact"/>
        <w:rPr>
          <w:sz w:val="20"/>
          <w:szCs w:val="20"/>
          <w:color w:val="auto"/>
        </w:rPr>
      </w:pPr>
    </w:p>
    <w:p>
      <w:pPr>
        <w:spacing w:after="0" w:line="294" w:lineRule="exact"/>
        <w:rPr>
          <w:sz w:val="20"/>
          <w:szCs w:val="20"/>
          <w:color w:val="auto"/>
        </w:rPr>
      </w:pPr>
    </w:p>
    <w:p>
      <w:pPr>
        <w:ind w:left="1000" w:hanging="674"/>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1" w:name="page22"/>
    <w:bookmarkEnd w:id="21"/>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280"/>
        <w:spacing w:after="0" w:line="247" w:lineRule="auto"/>
        <w:rPr>
          <w:sz w:val="20"/>
          <w:szCs w:val="20"/>
          <w:color w:val="auto"/>
        </w:rPr>
      </w:pPr>
      <w:r>
        <w:rPr>
          <w:rFonts w:ascii="Arial" w:cs="Arial" w:eastAsia="Arial" w:hAnsi="Arial"/>
          <w:sz w:val="18"/>
          <w:szCs w:val="18"/>
          <w:color w:val="auto"/>
        </w:rPr>
        <w:t>Our independent directors have the opportunity to meet separately in executive session following each regularly scheduled Board and committee meeting and, under our corporate governance guidelines, are required to meet in executive session at least two times each year. In 2025, executive sessions were held at each regularly scheduled Board meeting, and most regularly scheduled committee meetings.</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Committees of Our Board</w:t>
      </w:r>
    </w:p>
    <w:p>
      <w:pPr>
        <w:spacing w:after="0" w:line="121" w:lineRule="exact"/>
        <w:rPr>
          <w:sz w:val="20"/>
          <w:szCs w:val="20"/>
          <w:color w:val="auto"/>
        </w:rPr>
      </w:pPr>
    </w:p>
    <w:p>
      <w:pPr>
        <w:jc w:val="both"/>
        <w:ind w:left="1180" w:right="2000"/>
        <w:spacing w:after="0" w:line="253" w:lineRule="auto"/>
        <w:rPr>
          <w:sz w:val="20"/>
          <w:szCs w:val="20"/>
          <w:color w:val="auto"/>
        </w:rPr>
      </w:pPr>
      <w:r>
        <w:rPr>
          <w:rFonts w:ascii="Arial" w:cs="Arial" w:eastAsia="Arial" w:hAnsi="Arial"/>
          <w:sz w:val="18"/>
          <w:szCs w:val="18"/>
          <w:color w:val="auto"/>
        </w:rPr>
        <w:t>Our Board has three standing committees: Audit, Compensation and Governance. All of these committees are composed entirely of independent directors under applicable Nasdaq and SEC requirements.</w:t>
      </w:r>
    </w:p>
    <w:p>
      <w:pPr>
        <w:spacing w:after="0" w:line="61" w:lineRule="exact"/>
        <w:rPr>
          <w:sz w:val="20"/>
          <w:szCs w:val="20"/>
          <w:color w:val="auto"/>
        </w:rPr>
      </w:pPr>
    </w:p>
    <w:p>
      <w:pPr>
        <w:ind w:left="1180" w:right="1620"/>
        <w:spacing w:after="0" w:line="271" w:lineRule="auto"/>
        <w:rPr>
          <w:sz w:val="20"/>
          <w:szCs w:val="20"/>
          <w:color w:val="auto"/>
        </w:rPr>
      </w:pPr>
      <w:r>
        <w:rPr>
          <w:rFonts w:ascii="Arial" w:cs="Arial" w:eastAsia="Arial" w:hAnsi="Arial"/>
          <w:sz w:val="18"/>
          <w:szCs w:val="18"/>
          <w:color w:val="auto"/>
        </w:rPr>
        <w:t>The Board makes committee and committee chair assignments annually, although changes may be made from time to time as deemed appropriate by the Board.</w:t>
      </w:r>
    </w:p>
    <w:p>
      <w:pPr>
        <w:spacing w:after="0" w:line="46" w:lineRule="exact"/>
        <w:rPr>
          <w:sz w:val="20"/>
          <w:szCs w:val="20"/>
          <w:color w:val="auto"/>
        </w:rPr>
      </w:pPr>
    </w:p>
    <w:p>
      <w:pPr>
        <w:ind w:left="1180" w:right="1180"/>
        <w:spacing w:after="0" w:line="244" w:lineRule="auto"/>
        <w:rPr>
          <w:sz w:val="20"/>
          <w:szCs w:val="20"/>
          <w:color w:val="auto"/>
        </w:rPr>
      </w:pPr>
      <w:r>
        <w:rPr>
          <w:rFonts w:ascii="Arial" w:cs="Arial" w:eastAsia="Arial" w:hAnsi="Arial"/>
          <w:sz w:val="18"/>
          <w:szCs w:val="18"/>
          <w:color w:val="auto"/>
        </w:rPr>
        <w:t xml:space="preserve">Each committee has a Board-approved charter, which is reviewed annually by the respective committee, with the Governance Committee annually reviewing all charters and our corporate governance guidelines. Each committee has the authority to retain independent advisors to assist it in carrying out its responsibilities. Committee charters are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55245</wp:posOffset>
            </wp:positionV>
            <wp:extent cx="521208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43180"/>
                    </a:xfrm>
                    <a:prstGeom prst="rect">
                      <a:avLst/>
                    </a:prstGeom>
                    <a:noFill/>
                  </pic:spPr>
                </pic:pic>
              </a:graphicData>
            </a:graphic>
          </wp:anchor>
        </w:drawing>
      </w:r>
    </w:p>
    <w:p>
      <w:pPr>
        <w:spacing w:after="0" w:line="25" w:lineRule="exact"/>
        <w:rPr>
          <w:sz w:val="20"/>
          <w:szCs w:val="20"/>
          <w:color w:val="auto"/>
        </w:rPr>
      </w:pPr>
    </w:p>
    <w:p>
      <w:pPr>
        <w:ind w:left="1200"/>
        <w:spacing w:after="0"/>
        <w:rPr>
          <w:sz w:val="20"/>
          <w:szCs w:val="20"/>
          <w:color w:val="auto"/>
        </w:rPr>
      </w:pPr>
      <w:r>
        <w:rPr>
          <w:sz w:val="1"/>
          <w:szCs w:val="1"/>
          <w:color w:val="auto"/>
        </w:rPr>
        <w:drawing>
          <wp:inline distT="0" distB="0" distL="0" distR="0">
            <wp:extent cx="9398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240030"/>
                    </a:xfrm>
                    <a:prstGeom prst="rect">
                      <a:avLst/>
                    </a:prstGeom>
                    <a:noFill/>
                    <a:ln>
                      <a:noFill/>
                    </a:ln>
                  </pic:spPr>
                </pic:pic>
              </a:graphicData>
            </a:graphic>
          </wp:inline>
        </w:drawing>
      </w:r>
      <w:r>
        <w:rPr>
          <w:rFonts w:ascii="Arial" w:cs="Arial" w:eastAsia="Arial" w:hAnsi="Arial"/>
          <w:sz w:val="20"/>
          <w:szCs w:val="20"/>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-196215</wp:posOffset>
            </wp:positionV>
            <wp:extent cx="5306060" cy="9855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06060" cy="985520"/>
                    </a:xfrm>
                    <a:prstGeom prst="rect">
                      <a:avLst/>
                    </a:prstGeom>
                    <a:noFill/>
                  </pic:spPr>
                </pic:pic>
              </a:graphicData>
            </a:graphic>
          </wp:anchor>
        </w:drawing>
      </w:r>
    </w:p>
    <w:p>
      <w:pPr>
        <w:ind w:left="3000"/>
        <w:spacing w:after="0"/>
        <w:rPr>
          <w:sz w:val="20"/>
          <w:szCs w:val="20"/>
          <w:color w:val="auto"/>
        </w:rPr>
      </w:pPr>
      <w:r>
        <w:rPr>
          <w:rFonts w:ascii="Arial" w:cs="Arial" w:eastAsia="Arial" w:hAnsi="Arial"/>
          <w:sz w:val="20"/>
          <w:szCs w:val="20"/>
          <w:b w:val="1"/>
          <w:bCs w:val="1"/>
          <w:color w:val="auto"/>
        </w:rPr>
        <w:t>Jeffrey A. Honickman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-130175</wp:posOffset>
            </wp:positionV>
            <wp:extent cx="5212080" cy="771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77152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-130175</wp:posOffset>
            </wp:positionV>
            <wp:extent cx="5212080" cy="771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771525"/>
                    </a:xfrm>
                    <a:prstGeom prst="rect">
                      <a:avLst/>
                    </a:prstGeom>
                    <a:noFill/>
                  </pic:spPr>
                </pic:pic>
              </a:graphicData>
            </a:graphic>
          </wp:anchor>
        </w:drawing>
      </w:r>
    </w:p>
    <w:p>
      <w:pPr>
        <w:spacing w:after="0" w:line="23" w:lineRule="exact"/>
        <w:rPr>
          <w:sz w:val="20"/>
          <w:szCs w:val="20"/>
          <w:color w:val="auto"/>
        </w:rPr>
      </w:pPr>
    </w:p>
    <w:p>
      <w:pPr>
        <w:ind w:left="3000"/>
        <w:spacing w:after="0"/>
        <w:tabs>
          <w:tab w:leader="none" w:pos="5440" w:val="left"/>
        </w:tabs>
        <w:rPr>
          <w:sz w:val="20"/>
          <w:szCs w:val="20"/>
          <w:color w:val="auto"/>
        </w:rPr>
      </w:pPr>
      <w:r>
        <w:rPr>
          <w:rFonts w:ascii="Arial" w:cs="Arial" w:eastAsia="Arial" w:hAnsi="Arial"/>
          <w:sz w:val="17"/>
          <w:szCs w:val="17"/>
          <w:b w:val="1"/>
          <w:bCs w:val="1"/>
          <w:color w:val="00A0DD"/>
        </w:rPr>
        <w:t>Members:</w:t>
      </w:r>
      <w:r>
        <w:rPr>
          <w:sz w:val="20"/>
          <w:szCs w:val="20"/>
          <w:color w:val="auto"/>
        </w:rPr>
        <w:tab/>
      </w:r>
      <w:r>
        <w:rPr>
          <w:rFonts w:ascii="Arial" w:cs="Arial" w:eastAsia="Arial" w:hAnsi="Arial"/>
          <w:sz w:val="17"/>
          <w:szCs w:val="17"/>
          <w:b w:val="1"/>
          <w:bCs w:val="1"/>
          <w:color w:val="00A0DD"/>
        </w:rPr>
        <w:t xml:space="preserve">Meetings in 2025: </w:t>
      </w:r>
      <w:r>
        <w:rPr>
          <w:rFonts w:ascii="Arial" w:cs="Arial" w:eastAsia="Arial" w:hAnsi="Arial"/>
          <w:sz w:val="17"/>
          <w:szCs w:val="17"/>
          <w:b w:val="1"/>
          <w:bCs w:val="1"/>
          <w:color w:val="000000"/>
        </w:rPr>
        <w:t>8</w:t>
      </w:r>
    </w:p>
    <w:p>
      <w:pPr>
        <w:spacing w:after="0" w:line="24"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Wonya Y. Lucas</w:t>
      </w:r>
    </w:p>
    <w:p>
      <w:pPr>
        <w:spacing w:after="0" w:line="24"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Asuka Nakahara</w:t>
      </w:r>
    </w:p>
    <w:p>
      <w:pPr>
        <w:spacing w:after="0" w:line="2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Gordon Smith*</w:t>
      </w:r>
    </w:p>
    <w:p>
      <w:pPr>
        <w:sectPr>
          <w:pgSz w:w="11900" w:h="16838" w:orient="portrait"/>
          <w:cols w:equalWidth="0" w:num="1">
            <w:col w:w="10720"/>
          </w:cols>
          <w:pgMar w:left="580" w:top="229" w:right="599" w:bottom="1440" w:gutter="0" w:footer="0" w:header="0"/>
        </w:sectPr>
      </w:pP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A0DD"/>
        </w:rPr>
        <w:t>Key Responsibilities</w:t>
      </w:r>
    </w:p>
    <w:p>
      <w:pPr>
        <w:spacing w:after="0" w:line="63" w:lineRule="exact"/>
        <w:rPr>
          <w:sz w:val="20"/>
          <w:szCs w:val="20"/>
          <w:color w:val="auto"/>
        </w:rPr>
      </w:pPr>
    </w:p>
    <w:p>
      <w:pPr>
        <w:ind w:left="1440" w:right="560" w:hanging="189"/>
        <w:spacing w:after="0" w:line="258" w:lineRule="auto"/>
        <w:tabs>
          <w:tab w:leader="none" w:pos="1645" w:val="left"/>
        </w:tabs>
        <w:numPr>
          <w:ilvl w:val="0"/>
          <w:numId w:val="30"/>
        </w:numPr>
        <w:rPr>
          <w:rFonts w:ascii="Arial" w:cs="Arial" w:eastAsia="Arial" w:hAnsi="Arial"/>
          <w:sz w:val="18"/>
          <w:szCs w:val="18"/>
          <w:color w:val="00A0DD"/>
        </w:rPr>
      </w:pPr>
      <w:r>
        <w:rPr>
          <w:rFonts w:ascii="Arial" w:cs="Arial" w:eastAsia="Arial" w:hAnsi="Arial"/>
          <w:sz w:val="18"/>
          <w:szCs w:val="18"/>
          <w:color w:val="auto"/>
        </w:rPr>
        <w:t>Reviews the quality and integrity of our financial statements.</w:t>
      </w:r>
    </w:p>
    <w:p>
      <w:pPr>
        <w:ind w:left="1440" w:right="140" w:hanging="189"/>
        <w:spacing w:after="0" w:line="243" w:lineRule="auto"/>
        <w:tabs>
          <w:tab w:leader="none" w:pos="1645" w:val="left"/>
        </w:tabs>
        <w:numPr>
          <w:ilvl w:val="0"/>
          <w:numId w:val="30"/>
        </w:numPr>
        <w:rPr>
          <w:rFonts w:ascii="Arial" w:cs="Arial" w:eastAsia="Arial" w:hAnsi="Arial"/>
          <w:sz w:val="18"/>
          <w:szCs w:val="18"/>
          <w:color w:val="00A0DD"/>
        </w:rPr>
      </w:pPr>
      <w:r>
        <w:rPr>
          <w:rFonts w:ascii="Arial" w:cs="Arial" w:eastAsia="Arial" w:hAnsi="Arial"/>
          <w:sz w:val="18"/>
          <w:szCs w:val="18"/>
          <w:color w:val="auto"/>
        </w:rPr>
        <w:t>Reviews the financial statements and “Management’s Discussion and Analysis of Financial Condition and Results of Operations” in our Forms 10-Q and 10-K and our quarterly earnings press releases.</w:t>
      </w:r>
    </w:p>
    <w:p>
      <w:pPr>
        <w:spacing w:after="0" w:line="1" w:lineRule="exact"/>
        <w:rPr>
          <w:rFonts w:ascii="Arial" w:cs="Arial" w:eastAsia="Arial" w:hAnsi="Arial"/>
          <w:sz w:val="18"/>
          <w:szCs w:val="18"/>
          <w:color w:val="00A0DD"/>
        </w:rPr>
      </w:pPr>
    </w:p>
    <w:p>
      <w:pPr>
        <w:ind w:left="1440" w:right="300" w:hanging="189"/>
        <w:spacing w:after="0" w:line="246" w:lineRule="auto"/>
        <w:tabs>
          <w:tab w:leader="none" w:pos="1645" w:val="left"/>
        </w:tabs>
        <w:numPr>
          <w:ilvl w:val="0"/>
          <w:numId w:val="30"/>
        </w:numPr>
        <w:rPr>
          <w:rFonts w:ascii="Arial" w:cs="Arial" w:eastAsia="Arial" w:hAnsi="Arial"/>
          <w:sz w:val="18"/>
          <w:szCs w:val="18"/>
          <w:color w:val="00A0DD"/>
        </w:rPr>
      </w:pPr>
      <w:r>
        <w:rPr>
          <w:rFonts w:ascii="Arial" w:cs="Arial" w:eastAsia="Arial" w:hAnsi="Arial"/>
          <w:sz w:val="18"/>
          <w:szCs w:val="18"/>
          <w:color w:val="auto"/>
        </w:rPr>
        <w:t>Monitors our internal control over financial reporting and disclosure controls and procedures.</w:t>
      </w:r>
    </w:p>
    <w:p>
      <w:pPr>
        <w:spacing w:after="0" w:line="2" w:lineRule="exact"/>
        <w:rPr>
          <w:rFonts w:ascii="Arial" w:cs="Arial" w:eastAsia="Arial" w:hAnsi="Arial"/>
          <w:sz w:val="18"/>
          <w:szCs w:val="18"/>
          <w:color w:val="00A0DD"/>
        </w:rPr>
      </w:pPr>
    </w:p>
    <w:p>
      <w:pPr>
        <w:ind w:left="1440" w:right="20" w:hanging="189"/>
        <w:spacing w:after="0" w:line="258" w:lineRule="auto"/>
        <w:tabs>
          <w:tab w:leader="none" w:pos="1645" w:val="left"/>
        </w:tabs>
        <w:numPr>
          <w:ilvl w:val="0"/>
          <w:numId w:val="30"/>
        </w:numPr>
        <w:rPr>
          <w:rFonts w:ascii="Arial" w:cs="Arial" w:eastAsia="Arial" w:hAnsi="Arial"/>
          <w:sz w:val="18"/>
          <w:szCs w:val="18"/>
          <w:color w:val="00A0DD"/>
        </w:rPr>
      </w:pPr>
      <w:r>
        <w:rPr>
          <w:rFonts w:ascii="Arial" w:cs="Arial" w:eastAsia="Arial" w:hAnsi="Arial"/>
          <w:sz w:val="18"/>
          <w:szCs w:val="18"/>
          <w:color w:val="auto"/>
        </w:rPr>
        <w:t>Reviews the performance and responsibilities of our internal audit function and activities.</w:t>
      </w:r>
    </w:p>
    <w:p>
      <w:pPr>
        <w:ind w:left="1440" w:right="420" w:hanging="189"/>
        <w:spacing w:after="0" w:line="253" w:lineRule="auto"/>
        <w:tabs>
          <w:tab w:leader="none" w:pos="1645" w:val="left"/>
        </w:tabs>
        <w:numPr>
          <w:ilvl w:val="0"/>
          <w:numId w:val="30"/>
        </w:numPr>
        <w:rPr>
          <w:rFonts w:ascii="Arial" w:cs="Arial" w:eastAsia="Arial" w:hAnsi="Arial"/>
          <w:sz w:val="18"/>
          <w:szCs w:val="18"/>
          <w:color w:val="00A0DD"/>
        </w:rPr>
      </w:pPr>
      <w:r>
        <w:rPr>
          <w:rFonts w:ascii="Arial" w:cs="Arial" w:eastAsia="Arial" w:hAnsi="Arial"/>
          <w:sz w:val="18"/>
          <w:szCs w:val="18"/>
          <w:color w:val="auto"/>
        </w:rPr>
        <w:t>Appoints and evaluates the qualification, performance and independence of our independent auditors.</w:t>
      </w:r>
    </w:p>
    <w:p>
      <w:pPr>
        <w:spacing w:after="0" w:line="27" w:lineRule="exact"/>
        <w:rPr>
          <w:sz w:val="20"/>
          <w:szCs w:val="20"/>
          <w:color w:val="auto"/>
        </w:rPr>
      </w:pPr>
    </w:p>
    <w:p>
      <w:pPr>
        <w:ind w:left="1220"/>
        <w:spacing w:after="0"/>
        <w:rPr>
          <w:sz w:val="20"/>
          <w:szCs w:val="20"/>
          <w:color w:val="auto"/>
        </w:rPr>
      </w:pPr>
      <w:r>
        <w:rPr>
          <w:rFonts w:ascii="Arial" w:cs="Arial" w:eastAsia="Arial" w:hAnsi="Arial"/>
          <w:sz w:val="16"/>
          <w:szCs w:val="16"/>
          <w:i w:val="1"/>
          <w:iCs w:val="1"/>
          <w:color w:val="auto"/>
        </w:rPr>
        <w:t>*Mr. Smith joined the Audit Committee in February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 w:right="1580" w:hanging="190"/>
        <w:spacing w:after="0" w:line="250" w:lineRule="auto"/>
        <w:tabs>
          <w:tab w:leader="none" w:pos="396" w:val="left"/>
        </w:tabs>
        <w:numPr>
          <w:ilvl w:val="0"/>
          <w:numId w:val="31"/>
        </w:numPr>
        <w:rPr>
          <w:rFonts w:ascii="Arial" w:cs="Arial" w:eastAsia="Arial" w:hAnsi="Arial"/>
          <w:sz w:val="18"/>
          <w:szCs w:val="18"/>
          <w:color w:val="00A0DD"/>
        </w:rPr>
      </w:pPr>
      <w:r>
        <w:rPr>
          <w:rFonts w:ascii="Arial" w:cs="Arial" w:eastAsia="Arial" w:hAnsi="Arial"/>
          <w:sz w:val="18"/>
          <w:szCs w:val="18"/>
          <w:color w:val="auto"/>
        </w:rPr>
        <w:t>Reviews financial risk assessment and management, cybersecurity and significant business continuity risks.</w:t>
      </w:r>
    </w:p>
    <w:p>
      <w:pPr>
        <w:spacing w:after="0" w:line="1" w:lineRule="exact"/>
        <w:rPr>
          <w:rFonts w:ascii="Arial" w:cs="Arial" w:eastAsia="Arial" w:hAnsi="Arial"/>
          <w:sz w:val="18"/>
          <w:szCs w:val="18"/>
          <w:color w:val="00A0DD"/>
        </w:rPr>
      </w:pPr>
    </w:p>
    <w:p>
      <w:pPr>
        <w:ind w:left="190" w:right="1920" w:hanging="190"/>
        <w:spacing w:after="0" w:line="248" w:lineRule="auto"/>
        <w:tabs>
          <w:tab w:leader="none" w:pos="396" w:val="left"/>
        </w:tabs>
        <w:numPr>
          <w:ilvl w:val="0"/>
          <w:numId w:val="31"/>
        </w:numPr>
        <w:rPr>
          <w:rFonts w:ascii="Arial" w:cs="Arial" w:eastAsia="Arial" w:hAnsi="Arial"/>
          <w:sz w:val="18"/>
          <w:szCs w:val="18"/>
          <w:color w:val="00A0DD"/>
        </w:rPr>
      </w:pPr>
      <w:r>
        <w:rPr>
          <w:rFonts w:ascii="Arial" w:cs="Arial" w:eastAsia="Arial" w:hAnsi="Arial"/>
          <w:sz w:val="18"/>
          <w:szCs w:val="18"/>
          <w:color w:val="auto"/>
        </w:rPr>
        <w:t>Reviews process with respect to our enterprise risk management (“ERM”) assessment.</w:t>
      </w:r>
    </w:p>
    <w:p>
      <w:pPr>
        <w:spacing w:after="0" w:line="2" w:lineRule="exact"/>
        <w:rPr>
          <w:rFonts w:ascii="Arial" w:cs="Arial" w:eastAsia="Arial" w:hAnsi="Arial"/>
          <w:sz w:val="18"/>
          <w:szCs w:val="18"/>
          <w:color w:val="00A0DD"/>
        </w:rPr>
      </w:pPr>
    </w:p>
    <w:p>
      <w:pPr>
        <w:ind w:left="190" w:right="1440" w:hanging="190"/>
        <w:spacing w:after="0" w:line="267" w:lineRule="auto"/>
        <w:tabs>
          <w:tab w:leader="none" w:pos="396" w:val="left"/>
        </w:tabs>
        <w:numPr>
          <w:ilvl w:val="0"/>
          <w:numId w:val="31"/>
        </w:numPr>
        <w:rPr>
          <w:rFonts w:ascii="Arial" w:cs="Arial" w:eastAsia="Arial" w:hAnsi="Arial"/>
          <w:sz w:val="17"/>
          <w:szCs w:val="17"/>
          <w:color w:val="00A0DD"/>
        </w:rPr>
      </w:pPr>
      <w:r>
        <w:rPr>
          <w:rFonts w:ascii="Arial" w:cs="Arial" w:eastAsia="Arial" w:hAnsi="Arial"/>
          <w:sz w:val="17"/>
          <w:szCs w:val="17"/>
          <w:color w:val="auto"/>
        </w:rPr>
        <w:t>Reviews risks facing our company as disclosed in “Risk Factors” in our Form 10-K.</w:t>
      </w:r>
    </w:p>
    <w:p>
      <w:pPr>
        <w:spacing w:after="0" w:line="1" w:lineRule="exact"/>
        <w:rPr>
          <w:rFonts w:ascii="Arial" w:cs="Arial" w:eastAsia="Arial" w:hAnsi="Arial"/>
          <w:sz w:val="17"/>
          <w:szCs w:val="17"/>
          <w:color w:val="00A0DD"/>
        </w:rPr>
      </w:pPr>
    </w:p>
    <w:p>
      <w:pPr>
        <w:ind w:left="190" w:right="1380" w:hanging="190"/>
        <w:spacing w:after="0" w:line="271" w:lineRule="auto"/>
        <w:tabs>
          <w:tab w:leader="none" w:pos="396" w:val="left"/>
        </w:tabs>
        <w:numPr>
          <w:ilvl w:val="0"/>
          <w:numId w:val="31"/>
        </w:numPr>
        <w:rPr>
          <w:rFonts w:ascii="Arial" w:cs="Arial" w:eastAsia="Arial" w:hAnsi="Arial"/>
          <w:sz w:val="18"/>
          <w:szCs w:val="18"/>
          <w:color w:val="00A0DD"/>
        </w:rPr>
      </w:pPr>
      <w:r>
        <w:rPr>
          <w:rFonts w:ascii="Arial" w:cs="Arial" w:eastAsia="Arial" w:hAnsi="Arial"/>
          <w:sz w:val="18"/>
          <w:szCs w:val="18"/>
          <w:color w:val="auto"/>
        </w:rPr>
        <w:t>Reports its discussions to the full Board for consideration and action when appropriate.</w:t>
      </w:r>
    </w:p>
    <w:p>
      <w:pPr>
        <w:spacing w:after="0" w:line="1354" w:lineRule="exact"/>
        <w:rPr>
          <w:sz w:val="20"/>
          <w:szCs w:val="20"/>
          <w:color w:val="auto"/>
        </w:rPr>
      </w:pPr>
    </w:p>
    <w:p>
      <w:pPr>
        <w:sectPr>
          <w:pgSz w:w="11900" w:h="16838" w:orient="portrait"/>
          <w:cols w:equalWidth="0" w:num="2">
            <w:col w:w="5300" w:space="230"/>
            <w:col w:w="5190"/>
          </w:cols>
          <w:pgMar w:left="580" w:top="229" w:right="599" w:bottom="1440" w:gutter="0" w:footer="0" w:header="0"/>
          <w:type w:val="continuous"/>
        </w:sectPr>
      </w:pPr>
    </w:p>
    <w:p>
      <w:pPr>
        <w:ind w:left="1180" w:right="1200"/>
        <w:spacing w:after="0" w:line="253" w:lineRule="auto"/>
        <w:rPr>
          <w:sz w:val="20"/>
          <w:szCs w:val="20"/>
          <w:color w:val="auto"/>
        </w:rPr>
      </w:pPr>
      <w:r>
        <w:rPr>
          <w:rFonts w:ascii="Arial" w:cs="Arial" w:eastAsia="Arial" w:hAnsi="Arial"/>
          <w:sz w:val="18"/>
          <w:szCs w:val="18"/>
          <w:color w:val="auto"/>
        </w:rPr>
        <w:t>Each member of our Audit Committee is financially literate for audit committee purposes, and our Board has concluded that Jeffrey A. Honickman, Asuka Nakahara and Gordon Smith qualify as audit committee financial experts.</w:t>
      </w:r>
    </w:p>
    <w:p>
      <w:pPr>
        <w:spacing w:after="0" w:line="61"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The Audit Committee Report is included on page 26.</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19</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22" w:name="page23"/>
    <w:bookmarkEnd w:id="22"/>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814705</wp:posOffset>
            </wp:positionV>
            <wp:extent cx="5194935"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9493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sz w:val="1"/>
          <w:szCs w:val="1"/>
          <w:color w:val="auto"/>
        </w:rPr>
        <w:drawing>
          <wp:inline distT="0" distB="0" distL="0" distR="0">
            <wp:extent cx="111125" cy="2400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240030"/>
                    </a:xfrm>
                    <a:prstGeom prst="rect">
                      <a:avLst/>
                    </a:prstGeom>
                    <a:noFill/>
                    <a:ln>
                      <a:noFill/>
                    </a:ln>
                  </pic:spPr>
                </pic:pic>
              </a:graphicData>
            </a:graphic>
          </wp:inline>
        </w:drawing>
      </w:r>
      <w:r>
        <w:rPr>
          <w:rFonts w:ascii="Arial" w:cs="Arial" w:eastAsia="Arial" w:hAnsi="Arial"/>
          <w:sz w:val="20"/>
          <w:szCs w:val="20"/>
          <w:b w:val="1"/>
          <w:bCs w:val="1"/>
          <w:color w:val="FFFFFF"/>
        </w:rPr>
        <w:t>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-196850</wp:posOffset>
            </wp:positionV>
            <wp:extent cx="5306060" cy="1045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06060" cy="1045845"/>
                    </a:xfrm>
                    <a:prstGeom prst="rect">
                      <a:avLst/>
                    </a:prstGeom>
                    <a:noFill/>
                  </pic:spPr>
                </pic:pic>
              </a:graphicData>
            </a:graphic>
          </wp:anchor>
        </w:drawing>
      </w:r>
    </w:p>
    <w:p>
      <w:pPr>
        <w:spacing w:after="0" w:line="78"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Edward D. Breen (Chair)</w:t>
      </w:r>
    </w:p>
    <w:p>
      <w:pPr>
        <w:spacing w:after="0" w:line="30" w:lineRule="exact"/>
        <w:rPr>
          <w:sz w:val="20"/>
          <w:szCs w:val="20"/>
          <w:color w:val="auto"/>
        </w:rPr>
      </w:pPr>
    </w:p>
    <w:tbl>
      <w:tblPr>
        <w:tblLayout w:type="fixed"/>
        <w:tblInd w:w="21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100" w:type="dxa"/>
            <w:vAlign w:val="bottom"/>
            <w:shd w:val="clear" w:color="auto" w:fill="E0F0FB"/>
          </w:tcPr>
          <w:p>
            <w:pPr>
              <w:spacing w:after="0"/>
              <w:rPr>
                <w:sz w:val="20"/>
                <w:szCs w:val="20"/>
                <w:color w:val="auto"/>
              </w:rPr>
            </w:pPr>
            <w:r>
              <w:rPr>
                <w:rFonts w:ascii="Arial" w:cs="Arial" w:eastAsia="Arial" w:hAnsi="Arial"/>
                <w:sz w:val="17"/>
                <w:szCs w:val="17"/>
                <w:b w:val="1"/>
                <w:bCs w:val="1"/>
                <w:color w:val="00A0DD"/>
              </w:rPr>
              <w:t>Members:</w:t>
            </w:r>
          </w:p>
        </w:tc>
        <w:tc>
          <w:tcPr>
            <w:tcW w:w="4380" w:type="dxa"/>
            <w:vAlign w:val="bottom"/>
            <w:shd w:val="clear" w:color="auto" w:fill="E0F0FB"/>
          </w:tcPr>
          <w:p>
            <w:pPr>
              <w:ind w:left="260"/>
              <w:spacing w:after="0"/>
              <w:rPr>
                <w:sz w:val="20"/>
                <w:szCs w:val="20"/>
                <w:color w:val="auto"/>
              </w:rPr>
            </w:pPr>
            <w:r>
              <w:rPr>
                <w:rFonts w:ascii="Arial" w:cs="Arial" w:eastAsia="Arial" w:hAnsi="Arial"/>
                <w:sz w:val="17"/>
                <w:szCs w:val="17"/>
                <w:b w:val="1"/>
                <w:bCs w:val="1"/>
                <w:color w:val="00A0DD"/>
              </w:rPr>
              <w:t xml:space="preserve">Meetings in 2025: </w:t>
            </w:r>
            <w:r>
              <w:rPr>
                <w:rFonts w:ascii="Arial" w:cs="Arial" w:eastAsia="Arial" w:hAnsi="Arial"/>
                <w:sz w:val="17"/>
                <w:szCs w:val="17"/>
                <w:b w:val="1"/>
                <w:bCs w:val="1"/>
                <w:color w:val="000000"/>
              </w:rPr>
              <w:t>6</w:t>
            </w:r>
          </w:p>
        </w:tc>
      </w:tr>
      <w:tr>
        <w:trPr>
          <w:trHeight w:val="216"/>
        </w:trPr>
        <w:tc>
          <w:tcPr>
            <w:tcW w:w="20" w:type="dxa"/>
            <w:vAlign w:val="bottom"/>
          </w:tcPr>
          <w:p>
            <w:pPr>
              <w:spacing w:after="0"/>
              <w:rPr>
                <w:sz w:val="18"/>
                <w:szCs w:val="18"/>
                <w:color w:val="auto"/>
              </w:rPr>
            </w:pPr>
          </w:p>
        </w:tc>
        <w:tc>
          <w:tcPr>
            <w:tcW w:w="2100" w:type="dxa"/>
            <w:vAlign w:val="bottom"/>
            <w:shd w:val="clear" w:color="auto" w:fill="E0F0FB"/>
          </w:tcPr>
          <w:p>
            <w:pPr>
              <w:spacing w:after="0"/>
              <w:rPr>
                <w:sz w:val="20"/>
                <w:szCs w:val="20"/>
                <w:color w:val="auto"/>
              </w:rPr>
            </w:pPr>
            <w:r>
              <w:rPr>
                <w:rFonts w:ascii="Arial" w:cs="Arial" w:eastAsia="Arial" w:hAnsi="Arial"/>
                <w:sz w:val="17"/>
                <w:szCs w:val="17"/>
                <w:color w:val="auto"/>
              </w:rPr>
              <w:t>Thomas J. Baltimore, Jr.</w:t>
            </w:r>
          </w:p>
        </w:tc>
        <w:tc>
          <w:tcPr>
            <w:tcW w:w="4380" w:type="dxa"/>
            <w:vAlign w:val="bottom"/>
            <w:shd w:val="clear" w:color="auto" w:fill="E0F0FB"/>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100" w:type="dxa"/>
            <w:vAlign w:val="bottom"/>
            <w:shd w:val="clear" w:color="auto" w:fill="E0F0FB"/>
          </w:tcPr>
          <w:p>
            <w:pPr>
              <w:spacing w:after="0"/>
              <w:rPr>
                <w:sz w:val="20"/>
                <w:szCs w:val="20"/>
                <w:color w:val="auto"/>
              </w:rPr>
            </w:pPr>
            <w:r>
              <w:rPr>
                <w:rFonts w:ascii="Arial" w:cs="Arial" w:eastAsia="Arial" w:hAnsi="Arial"/>
                <w:sz w:val="17"/>
                <w:szCs w:val="17"/>
                <w:color w:val="auto"/>
              </w:rPr>
              <w:t>Louise F. Brady*</w:t>
            </w:r>
          </w:p>
        </w:tc>
        <w:tc>
          <w:tcPr>
            <w:tcW w:w="4380" w:type="dxa"/>
            <w:vAlign w:val="bottom"/>
            <w:shd w:val="clear" w:color="auto" w:fill="E0F0FB"/>
          </w:tcPr>
          <w:p>
            <w:pPr>
              <w:spacing w:after="0"/>
              <w:rPr>
                <w:sz w:val="19"/>
                <w:szCs w:val="19"/>
                <w:color w:val="auto"/>
              </w:rPr>
            </w:pPr>
          </w:p>
        </w:tc>
      </w:tr>
      <w:tr>
        <w:trPr>
          <w:trHeight w:val="310"/>
        </w:trPr>
        <w:tc>
          <w:tcPr>
            <w:tcW w:w="20" w:type="dxa"/>
            <w:vAlign w:val="bottom"/>
          </w:tcPr>
          <w:p>
            <w:pPr>
              <w:spacing w:after="0"/>
              <w:rPr>
                <w:sz w:val="24"/>
                <w:szCs w:val="24"/>
                <w:color w:val="auto"/>
              </w:rPr>
            </w:pPr>
          </w:p>
        </w:tc>
        <w:tc>
          <w:tcPr>
            <w:tcW w:w="2100" w:type="dxa"/>
            <w:vAlign w:val="bottom"/>
            <w:shd w:val="clear" w:color="auto" w:fill="E0F0FB"/>
          </w:tcPr>
          <w:p>
            <w:pPr>
              <w:spacing w:after="0"/>
              <w:rPr>
                <w:sz w:val="24"/>
                <w:szCs w:val="24"/>
                <w:color w:val="auto"/>
              </w:rPr>
            </w:pPr>
          </w:p>
        </w:tc>
        <w:tc>
          <w:tcPr>
            <w:tcW w:w="4380" w:type="dxa"/>
            <w:vAlign w:val="bottom"/>
            <w:shd w:val="clear" w:color="auto" w:fill="E0F0FB"/>
          </w:tcPr>
          <w:p>
            <w:pPr>
              <w:spacing w:after="0"/>
              <w:rPr>
                <w:sz w:val="24"/>
                <w:szCs w:val="24"/>
                <w:color w:val="auto"/>
              </w:rPr>
            </w:pPr>
          </w:p>
        </w:tc>
      </w:tr>
    </w:tbl>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00A0DD"/>
        </w:rPr>
        <w:t>Key Responsibilities</w:t>
      </w:r>
    </w:p>
    <w:p>
      <w:pPr>
        <w:sectPr>
          <w:pgSz w:w="11900" w:h="16838" w:orient="portrait"/>
          <w:cols w:equalWidth="0" w:num="1">
            <w:col w:w="9019"/>
          </w:cols>
          <w:pgMar w:left="1440" w:top="229" w:right="1440" w:bottom="1440" w:gutter="0" w:footer="0" w:header="0"/>
        </w:sectPr>
      </w:pPr>
    </w:p>
    <w:p>
      <w:pPr>
        <w:spacing w:after="0" w:line="63" w:lineRule="exact"/>
        <w:rPr>
          <w:sz w:val="20"/>
          <w:szCs w:val="20"/>
          <w:color w:val="auto"/>
        </w:rPr>
      </w:pPr>
    </w:p>
    <w:p>
      <w:pPr>
        <w:ind w:left="580" w:right="480" w:hanging="189"/>
        <w:spacing w:after="0" w:line="258" w:lineRule="auto"/>
        <w:tabs>
          <w:tab w:leader="none" w:pos="746" w:val="left"/>
        </w:tabs>
        <w:numPr>
          <w:ilvl w:val="0"/>
          <w:numId w:val="32"/>
        </w:numPr>
        <w:rPr>
          <w:rFonts w:ascii="Arial" w:cs="Arial" w:eastAsia="Arial" w:hAnsi="Arial"/>
          <w:sz w:val="16"/>
          <w:szCs w:val="16"/>
          <w:color w:val="00A0DD"/>
        </w:rPr>
      </w:pPr>
      <w:r>
        <w:rPr>
          <w:rFonts w:ascii="Arial" w:cs="Arial" w:eastAsia="Arial" w:hAnsi="Arial"/>
          <w:sz w:val="18"/>
          <w:szCs w:val="18"/>
          <w:color w:val="auto"/>
        </w:rPr>
        <w:t>Oversees and sets compensation for our senior executives.</w:t>
      </w:r>
    </w:p>
    <w:p>
      <w:pPr>
        <w:ind w:left="580" w:right="60" w:hanging="189"/>
        <w:spacing w:after="0" w:line="243" w:lineRule="auto"/>
        <w:tabs>
          <w:tab w:leader="none" w:pos="746" w:val="left"/>
        </w:tabs>
        <w:numPr>
          <w:ilvl w:val="0"/>
          <w:numId w:val="32"/>
        </w:numPr>
        <w:rPr>
          <w:rFonts w:ascii="Arial" w:cs="Arial" w:eastAsia="Arial" w:hAnsi="Arial"/>
          <w:sz w:val="16"/>
          <w:szCs w:val="16"/>
          <w:color w:val="00A0DD"/>
        </w:rPr>
      </w:pPr>
      <w:r>
        <w:rPr>
          <w:rFonts w:ascii="Arial" w:cs="Arial" w:eastAsia="Arial" w:hAnsi="Arial"/>
          <w:sz w:val="18"/>
          <w:szCs w:val="18"/>
          <w:color w:val="auto"/>
        </w:rPr>
        <w:t>Performs an annual review of our compensation philosophy, executive compensation programs and the performance of senior executives, including our named executive officers (“NEOs”).</w:t>
      </w:r>
    </w:p>
    <w:p>
      <w:pPr>
        <w:spacing w:after="0" w:line="1" w:lineRule="exact"/>
        <w:rPr>
          <w:rFonts w:ascii="Arial" w:cs="Arial" w:eastAsia="Arial" w:hAnsi="Arial"/>
          <w:sz w:val="16"/>
          <w:szCs w:val="16"/>
          <w:color w:val="00A0DD"/>
        </w:rPr>
      </w:pPr>
    </w:p>
    <w:p>
      <w:pPr>
        <w:ind w:left="580" w:hanging="189"/>
        <w:spacing w:after="0" w:line="246" w:lineRule="auto"/>
        <w:tabs>
          <w:tab w:leader="none" w:pos="746" w:val="left"/>
        </w:tabs>
        <w:numPr>
          <w:ilvl w:val="0"/>
          <w:numId w:val="32"/>
        </w:numPr>
        <w:rPr>
          <w:rFonts w:ascii="Arial" w:cs="Arial" w:eastAsia="Arial" w:hAnsi="Arial"/>
          <w:sz w:val="16"/>
          <w:szCs w:val="16"/>
          <w:color w:val="00A0DD"/>
        </w:rPr>
      </w:pPr>
      <w:r>
        <w:rPr>
          <w:rFonts w:ascii="Arial" w:cs="Arial" w:eastAsia="Arial" w:hAnsi="Arial"/>
          <w:sz w:val="18"/>
          <w:szCs w:val="18"/>
          <w:color w:val="auto"/>
        </w:rPr>
        <w:t>Evaluates annually whether there are any risks associated with our executive compensation program.</w:t>
      </w:r>
    </w:p>
    <w:p>
      <w:pPr>
        <w:spacing w:after="0" w:line="2" w:lineRule="exact"/>
        <w:rPr>
          <w:rFonts w:ascii="Arial" w:cs="Arial" w:eastAsia="Arial" w:hAnsi="Arial"/>
          <w:sz w:val="16"/>
          <w:szCs w:val="16"/>
          <w:color w:val="00A0DD"/>
        </w:rPr>
      </w:pPr>
    </w:p>
    <w:p>
      <w:pPr>
        <w:ind w:left="580" w:right="480" w:hanging="189"/>
        <w:spacing w:after="0" w:line="271" w:lineRule="auto"/>
        <w:tabs>
          <w:tab w:leader="none" w:pos="746" w:val="left"/>
        </w:tabs>
        <w:numPr>
          <w:ilvl w:val="0"/>
          <w:numId w:val="32"/>
        </w:numPr>
        <w:rPr>
          <w:rFonts w:ascii="Arial" w:cs="Arial" w:eastAsia="Arial" w:hAnsi="Arial"/>
          <w:sz w:val="16"/>
          <w:szCs w:val="16"/>
          <w:color w:val="00A0DD"/>
        </w:rPr>
      </w:pPr>
      <w:r>
        <w:rPr>
          <w:rFonts w:ascii="Arial" w:cs="Arial" w:eastAsia="Arial" w:hAnsi="Arial"/>
          <w:sz w:val="18"/>
          <w:szCs w:val="18"/>
          <w:color w:val="auto"/>
        </w:rPr>
        <w:t>Oversees succession planning for senior management.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90" w:right="359" w:hanging="190"/>
        <w:spacing w:after="0" w:line="246" w:lineRule="auto"/>
        <w:tabs>
          <w:tab w:leader="none" w:pos="396" w:val="left"/>
        </w:tabs>
        <w:numPr>
          <w:ilvl w:val="0"/>
          <w:numId w:val="33"/>
        </w:numPr>
        <w:rPr>
          <w:rFonts w:ascii="Arial" w:cs="Arial" w:eastAsia="Arial" w:hAnsi="Arial"/>
          <w:sz w:val="18"/>
          <w:szCs w:val="18"/>
          <w:color w:val="00A0DD"/>
        </w:rPr>
      </w:pPr>
      <w:r>
        <w:rPr>
          <w:rFonts w:ascii="Arial" w:cs="Arial" w:eastAsia="Arial" w:hAnsi="Arial"/>
          <w:sz w:val="18"/>
          <w:szCs w:val="18"/>
          <w:color w:val="auto"/>
        </w:rPr>
        <w:t>Reviews compensation and benefit plans and policies generally, including with respect to compensation of our senior executives and other employees.</w:t>
      </w:r>
    </w:p>
    <w:p>
      <w:pPr>
        <w:spacing w:after="0" w:line="1" w:lineRule="exact"/>
        <w:rPr>
          <w:rFonts w:ascii="Arial" w:cs="Arial" w:eastAsia="Arial" w:hAnsi="Arial"/>
          <w:sz w:val="18"/>
          <w:szCs w:val="18"/>
          <w:color w:val="00A0DD"/>
        </w:rPr>
      </w:pPr>
    </w:p>
    <w:p>
      <w:pPr>
        <w:ind w:left="190" w:right="779" w:hanging="190"/>
        <w:spacing w:after="0" w:line="243" w:lineRule="auto"/>
        <w:tabs>
          <w:tab w:leader="none" w:pos="396" w:val="left"/>
        </w:tabs>
        <w:numPr>
          <w:ilvl w:val="0"/>
          <w:numId w:val="33"/>
        </w:numPr>
        <w:rPr>
          <w:rFonts w:ascii="Arial" w:cs="Arial" w:eastAsia="Arial" w:hAnsi="Arial"/>
          <w:sz w:val="18"/>
          <w:szCs w:val="18"/>
          <w:color w:val="00A0DD"/>
        </w:rPr>
      </w:pPr>
      <w:r>
        <w:rPr>
          <w:rFonts w:ascii="Arial" w:cs="Arial" w:eastAsia="Arial" w:hAnsi="Arial"/>
          <w:sz w:val="18"/>
          <w:szCs w:val="18"/>
          <w:color w:val="auto"/>
        </w:rPr>
        <w:t>Reviews programs and strategies with respect to human capital management, including with respect to talent recruitment, development and retention, employee engagement and workforce composition.</w:t>
      </w:r>
    </w:p>
    <w:p>
      <w:pPr>
        <w:spacing w:after="0" w:line="1" w:lineRule="exact"/>
        <w:rPr>
          <w:rFonts w:ascii="Arial" w:cs="Arial" w:eastAsia="Arial" w:hAnsi="Arial"/>
          <w:sz w:val="18"/>
          <w:szCs w:val="18"/>
          <w:color w:val="00A0DD"/>
        </w:rPr>
      </w:pPr>
    </w:p>
    <w:p>
      <w:pPr>
        <w:ind w:left="190" w:right="579" w:hanging="190"/>
        <w:spacing w:after="0" w:line="260" w:lineRule="auto"/>
        <w:tabs>
          <w:tab w:leader="none" w:pos="396" w:val="left"/>
        </w:tabs>
        <w:numPr>
          <w:ilvl w:val="0"/>
          <w:numId w:val="33"/>
        </w:numPr>
        <w:rPr>
          <w:rFonts w:ascii="Arial" w:cs="Arial" w:eastAsia="Arial" w:hAnsi="Arial"/>
          <w:sz w:val="18"/>
          <w:szCs w:val="18"/>
          <w:color w:val="00A0DD"/>
        </w:rPr>
      </w:pPr>
      <w:r>
        <w:rPr>
          <w:rFonts w:ascii="Arial" w:cs="Arial" w:eastAsia="Arial" w:hAnsi="Arial"/>
          <w:sz w:val="18"/>
          <w:szCs w:val="18"/>
          <w:color w:val="auto"/>
        </w:rPr>
        <w:t>Reports its discussions to the full Board for consideration and action when appropriate.</w:t>
      </w:r>
    </w:p>
    <w:p>
      <w:pPr>
        <w:spacing w:after="0" w:line="277" w:lineRule="exact"/>
        <w:rPr>
          <w:sz w:val="20"/>
          <w:szCs w:val="20"/>
          <w:color w:val="auto"/>
        </w:rPr>
      </w:pPr>
    </w:p>
    <w:p>
      <w:pPr>
        <w:sectPr>
          <w:pgSz w:w="11900" w:h="16838" w:orient="portrait"/>
          <w:cols w:equalWidth="0" w:num="2">
            <w:col w:w="4480" w:space="150"/>
            <w:col w:w="4390"/>
          </w:cols>
          <w:pgMar w:left="1440" w:top="229" w:right="1440" w:bottom="1440" w:gutter="0" w:footer="0" w:header="0"/>
          <w:type w:val="continuous"/>
        </w:sectPr>
      </w:pPr>
    </w:p>
    <w:p>
      <w:pPr>
        <w:ind w:left="320"/>
        <w:spacing w:after="0"/>
        <w:rPr>
          <w:sz w:val="20"/>
          <w:szCs w:val="20"/>
          <w:color w:val="auto"/>
        </w:rPr>
      </w:pPr>
      <w:r>
        <w:rPr>
          <w:rFonts w:ascii="Arial" w:cs="Arial" w:eastAsia="Arial" w:hAnsi="Arial"/>
          <w:sz w:val="16"/>
          <w:szCs w:val="16"/>
          <w:i w:val="1"/>
          <w:iCs w:val="1"/>
          <w:color w:val="auto"/>
        </w:rPr>
        <w:t>*Ms. Brady joined the Compensation Committee in January 2026, having previously served on the Audit Committee.</w:t>
      </w:r>
    </w:p>
    <w:p>
      <w:pPr>
        <w:spacing w:after="0" w:line="66" w:lineRule="exact"/>
        <w:rPr>
          <w:sz w:val="20"/>
          <w:szCs w:val="20"/>
          <w:color w:val="auto"/>
        </w:rPr>
      </w:pPr>
    </w:p>
    <w:p>
      <w:pPr>
        <w:ind w:left="320" w:right="439"/>
        <w:spacing w:after="0" w:line="271" w:lineRule="auto"/>
        <w:rPr>
          <w:sz w:val="20"/>
          <w:szCs w:val="20"/>
          <w:color w:val="auto"/>
        </w:rPr>
      </w:pPr>
      <w:r>
        <w:rPr>
          <w:rFonts w:ascii="Arial" w:cs="Arial" w:eastAsia="Arial" w:hAnsi="Arial"/>
          <w:sz w:val="18"/>
          <w:szCs w:val="18"/>
          <w:color w:val="auto"/>
        </w:rPr>
        <w:t>Each member of our Compensation Committee qualifies as a “non-employee director” under Rule 16b-3 under the Exchange Act.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Compensation Committee Report is included on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77470</wp:posOffset>
            </wp:positionV>
            <wp:extent cx="5194935"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94935" cy="43180"/>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sz w:val="1"/>
          <w:szCs w:val="1"/>
          <w:color w:val="auto"/>
        </w:rPr>
        <w:drawing>
          <wp:inline distT="0" distB="0" distL="0" distR="0">
            <wp:extent cx="111125"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240030"/>
                    </a:xfrm>
                    <a:prstGeom prst="rect">
                      <a:avLst/>
                    </a:prstGeom>
                    <a:noFill/>
                    <a:ln>
                      <a:noFill/>
                    </a:ln>
                  </pic:spPr>
                </pic:pic>
              </a:graphicData>
            </a:graphic>
          </wp:inline>
        </w:drawing>
      </w:r>
      <w:r>
        <w:rPr>
          <w:rFonts w:ascii="Arial" w:cs="Arial" w:eastAsia="Arial" w:hAnsi="Arial"/>
          <w:sz w:val="20"/>
          <w:szCs w:val="20"/>
          <w:b w:val="1"/>
          <w:bCs w:val="1"/>
          <w:color w:val="FFFFFF"/>
        </w:rPr>
        <w:t>Governance and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-196215</wp:posOffset>
            </wp:positionV>
            <wp:extent cx="5306060" cy="1036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06060" cy="1036955"/>
                    </a:xfrm>
                    <a:prstGeom prst="rect">
                      <a:avLst/>
                    </a:prstGeom>
                    <a:noFill/>
                  </pic:spPr>
                </pic:pic>
              </a:graphicData>
            </a:graphic>
          </wp:anchor>
        </w:drawing>
      </w:r>
    </w:p>
    <w:p>
      <w:pPr>
        <w:spacing w:after="0" w:line="78"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Kenneth J. Bacon (Chair)</w:t>
      </w:r>
    </w:p>
    <w:p>
      <w:pPr>
        <w:spacing w:after="0" w:line="30" w:lineRule="exact"/>
        <w:rPr>
          <w:sz w:val="20"/>
          <w:szCs w:val="20"/>
          <w:color w:val="auto"/>
        </w:rPr>
      </w:pPr>
    </w:p>
    <w:tbl>
      <w:tblPr>
        <w:tblLayout w:type="fixed"/>
        <w:tblInd w:w="2180" w:type="dxa"/>
        <w:tblCellMar>
          <w:top w:w="0" w:type="dxa"/>
          <w:left w:w="0" w:type="dxa"/>
          <w:bottom w:w="0" w:type="dxa"/>
          <w:right w:w="0" w:type="dxa"/>
        </w:tblCellMar>
      </w:tblPr>
      <w:tr>
        <w:trPr>
          <w:trHeight w:val="228"/>
        </w:trPr>
        <w:tc>
          <w:tcPr>
            <w:tcW w:w="2000" w:type="dxa"/>
            <w:vAlign w:val="bottom"/>
            <w:shd w:val="clear" w:color="auto" w:fill="E0F0FB"/>
          </w:tcPr>
          <w:p>
            <w:pPr>
              <w:spacing w:after="0"/>
              <w:rPr>
                <w:sz w:val="20"/>
                <w:szCs w:val="20"/>
                <w:color w:val="auto"/>
              </w:rPr>
            </w:pPr>
            <w:r>
              <w:rPr>
                <w:rFonts w:ascii="Arial" w:cs="Arial" w:eastAsia="Arial" w:hAnsi="Arial"/>
                <w:sz w:val="17"/>
                <w:szCs w:val="17"/>
                <w:b w:val="1"/>
                <w:bCs w:val="1"/>
                <w:color w:val="00A0DD"/>
              </w:rPr>
              <w:t>Members:</w:t>
            </w:r>
          </w:p>
        </w:tc>
        <w:tc>
          <w:tcPr>
            <w:tcW w:w="4500" w:type="dxa"/>
            <w:vAlign w:val="bottom"/>
            <w:shd w:val="clear" w:color="auto" w:fill="E0F0FB"/>
          </w:tcPr>
          <w:p>
            <w:pPr>
              <w:ind w:left="380"/>
              <w:spacing w:after="0"/>
              <w:rPr>
                <w:sz w:val="20"/>
                <w:szCs w:val="20"/>
                <w:color w:val="auto"/>
              </w:rPr>
            </w:pPr>
            <w:r>
              <w:rPr>
                <w:rFonts w:ascii="Arial" w:cs="Arial" w:eastAsia="Arial" w:hAnsi="Arial"/>
                <w:sz w:val="17"/>
                <w:szCs w:val="17"/>
                <w:b w:val="1"/>
                <w:bCs w:val="1"/>
                <w:color w:val="00A0DD"/>
              </w:rPr>
              <w:t xml:space="preserve">Meetings in 2024: </w:t>
            </w:r>
            <w:r>
              <w:rPr>
                <w:rFonts w:ascii="Arial" w:cs="Arial" w:eastAsia="Arial" w:hAnsi="Arial"/>
                <w:sz w:val="17"/>
                <w:szCs w:val="17"/>
                <w:b w:val="1"/>
                <w:bCs w:val="1"/>
                <w:color w:val="000000"/>
              </w:rPr>
              <w:t>5</w:t>
            </w:r>
          </w:p>
        </w:tc>
      </w:tr>
      <w:tr>
        <w:trPr>
          <w:trHeight w:val="216"/>
        </w:trPr>
        <w:tc>
          <w:tcPr>
            <w:tcW w:w="2000" w:type="dxa"/>
            <w:vAlign w:val="bottom"/>
            <w:shd w:val="clear" w:color="auto" w:fill="E0F0FB"/>
          </w:tcPr>
          <w:p>
            <w:pPr>
              <w:spacing w:after="0"/>
              <w:rPr>
                <w:sz w:val="20"/>
                <w:szCs w:val="20"/>
                <w:color w:val="auto"/>
              </w:rPr>
            </w:pPr>
            <w:r>
              <w:rPr>
                <w:rFonts w:ascii="Arial" w:cs="Arial" w:eastAsia="Arial" w:hAnsi="Arial"/>
                <w:sz w:val="17"/>
                <w:szCs w:val="17"/>
                <w:color w:val="auto"/>
              </w:rPr>
              <w:t>Madeline S. Bell</w:t>
            </w:r>
          </w:p>
        </w:tc>
        <w:tc>
          <w:tcPr>
            <w:tcW w:w="4500" w:type="dxa"/>
            <w:vAlign w:val="bottom"/>
            <w:shd w:val="clear" w:color="auto" w:fill="E0F0FB"/>
          </w:tcPr>
          <w:p>
            <w:pPr>
              <w:spacing w:after="0"/>
              <w:rPr>
                <w:sz w:val="18"/>
                <w:szCs w:val="18"/>
                <w:color w:val="auto"/>
              </w:rPr>
            </w:pPr>
          </w:p>
        </w:tc>
      </w:tr>
      <w:tr>
        <w:trPr>
          <w:trHeight w:val="225"/>
        </w:trPr>
        <w:tc>
          <w:tcPr>
            <w:tcW w:w="2000" w:type="dxa"/>
            <w:vAlign w:val="bottom"/>
            <w:shd w:val="clear" w:color="auto" w:fill="E0F0FB"/>
          </w:tcPr>
          <w:p>
            <w:pPr>
              <w:spacing w:after="0"/>
              <w:rPr>
                <w:sz w:val="20"/>
                <w:szCs w:val="20"/>
                <w:color w:val="auto"/>
              </w:rPr>
            </w:pPr>
            <w:r>
              <w:rPr>
                <w:rFonts w:ascii="Arial" w:cs="Arial" w:eastAsia="Arial" w:hAnsi="Arial"/>
                <w:sz w:val="17"/>
                <w:szCs w:val="17"/>
                <w:color w:val="auto"/>
              </w:rPr>
              <w:t>Jeffrey A. Honickman</w:t>
            </w:r>
          </w:p>
        </w:tc>
        <w:tc>
          <w:tcPr>
            <w:tcW w:w="4500" w:type="dxa"/>
            <w:vAlign w:val="bottom"/>
            <w:shd w:val="clear" w:color="auto" w:fill="E0F0FB"/>
          </w:tcPr>
          <w:p>
            <w:pPr>
              <w:spacing w:after="0"/>
              <w:rPr>
                <w:sz w:val="19"/>
                <w:szCs w:val="19"/>
                <w:color w:val="auto"/>
              </w:rPr>
            </w:pPr>
          </w:p>
        </w:tc>
      </w:tr>
      <w:tr>
        <w:trPr>
          <w:trHeight w:val="297"/>
        </w:trPr>
        <w:tc>
          <w:tcPr>
            <w:tcW w:w="2000" w:type="dxa"/>
            <w:vAlign w:val="bottom"/>
            <w:shd w:val="clear" w:color="auto" w:fill="E0F0FB"/>
          </w:tcPr>
          <w:p>
            <w:pPr>
              <w:spacing w:after="0"/>
              <w:rPr>
                <w:sz w:val="24"/>
                <w:szCs w:val="24"/>
                <w:color w:val="auto"/>
              </w:rPr>
            </w:pPr>
          </w:p>
        </w:tc>
        <w:tc>
          <w:tcPr>
            <w:tcW w:w="4500" w:type="dxa"/>
            <w:vAlign w:val="bottom"/>
            <w:shd w:val="clear" w:color="auto" w:fill="E0F0FB"/>
          </w:tcPr>
          <w:p>
            <w:pPr>
              <w:spacing w:after="0"/>
              <w:rPr>
                <w:sz w:val="24"/>
                <w:szCs w:val="24"/>
                <w:color w:val="auto"/>
              </w:rPr>
            </w:pPr>
          </w:p>
        </w:tc>
      </w:tr>
    </w:tbl>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00A0DD"/>
        </w:rPr>
        <w:t>Key Responsibilities</w:t>
      </w:r>
    </w:p>
    <w:p>
      <w:pPr>
        <w:sectPr>
          <w:pgSz w:w="11900" w:h="16838" w:orient="portrait"/>
          <w:cols w:equalWidth="0" w:num="1">
            <w:col w:w="9019"/>
          </w:cols>
          <w:pgMar w:left="1440" w:top="229" w:right="1440" w:bottom="1440" w:gutter="0" w:footer="0" w:header="0"/>
          <w:type w:val="continuous"/>
        </w:sectPr>
      </w:pPr>
    </w:p>
    <w:p>
      <w:pPr>
        <w:spacing w:after="0" w:line="63" w:lineRule="exact"/>
        <w:rPr>
          <w:sz w:val="20"/>
          <w:szCs w:val="20"/>
          <w:color w:val="auto"/>
        </w:rPr>
      </w:pPr>
    </w:p>
    <w:p>
      <w:pPr>
        <w:ind w:left="580" w:right="340" w:hanging="189"/>
        <w:spacing w:after="0" w:line="258" w:lineRule="auto"/>
        <w:tabs>
          <w:tab w:leader="none" w:pos="785" w:val="left"/>
        </w:tabs>
        <w:numPr>
          <w:ilvl w:val="0"/>
          <w:numId w:val="34"/>
        </w:numPr>
        <w:rPr>
          <w:rFonts w:ascii="Arial" w:cs="Arial" w:eastAsia="Arial" w:hAnsi="Arial"/>
          <w:sz w:val="18"/>
          <w:szCs w:val="18"/>
          <w:color w:val="00A0DD"/>
        </w:rPr>
      </w:pPr>
      <w:r>
        <w:rPr>
          <w:rFonts w:ascii="Arial" w:cs="Arial" w:eastAsia="Arial" w:hAnsi="Arial"/>
          <w:sz w:val="18"/>
          <w:szCs w:val="18"/>
          <w:color w:val="auto"/>
        </w:rPr>
        <w:t>Provides general oversight of corporate governance.</w:t>
      </w:r>
    </w:p>
    <w:p>
      <w:pPr>
        <w:ind w:left="580" w:right="40" w:hanging="189"/>
        <w:spacing w:after="0" w:line="248" w:lineRule="auto"/>
        <w:tabs>
          <w:tab w:leader="none" w:pos="785" w:val="left"/>
        </w:tabs>
        <w:numPr>
          <w:ilvl w:val="0"/>
          <w:numId w:val="34"/>
        </w:numPr>
        <w:rPr>
          <w:rFonts w:ascii="Arial" w:cs="Arial" w:eastAsia="Arial" w:hAnsi="Arial"/>
          <w:sz w:val="18"/>
          <w:szCs w:val="18"/>
          <w:color w:val="00A0DD"/>
        </w:rPr>
      </w:pPr>
      <w:r>
        <w:rPr>
          <w:rFonts w:ascii="Arial" w:cs="Arial" w:eastAsia="Arial" w:hAnsi="Arial"/>
          <w:sz w:val="18"/>
          <w:szCs w:val="18"/>
          <w:color w:val="auto"/>
        </w:rPr>
        <w:t>Oversees culture of compliance and ethical business conduct, including compliance program.</w:t>
      </w:r>
    </w:p>
    <w:p>
      <w:pPr>
        <w:spacing w:after="0" w:line="2" w:lineRule="exact"/>
        <w:rPr>
          <w:rFonts w:ascii="Arial" w:cs="Arial" w:eastAsia="Arial" w:hAnsi="Arial"/>
          <w:sz w:val="18"/>
          <w:szCs w:val="18"/>
          <w:color w:val="00A0DD"/>
        </w:rPr>
      </w:pPr>
    </w:p>
    <w:p>
      <w:pPr>
        <w:jc w:val="both"/>
        <w:ind w:left="580" w:right="320" w:hanging="189"/>
        <w:spacing w:after="0" w:line="246" w:lineRule="auto"/>
        <w:tabs>
          <w:tab w:leader="none" w:pos="785" w:val="left"/>
        </w:tabs>
        <w:numPr>
          <w:ilvl w:val="0"/>
          <w:numId w:val="34"/>
        </w:numPr>
        <w:rPr>
          <w:rFonts w:ascii="Arial" w:cs="Arial" w:eastAsia="Arial" w:hAnsi="Arial"/>
          <w:sz w:val="18"/>
          <w:szCs w:val="18"/>
          <w:color w:val="00A0DD"/>
        </w:rPr>
      </w:pPr>
      <w:r>
        <w:rPr>
          <w:rFonts w:ascii="Arial" w:cs="Arial" w:eastAsia="Arial" w:hAnsi="Arial"/>
          <w:sz w:val="18"/>
          <w:szCs w:val="18"/>
          <w:color w:val="auto"/>
        </w:rPr>
        <w:t>Reviews significant legal and regulatory compliance risks, such as privacy, artificial intelligence and data governance.</w:t>
      </w:r>
    </w:p>
    <w:p>
      <w:pPr>
        <w:spacing w:after="0" w:line="2" w:lineRule="exact"/>
        <w:rPr>
          <w:rFonts w:ascii="Arial" w:cs="Arial" w:eastAsia="Arial" w:hAnsi="Arial"/>
          <w:sz w:val="18"/>
          <w:szCs w:val="18"/>
          <w:color w:val="00A0DD"/>
        </w:rPr>
      </w:pPr>
    </w:p>
    <w:p>
      <w:pPr>
        <w:ind w:left="580" w:hanging="189"/>
        <w:spacing w:after="0" w:line="253" w:lineRule="auto"/>
        <w:tabs>
          <w:tab w:leader="none" w:pos="785" w:val="left"/>
        </w:tabs>
        <w:numPr>
          <w:ilvl w:val="0"/>
          <w:numId w:val="34"/>
        </w:numPr>
        <w:rPr>
          <w:rFonts w:ascii="Arial" w:cs="Arial" w:eastAsia="Arial" w:hAnsi="Arial"/>
          <w:sz w:val="18"/>
          <w:szCs w:val="18"/>
          <w:color w:val="00A0DD"/>
        </w:rPr>
      </w:pPr>
      <w:r>
        <w:rPr>
          <w:rFonts w:ascii="Arial" w:cs="Arial" w:eastAsia="Arial" w:hAnsi="Arial"/>
          <w:sz w:val="18"/>
          <w:szCs w:val="18"/>
          <w:color w:val="auto"/>
        </w:rPr>
        <w:t>Oversees, monitors and receives reports on workplace harassment and discrimination matters.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90" w:right="539" w:hanging="190"/>
        <w:spacing w:after="0" w:line="246" w:lineRule="auto"/>
        <w:tabs>
          <w:tab w:leader="none" w:pos="396" w:val="left"/>
        </w:tabs>
        <w:numPr>
          <w:ilvl w:val="0"/>
          <w:numId w:val="35"/>
        </w:numPr>
        <w:rPr>
          <w:rFonts w:ascii="Arial" w:cs="Arial" w:eastAsia="Arial" w:hAnsi="Arial"/>
          <w:sz w:val="18"/>
          <w:szCs w:val="18"/>
          <w:color w:val="00A0DD"/>
        </w:rPr>
      </w:pPr>
      <w:r>
        <w:rPr>
          <w:rFonts w:ascii="Arial" w:cs="Arial" w:eastAsia="Arial" w:hAnsi="Arial"/>
          <w:sz w:val="18"/>
          <w:szCs w:val="18"/>
          <w:color w:val="auto"/>
        </w:rPr>
        <w:t>Reviews and assesses our corporate social responsibility report and significant environmental and social issues, risks and trends.</w:t>
      </w:r>
    </w:p>
    <w:p>
      <w:pPr>
        <w:spacing w:after="0" w:line="1" w:lineRule="exact"/>
        <w:rPr>
          <w:rFonts w:ascii="Arial" w:cs="Arial" w:eastAsia="Arial" w:hAnsi="Arial"/>
          <w:sz w:val="18"/>
          <w:szCs w:val="18"/>
          <w:color w:val="00A0DD"/>
        </w:rPr>
      </w:pPr>
    </w:p>
    <w:p>
      <w:pPr>
        <w:jc w:val="both"/>
        <w:ind w:left="190" w:right="619" w:hanging="190"/>
        <w:spacing w:after="0" w:line="245" w:lineRule="auto"/>
        <w:tabs>
          <w:tab w:leader="none" w:pos="396" w:val="left"/>
        </w:tabs>
        <w:numPr>
          <w:ilvl w:val="0"/>
          <w:numId w:val="35"/>
        </w:numPr>
        <w:rPr>
          <w:rFonts w:ascii="Arial" w:cs="Arial" w:eastAsia="Arial" w:hAnsi="Arial"/>
          <w:sz w:val="18"/>
          <w:szCs w:val="18"/>
          <w:color w:val="00A0DD"/>
        </w:rPr>
      </w:pPr>
      <w:r>
        <w:rPr>
          <w:rFonts w:ascii="Arial" w:cs="Arial" w:eastAsia="Arial" w:hAnsi="Arial"/>
          <w:sz w:val="18"/>
          <w:szCs w:val="18"/>
          <w:color w:val="auto"/>
        </w:rPr>
        <w:t>Oversees our approach to political and lobbying activities, including by receiving periodic reports on our political contributions, lobbying and trade association activities.</w:t>
      </w:r>
    </w:p>
    <w:p>
      <w:pPr>
        <w:spacing w:after="0" w:line="1" w:lineRule="exact"/>
        <w:rPr>
          <w:rFonts w:ascii="Arial" w:cs="Arial" w:eastAsia="Arial" w:hAnsi="Arial"/>
          <w:sz w:val="18"/>
          <w:szCs w:val="18"/>
          <w:color w:val="00A0DD"/>
        </w:rPr>
      </w:pPr>
    </w:p>
    <w:p>
      <w:pPr>
        <w:ind w:left="190" w:right="579" w:hanging="190"/>
        <w:spacing w:after="0" w:line="260" w:lineRule="auto"/>
        <w:tabs>
          <w:tab w:leader="none" w:pos="396" w:val="left"/>
        </w:tabs>
        <w:numPr>
          <w:ilvl w:val="0"/>
          <w:numId w:val="35"/>
        </w:numPr>
        <w:rPr>
          <w:rFonts w:ascii="Arial" w:cs="Arial" w:eastAsia="Arial" w:hAnsi="Arial"/>
          <w:sz w:val="18"/>
          <w:szCs w:val="18"/>
          <w:color w:val="00A0DD"/>
        </w:rPr>
      </w:pPr>
      <w:r>
        <w:rPr>
          <w:rFonts w:ascii="Arial" w:cs="Arial" w:eastAsia="Arial" w:hAnsi="Arial"/>
          <w:sz w:val="18"/>
          <w:szCs w:val="18"/>
          <w:color w:val="auto"/>
        </w:rPr>
        <w:t>Reports its discussions to the full Board for consideration and action when appropriate.</w:t>
      </w:r>
    </w:p>
    <w:p>
      <w:pPr>
        <w:spacing w:after="0" w:line="294" w:lineRule="exact"/>
        <w:rPr>
          <w:sz w:val="20"/>
          <w:szCs w:val="20"/>
          <w:color w:val="auto"/>
        </w:rPr>
      </w:pPr>
    </w:p>
    <w:p>
      <w:pPr>
        <w:sectPr>
          <w:pgSz w:w="11900" w:h="16838" w:orient="portrait"/>
          <w:cols w:equalWidth="0" w:num="2">
            <w:col w:w="4280" w:space="350"/>
            <w:col w:w="4390"/>
          </w:cols>
          <w:pgMar w:left="1440" w:top="229" w:right="1440" w:bottom="1440" w:gutter="0" w:footer="0" w:header="0"/>
          <w:type w:val="continuous"/>
        </w:sectPr>
      </w:pPr>
    </w:p>
    <w:p>
      <w:pPr>
        <w:ind w:left="320"/>
        <w:spacing w:after="0"/>
        <w:rPr>
          <w:sz w:val="20"/>
          <w:szCs w:val="20"/>
          <w:color w:val="auto"/>
        </w:rPr>
      </w:pPr>
      <w:r>
        <w:rPr>
          <w:rFonts w:ascii="Arial" w:cs="Arial" w:eastAsia="Arial" w:hAnsi="Arial"/>
          <w:sz w:val="25"/>
          <w:szCs w:val="25"/>
          <w:color w:val="auto"/>
        </w:rPr>
        <w:t>Board and Committee Strategy and Risk Oversight Responsibilities</w:t>
      </w:r>
    </w:p>
    <w:p>
      <w:pPr>
        <w:spacing w:after="0" w:line="94" w:lineRule="exact"/>
        <w:rPr>
          <w:sz w:val="20"/>
          <w:szCs w:val="20"/>
          <w:color w:val="auto"/>
        </w:rPr>
      </w:pPr>
    </w:p>
    <w:p>
      <w:pPr>
        <w:ind w:left="320" w:right="739"/>
        <w:spacing w:after="0" w:line="253" w:lineRule="auto"/>
        <w:rPr>
          <w:sz w:val="20"/>
          <w:szCs w:val="20"/>
          <w:color w:val="auto"/>
        </w:rPr>
      </w:pPr>
      <w:r>
        <w:rPr>
          <w:rFonts w:ascii="Arial" w:cs="Arial" w:eastAsia="Arial" w:hAnsi="Arial"/>
          <w:sz w:val="18"/>
          <w:szCs w:val="18"/>
          <w:color w:val="auto"/>
        </w:rPr>
        <w:t>Our Board and its committees provide guidance to and oversight of management with respect to our business strategy throughout the year. Various elements of strategy are discussed at every Board meeting,</w:t>
      </w:r>
    </w:p>
    <w:p>
      <w:pPr>
        <w:spacing w:after="0" w:line="200" w:lineRule="exact"/>
        <w:rPr>
          <w:sz w:val="20"/>
          <w:szCs w:val="20"/>
          <w:color w:val="auto"/>
        </w:rPr>
      </w:pPr>
    </w:p>
    <w:p>
      <w:pPr>
        <w:spacing w:after="0" w:line="294" w:lineRule="exact"/>
        <w:rPr>
          <w:sz w:val="20"/>
          <w:szCs w:val="20"/>
          <w:color w:val="auto"/>
        </w:rPr>
      </w:pPr>
    </w:p>
    <w:p>
      <w:pPr>
        <w:ind w:left="1000" w:hanging="674"/>
        <w:spacing w:after="0"/>
        <w:tabs>
          <w:tab w:leader="none" w:pos="10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23" w:name="page24"/>
    <w:bookmarkEnd w:id="23"/>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840"/>
        <w:spacing w:after="0" w:line="271" w:lineRule="auto"/>
        <w:rPr>
          <w:sz w:val="20"/>
          <w:szCs w:val="20"/>
          <w:color w:val="auto"/>
        </w:rPr>
      </w:pPr>
      <w:r>
        <w:rPr>
          <w:rFonts w:ascii="Arial" w:cs="Arial" w:eastAsia="Arial" w:hAnsi="Arial"/>
          <w:sz w:val="18"/>
          <w:szCs w:val="18"/>
          <w:color w:val="auto"/>
        </w:rPr>
        <w:t>and our management is charged with executing the business strategy and updating the Board on progress and execution throughout the year.</w:t>
      </w:r>
    </w:p>
    <w:p>
      <w:pPr>
        <w:spacing w:after="0" w:line="19" w:lineRule="exact"/>
        <w:rPr>
          <w:sz w:val="20"/>
          <w:szCs w:val="20"/>
          <w:color w:val="auto"/>
        </w:rPr>
      </w:pPr>
    </w:p>
    <w:p>
      <w:pPr>
        <w:ind w:left="1180" w:right="1300"/>
        <w:spacing w:after="0" w:line="244" w:lineRule="auto"/>
        <w:rPr>
          <w:sz w:val="20"/>
          <w:szCs w:val="20"/>
          <w:color w:val="auto"/>
        </w:rPr>
      </w:pPr>
      <w:r>
        <w:rPr>
          <w:rFonts w:ascii="Arial" w:cs="Arial" w:eastAsia="Arial" w:hAnsi="Arial"/>
          <w:sz w:val="18"/>
          <w:szCs w:val="18"/>
          <w:color w:val="auto"/>
        </w:rPr>
        <w:t>While active risk management is primarily the responsibility of our management, our Board understands the significant risks facing our company and, as a whole and through its committees, exercises an appropriate degree of risk oversight. Our management, with involvement and input from our Board, performs an annual ERM assessment to identify and manage key existing and emerging risks for our company.</w:t>
      </w:r>
    </w:p>
    <w:p>
      <w:pPr>
        <w:spacing w:after="0" w:line="28" w:lineRule="exact"/>
        <w:rPr>
          <w:sz w:val="20"/>
          <w:szCs w:val="20"/>
          <w:color w:val="auto"/>
        </w:rPr>
      </w:pPr>
    </w:p>
    <w:p>
      <w:pPr>
        <w:ind w:left="1180" w:right="1200"/>
        <w:spacing w:after="0" w:line="242" w:lineRule="auto"/>
        <w:rPr>
          <w:sz w:val="20"/>
          <w:szCs w:val="20"/>
          <w:color w:val="auto"/>
        </w:rPr>
      </w:pPr>
      <w:r>
        <w:rPr>
          <w:rFonts w:ascii="Arial" w:cs="Arial" w:eastAsia="Arial" w:hAnsi="Arial"/>
          <w:sz w:val="18"/>
          <w:szCs w:val="18"/>
          <w:color w:val="auto"/>
        </w:rPr>
        <w:t>Our senior executive management team has the overall responsibility for, and oversight of, our ERM process, and an ERM steering committee manages the process, with one or more senior business executives then monitoring and managing each of the identified risks. Regular business presentations and discussions throughout the year at the Board or its committees, both from management and external experts as appropriate, highlight significant relevant risks and exposures, including those listed below as core enterprise risks identified through our ERM process.</w:t>
      </w:r>
    </w:p>
    <w:p>
      <w:pPr>
        <w:spacing w:after="0" w:line="30" w:lineRule="exact"/>
        <w:rPr>
          <w:sz w:val="20"/>
          <w:szCs w:val="20"/>
          <w:color w:val="auto"/>
        </w:rPr>
      </w:pPr>
    </w:p>
    <w:p>
      <w:pPr>
        <w:ind w:left="1180" w:right="1220"/>
        <w:spacing w:after="0" w:line="239" w:lineRule="auto"/>
        <w:rPr>
          <w:sz w:val="20"/>
          <w:szCs w:val="20"/>
          <w:color w:val="auto"/>
        </w:rPr>
      </w:pPr>
      <w:r>
        <w:rPr>
          <w:rFonts w:ascii="Arial" w:cs="Arial" w:eastAsia="Arial" w:hAnsi="Arial"/>
          <w:sz w:val="18"/>
          <w:szCs w:val="18"/>
          <w:color w:val="auto"/>
        </w:rPr>
        <w:t>Our Board and its committees exercise their respective roles in strategy and risk oversight in a variety of ways, as set forth below. We believe the Board as a whole is ultimately accountable for risk oversight, but various Board committees may lead and inform the Board with regard to specific risks. To that end, our full Board receives an annual presentation on the results of the core enterprise risks identified through our ERM process for Board-level oversight, with our Audit Committee overseeing the process by which we perform our ERM exercise. Certain risks may be addressed by both the Board and its committees (such as succession planning and cybersecurity) or only by our Board or a committee, depending on the subject matter and significance of a particular risk. If discussion of a risk is covered during a committee meeting, the committee chair reports on the committee’s discussion to the full Board for consideration and action when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14605</wp:posOffset>
            </wp:positionV>
            <wp:extent cx="530606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06060" cy="179705"/>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Board of Directors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0DD"/>
        </w:rPr>
        <w:t>Oversight of Core Enterprise Risks</w:t>
      </w:r>
    </w:p>
    <w:p>
      <w:pPr>
        <w:spacing w:after="0" w:line="95" w:lineRule="exact"/>
        <w:rPr>
          <w:sz w:val="20"/>
          <w:szCs w:val="20"/>
          <w:color w:val="auto"/>
        </w:rPr>
      </w:pPr>
    </w:p>
    <w:tbl>
      <w:tblPr>
        <w:tblLayout w:type="fixed"/>
        <w:tblInd w:w="1180" w:type="dxa"/>
        <w:tblCellMar>
          <w:top w:w="0" w:type="dxa"/>
          <w:left w:w="0" w:type="dxa"/>
          <w:bottom w:w="0" w:type="dxa"/>
          <w:right w:w="0" w:type="dxa"/>
        </w:tblCellMar>
      </w:tblPr>
      <w:tr>
        <w:trPr>
          <w:trHeight w:val="283"/>
        </w:trPr>
        <w:tc>
          <w:tcPr>
            <w:tcW w:w="142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Competitive</w:t>
            </w:r>
          </w:p>
        </w:tc>
        <w:tc>
          <w:tcPr>
            <w:tcW w:w="144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Reputational</w:t>
            </w:r>
          </w:p>
        </w:tc>
        <w:tc>
          <w:tcPr>
            <w:tcW w:w="142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Succession</w:t>
            </w:r>
          </w:p>
        </w:tc>
        <w:tc>
          <w:tcPr>
            <w:tcW w:w="130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Capital</w:t>
            </w:r>
          </w:p>
        </w:tc>
        <w:tc>
          <w:tcPr>
            <w:tcW w:w="1660" w:type="dxa"/>
            <w:vAlign w:val="bottom"/>
            <w:shd w:val="clear" w:color="auto" w:fill="E8F6FD"/>
          </w:tcPr>
          <w:p>
            <w:pPr>
              <w:jc w:val="center"/>
              <w:ind w:left="79"/>
              <w:spacing w:after="0"/>
              <w:rPr>
                <w:sz w:val="20"/>
                <w:szCs w:val="20"/>
                <w:color w:val="auto"/>
              </w:rPr>
            </w:pPr>
            <w:r>
              <w:rPr>
                <w:rFonts w:ascii="Arial" w:cs="Arial" w:eastAsia="Arial" w:hAnsi="Arial"/>
                <w:sz w:val="16"/>
                <w:szCs w:val="16"/>
                <w:color w:val="auto"/>
              </w:rPr>
              <w:t>Cybersecurity &amp;</w:t>
            </w:r>
          </w:p>
        </w:tc>
        <w:tc>
          <w:tcPr>
            <w:tcW w:w="112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Legal &amp;</w:t>
            </w:r>
          </w:p>
        </w:tc>
      </w:tr>
      <w:tr>
        <w:trPr>
          <w:trHeight w:val="215"/>
        </w:trPr>
        <w:tc>
          <w:tcPr>
            <w:tcW w:w="142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Risks</w:t>
            </w:r>
          </w:p>
        </w:tc>
        <w:tc>
          <w:tcPr>
            <w:tcW w:w="144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Risks</w:t>
            </w:r>
          </w:p>
        </w:tc>
        <w:tc>
          <w:tcPr>
            <w:tcW w:w="142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Planning</w:t>
            </w:r>
          </w:p>
        </w:tc>
        <w:tc>
          <w:tcPr>
            <w:tcW w:w="130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Allocation</w:t>
            </w:r>
          </w:p>
        </w:tc>
        <w:tc>
          <w:tcPr>
            <w:tcW w:w="1660" w:type="dxa"/>
            <w:vAlign w:val="bottom"/>
            <w:shd w:val="clear" w:color="auto" w:fill="E8F6FD"/>
          </w:tcPr>
          <w:p>
            <w:pPr>
              <w:jc w:val="center"/>
              <w:ind w:left="79"/>
              <w:spacing w:after="0"/>
              <w:rPr>
                <w:sz w:val="20"/>
                <w:szCs w:val="20"/>
                <w:color w:val="auto"/>
              </w:rPr>
            </w:pPr>
            <w:r>
              <w:rPr>
                <w:rFonts w:ascii="Arial" w:cs="Arial" w:eastAsia="Arial" w:hAnsi="Arial"/>
                <w:sz w:val="16"/>
                <w:szCs w:val="16"/>
                <w:color w:val="auto"/>
              </w:rPr>
              <w:t>Privacy</w:t>
            </w:r>
          </w:p>
        </w:tc>
        <w:tc>
          <w:tcPr>
            <w:tcW w:w="1120" w:type="dxa"/>
            <w:vAlign w:val="bottom"/>
            <w:shd w:val="clear" w:color="auto" w:fill="E8F6FD"/>
          </w:tcPr>
          <w:p>
            <w:pPr>
              <w:jc w:val="center"/>
              <w:spacing w:after="0"/>
              <w:rPr>
                <w:sz w:val="20"/>
                <w:szCs w:val="20"/>
                <w:color w:val="auto"/>
              </w:rPr>
            </w:pPr>
            <w:r>
              <w:rPr>
                <w:rFonts w:ascii="Arial" w:cs="Arial" w:eastAsia="Arial" w:hAnsi="Arial"/>
                <w:sz w:val="16"/>
                <w:szCs w:val="16"/>
                <w:color w:val="auto"/>
              </w:rPr>
              <w:t>Regulatory</w:t>
            </w:r>
          </w:p>
        </w:tc>
      </w:tr>
      <w:tr>
        <w:trPr>
          <w:trHeight w:val="96"/>
        </w:trPr>
        <w:tc>
          <w:tcPr>
            <w:tcW w:w="1420" w:type="dxa"/>
            <w:vAlign w:val="bottom"/>
            <w:shd w:val="clear" w:color="auto" w:fill="E8F6FD"/>
          </w:tcPr>
          <w:p>
            <w:pPr>
              <w:spacing w:after="0"/>
              <w:rPr>
                <w:sz w:val="8"/>
                <w:szCs w:val="8"/>
                <w:color w:val="auto"/>
              </w:rPr>
            </w:pPr>
          </w:p>
        </w:tc>
        <w:tc>
          <w:tcPr>
            <w:tcW w:w="1440" w:type="dxa"/>
            <w:vAlign w:val="bottom"/>
            <w:shd w:val="clear" w:color="auto" w:fill="E8F6FD"/>
          </w:tcPr>
          <w:p>
            <w:pPr>
              <w:spacing w:after="0"/>
              <w:rPr>
                <w:sz w:val="8"/>
                <w:szCs w:val="8"/>
                <w:color w:val="auto"/>
              </w:rPr>
            </w:pPr>
          </w:p>
        </w:tc>
        <w:tc>
          <w:tcPr>
            <w:tcW w:w="1420" w:type="dxa"/>
            <w:vAlign w:val="bottom"/>
            <w:shd w:val="clear" w:color="auto" w:fill="E8F6FD"/>
          </w:tcPr>
          <w:p>
            <w:pPr>
              <w:spacing w:after="0"/>
              <w:rPr>
                <w:sz w:val="8"/>
                <w:szCs w:val="8"/>
                <w:color w:val="auto"/>
              </w:rPr>
            </w:pPr>
          </w:p>
        </w:tc>
        <w:tc>
          <w:tcPr>
            <w:tcW w:w="1300" w:type="dxa"/>
            <w:vAlign w:val="bottom"/>
            <w:shd w:val="clear" w:color="auto" w:fill="E8F6FD"/>
          </w:tcPr>
          <w:p>
            <w:pPr>
              <w:spacing w:after="0"/>
              <w:rPr>
                <w:sz w:val="8"/>
                <w:szCs w:val="8"/>
                <w:color w:val="auto"/>
              </w:rPr>
            </w:pPr>
          </w:p>
        </w:tc>
        <w:tc>
          <w:tcPr>
            <w:tcW w:w="1660" w:type="dxa"/>
            <w:vAlign w:val="bottom"/>
            <w:shd w:val="clear" w:color="auto" w:fill="E8F6FD"/>
          </w:tcPr>
          <w:p>
            <w:pPr>
              <w:spacing w:after="0"/>
              <w:rPr>
                <w:sz w:val="8"/>
                <w:szCs w:val="8"/>
                <w:color w:val="auto"/>
              </w:rPr>
            </w:pPr>
          </w:p>
        </w:tc>
        <w:tc>
          <w:tcPr>
            <w:tcW w:w="1120" w:type="dxa"/>
            <w:vAlign w:val="bottom"/>
            <w:shd w:val="clear" w:color="auto" w:fill="E8F6FD"/>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76835</wp:posOffset>
            </wp:positionV>
            <wp:extent cx="4663440" cy="2426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63440" cy="242633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p>
      <w:pPr>
        <w:spacing w:after="0" w:line="351" w:lineRule="exact"/>
        <w:rPr>
          <w:sz w:val="20"/>
          <w:szCs w:val="20"/>
          <w:color w:val="auto"/>
        </w:rPr>
      </w:pPr>
    </w:p>
    <w:tbl>
      <w:tblPr>
        <w:tblLayout w:type="fixed"/>
        <w:tblInd w:w="1180" w:type="dxa"/>
        <w:tblCellMar>
          <w:top w:w="0" w:type="dxa"/>
          <w:left w:w="0" w:type="dxa"/>
          <w:bottom w:w="0" w:type="dxa"/>
          <w:right w:w="0" w:type="dxa"/>
        </w:tblCellMar>
      </w:tblPr>
      <w:tr>
        <w:trPr>
          <w:trHeight w:val="337"/>
        </w:trPr>
        <w:tc>
          <w:tcPr>
            <w:tcW w:w="300" w:type="dxa"/>
            <w:vAlign w:val="bottom"/>
            <w:shd w:val="clear" w:color="auto" w:fill="DCDDDE"/>
          </w:tcPr>
          <w:p>
            <w:pPr>
              <w:spacing w:after="0"/>
              <w:rPr>
                <w:sz w:val="24"/>
                <w:szCs w:val="24"/>
                <w:color w:val="auto"/>
              </w:rPr>
            </w:pPr>
          </w:p>
        </w:tc>
        <w:tc>
          <w:tcPr>
            <w:tcW w:w="2360" w:type="dxa"/>
            <w:vAlign w:val="bottom"/>
            <w:shd w:val="clear" w:color="auto" w:fill="DCDDDE"/>
          </w:tcPr>
          <w:p>
            <w:pPr>
              <w:ind w:left="800"/>
              <w:spacing w:after="0"/>
              <w:rPr>
                <w:sz w:val="20"/>
                <w:szCs w:val="20"/>
                <w:color w:val="auto"/>
              </w:rPr>
            </w:pPr>
            <w:r>
              <w:rPr>
                <w:rFonts w:ascii="Arial" w:cs="Arial" w:eastAsia="Arial" w:hAnsi="Arial"/>
                <w:sz w:val="16"/>
                <w:szCs w:val="16"/>
                <w:b w:val="1"/>
                <w:bCs w:val="1"/>
                <w:color w:val="auto"/>
              </w:rPr>
              <w:t>Audit</w:t>
            </w:r>
          </w:p>
        </w:tc>
        <w:tc>
          <w:tcPr>
            <w:tcW w:w="160" w:type="dxa"/>
            <w:vAlign w:val="bottom"/>
          </w:tcPr>
          <w:p>
            <w:pPr>
              <w:spacing w:after="0"/>
              <w:rPr>
                <w:sz w:val="24"/>
                <w:szCs w:val="24"/>
                <w:color w:val="auto"/>
              </w:rPr>
            </w:pPr>
          </w:p>
        </w:tc>
        <w:tc>
          <w:tcPr>
            <w:tcW w:w="300" w:type="dxa"/>
            <w:vAlign w:val="bottom"/>
            <w:shd w:val="clear" w:color="auto" w:fill="DCDDDE"/>
          </w:tcPr>
          <w:p>
            <w:pPr>
              <w:spacing w:after="0"/>
              <w:rPr>
                <w:sz w:val="24"/>
                <w:szCs w:val="24"/>
                <w:color w:val="auto"/>
              </w:rPr>
            </w:pPr>
          </w:p>
        </w:tc>
        <w:tc>
          <w:tcPr>
            <w:tcW w:w="2360" w:type="dxa"/>
            <w:vAlign w:val="bottom"/>
            <w:shd w:val="clear" w:color="auto" w:fill="DCDDDE"/>
          </w:tcPr>
          <w:p>
            <w:pPr>
              <w:ind w:left="80"/>
              <w:spacing w:after="0"/>
              <w:rPr>
                <w:sz w:val="20"/>
                <w:szCs w:val="20"/>
                <w:color w:val="auto"/>
              </w:rPr>
            </w:pPr>
            <w:r>
              <w:rPr>
                <w:rFonts w:ascii="Arial" w:cs="Arial" w:eastAsia="Arial" w:hAnsi="Arial"/>
                <w:sz w:val="16"/>
                <w:szCs w:val="16"/>
                <w:b w:val="1"/>
                <w:bCs w:val="1"/>
                <w:color w:val="auto"/>
              </w:rPr>
              <w:t>Compensation &amp; Human</w:t>
            </w:r>
          </w:p>
        </w:tc>
        <w:tc>
          <w:tcPr>
            <w:tcW w:w="0" w:type="dxa"/>
            <w:vAlign w:val="bottom"/>
          </w:tcPr>
          <w:p>
            <w:pPr>
              <w:spacing w:after="0"/>
              <w:rPr>
                <w:sz w:val="1"/>
                <w:szCs w:val="1"/>
                <w:color w:val="auto"/>
              </w:rPr>
            </w:pPr>
          </w:p>
        </w:tc>
      </w:tr>
      <w:tr>
        <w:trPr>
          <w:trHeight w:val="223"/>
        </w:trPr>
        <w:tc>
          <w:tcPr>
            <w:tcW w:w="300" w:type="dxa"/>
            <w:vAlign w:val="bottom"/>
            <w:shd w:val="clear" w:color="auto" w:fill="DCDDDE"/>
          </w:tcPr>
          <w:p>
            <w:pPr>
              <w:spacing w:after="0"/>
              <w:rPr>
                <w:sz w:val="19"/>
                <w:szCs w:val="19"/>
                <w:color w:val="auto"/>
              </w:rPr>
            </w:pPr>
          </w:p>
        </w:tc>
        <w:tc>
          <w:tcPr>
            <w:tcW w:w="2360" w:type="dxa"/>
            <w:vAlign w:val="bottom"/>
            <w:shd w:val="clear" w:color="auto" w:fill="DCDDDE"/>
          </w:tcPr>
          <w:p>
            <w:pPr>
              <w:ind w:left="620"/>
              <w:spacing w:after="0"/>
              <w:rPr>
                <w:sz w:val="20"/>
                <w:szCs w:val="20"/>
                <w:color w:val="auto"/>
              </w:rPr>
            </w:pPr>
            <w:r>
              <w:rPr>
                <w:rFonts w:ascii="Arial" w:cs="Arial" w:eastAsia="Arial" w:hAnsi="Arial"/>
                <w:sz w:val="16"/>
                <w:szCs w:val="16"/>
                <w:b w:val="1"/>
                <w:bCs w:val="1"/>
                <w:color w:val="auto"/>
              </w:rPr>
              <w:t>Committee</w:t>
            </w:r>
          </w:p>
        </w:tc>
        <w:tc>
          <w:tcPr>
            <w:tcW w:w="160" w:type="dxa"/>
            <w:vAlign w:val="bottom"/>
          </w:tcPr>
          <w:p>
            <w:pPr>
              <w:spacing w:after="0"/>
              <w:rPr>
                <w:sz w:val="19"/>
                <w:szCs w:val="19"/>
                <w:color w:val="auto"/>
              </w:rPr>
            </w:pPr>
          </w:p>
        </w:tc>
        <w:tc>
          <w:tcPr>
            <w:tcW w:w="300" w:type="dxa"/>
            <w:vAlign w:val="bottom"/>
            <w:shd w:val="clear" w:color="auto" w:fill="DCDDDE"/>
          </w:tcPr>
          <w:p>
            <w:pPr>
              <w:spacing w:after="0"/>
              <w:rPr>
                <w:sz w:val="19"/>
                <w:szCs w:val="19"/>
                <w:color w:val="auto"/>
              </w:rPr>
            </w:pPr>
          </w:p>
        </w:tc>
        <w:tc>
          <w:tcPr>
            <w:tcW w:w="2360" w:type="dxa"/>
            <w:vAlign w:val="bottom"/>
            <w:shd w:val="clear" w:color="auto" w:fill="DCDDDE"/>
          </w:tcPr>
          <w:p>
            <w:pPr>
              <w:ind w:left="320"/>
              <w:spacing w:after="0"/>
              <w:rPr>
                <w:sz w:val="20"/>
                <w:szCs w:val="20"/>
                <w:color w:val="auto"/>
              </w:rPr>
            </w:pPr>
            <w:r>
              <w:rPr>
                <w:rFonts w:ascii="Arial" w:cs="Arial" w:eastAsia="Arial" w:hAnsi="Arial"/>
                <w:sz w:val="16"/>
                <w:szCs w:val="16"/>
                <w:b w:val="1"/>
                <w:bCs w:val="1"/>
                <w:color w:val="auto"/>
              </w:rPr>
              <w:t>Capital Committee</w:t>
            </w:r>
          </w:p>
        </w:tc>
        <w:tc>
          <w:tcPr>
            <w:tcW w:w="0" w:type="dxa"/>
            <w:vAlign w:val="bottom"/>
          </w:tcPr>
          <w:p>
            <w:pPr>
              <w:spacing w:after="0"/>
              <w:rPr>
                <w:sz w:val="1"/>
                <w:szCs w:val="1"/>
                <w:color w:val="auto"/>
              </w:rPr>
            </w:pPr>
          </w:p>
        </w:tc>
      </w:tr>
      <w:tr>
        <w:trPr>
          <w:trHeight w:val="318"/>
        </w:trPr>
        <w:tc>
          <w:tcPr>
            <w:tcW w:w="2660" w:type="dxa"/>
            <w:vAlign w:val="bottom"/>
            <w:gridSpan w:val="2"/>
            <w:shd w:val="clear" w:color="auto" w:fill="DCDDDE"/>
          </w:tcPr>
          <w:p>
            <w:pPr>
              <w:ind w:left="120"/>
              <w:spacing w:after="0"/>
              <w:rPr>
                <w:sz w:val="20"/>
                <w:szCs w:val="20"/>
                <w:color w:val="auto"/>
              </w:rPr>
            </w:pPr>
            <w:r>
              <w:rPr>
                <w:rFonts w:ascii="Arial" w:cs="Arial" w:eastAsia="Arial" w:hAnsi="Arial"/>
                <w:sz w:val="17"/>
                <w:szCs w:val="17"/>
                <w:color w:val="auto"/>
              </w:rPr>
              <w:t>Oversight of:</w:t>
            </w:r>
          </w:p>
        </w:tc>
        <w:tc>
          <w:tcPr>
            <w:tcW w:w="160" w:type="dxa"/>
            <w:vAlign w:val="bottom"/>
          </w:tcPr>
          <w:p>
            <w:pPr>
              <w:spacing w:after="0"/>
              <w:rPr>
                <w:sz w:val="24"/>
                <w:szCs w:val="24"/>
                <w:color w:val="auto"/>
              </w:rPr>
            </w:pPr>
          </w:p>
        </w:tc>
        <w:tc>
          <w:tcPr>
            <w:tcW w:w="2660" w:type="dxa"/>
            <w:vAlign w:val="bottom"/>
            <w:gridSpan w:val="2"/>
            <w:shd w:val="clear" w:color="auto" w:fill="DCDDDE"/>
          </w:tcPr>
          <w:p>
            <w:pPr>
              <w:ind w:left="120"/>
              <w:spacing w:after="0"/>
              <w:rPr>
                <w:sz w:val="20"/>
                <w:szCs w:val="20"/>
                <w:color w:val="auto"/>
              </w:rPr>
            </w:pPr>
            <w:r>
              <w:rPr>
                <w:rFonts w:ascii="Arial" w:cs="Arial" w:eastAsia="Arial" w:hAnsi="Arial"/>
                <w:sz w:val="17"/>
                <w:szCs w:val="17"/>
                <w:color w:val="auto"/>
              </w:rPr>
              <w:t>Oversight of:</w:t>
            </w:r>
          </w:p>
        </w:tc>
        <w:tc>
          <w:tcPr>
            <w:tcW w:w="0" w:type="dxa"/>
            <w:vAlign w:val="bottom"/>
          </w:tcPr>
          <w:p>
            <w:pPr>
              <w:spacing w:after="0"/>
              <w:rPr>
                <w:sz w:val="1"/>
                <w:szCs w:val="1"/>
                <w:color w:val="auto"/>
              </w:rPr>
            </w:pPr>
          </w:p>
        </w:tc>
      </w:tr>
      <w:tr>
        <w:trPr>
          <w:trHeight w:val="248"/>
        </w:trPr>
        <w:tc>
          <w:tcPr>
            <w:tcW w:w="300" w:type="dxa"/>
            <w:vAlign w:val="bottom"/>
            <w:shd w:val="clear" w:color="auto" w:fill="DCDDDE"/>
          </w:tcPr>
          <w:p>
            <w:pPr>
              <w:ind w:left="180"/>
              <w:spacing w:after="0"/>
              <w:rPr>
                <w:sz w:val="20"/>
                <w:szCs w:val="20"/>
                <w:color w:val="auto"/>
              </w:rPr>
            </w:pPr>
            <w:r>
              <w:rPr>
                <w:rFonts w:ascii="Arial" w:cs="Arial" w:eastAsia="Arial" w:hAnsi="Arial"/>
                <w:sz w:val="17"/>
                <w:szCs w:val="17"/>
                <w:color w:val="00A0DD"/>
              </w:rPr>
              <w:t>•</w:t>
            </w:r>
          </w:p>
        </w:tc>
        <w:tc>
          <w:tcPr>
            <w:tcW w:w="2360" w:type="dxa"/>
            <w:vAlign w:val="bottom"/>
            <w:shd w:val="clear" w:color="auto" w:fill="DCDDDE"/>
          </w:tcPr>
          <w:p>
            <w:pPr>
              <w:ind w:left="280"/>
              <w:spacing w:after="0"/>
              <w:rPr>
                <w:sz w:val="20"/>
                <w:szCs w:val="20"/>
                <w:color w:val="auto"/>
              </w:rPr>
            </w:pPr>
            <w:r>
              <w:rPr>
                <w:rFonts w:ascii="Arial" w:cs="Arial" w:eastAsia="Arial" w:hAnsi="Arial"/>
                <w:sz w:val="17"/>
                <w:szCs w:val="17"/>
                <w:color w:val="auto"/>
              </w:rPr>
              <w:t>ERM assessment process</w:t>
            </w:r>
          </w:p>
        </w:tc>
        <w:tc>
          <w:tcPr>
            <w:tcW w:w="160" w:type="dxa"/>
            <w:vAlign w:val="bottom"/>
          </w:tcPr>
          <w:p>
            <w:pPr>
              <w:spacing w:after="0"/>
              <w:rPr>
                <w:sz w:val="21"/>
                <w:szCs w:val="21"/>
                <w:color w:val="auto"/>
              </w:rPr>
            </w:pPr>
          </w:p>
        </w:tc>
        <w:tc>
          <w:tcPr>
            <w:tcW w:w="300" w:type="dxa"/>
            <w:vAlign w:val="bottom"/>
            <w:shd w:val="clear" w:color="auto" w:fill="DCDDDE"/>
          </w:tcPr>
          <w:p>
            <w:pPr>
              <w:ind w:left="180"/>
              <w:spacing w:after="0"/>
              <w:rPr>
                <w:sz w:val="20"/>
                <w:szCs w:val="20"/>
                <w:color w:val="auto"/>
              </w:rPr>
            </w:pPr>
            <w:r>
              <w:rPr>
                <w:rFonts w:ascii="Arial" w:cs="Arial" w:eastAsia="Arial" w:hAnsi="Arial"/>
                <w:sz w:val="17"/>
                <w:szCs w:val="17"/>
                <w:color w:val="00A0DD"/>
              </w:rPr>
              <w:t>•</w:t>
            </w:r>
          </w:p>
        </w:tc>
        <w:tc>
          <w:tcPr>
            <w:tcW w:w="2360" w:type="dxa"/>
            <w:vAlign w:val="bottom"/>
            <w:shd w:val="clear" w:color="auto" w:fill="DCDDDE"/>
          </w:tcPr>
          <w:p>
            <w:pPr>
              <w:ind w:left="280"/>
              <w:spacing w:after="0"/>
              <w:rPr>
                <w:sz w:val="20"/>
                <w:szCs w:val="20"/>
                <w:color w:val="auto"/>
              </w:rPr>
            </w:pPr>
            <w:r>
              <w:rPr>
                <w:rFonts w:ascii="Arial" w:cs="Arial" w:eastAsia="Arial" w:hAnsi="Arial"/>
                <w:sz w:val="17"/>
                <w:szCs w:val="17"/>
                <w:color w:val="auto"/>
              </w:rPr>
              <w:t>Executive compensation</w:t>
            </w:r>
          </w:p>
        </w:tc>
        <w:tc>
          <w:tcPr>
            <w:tcW w:w="0" w:type="dxa"/>
            <w:vAlign w:val="bottom"/>
          </w:tcPr>
          <w:p>
            <w:pPr>
              <w:spacing w:after="0"/>
              <w:rPr>
                <w:sz w:val="1"/>
                <w:szCs w:val="1"/>
                <w:color w:val="auto"/>
              </w:rPr>
            </w:pPr>
          </w:p>
        </w:tc>
      </w:tr>
      <w:tr>
        <w:trPr>
          <w:trHeight w:val="225"/>
        </w:trPr>
        <w:tc>
          <w:tcPr>
            <w:tcW w:w="300" w:type="dxa"/>
            <w:vAlign w:val="bottom"/>
            <w:vMerge w:val="restart"/>
            <w:shd w:val="clear" w:color="auto" w:fill="DCDDDE"/>
          </w:tcPr>
          <w:p>
            <w:pPr>
              <w:ind w:left="180"/>
              <w:spacing w:after="0"/>
              <w:rPr>
                <w:sz w:val="20"/>
                <w:szCs w:val="20"/>
                <w:color w:val="auto"/>
              </w:rPr>
            </w:pPr>
            <w:r>
              <w:rPr>
                <w:rFonts w:ascii="Arial" w:cs="Arial" w:eastAsia="Arial" w:hAnsi="Arial"/>
                <w:sz w:val="17"/>
                <w:szCs w:val="17"/>
                <w:color w:val="00A0DD"/>
              </w:rPr>
              <w:t>•</w:t>
            </w:r>
          </w:p>
        </w:tc>
        <w:tc>
          <w:tcPr>
            <w:tcW w:w="2360" w:type="dxa"/>
            <w:vAlign w:val="bottom"/>
            <w:vMerge w:val="restart"/>
            <w:shd w:val="clear" w:color="auto" w:fill="DCDDDE"/>
          </w:tcPr>
          <w:p>
            <w:pPr>
              <w:ind w:left="280"/>
              <w:spacing w:after="0"/>
              <w:rPr>
                <w:sz w:val="20"/>
                <w:szCs w:val="20"/>
                <w:color w:val="auto"/>
              </w:rPr>
            </w:pPr>
            <w:r>
              <w:rPr>
                <w:rFonts w:ascii="Arial" w:cs="Arial" w:eastAsia="Arial" w:hAnsi="Arial"/>
                <w:sz w:val="17"/>
                <w:szCs w:val="17"/>
                <w:color w:val="auto"/>
              </w:rPr>
              <w:t>Financial reporting and</w:t>
            </w:r>
          </w:p>
        </w:tc>
        <w:tc>
          <w:tcPr>
            <w:tcW w:w="160" w:type="dxa"/>
            <w:vAlign w:val="bottom"/>
          </w:tcPr>
          <w:p>
            <w:pPr>
              <w:spacing w:after="0"/>
              <w:rPr>
                <w:sz w:val="19"/>
                <w:szCs w:val="19"/>
                <w:color w:val="auto"/>
              </w:rPr>
            </w:pPr>
          </w:p>
        </w:tc>
        <w:tc>
          <w:tcPr>
            <w:tcW w:w="300" w:type="dxa"/>
            <w:vAlign w:val="bottom"/>
            <w:shd w:val="clear" w:color="auto" w:fill="DCDDDE"/>
          </w:tcPr>
          <w:p>
            <w:pPr>
              <w:spacing w:after="0"/>
              <w:rPr>
                <w:sz w:val="19"/>
                <w:szCs w:val="19"/>
                <w:color w:val="auto"/>
              </w:rPr>
            </w:pPr>
          </w:p>
        </w:tc>
        <w:tc>
          <w:tcPr>
            <w:tcW w:w="2360" w:type="dxa"/>
            <w:vAlign w:val="bottom"/>
            <w:shd w:val="clear" w:color="auto" w:fill="DCDDDE"/>
          </w:tcPr>
          <w:p>
            <w:pPr>
              <w:ind w:left="80"/>
              <w:spacing w:after="0"/>
              <w:rPr>
                <w:sz w:val="20"/>
                <w:szCs w:val="20"/>
                <w:color w:val="auto"/>
              </w:rPr>
            </w:pPr>
            <w:r>
              <w:rPr>
                <w:rFonts w:ascii="Arial" w:cs="Arial" w:eastAsia="Arial" w:hAnsi="Arial"/>
                <w:sz w:val="17"/>
                <w:szCs w:val="17"/>
                <w:color w:val="auto"/>
              </w:rPr>
              <w:t>program</w:t>
            </w:r>
          </w:p>
        </w:tc>
        <w:tc>
          <w:tcPr>
            <w:tcW w:w="0" w:type="dxa"/>
            <w:vAlign w:val="bottom"/>
          </w:tcPr>
          <w:p>
            <w:pPr>
              <w:spacing w:after="0"/>
              <w:rPr>
                <w:sz w:val="1"/>
                <w:szCs w:val="1"/>
                <w:color w:val="auto"/>
              </w:rPr>
            </w:pPr>
          </w:p>
        </w:tc>
      </w:tr>
      <w:tr>
        <w:trPr>
          <w:trHeight w:val="45"/>
        </w:trPr>
        <w:tc>
          <w:tcPr>
            <w:tcW w:w="300" w:type="dxa"/>
            <w:vAlign w:val="bottom"/>
            <w:vMerge w:val="continue"/>
            <w:shd w:val="clear" w:color="auto" w:fill="DCDDDE"/>
          </w:tcPr>
          <w:p>
            <w:pPr>
              <w:spacing w:after="0"/>
              <w:rPr>
                <w:sz w:val="3"/>
                <w:szCs w:val="3"/>
                <w:color w:val="auto"/>
              </w:rPr>
            </w:pPr>
          </w:p>
        </w:tc>
        <w:tc>
          <w:tcPr>
            <w:tcW w:w="2360" w:type="dxa"/>
            <w:vAlign w:val="bottom"/>
            <w:vMerge w:val="continue"/>
            <w:shd w:val="clear" w:color="auto" w:fill="DCDDDE"/>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shd w:val="clear" w:color="auto" w:fill="DCDDDE"/>
          </w:tcPr>
          <w:p>
            <w:pPr>
              <w:spacing w:after="0"/>
              <w:rPr>
                <w:sz w:val="3"/>
                <w:szCs w:val="3"/>
                <w:color w:val="auto"/>
              </w:rPr>
            </w:pPr>
          </w:p>
        </w:tc>
        <w:tc>
          <w:tcPr>
            <w:tcW w:w="2360" w:type="dxa"/>
            <w:vAlign w:val="bottom"/>
            <w:shd w:val="clear" w:color="auto" w:fill="DCDDD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00" w:type="dxa"/>
            <w:vAlign w:val="bottom"/>
            <w:shd w:val="clear" w:color="auto" w:fill="DCDDDE"/>
          </w:tcPr>
          <w:p>
            <w:pPr>
              <w:spacing w:after="0"/>
              <w:rPr>
                <w:sz w:val="16"/>
                <w:szCs w:val="16"/>
                <w:color w:val="auto"/>
              </w:rPr>
            </w:pPr>
          </w:p>
        </w:tc>
        <w:tc>
          <w:tcPr>
            <w:tcW w:w="2360" w:type="dxa"/>
            <w:vAlign w:val="bottom"/>
            <w:shd w:val="clear" w:color="auto" w:fill="DCDDDE"/>
          </w:tcPr>
          <w:p>
            <w:pPr>
              <w:ind w:left="80"/>
              <w:spacing w:after="0" w:line="189" w:lineRule="exact"/>
              <w:rPr>
                <w:sz w:val="20"/>
                <w:szCs w:val="20"/>
                <w:color w:val="auto"/>
              </w:rPr>
            </w:pPr>
            <w:r>
              <w:rPr>
                <w:rFonts w:ascii="Arial" w:cs="Arial" w:eastAsia="Arial" w:hAnsi="Arial"/>
                <w:sz w:val="17"/>
                <w:szCs w:val="17"/>
                <w:color w:val="auto"/>
              </w:rPr>
              <w:t>accounting matters</w:t>
            </w:r>
          </w:p>
        </w:tc>
        <w:tc>
          <w:tcPr>
            <w:tcW w:w="160" w:type="dxa"/>
            <w:vAlign w:val="bottom"/>
          </w:tcPr>
          <w:p>
            <w:pPr>
              <w:spacing w:after="0"/>
              <w:rPr>
                <w:sz w:val="16"/>
                <w:szCs w:val="16"/>
                <w:color w:val="auto"/>
              </w:rPr>
            </w:pPr>
          </w:p>
        </w:tc>
        <w:tc>
          <w:tcPr>
            <w:tcW w:w="300" w:type="dxa"/>
            <w:vAlign w:val="bottom"/>
            <w:shd w:val="clear" w:color="auto" w:fill="DCDDDE"/>
          </w:tcPr>
          <w:p>
            <w:pPr>
              <w:ind w:left="180"/>
              <w:spacing w:after="0" w:line="189" w:lineRule="exact"/>
              <w:rPr>
                <w:sz w:val="20"/>
                <w:szCs w:val="20"/>
                <w:color w:val="auto"/>
              </w:rPr>
            </w:pPr>
            <w:r>
              <w:rPr>
                <w:rFonts w:ascii="Arial" w:cs="Arial" w:eastAsia="Arial" w:hAnsi="Arial"/>
                <w:sz w:val="17"/>
                <w:szCs w:val="17"/>
                <w:color w:val="00A0DD"/>
              </w:rPr>
              <w:t>•</w:t>
            </w:r>
          </w:p>
        </w:tc>
        <w:tc>
          <w:tcPr>
            <w:tcW w:w="2360" w:type="dxa"/>
            <w:vAlign w:val="bottom"/>
            <w:shd w:val="clear" w:color="auto" w:fill="DCDDDE"/>
          </w:tcPr>
          <w:p>
            <w:pPr>
              <w:ind w:left="280"/>
              <w:spacing w:after="0" w:line="189" w:lineRule="exact"/>
              <w:rPr>
                <w:sz w:val="20"/>
                <w:szCs w:val="20"/>
                <w:color w:val="auto"/>
              </w:rPr>
            </w:pPr>
            <w:r>
              <w:rPr>
                <w:rFonts w:ascii="Arial" w:cs="Arial" w:eastAsia="Arial" w:hAnsi="Arial"/>
                <w:sz w:val="17"/>
                <w:szCs w:val="17"/>
                <w:color w:val="auto"/>
              </w:rPr>
              <w:t>Nonemployee director</w:t>
            </w:r>
          </w:p>
        </w:tc>
        <w:tc>
          <w:tcPr>
            <w:tcW w:w="0" w:type="dxa"/>
            <w:vAlign w:val="bottom"/>
          </w:tcPr>
          <w:p>
            <w:pPr>
              <w:spacing w:after="0"/>
              <w:rPr>
                <w:sz w:val="1"/>
                <w:szCs w:val="1"/>
                <w:color w:val="auto"/>
              </w:rPr>
            </w:pPr>
          </w:p>
        </w:tc>
      </w:tr>
      <w:tr>
        <w:trPr>
          <w:trHeight w:val="225"/>
        </w:trPr>
        <w:tc>
          <w:tcPr>
            <w:tcW w:w="300" w:type="dxa"/>
            <w:vAlign w:val="bottom"/>
            <w:vMerge w:val="restart"/>
            <w:shd w:val="clear" w:color="auto" w:fill="DCDDDE"/>
          </w:tcPr>
          <w:p>
            <w:pPr>
              <w:ind w:left="180"/>
              <w:spacing w:after="0"/>
              <w:rPr>
                <w:sz w:val="20"/>
                <w:szCs w:val="20"/>
                <w:color w:val="auto"/>
              </w:rPr>
            </w:pPr>
            <w:r>
              <w:rPr>
                <w:rFonts w:ascii="Arial" w:cs="Arial" w:eastAsia="Arial" w:hAnsi="Arial"/>
                <w:sz w:val="17"/>
                <w:szCs w:val="17"/>
                <w:color w:val="00A0DD"/>
              </w:rPr>
              <w:t>•</w:t>
            </w:r>
          </w:p>
        </w:tc>
        <w:tc>
          <w:tcPr>
            <w:tcW w:w="2360" w:type="dxa"/>
            <w:vAlign w:val="bottom"/>
            <w:vMerge w:val="restart"/>
            <w:shd w:val="clear" w:color="auto" w:fill="DCDDDE"/>
          </w:tcPr>
          <w:p>
            <w:pPr>
              <w:ind w:left="280"/>
              <w:spacing w:after="0"/>
              <w:rPr>
                <w:sz w:val="20"/>
                <w:szCs w:val="20"/>
                <w:color w:val="auto"/>
              </w:rPr>
            </w:pPr>
            <w:r>
              <w:rPr>
                <w:rFonts w:ascii="Arial" w:cs="Arial" w:eastAsia="Arial" w:hAnsi="Arial"/>
                <w:sz w:val="17"/>
                <w:szCs w:val="17"/>
                <w:color w:val="auto"/>
              </w:rPr>
              <w:t>Internal and disclosure</w:t>
            </w:r>
          </w:p>
        </w:tc>
        <w:tc>
          <w:tcPr>
            <w:tcW w:w="160" w:type="dxa"/>
            <w:vAlign w:val="bottom"/>
          </w:tcPr>
          <w:p>
            <w:pPr>
              <w:spacing w:after="0"/>
              <w:rPr>
                <w:sz w:val="19"/>
                <w:szCs w:val="19"/>
                <w:color w:val="auto"/>
              </w:rPr>
            </w:pPr>
          </w:p>
        </w:tc>
        <w:tc>
          <w:tcPr>
            <w:tcW w:w="300" w:type="dxa"/>
            <w:vAlign w:val="bottom"/>
            <w:shd w:val="clear" w:color="auto" w:fill="DCDDDE"/>
          </w:tcPr>
          <w:p>
            <w:pPr>
              <w:spacing w:after="0"/>
              <w:rPr>
                <w:sz w:val="19"/>
                <w:szCs w:val="19"/>
                <w:color w:val="auto"/>
              </w:rPr>
            </w:pPr>
          </w:p>
        </w:tc>
        <w:tc>
          <w:tcPr>
            <w:tcW w:w="2360" w:type="dxa"/>
            <w:vAlign w:val="bottom"/>
            <w:shd w:val="clear" w:color="auto" w:fill="DCDDDE"/>
          </w:tcPr>
          <w:p>
            <w:pPr>
              <w:ind w:left="8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45"/>
        </w:trPr>
        <w:tc>
          <w:tcPr>
            <w:tcW w:w="300" w:type="dxa"/>
            <w:vAlign w:val="bottom"/>
            <w:vMerge w:val="continue"/>
            <w:shd w:val="clear" w:color="auto" w:fill="DCDDDE"/>
          </w:tcPr>
          <w:p>
            <w:pPr>
              <w:spacing w:after="0"/>
              <w:rPr>
                <w:sz w:val="3"/>
                <w:szCs w:val="3"/>
                <w:color w:val="auto"/>
              </w:rPr>
            </w:pPr>
          </w:p>
        </w:tc>
        <w:tc>
          <w:tcPr>
            <w:tcW w:w="2360" w:type="dxa"/>
            <w:vAlign w:val="bottom"/>
            <w:vMerge w:val="continue"/>
            <w:shd w:val="clear" w:color="auto" w:fill="DCDDDE"/>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shd w:val="clear" w:color="auto" w:fill="DCDDDE"/>
          </w:tcPr>
          <w:p>
            <w:pPr>
              <w:spacing w:after="0"/>
              <w:rPr>
                <w:sz w:val="3"/>
                <w:szCs w:val="3"/>
                <w:color w:val="auto"/>
              </w:rPr>
            </w:pPr>
          </w:p>
        </w:tc>
        <w:tc>
          <w:tcPr>
            <w:tcW w:w="2360" w:type="dxa"/>
            <w:vAlign w:val="bottom"/>
            <w:shd w:val="clear" w:color="auto" w:fill="DCDDD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00" w:type="dxa"/>
            <w:vAlign w:val="bottom"/>
            <w:shd w:val="clear" w:color="auto" w:fill="DCDDDE"/>
          </w:tcPr>
          <w:p>
            <w:pPr>
              <w:spacing w:after="0"/>
              <w:rPr>
                <w:sz w:val="16"/>
                <w:szCs w:val="16"/>
                <w:color w:val="auto"/>
              </w:rPr>
            </w:pPr>
          </w:p>
        </w:tc>
        <w:tc>
          <w:tcPr>
            <w:tcW w:w="2360" w:type="dxa"/>
            <w:vAlign w:val="bottom"/>
            <w:shd w:val="clear" w:color="auto" w:fill="DCDDDE"/>
          </w:tcPr>
          <w:p>
            <w:pPr>
              <w:ind w:left="80"/>
              <w:spacing w:after="0" w:line="189" w:lineRule="exact"/>
              <w:rPr>
                <w:sz w:val="20"/>
                <w:szCs w:val="20"/>
                <w:color w:val="auto"/>
              </w:rPr>
            </w:pPr>
            <w:r>
              <w:rPr>
                <w:rFonts w:ascii="Arial" w:cs="Arial" w:eastAsia="Arial" w:hAnsi="Arial"/>
                <w:sz w:val="17"/>
                <w:szCs w:val="17"/>
                <w:color w:val="auto"/>
              </w:rPr>
              <w:t>controls</w:t>
            </w:r>
          </w:p>
        </w:tc>
        <w:tc>
          <w:tcPr>
            <w:tcW w:w="160" w:type="dxa"/>
            <w:vAlign w:val="bottom"/>
          </w:tcPr>
          <w:p>
            <w:pPr>
              <w:spacing w:after="0"/>
              <w:rPr>
                <w:sz w:val="16"/>
                <w:szCs w:val="16"/>
                <w:color w:val="auto"/>
              </w:rPr>
            </w:pPr>
          </w:p>
        </w:tc>
        <w:tc>
          <w:tcPr>
            <w:tcW w:w="300" w:type="dxa"/>
            <w:vAlign w:val="bottom"/>
            <w:shd w:val="clear" w:color="auto" w:fill="DCDDDE"/>
          </w:tcPr>
          <w:p>
            <w:pPr>
              <w:ind w:left="180"/>
              <w:spacing w:after="0" w:line="189" w:lineRule="exact"/>
              <w:rPr>
                <w:sz w:val="20"/>
                <w:szCs w:val="20"/>
                <w:color w:val="auto"/>
              </w:rPr>
            </w:pPr>
            <w:r>
              <w:rPr>
                <w:rFonts w:ascii="Arial" w:cs="Arial" w:eastAsia="Arial" w:hAnsi="Arial"/>
                <w:sz w:val="17"/>
                <w:szCs w:val="17"/>
                <w:color w:val="00A0DD"/>
              </w:rPr>
              <w:t>•</w:t>
            </w:r>
          </w:p>
        </w:tc>
        <w:tc>
          <w:tcPr>
            <w:tcW w:w="2360" w:type="dxa"/>
            <w:vAlign w:val="bottom"/>
            <w:shd w:val="clear" w:color="auto" w:fill="DCDDDE"/>
          </w:tcPr>
          <w:p>
            <w:pPr>
              <w:ind w:left="280"/>
              <w:spacing w:after="0" w:line="189" w:lineRule="exact"/>
              <w:rPr>
                <w:sz w:val="20"/>
                <w:szCs w:val="20"/>
                <w:color w:val="auto"/>
              </w:rPr>
            </w:pPr>
            <w:r>
              <w:rPr>
                <w:rFonts w:ascii="Arial" w:cs="Arial" w:eastAsia="Arial" w:hAnsi="Arial"/>
                <w:sz w:val="17"/>
                <w:szCs w:val="17"/>
                <w:color w:val="auto"/>
              </w:rPr>
              <w:t>Human capital</w:t>
            </w:r>
          </w:p>
        </w:tc>
        <w:tc>
          <w:tcPr>
            <w:tcW w:w="0" w:type="dxa"/>
            <w:vAlign w:val="bottom"/>
          </w:tcPr>
          <w:p>
            <w:pPr>
              <w:spacing w:after="0"/>
              <w:rPr>
                <w:sz w:val="1"/>
                <w:szCs w:val="1"/>
                <w:color w:val="auto"/>
              </w:rPr>
            </w:pPr>
          </w:p>
        </w:tc>
      </w:tr>
      <w:tr>
        <w:trPr>
          <w:trHeight w:val="189"/>
        </w:trPr>
        <w:tc>
          <w:tcPr>
            <w:tcW w:w="300" w:type="dxa"/>
            <w:vAlign w:val="bottom"/>
            <w:vMerge w:val="restart"/>
            <w:shd w:val="clear" w:color="auto" w:fill="DCDDDE"/>
          </w:tcPr>
          <w:p>
            <w:pPr>
              <w:ind w:left="180"/>
              <w:spacing w:after="0"/>
              <w:rPr>
                <w:sz w:val="20"/>
                <w:szCs w:val="20"/>
                <w:color w:val="auto"/>
              </w:rPr>
            </w:pPr>
            <w:r>
              <w:rPr>
                <w:rFonts w:ascii="Arial" w:cs="Arial" w:eastAsia="Arial" w:hAnsi="Arial"/>
                <w:sz w:val="17"/>
                <w:szCs w:val="17"/>
                <w:color w:val="00A0DD"/>
              </w:rPr>
              <w:t>•</w:t>
            </w:r>
          </w:p>
        </w:tc>
        <w:tc>
          <w:tcPr>
            <w:tcW w:w="2360" w:type="dxa"/>
            <w:vAlign w:val="bottom"/>
            <w:vMerge w:val="restart"/>
            <w:shd w:val="clear" w:color="auto" w:fill="DCDDDE"/>
          </w:tcPr>
          <w:p>
            <w:pPr>
              <w:ind w:left="280"/>
              <w:spacing w:after="0"/>
              <w:rPr>
                <w:sz w:val="20"/>
                <w:szCs w:val="20"/>
                <w:color w:val="auto"/>
              </w:rPr>
            </w:pPr>
            <w:r>
              <w:rPr>
                <w:rFonts w:ascii="Arial" w:cs="Arial" w:eastAsia="Arial" w:hAnsi="Arial"/>
                <w:sz w:val="17"/>
                <w:szCs w:val="17"/>
                <w:color w:val="auto"/>
              </w:rPr>
              <w:t>Financial risks</w:t>
            </w:r>
          </w:p>
        </w:tc>
        <w:tc>
          <w:tcPr>
            <w:tcW w:w="160" w:type="dxa"/>
            <w:vAlign w:val="bottom"/>
          </w:tcPr>
          <w:p>
            <w:pPr>
              <w:spacing w:after="0"/>
              <w:rPr>
                <w:sz w:val="16"/>
                <w:szCs w:val="16"/>
                <w:color w:val="auto"/>
              </w:rPr>
            </w:pPr>
          </w:p>
        </w:tc>
        <w:tc>
          <w:tcPr>
            <w:tcW w:w="300" w:type="dxa"/>
            <w:vAlign w:val="bottom"/>
            <w:shd w:val="clear" w:color="auto" w:fill="DCDDDE"/>
          </w:tcPr>
          <w:p>
            <w:pPr>
              <w:spacing w:after="0"/>
              <w:rPr>
                <w:sz w:val="16"/>
                <w:szCs w:val="16"/>
                <w:color w:val="auto"/>
              </w:rPr>
            </w:pPr>
          </w:p>
        </w:tc>
        <w:tc>
          <w:tcPr>
            <w:tcW w:w="2360" w:type="dxa"/>
            <w:vAlign w:val="bottom"/>
            <w:shd w:val="clear" w:color="auto" w:fill="DCDDDE"/>
          </w:tcPr>
          <w:p>
            <w:pPr>
              <w:ind w:left="80"/>
              <w:spacing w:after="0" w:line="189" w:lineRule="exact"/>
              <w:rPr>
                <w:sz w:val="20"/>
                <w:szCs w:val="20"/>
                <w:color w:val="auto"/>
              </w:rPr>
            </w:pPr>
            <w:r>
              <w:rPr>
                <w:rFonts w:ascii="Arial" w:cs="Arial" w:eastAsia="Arial" w:hAnsi="Arial"/>
                <w:sz w:val="17"/>
                <w:szCs w:val="17"/>
                <w:color w:val="auto"/>
              </w:rPr>
              <w:t>management, including talent</w:t>
            </w:r>
          </w:p>
        </w:tc>
        <w:tc>
          <w:tcPr>
            <w:tcW w:w="0" w:type="dxa"/>
            <w:vAlign w:val="bottom"/>
          </w:tcPr>
          <w:p>
            <w:pPr>
              <w:spacing w:after="0"/>
              <w:rPr>
                <w:sz w:val="1"/>
                <w:szCs w:val="1"/>
                <w:color w:val="auto"/>
              </w:rPr>
            </w:pPr>
          </w:p>
        </w:tc>
      </w:tr>
      <w:tr>
        <w:trPr>
          <w:trHeight w:val="130"/>
        </w:trPr>
        <w:tc>
          <w:tcPr>
            <w:tcW w:w="300" w:type="dxa"/>
            <w:vAlign w:val="bottom"/>
            <w:vMerge w:val="continue"/>
            <w:shd w:val="clear" w:color="auto" w:fill="DCDDDE"/>
          </w:tcPr>
          <w:p>
            <w:pPr>
              <w:spacing w:after="0"/>
              <w:rPr>
                <w:sz w:val="11"/>
                <w:szCs w:val="11"/>
                <w:color w:val="auto"/>
              </w:rPr>
            </w:pPr>
          </w:p>
        </w:tc>
        <w:tc>
          <w:tcPr>
            <w:tcW w:w="2360" w:type="dxa"/>
            <w:vAlign w:val="bottom"/>
            <w:vMerge w:val="continue"/>
            <w:shd w:val="clear" w:color="auto" w:fill="DCDDDE"/>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shd w:val="clear" w:color="auto" w:fill="DCDDDE"/>
          </w:tcPr>
          <w:p>
            <w:pPr>
              <w:spacing w:after="0"/>
              <w:rPr>
                <w:sz w:val="11"/>
                <w:szCs w:val="11"/>
                <w:color w:val="auto"/>
              </w:rPr>
            </w:pPr>
          </w:p>
        </w:tc>
        <w:tc>
          <w:tcPr>
            <w:tcW w:w="2360" w:type="dxa"/>
            <w:vAlign w:val="bottom"/>
            <w:vMerge w:val="restart"/>
            <w:shd w:val="clear" w:color="auto" w:fill="DCDDDE"/>
          </w:tcPr>
          <w:p>
            <w:pPr>
              <w:ind w:left="80"/>
              <w:spacing w:after="0" w:line="189" w:lineRule="exact"/>
              <w:rPr>
                <w:sz w:val="20"/>
                <w:szCs w:val="20"/>
                <w:color w:val="auto"/>
              </w:rPr>
            </w:pPr>
            <w:r>
              <w:rPr>
                <w:rFonts w:ascii="Arial" w:cs="Arial" w:eastAsia="Arial" w:hAnsi="Arial"/>
                <w:sz w:val="17"/>
                <w:szCs w:val="17"/>
                <w:color w:val="auto"/>
              </w:rPr>
              <w:t>recruitment, development</w:t>
            </w:r>
          </w:p>
        </w:tc>
        <w:tc>
          <w:tcPr>
            <w:tcW w:w="0" w:type="dxa"/>
            <w:vAlign w:val="bottom"/>
          </w:tcPr>
          <w:p>
            <w:pPr>
              <w:spacing w:after="0"/>
              <w:rPr>
                <w:sz w:val="1"/>
                <w:szCs w:val="1"/>
                <w:color w:val="auto"/>
              </w:rPr>
            </w:pPr>
          </w:p>
        </w:tc>
      </w:tr>
      <w:tr>
        <w:trPr>
          <w:trHeight w:val="59"/>
        </w:trPr>
        <w:tc>
          <w:tcPr>
            <w:tcW w:w="300" w:type="dxa"/>
            <w:vAlign w:val="bottom"/>
            <w:vMerge w:val="restart"/>
            <w:shd w:val="clear" w:color="auto" w:fill="DCDDDE"/>
          </w:tcPr>
          <w:p>
            <w:pPr>
              <w:ind w:left="180"/>
              <w:spacing w:after="0"/>
              <w:rPr>
                <w:sz w:val="20"/>
                <w:szCs w:val="20"/>
                <w:color w:val="auto"/>
              </w:rPr>
            </w:pPr>
            <w:r>
              <w:rPr>
                <w:rFonts w:ascii="Arial" w:cs="Arial" w:eastAsia="Arial" w:hAnsi="Arial"/>
                <w:sz w:val="17"/>
                <w:szCs w:val="17"/>
                <w:color w:val="00A0DD"/>
              </w:rPr>
              <w:t>•</w:t>
            </w:r>
          </w:p>
        </w:tc>
        <w:tc>
          <w:tcPr>
            <w:tcW w:w="2360" w:type="dxa"/>
            <w:vAlign w:val="bottom"/>
            <w:vMerge w:val="restart"/>
            <w:shd w:val="clear" w:color="auto" w:fill="DCDDDE"/>
          </w:tcPr>
          <w:p>
            <w:pPr>
              <w:ind w:left="280"/>
              <w:spacing w:after="0"/>
              <w:rPr>
                <w:sz w:val="20"/>
                <w:szCs w:val="20"/>
                <w:color w:val="auto"/>
              </w:rPr>
            </w:pPr>
            <w:r>
              <w:rPr>
                <w:rFonts w:ascii="Arial" w:cs="Arial" w:eastAsia="Arial" w:hAnsi="Arial"/>
                <w:sz w:val="17"/>
                <w:szCs w:val="17"/>
                <w:color w:val="auto"/>
              </w:rPr>
              <w:t>Cybersecurity and</w:t>
            </w:r>
          </w:p>
        </w:tc>
        <w:tc>
          <w:tcPr>
            <w:tcW w:w="160" w:type="dxa"/>
            <w:vAlign w:val="bottom"/>
          </w:tcPr>
          <w:p>
            <w:pPr>
              <w:spacing w:after="0"/>
              <w:rPr>
                <w:sz w:val="5"/>
                <w:szCs w:val="5"/>
                <w:color w:val="auto"/>
              </w:rPr>
            </w:pPr>
          </w:p>
        </w:tc>
        <w:tc>
          <w:tcPr>
            <w:tcW w:w="300" w:type="dxa"/>
            <w:vAlign w:val="bottom"/>
            <w:shd w:val="clear" w:color="auto" w:fill="DCDDDE"/>
          </w:tcPr>
          <w:p>
            <w:pPr>
              <w:spacing w:after="0"/>
              <w:rPr>
                <w:sz w:val="5"/>
                <w:szCs w:val="5"/>
                <w:color w:val="auto"/>
              </w:rPr>
            </w:pPr>
          </w:p>
        </w:tc>
        <w:tc>
          <w:tcPr>
            <w:tcW w:w="2360" w:type="dxa"/>
            <w:vAlign w:val="bottom"/>
            <w:vMerge w:val="continue"/>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00" w:type="dxa"/>
            <w:vAlign w:val="bottom"/>
            <w:vMerge w:val="continue"/>
            <w:shd w:val="clear" w:color="auto" w:fill="DCDDDE"/>
          </w:tcPr>
          <w:p>
            <w:pPr>
              <w:spacing w:after="0"/>
              <w:rPr>
                <w:sz w:val="15"/>
                <w:szCs w:val="15"/>
                <w:color w:val="auto"/>
              </w:rPr>
            </w:pPr>
          </w:p>
        </w:tc>
        <w:tc>
          <w:tcPr>
            <w:tcW w:w="2360" w:type="dxa"/>
            <w:vAlign w:val="bottom"/>
            <w:vMerge w:val="continue"/>
            <w:shd w:val="clear" w:color="auto" w:fill="DCDDD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shd w:val="clear" w:color="auto" w:fill="DCDDDE"/>
          </w:tcPr>
          <w:p>
            <w:pPr>
              <w:spacing w:after="0"/>
              <w:rPr>
                <w:sz w:val="15"/>
                <w:szCs w:val="15"/>
                <w:color w:val="auto"/>
              </w:rPr>
            </w:pPr>
          </w:p>
        </w:tc>
        <w:tc>
          <w:tcPr>
            <w:tcW w:w="2360" w:type="dxa"/>
            <w:vAlign w:val="bottom"/>
            <w:shd w:val="clear" w:color="auto" w:fill="DCDDDE"/>
          </w:tcPr>
          <w:p>
            <w:pPr>
              <w:ind w:left="80"/>
              <w:spacing w:after="0" w:line="176" w:lineRule="exact"/>
              <w:rPr>
                <w:sz w:val="20"/>
                <w:szCs w:val="20"/>
                <w:color w:val="auto"/>
              </w:rPr>
            </w:pPr>
            <w:r>
              <w:rPr>
                <w:rFonts w:ascii="Arial" w:cs="Arial" w:eastAsia="Arial" w:hAnsi="Arial"/>
                <w:sz w:val="17"/>
                <w:szCs w:val="17"/>
                <w:color w:val="auto"/>
              </w:rPr>
              <w:t>and retention, employee</w:t>
            </w:r>
          </w:p>
        </w:tc>
        <w:tc>
          <w:tcPr>
            <w:tcW w:w="0" w:type="dxa"/>
            <w:vAlign w:val="bottom"/>
          </w:tcPr>
          <w:p>
            <w:pPr>
              <w:spacing w:after="0"/>
              <w:rPr>
                <w:sz w:val="1"/>
                <w:szCs w:val="1"/>
                <w:color w:val="auto"/>
              </w:rPr>
            </w:pPr>
          </w:p>
        </w:tc>
      </w:tr>
      <w:tr>
        <w:trPr>
          <w:trHeight w:val="203"/>
        </w:trPr>
        <w:tc>
          <w:tcPr>
            <w:tcW w:w="300" w:type="dxa"/>
            <w:vAlign w:val="bottom"/>
            <w:shd w:val="clear" w:color="auto" w:fill="DCDDDE"/>
          </w:tcPr>
          <w:p>
            <w:pPr>
              <w:spacing w:after="0"/>
              <w:rPr>
                <w:sz w:val="17"/>
                <w:szCs w:val="17"/>
                <w:color w:val="auto"/>
              </w:rPr>
            </w:pPr>
          </w:p>
        </w:tc>
        <w:tc>
          <w:tcPr>
            <w:tcW w:w="2360" w:type="dxa"/>
            <w:vAlign w:val="bottom"/>
            <w:shd w:val="clear" w:color="auto" w:fill="DCDDDE"/>
          </w:tcPr>
          <w:p>
            <w:pPr>
              <w:ind w:left="80"/>
              <w:spacing w:after="0"/>
              <w:rPr>
                <w:sz w:val="20"/>
                <w:szCs w:val="20"/>
                <w:color w:val="auto"/>
              </w:rPr>
            </w:pPr>
            <w:r>
              <w:rPr>
                <w:rFonts w:ascii="Arial" w:cs="Arial" w:eastAsia="Arial" w:hAnsi="Arial"/>
                <w:sz w:val="17"/>
                <w:szCs w:val="17"/>
                <w:color w:val="auto"/>
              </w:rPr>
              <w:t>business continuity</w:t>
            </w:r>
          </w:p>
        </w:tc>
        <w:tc>
          <w:tcPr>
            <w:tcW w:w="160" w:type="dxa"/>
            <w:vAlign w:val="bottom"/>
          </w:tcPr>
          <w:p>
            <w:pPr>
              <w:spacing w:after="0"/>
              <w:rPr>
                <w:sz w:val="17"/>
                <w:szCs w:val="17"/>
                <w:color w:val="auto"/>
              </w:rPr>
            </w:pPr>
          </w:p>
        </w:tc>
        <w:tc>
          <w:tcPr>
            <w:tcW w:w="300" w:type="dxa"/>
            <w:vAlign w:val="bottom"/>
            <w:shd w:val="clear" w:color="auto" w:fill="DCDDDE"/>
          </w:tcPr>
          <w:p>
            <w:pPr>
              <w:spacing w:after="0"/>
              <w:rPr>
                <w:sz w:val="17"/>
                <w:szCs w:val="17"/>
                <w:color w:val="auto"/>
              </w:rPr>
            </w:pPr>
          </w:p>
        </w:tc>
        <w:tc>
          <w:tcPr>
            <w:tcW w:w="2360" w:type="dxa"/>
            <w:vAlign w:val="bottom"/>
            <w:shd w:val="clear" w:color="auto" w:fill="DCDDDE"/>
          </w:tcPr>
          <w:p>
            <w:pPr>
              <w:ind w:left="80"/>
              <w:spacing w:after="0"/>
              <w:rPr>
                <w:sz w:val="20"/>
                <w:szCs w:val="20"/>
                <w:color w:val="auto"/>
              </w:rPr>
            </w:pPr>
            <w:r>
              <w:rPr>
                <w:rFonts w:ascii="Arial" w:cs="Arial" w:eastAsia="Arial" w:hAnsi="Arial"/>
                <w:sz w:val="17"/>
                <w:szCs w:val="17"/>
                <w:color w:val="auto"/>
              </w:rPr>
              <w:t>engagement and workforce</w:t>
            </w:r>
          </w:p>
        </w:tc>
        <w:tc>
          <w:tcPr>
            <w:tcW w:w="0" w:type="dxa"/>
            <w:vAlign w:val="bottom"/>
          </w:tcPr>
          <w:p>
            <w:pPr>
              <w:spacing w:after="0"/>
              <w:rPr>
                <w:sz w:val="1"/>
                <w:szCs w:val="1"/>
                <w:color w:val="auto"/>
              </w:rPr>
            </w:pPr>
          </w:p>
        </w:tc>
      </w:tr>
      <w:tr>
        <w:trPr>
          <w:trHeight w:val="225"/>
        </w:trPr>
        <w:tc>
          <w:tcPr>
            <w:tcW w:w="300" w:type="dxa"/>
            <w:vAlign w:val="bottom"/>
            <w:shd w:val="clear" w:color="auto" w:fill="DCDDDE"/>
          </w:tcPr>
          <w:p>
            <w:pPr>
              <w:spacing w:after="0"/>
              <w:rPr>
                <w:sz w:val="19"/>
                <w:szCs w:val="19"/>
                <w:color w:val="auto"/>
              </w:rPr>
            </w:pPr>
          </w:p>
        </w:tc>
        <w:tc>
          <w:tcPr>
            <w:tcW w:w="2360" w:type="dxa"/>
            <w:vAlign w:val="bottom"/>
            <w:shd w:val="clear" w:color="auto" w:fill="DCDDD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DCDDDE"/>
          </w:tcPr>
          <w:p>
            <w:pPr>
              <w:spacing w:after="0"/>
              <w:rPr>
                <w:sz w:val="19"/>
                <w:szCs w:val="19"/>
                <w:color w:val="auto"/>
              </w:rPr>
            </w:pPr>
          </w:p>
        </w:tc>
        <w:tc>
          <w:tcPr>
            <w:tcW w:w="2360" w:type="dxa"/>
            <w:vAlign w:val="bottom"/>
            <w:shd w:val="clear" w:color="auto" w:fill="DCDDDE"/>
          </w:tcPr>
          <w:p>
            <w:pPr>
              <w:ind w:left="80"/>
              <w:spacing w:after="0"/>
              <w:rPr>
                <w:sz w:val="20"/>
                <w:szCs w:val="20"/>
                <w:color w:val="auto"/>
              </w:rPr>
            </w:pPr>
            <w:r>
              <w:rPr>
                <w:rFonts w:ascii="Arial" w:cs="Arial" w:eastAsia="Arial" w:hAnsi="Arial"/>
                <w:sz w:val="17"/>
                <w:szCs w:val="17"/>
                <w:color w:val="auto"/>
              </w:rPr>
              <w:t>composition</w:t>
            </w:r>
          </w:p>
        </w:tc>
        <w:tc>
          <w:tcPr>
            <w:tcW w:w="0" w:type="dxa"/>
            <w:vAlign w:val="bottom"/>
          </w:tcPr>
          <w:p>
            <w:pPr>
              <w:spacing w:after="0"/>
              <w:rPr>
                <w:sz w:val="1"/>
                <w:szCs w:val="1"/>
                <w:color w:val="auto"/>
              </w:rPr>
            </w:pPr>
          </w:p>
        </w:tc>
      </w:tr>
      <w:tr>
        <w:trPr>
          <w:trHeight w:val="567"/>
        </w:trPr>
        <w:tc>
          <w:tcPr>
            <w:tcW w:w="300" w:type="dxa"/>
            <w:vAlign w:val="bottom"/>
            <w:shd w:val="clear" w:color="auto" w:fill="DCDDDE"/>
          </w:tcPr>
          <w:p>
            <w:pPr>
              <w:spacing w:after="0"/>
              <w:rPr>
                <w:sz w:val="24"/>
                <w:szCs w:val="24"/>
                <w:color w:val="auto"/>
              </w:rPr>
            </w:pPr>
          </w:p>
        </w:tc>
        <w:tc>
          <w:tcPr>
            <w:tcW w:w="2360" w:type="dxa"/>
            <w:vAlign w:val="bottom"/>
            <w:shd w:val="clear" w:color="auto" w:fill="DCDDD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shd w:val="clear" w:color="auto" w:fill="DCDDDE"/>
          </w:tcPr>
          <w:p>
            <w:pPr>
              <w:spacing w:after="0"/>
              <w:rPr>
                <w:sz w:val="24"/>
                <w:szCs w:val="24"/>
                <w:color w:val="auto"/>
              </w:rPr>
            </w:pPr>
          </w:p>
        </w:tc>
        <w:tc>
          <w:tcPr>
            <w:tcW w:w="236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Governance &amp; Corporate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Responsibility Committee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Oversight of:</w:t>
      </w:r>
    </w:p>
    <w:p>
      <w:pPr>
        <w:spacing w:after="0" w:line="88" w:lineRule="exact"/>
        <w:rPr>
          <w:sz w:val="20"/>
          <w:szCs w:val="20"/>
          <w:color w:val="auto"/>
        </w:rPr>
      </w:pPr>
    </w:p>
    <w:p>
      <w:pPr>
        <w:ind w:left="460" w:hanging="401"/>
        <w:spacing w:after="0"/>
        <w:tabs>
          <w:tab w:leader="none" w:pos="460" w:val="left"/>
        </w:tabs>
        <w:numPr>
          <w:ilvl w:val="0"/>
          <w:numId w:val="37"/>
        </w:numPr>
        <w:rPr>
          <w:rFonts w:ascii="Arial" w:cs="Arial" w:eastAsia="Arial" w:hAnsi="Arial"/>
          <w:sz w:val="17"/>
          <w:szCs w:val="17"/>
          <w:color w:val="00A0DD"/>
        </w:rPr>
      </w:pPr>
      <w:r>
        <w:rPr>
          <w:rFonts w:ascii="Arial" w:cs="Arial" w:eastAsia="Arial" w:hAnsi="Arial"/>
          <w:sz w:val="17"/>
          <w:szCs w:val="17"/>
          <w:color w:val="auto"/>
        </w:rPr>
        <w:t>Corporate governance</w:t>
      </w:r>
    </w:p>
    <w:p>
      <w:pPr>
        <w:spacing w:after="0" w:line="74" w:lineRule="exact"/>
        <w:rPr>
          <w:rFonts w:ascii="Arial" w:cs="Arial" w:eastAsia="Arial" w:hAnsi="Arial"/>
          <w:sz w:val="17"/>
          <w:szCs w:val="17"/>
          <w:color w:val="00A0DD"/>
        </w:rPr>
      </w:pPr>
    </w:p>
    <w:p>
      <w:pPr>
        <w:ind w:left="260" w:right="1320" w:hanging="201"/>
        <w:spacing w:after="0" w:line="244" w:lineRule="auto"/>
        <w:tabs>
          <w:tab w:leader="none" w:pos="465" w:val="left"/>
        </w:tabs>
        <w:numPr>
          <w:ilvl w:val="0"/>
          <w:numId w:val="37"/>
        </w:numPr>
        <w:rPr>
          <w:rFonts w:ascii="Arial" w:cs="Arial" w:eastAsia="Arial" w:hAnsi="Arial"/>
          <w:sz w:val="17"/>
          <w:szCs w:val="17"/>
          <w:color w:val="00A0DD"/>
        </w:rPr>
      </w:pPr>
      <w:r>
        <w:rPr>
          <w:rFonts w:ascii="Arial" w:cs="Arial" w:eastAsia="Arial" w:hAnsi="Arial"/>
          <w:sz w:val="17"/>
          <w:szCs w:val="17"/>
          <w:color w:val="auto"/>
        </w:rPr>
        <w:t>Compliance, legal and regulatory matters, including privacy, artificial intelligence and data governance</w:t>
      </w:r>
    </w:p>
    <w:p>
      <w:pPr>
        <w:spacing w:after="0" w:line="42" w:lineRule="exact"/>
        <w:rPr>
          <w:rFonts w:ascii="Arial" w:cs="Arial" w:eastAsia="Arial" w:hAnsi="Arial"/>
          <w:sz w:val="17"/>
          <w:szCs w:val="17"/>
          <w:color w:val="00A0DD"/>
        </w:rPr>
      </w:pPr>
    </w:p>
    <w:p>
      <w:pPr>
        <w:ind w:left="460" w:hanging="401"/>
        <w:spacing w:after="0"/>
        <w:tabs>
          <w:tab w:leader="none" w:pos="460" w:val="left"/>
        </w:tabs>
        <w:numPr>
          <w:ilvl w:val="0"/>
          <w:numId w:val="37"/>
        </w:numPr>
        <w:rPr>
          <w:rFonts w:ascii="Arial" w:cs="Arial" w:eastAsia="Arial" w:hAnsi="Arial"/>
          <w:sz w:val="17"/>
          <w:szCs w:val="17"/>
          <w:color w:val="00A0DD"/>
        </w:rPr>
      </w:pPr>
      <w:r>
        <w:rPr>
          <w:rFonts w:ascii="Arial" w:cs="Arial" w:eastAsia="Arial" w:hAnsi="Arial"/>
          <w:sz w:val="17"/>
          <w:szCs w:val="17"/>
          <w:color w:val="auto"/>
        </w:rPr>
        <w:t>Harassment and</w:t>
      </w:r>
    </w:p>
    <w:p>
      <w:pPr>
        <w:spacing w:after="0" w:line="9" w:lineRule="exact"/>
        <w:rPr>
          <w:rFonts w:ascii="Arial" w:cs="Arial" w:eastAsia="Arial" w:hAnsi="Arial"/>
          <w:sz w:val="17"/>
          <w:szCs w:val="17"/>
          <w:color w:val="00A0DD"/>
        </w:rPr>
      </w:pPr>
    </w:p>
    <w:p>
      <w:pPr>
        <w:ind w:left="260"/>
        <w:spacing w:after="0"/>
        <w:rPr>
          <w:rFonts w:ascii="Arial" w:cs="Arial" w:eastAsia="Arial" w:hAnsi="Arial"/>
          <w:sz w:val="17"/>
          <w:szCs w:val="17"/>
          <w:color w:val="00A0DD"/>
        </w:rPr>
      </w:pPr>
      <w:r>
        <w:rPr>
          <w:rFonts w:ascii="Arial" w:cs="Arial" w:eastAsia="Arial" w:hAnsi="Arial"/>
          <w:sz w:val="17"/>
          <w:szCs w:val="17"/>
          <w:color w:val="auto"/>
        </w:rPr>
        <w:t>discrimination matters</w:t>
      </w:r>
    </w:p>
    <w:p>
      <w:pPr>
        <w:spacing w:after="0" w:line="72" w:lineRule="exact"/>
        <w:rPr>
          <w:rFonts w:ascii="Arial" w:cs="Arial" w:eastAsia="Arial" w:hAnsi="Arial"/>
          <w:sz w:val="17"/>
          <w:szCs w:val="17"/>
          <w:color w:val="00A0DD"/>
        </w:rPr>
      </w:pPr>
    </w:p>
    <w:p>
      <w:pPr>
        <w:ind w:left="260" w:right="1660" w:hanging="201"/>
        <w:spacing w:after="0" w:line="267" w:lineRule="auto"/>
        <w:tabs>
          <w:tab w:leader="none" w:pos="465" w:val="left"/>
        </w:tabs>
        <w:numPr>
          <w:ilvl w:val="0"/>
          <w:numId w:val="37"/>
        </w:numPr>
        <w:rPr>
          <w:rFonts w:ascii="Arial" w:cs="Arial" w:eastAsia="Arial" w:hAnsi="Arial"/>
          <w:sz w:val="17"/>
          <w:szCs w:val="17"/>
          <w:color w:val="00A0DD"/>
        </w:rPr>
      </w:pPr>
      <w:r>
        <w:rPr>
          <w:rFonts w:ascii="Arial" w:cs="Arial" w:eastAsia="Arial" w:hAnsi="Arial"/>
          <w:sz w:val="17"/>
          <w:szCs w:val="17"/>
          <w:color w:val="auto"/>
        </w:rPr>
        <w:t>Political and lobbying activities</w:t>
      </w:r>
    </w:p>
    <w:p>
      <w:pPr>
        <w:spacing w:after="0" w:line="24" w:lineRule="exact"/>
        <w:rPr>
          <w:rFonts w:ascii="Arial" w:cs="Arial" w:eastAsia="Arial" w:hAnsi="Arial"/>
          <w:sz w:val="17"/>
          <w:szCs w:val="17"/>
          <w:color w:val="00A0DD"/>
        </w:rPr>
      </w:pPr>
    </w:p>
    <w:p>
      <w:pPr>
        <w:jc w:val="both"/>
        <w:ind w:left="260" w:right="1360" w:hanging="201"/>
        <w:spacing w:after="0" w:line="249" w:lineRule="auto"/>
        <w:tabs>
          <w:tab w:leader="none" w:pos="465" w:val="left"/>
        </w:tabs>
        <w:numPr>
          <w:ilvl w:val="0"/>
          <w:numId w:val="37"/>
        </w:numPr>
        <w:rPr>
          <w:rFonts w:ascii="Arial" w:cs="Arial" w:eastAsia="Arial" w:hAnsi="Arial"/>
          <w:sz w:val="17"/>
          <w:szCs w:val="17"/>
          <w:color w:val="00A0DD"/>
        </w:rPr>
      </w:pPr>
      <w:r>
        <w:rPr>
          <w:rFonts w:ascii="Arial" w:cs="Arial" w:eastAsia="Arial" w:hAnsi="Arial"/>
          <w:sz w:val="17"/>
          <w:szCs w:val="17"/>
          <w:color w:val="auto"/>
        </w:rPr>
        <w:t>Significant environmental and social issues, risks and trends</w:t>
      </w:r>
    </w:p>
    <w:p>
      <w:pPr>
        <w:spacing w:after="0" w:line="207" w:lineRule="exact"/>
        <w:rPr>
          <w:sz w:val="20"/>
          <w:szCs w:val="20"/>
          <w:color w:val="auto"/>
        </w:rPr>
      </w:pPr>
    </w:p>
    <w:p>
      <w:pPr>
        <w:sectPr>
          <w:pgSz w:w="11900" w:h="16838" w:orient="portrait"/>
          <w:cols w:equalWidth="0" w:num="2">
            <w:col w:w="6660" w:space="340"/>
            <w:col w:w="3720"/>
          </w:cols>
          <w:pgMar w:left="580" w:top="229" w:right="59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21</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24" w:name="page25"/>
    <w:bookmarkEnd w:id="24"/>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Corporate Governance Practices, Policies and Processes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25"/>
          <w:szCs w:val="25"/>
          <w:color w:val="auto"/>
        </w:rPr>
        <w:t>Corporate Governance Highlights</w:t>
      </w:r>
    </w:p>
    <w:p>
      <w:pPr>
        <w:spacing w:after="0" w:line="121" w:lineRule="exact"/>
        <w:rPr>
          <w:sz w:val="20"/>
          <w:szCs w:val="20"/>
          <w:color w:val="auto"/>
        </w:rPr>
      </w:pPr>
    </w:p>
    <w:p>
      <w:pPr>
        <w:ind w:left="320" w:right="799"/>
        <w:spacing w:after="0" w:line="271" w:lineRule="auto"/>
        <w:rPr>
          <w:sz w:val="20"/>
          <w:szCs w:val="20"/>
          <w:color w:val="auto"/>
        </w:rPr>
      </w:pPr>
      <w:r>
        <w:rPr>
          <w:rFonts w:ascii="Arial" w:cs="Arial" w:eastAsia="Arial" w:hAnsi="Arial"/>
          <w:sz w:val="18"/>
          <w:szCs w:val="18"/>
          <w:color w:val="auto"/>
        </w:rPr>
        <w:t>As described in more detail elsewhere in this proxy statement, below are highlights of our corporate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-1270</wp:posOffset>
            </wp:positionV>
            <wp:extent cx="530606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06060" cy="1797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b w:val="1"/>
          <w:bCs w:val="1"/>
          <w:color w:val="FFFFFF"/>
        </w:rPr>
        <w:t>Board Independence/Composition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5306060" cy="17576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06060" cy="1757680"/>
                    </a:xfrm>
                    <a:prstGeom prst="rect">
                      <a:avLst/>
                    </a:prstGeom>
                    <a:noFill/>
                  </pic:spPr>
                </pic:pic>
              </a:graphicData>
            </a:graphic>
          </wp:anchor>
        </w:drawing>
      </w:r>
    </w:p>
    <w:p>
      <w:pPr>
        <w:spacing w:after="0" w:line="79" w:lineRule="exact"/>
        <w:rPr>
          <w:sz w:val="20"/>
          <w:szCs w:val="20"/>
          <w:color w:val="auto"/>
        </w:rPr>
      </w:pPr>
    </w:p>
    <w:p>
      <w:pPr>
        <w:ind w:left="700" w:right="879" w:hanging="198"/>
        <w:spacing w:after="0" w:line="270" w:lineRule="auto"/>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Strong Lead Independent Director, with defined role and responsibilities, including authority to review and approve agendas, materials and meeting schedules for Board meetings</w:t>
      </w:r>
    </w:p>
    <w:p>
      <w:pPr>
        <w:spacing w:after="0" w:line="19"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Lead Independent Director is appointed by independent directors annually</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Nine of 11 director nominees are independent</w:t>
      </w:r>
    </w:p>
    <w:p>
      <w:pPr>
        <w:spacing w:after="0" w:line="75" w:lineRule="exact"/>
        <w:rPr>
          <w:rFonts w:ascii="Times New Roman" w:cs="Times New Roman" w:eastAsia="Times New Roman" w:hAnsi="Times New Roman"/>
          <w:sz w:val="18"/>
          <w:szCs w:val="18"/>
          <w:color w:val="00A0DD"/>
        </w:rPr>
      </w:pPr>
    </w:p>
    <w:p>
      <w:pPr>
        <w:ind w:left="700" w:right="439" w:hanging="198"/>
        <w:spacing w:after="0" w:line="270" w:lineRule="auto"/>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Added four new independent directors within past three years; average independent director tenure is nine years</w:t>
      </w:r>
    </w:p>
    <w:p>
      <w:pPr>
        <w:spacing w:after="0" w:line="19"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Director tenure considered in annual Board director independence determinations</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All members of Board committees are independent</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Opportunity for executive sessions at every Board and committee meeting</w:t>
      </w:r>
    </w:p>
    <w:p>
      <w:pPr>
        <w:spacing w:after="0" w:line="89"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38"/>
        </w:numPr>
        <w:rPr>
          <w:rFonts w:ascii="Times New Roman" w:cs="Times New Roman" w:eastAsia="Times New Roman" w:hAnsi="Times New Roman"/>
          <w:sz w:val="18"/>
          <w:szCs w:val="18"/>
          <w:color w:val="00A0DD"/>
        </w:rPr>
      </w:pPr>
      <w:r>
        <w:rPr>
          <w:rFonts w:ascii="Arial" w:cs="Arial" w:eastAsia="Arial" w:hAnsi="Arial"/>
          <w:sz w:val="18"/>
          <w:szCs w:val="18"/>
          <w:color w:val="auto"/>
        </w:rPr>
        <w:t>Compensation Committee directly retains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111760</wp:posOffset>
            </wp:positionV>
            <wp:extent cx="530606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06060" cy="179705"/>
                    </a:xfrm>
                    <a:prstGeom prst="rect">
                      <a:avLst/>
                    </a:prstGeom>
                    <a:noFill/>
                  </pic:spPr>
                </pic:pic>
              </a:graphicData>
            </a:graphic>
          </wp:anchor>
        </w:drawing>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FFFFFF"/>
        </w:rPr>
        <w:t>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5306060" cy="1148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06060" cy="1148715"/>
                    </a:xfrm>
                    <a:prstGeom prst="rect">
                      <a:avLst/>
                    </a:prstGeom>
                    <a:noFill/>
                  </pic:spPr>
                </pic:pic>
              </a:graphicData>
            </a:graphic>
          </wp:anchor>
        </w:drawing>
      </w:r>
    </w:p>
    <w:p>
      <w:pPr>
        <w:spacing w:after="0" w:line="79" w:lineRule="exact"/>
        <w:rPr>
          <w:sz w:val="20"/>
          <w:szCs w:val="20"/>
          <w:color w:val="auto"/>
        </w:rPr>
      </w:pPr>
    </w:p>
    <w:p>
      <w:pPr>
        <w:ind w:left="700" w:hanging="198"/>
        <w:spacing w:after="0"/>
        <w:tabs>
          <w:tab w:leader="none" w:pos="700" w:val="left"/>
        </w:tabs>
        <w:numPr>
          <w:ilvl w:val="0"/>
          <w:numId w:val="39"/>
        </w:numPr>
        <w:rPr>
          <w:rFonts w:ascii="Times New Roman" w:cs="Times New Roman" w:eastAsia="Times New Roman" w:hAnsi="Times New Roman"/>
          <w:sz w:val="18"/>
          <w:szCs w:val="18"/>
          <w:color w:val="00A0DD"/>
        </w:rPr>
      </w:pPr>
      <w:r>
        <w:rPr>
          <w:rFonts w:ascii="Arial" w:cs="Arial" w:eastAsia="Arial" w:hAnsi="Arial"/>
          <w:sz w:val="18"/>
          <w:szCs w:val="18"/>
          <w:color w:val="auto"/>
        </w:rPr>
        <w:t>Annual Board and committee evaluations</w:t>
      </w:r>
    </w:p>
    <w:p>
      <w:pPr>
        <w:spacing w:after="0" w:line="89" w:lineRule="exact"/>
        <w:rPr>
          <w:rFonts w:ascii="Times New Roman" w:cs="Times New Roman" w:eastAsia="Times New Roman" w:hAnsi="Times New Roman"/>
          <w:sz w:val="18"/>
          <w:szCs w:val="18"/>
          <w:color w:val="00A0DD"/>
        </w:rPr>
      </w:pPr>
    </w:p>
    <w:p>
      <w:pPr>
        <w:ind w:left="700" w:right="939" w:hanging="198"/>
        <w:spacing w:after="0" w:line="270" w:lineRule="auto"/>
        <w:tabs>
          <w:tab w:leader="none" w:pos="700" w:val="left"/>
        </w:tabs>
        <w:numPr>
          <w:ilvl w:val="0"/>
          <w:numId w:val="39"/>
        </w:numPr>
        <w:rPr>
          <w:rFonts w:ascii="Times New Roman" w:cs="Times New Roman" w:eastAsia="Times New Roman" w:hAnsi="Times New Roman"/>
          <w:sz w:val="18"/>
          <w:szCs w:val="18"/>
          <w:color w:val="00A0DD"/>
        </w:rPr>
      </w:pPr>
      <w:r>
        <w:rPr>
          <w:rFonts w:ascii="Arial" w:cs="Arial" w:eastAsia="Arial" w:hAnsi="Arial"/>
          <w:sz w:val="18"/>
          <w:szCs w:val="18"/>
          <w:color w:val="auto"/>
        </w:rPr>
        <w:t>Board/committee oversight of strategy, significant company risks and corporate responsibility matters</w:t>
      </w:r>
    </w:p>
    <w:p>
      <w:pPr>
        <w:spacing w:after="0" w:line="5" w:lineRule="exact"/>
        <w:rPr>
          <w:rFonts w:ascii="Times New Roman" w:cs="Times New Roman" w:eastAsia="Times New Roman" w:hAnsi="Times New Roman"/>
          <w:sz w:val="18"/>
          <w:szCs w:val="18"/>
          <w:color w:val="00A0DD"/>
        </w:rPr>
      </w:pPr>
    </w:p>
    <w:p>
      <w:pPr>
        <w:ind w:left="700" w:right="599" w:hanging="198"/>
        <w:spacing w:after="0" w:line="270" w:lineRule="auto"/>
        <w:tabs>
          <w:tab w:leader="none" w:pos="700" w:val="left"/>
        </w:tabs>
        <w:numPr>
          <w:ilvl w:val="0"/>
          <w:numId w:val="39"/>
        </w:numPr>
        <w:rPr>
          <w:rFonts w:ascii="Times New Roman" w:cs="Times New Roman" w:eastAsia="Times New Roman" w:hAnsi="Times New Roman"/>
          <w:sz w:val="18"/>
          <w:szCs w:val="18"/>
          <w:color w:val="00A0DD"/>
        </w:rPr>
      </w:pPr>
      <w:r>
        <w:rPr>
          <w:rFonts w:ascii="Arial" w:cs="Arial" w:eastAsia="Arial" w:hAnsi="Arial"/>
          <w:sz w:val="18"/>
          <w:szCs w:val="18"/>
          <w:color w:val="auto"/>
        </w:rPr>
        <w:t>Annual Board and Compensation Committee discussion of succession planning for co-CEOs and other senior executives</w:t>
      </w:r>
    </w:p>
    <w:p>
      <w:pPr>
        <w:spacing w:after="0" w:line="5" w:lineRule="exact"/>
        <w:rPr>
          <w:rFonts w:ascii="Times New Roman" w:cs="Times New Roman" w:eastAsia="Times New Roman" w:hAnsi="Times New Roman"/>
          <w:sz w:val="18"/>
          <w:szCs w:val="18"/>
          <w:color w:val="00A0DD"/>
        </w:rPr>
      </w:pPr>
    </w:p>
    <w:p>
      <w:pPr>
        <w:ind w:left="700" w:right="859" w:hanging="198"/>
        <w:spacing w:after="0" w:line="270" w:lineRule="auto"/>
        <w:tabs>
          <w:tab w:leader="none" w:pos="700" w:val="left"/>
        </w:tabs>
        <w:numPr>
          <w:ilvl w:val="0"/>
          <w:numId w:val="39"/>
        </w:numPr>
        <w:rPr>
          <w:rFonts w:ascii="Times New Roman" w:cs="Times New Roman" w:eastAsia="Times New Roman" w:hAnsi="Times New Roman"/>
          <w:sz w:val="18"/>
          <w:szCs w:val="18"/>
          <w:color w:val="00A0DD"/>
        </w:rPr>
      </w:pPr>
      <w:r>
        <w:rPr>
          <w:rFonts w:ascii="Arial" w:cs="Arial" w:eastAsia="Arial" w:hAnsi="Arial"/>
          <w:sz w:val="18"/>
          <w:szCs w:val="18"/>
          <w:color w:val="auto"/>
        </w:rPr>
        <w:t>Director education on key Company topics and issues, including as requested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75565</wp:posOffset>
            </wp:positionV>
            <wp:extent cx="530606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06060" cy="179705"/>
                    </a:xfrm>
                    <a:prstGeom prst="rect">
                      <a:avLst/>
                    </a:prstGeom>
                    <a:noFill/>
                  </pic:spPr>
                </pic:pic>
              </a:graphicData>
            </a:graphic>
          </wp:anchor>
        </w:drawing>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5306060" cy="13798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06060" cy="1379855"/>
                    </a:xfrm>
                    <a:prstGeom prst="rect">
                      <a:avLst/>
                    </a:prstGeom>
                    <a:noFill/>
                  </pic:spPr>
                </pic:pic>
              </a:graphicData>
            </a:graphic>
          </wp:anchor>
        </w:drawing>
      </w:r>
    </w:p>
    <w:p>
      <w:pPr>
        <w:spacing w:after="0" w:line="160" w:lineRule="exact"/>
        <w:rPr>
          <w:sz w:val="20"/>
          <w:szCs w:val="20"/>
          <w:color w:val="auto"/>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Independent director retirement policy at age 75</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Director “overboarding” policy</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Robust shareholder engagement program</w:t>
      </w:r>
    </w:p>
    <w:p>
      <w:pPr>
        <w:spacing w:after="0" w:line="89"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Annual director elections</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Proxy access bylaw</w:t>
      </w:r>
    </w:p>
    <w:p>
      <w:pPr>
        <w:spacing w:after="0" w:line="75"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Recoupment (“clawback”) policy for executive compensation</w:t>
      </w:r>
    </w:p>
    <w:p>
      <w:pPr>
        <w:spacing w:after="0" w:line="89" w:lineRule="exact"/>
        <w:rPr>
          <w:rFonts w:ascii="Times New Roman" w:cs="Times New Roman" w:eastAsia="Times New Roman" w:hAnsi="Times New Roman"/>
          <w:sz w:val="18"/>
          <w:szCs w:val="18"/>
          <w:color w:val="00A0DD"/>
        </w:rPr>
      </w:pPr>
    </w:p>
    <w:p>
      <w:pPr>
        <w:ind w:left="700" w:hanging="198"/>
        <w:spacing w:after="0"/>
        <w:tabs>
          <w:tab w:leader="none" w:pos="700" w:val="left"/>
        </w:tabs>
        <w:numPr>
          <w:ilvl w:val="0"/>
          <w:numId w:val="40"/>
        </w:numPr>
        <w:rPr>
          <w:rFonts w:ascii="Times New Roman" w:cs="Times New Roman" w:eastAsia="Times New Roman" w:hAnsi="Times New Roman"/>
          <w:sz w:val="18"/>
          <w:szCs w:val="18"/>
          <w:color w:val="00A0DD"/>
        </w:rPr>
      </w:pPr>
      <w:r>
        <w:rPr>
          <w:rFonts w:ascii="Arial" w:cs="Arial" w:eastAsia="Arial" w:hAnsi="Arial"/>
          <w:sz w:val="18"/>
          <w:szCs w:val="18"/>
          <w:color w:val="auto"/>
        </w:rPr>
        <w:t>No automatic acceleration of vesting in connection with a change in control</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25"/>
          <w:szCs w:val="25"/>
          <w:color w:val="auto"/>
        </w:rPr>
        <w:t>Succession Planning</w:t>
      </w:r>
    </w:p>
    <w:p>
      <w:pPr>
        <w:spacing w:after="0" w:line="121" w:lineRule="exact"/>
        <w:rPr>
          <w:sz w:val="20"/>
          <w:szCs w:val="20"/>
          <w:color w:val="auto"/>
        </w:rPr>
      </w:pPr>
    </w:p>
    <w:p>
      <w:pPr>
        <w:jc w:val="both"/>
        <w:ind w:left="320" w:right="379"/>
        <w:spacing w:after="0" w:line="247" w:lineRule="auto"/>
        <w:rPr>
          <w:sz w:val="20"/>
          <w:szCs w:val="20"/>
          <w:color w:val="auto"/>
        </w:rPr>
      </w:pPr>
      <w:r>
        <w:rPr>
          <w:rFonts w:ascii="Arial" w:cs="Arial" w:eastAsia="Arial" w:hAnsi="Arial"/>
          <w:sz w:val="18"/>
          <w:szCs w:val="18"/>
          <w:color w:val="auto"/>
        </w:rPr>
        <w:t>Ensuring that we have the appropriate senior management talent to successfully pursue our strategies is one of the Board’s primary responsibilities. To this end, the Board discusses succession planning for our co-CEOs and the remainder of our senior executive management team in private sessions at most of its regularly scheduled meetings. To help fulfill the Board’s responsibility, our Compensation Committee is</w:t>
      </w:r>
    </w:p>
    <w:p>
      <w:pPr>
        <w:spacing w:after="0" w:line="200" w:lineRule="exact"/>
        <w:rPr>
          <w:sz w:val="20"/>
          <w:szCs w:val="20"/>
          <w:color w:val="auto"/>
        </w:rPr>
      </w:pPr>
    </w:p>
    <w:p>
      <w:pPr>
        <w:spacing w:after="0" w:line="299" w:lineRule="exact"/>
        <w:rPr>
          <w:sz w:val="20"/>
          <w:szCs w:val="20"/>
          <w:color w:val="auto"/>
        </w:rPr>
      </w:pPr>
    </w:p>
    <w:p>
      <w:pPr>
        <w:ind w:left="1000" w:hanging="674"/>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5" w:name="page26"/>
    <w:bookmarkEnd w:id="25"/>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180"/>
        <w:spacing w:after="0"/>
        <w:rPr>
          <w:sz w:val="20"/>
          <w:szCs w:val="20"/>
          <w:color w:val="auto"/>
        </w:rPr>
      </w:pPr>
      <w:r>
        <w:rPr>
          <w:rFonts w:ascii="Arial" w:cs="Arial" w:eastAsia="Arial" w:hAnsi="Arial"/>
          <w:sz w:val="18"/>
          <w:szCs w:val="18"/>
          <w:color w:val="auto"/>
        </w:rPr>
        <w:t>required, pursuant to our corporate governance guidelines, to ensure that we have in place appropriate planning to address CEO succession both in the ordinary course of business and in emergency situations, including criteria that reflect our business strategies, such as identifying and developing internal candidates. Our corporate governance guidelines also require that our Compensation Committee ensures that we have appropriate succession planning for the remainder of our senior executive management team, including our NEOs. Each year, our Board and Compensation Committee formally discuss succession planning for our senior executive management team and their respective direct reports.</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Board and Committee Evaluations</w:t>
      </w:r>
    </w:p>
    <w:p>
      <w:pPr>
        <w:spacing w:after="0" w:line="121" w:lineRule="exact"/>
        <w:rPr>
          <w:sz w:val="20"/>
          <w:szCs w:val="20"/>
          <w:color w:val="auto"/>
        </w:rPr>
      </w:pPr>
    </w:p>
    <w:p>
      <w:pPr>
        <w:ind w:left="1180" w:right="1200"/>
        <w:spacing w:after="0" w:line="238" w:lineRule="auto"/>
        <w:rPr>
          <w:sz w:val="20"/>
          <w:szCs w:val="20"/>
          <w:color w:val="auto"/>
        </w:rPr>
      </w:pPr>
      <w:r>
        <w:rPr>
          <w:rFonts w:ascii="Arial" w:cs="Arial" w:eastAsia="Arial" w:hAnsi="Arial"/>
          <w:sz w:val="18"/>
          <w:szCs w:val="18"/>
          <w:color w:val="auto"/>
        </w:rPr>
        <w:t>Every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both quantitative-based responses and general comments. The Governance Committee reviews and approves the process and the questionnaires to be used, with outside counsel also reviewing the questionnaires. The results of the assessments are compiled anonymously and are reviewed and discussed with the Board and the Governance Committee (as it relates to both the Board and all committees) and each committee (as it relates to such committee). In addition to the formal evaluation process, directors provide feedback on the Board’s and its committees’ performance on an ongoing basis. The Governance Committee develops action plans for items that may require follow-up, and it also coordinates recommendations for key business and director educational topics for the following year’s Board and committee meeting agendas.</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Corporate Governance Guidelines and Code of Conduct</w:t>
      </w:r>
    </w:p>
    <w:p>
      <w:pPr>
        <w:spacing w:after="0" w:line="121" w:lineRule="exact"/>
        <w:rPr>
          <w:sz w:val="20"/>
          <w:szCs w:val="20"/>
          <w:color w:val="auto"/>
        </w:rPr>
      </w:pPr>
    </w:p>
    <w:p>
      <w:pPr>
        <w:ind w:left="1180" w:right="1240"/>
        <w:spacing w:after="0"/>
        <w:rPr>
          <w:sz w:val="20"/>
          <w:szCs w:val="20"/>
          <w:color w:val="auto"/>
        </w:rPr>
      </w:pPr>
      <w:r>
        <w:rPr>
          <w:rFonts w:ascii="Arial" w:cs="Arial" w:eastAsia="Arial" w:hAnsi="Arial"/>
          <w:sz w:val="18"/>
          <w:szCs w:val="18"/>
          <w:color w:val="auto"/>
        </w:rPr>
        <w:t xml:space="preserve">Our Board has adopted corporate governance guidelines that address items such as the standards, qualifications and responsibilities of our directors and director candidates and corporate governance policies and standards applicable to us in general. We also have a code of conduct that applies to all of our employees, including our executive officers, and our directors. Both the guidelines and the code of conduct applicable to our executive officers and directors are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 We will disclose under “Corporate Governance” in the Investors section of our website any amendments to, or any waivers under, the code of conduct that are required to be disclosed by SEC or Nasdaq rules.</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Shareholder Engagement</w:t>
      </w:r>
    </w:p>
    <w:p>
      <w:pPr>
        <w:spacing w:after="0" w:line="121" w:lineRule="exact"/>
        <w:rPr>
          <w:sz w:val="20"/>
          <w:szCs w:val="20"/>
          <w:color w:val="auto"/>
        </w:rPr>
      </w:pPr>
    </w:p>
    <w:p>
      <w:pPr>
        <w:ind w:left="1180" w:right="1300"/>
        <w:spacing w:after="0"/>
        <w:rPr>
          <w:sz w:val="20"/>
          <w:szCs w:val="20"/>
          <w:color w:val="auto"/>
        </w:rPr>
      </w:pPr>
      <w:r>
        <w:rPr>
          <w:rFonts w:ascii="Arial" w:cs="Arial" w:eastAsia="Arial" w:hAnsi="Arial"/>
          <w:sz w:val="18"/>
          <w:szCs w:val="18"/>
          <w:color w:val="auto"/>
        </w:rPr>
        <w:t>We have an active, broad-based and year-round investor relations outreach program to solicit input and to communicate with members of the investment community on a variety of topics. In addition to our regular investor relations program that reviews our business and strategy with buy-side investors and sell-side securities analysts, we also engage with investors on various corporate governance, compensation, environmental and social topics. This dialogue provides an opportunity to discuss governance matters generally, including our directors’ skills and tenure, Board oversight roles and responsibilities, corporate responsibility initiatives and executive compensation.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23</w:t>
            </w:r>
          </w:p>
        </w:tc>
      </w:tr>
      <w:tr>
        <w:trPr>
          <w:trHeight w:val="596"/>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26" w:name="page27"/>
    <w:bookmarkEnd w:id="26"/>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elements of our investor relations outreach program in 2025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34925</wp:posOffset>
            </wp:positionV>
            <wp:extent cx="4920615" cy="3197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20615" cy="3197225"/>
                    </a:xfrm>
                    <a:prstGeom prst="rect">
                      <a:avLst/>
                    </a:prstGeom>
                    <a:noFill/>
                  </pic:spPr>
                </pic:pic>
              </a:graphicData>
            </a:graphic>
          </wp:anchor>
        </w:drawing>
      </w:r>
    </w:p>
    <w:p>
      <w:pPr>
        <w:spacing w:after="0" w:line="111" w:lineRule="exact"/>
        <w:rPr>
          <w:sz w:val="20"/>
          <w:szCs w:val="20"/>
          <w:color w:val="auto"/>
        </w:rPr>
      </w:pPr>
    </w:p>
    <w:p>
      <w:pPr>
        <w:ind w:left="820" w:right="859" w:hanging="204"/>
        <w:spacing w:after="0" w:line="247" w:lineRule="auto"/>
        <w:tabs>
          <w:tab w:leader="none" w:pos="1025" w:val="left"/>
        </w:tabs>
        <w:numPr>
          <w:ilvl w:val="0"/>
          <w:numId w:val="42"/>
        </w:numPr>
        <w:rPr>
          <w:rFonts w:ascii="Arial" w:cs="Arial" w:eastAsia="Arial" w:hAnsi="Arial"/>
          <w:sz w:val="17"/>
          <w:szCs w:val="17"/>
          <w:color w:val="00A0DD"/>
        </w:rPr>
      </w:pPr>
      <w:r>
        <w:rPr>
          <w:rFonts w:ascii="Arial" w:cs="Arial" w:eastAsia="Arial" w:hAnsi="Arial"/>
          <w:sz w:val="18"/>
          <w:szCs w:val="18"/>
          <w:color w:val="auto"/>
        </w:rPr>
        <w:t>Focused, one-on-one meetings with over 30 investors representing nearly 50% of Class A common stock and senior management — and, at times, independent directors — on a range of governance, compensation and other corporate responsibility matters, as well as general business and strategy updates</w:t>
      </w:r>
    </w:p>
    <w:p>
      <w:pPr>
        <w:spacing w:after="0" w:line="65" w:lineRule="exact"/>
        <w:rPr>
          <w:rFonts w:ascii="Arial" w:cs="Arial" w:eastAsia="Arial" w:hAnsi="Arial"/>
          <w:sz w:val="17"/>
          <w:szCs w:val="17"/>
          <w:color w:val="00A0DD"/>
        </w:rPr>
      </w:pPr>
    </w:p>
    <w:p>
      <w:pPr>
        <w:ind w:left="1020" w:hanging="404"/>
        <w:spacing w:after="0"/>
        <w:tabs>
          <w:tab w:leader="none" w:pos="1020" w:val="left"/>
        </w:tabs>
        <w:numPr>
          <w:ilvl w:val="0"/>
          <w:numId w:val="42"/>
        </w:numPr>
        <w:rPr>
          <w:rFonts w:ascii="Arial" w:cs="Arial" w:eastAsia="Arial" w:hAnsi="Arial"/>
          <w:sz w:val="17"/>
          <w:szCs w:val="17"/>
          <w:color w:val="00A0DD"/>
        </w:rPr>
      </w:pPr>
      <w:r>
        <w:rPr>
          <w:rFonts w:ascii="Arial" w:cs="Arial" w:eastAsia="Arial" w:hAnsi="Arial"/>
          <w:sz w:val="18"/>
          <w:szCs w:val="18"/>
          <w:color w:val="auto"/>
        </w:rPr>
        <w:t>Outreach to proxy advisory firms</w:t>
      </w:r>
    </w:p>
    <w:p>
      <w:pPr>
        <w:sectPr>
          <w:pgSz w:w="11900" w:h="16838" w:orient="portrait"/>
          <w:cols w:equalWidth="0" w:num="1">
            <w:col w:w="9019"/>
          </w:cols>
          <w:pgMar w:left="1440" w:top="229" w:right="1440" w:bottom="1440" w:gutter="0" w:footer="0" w:header="0"/>
        </w:sectPr>
      </w:pPr>
    </w:p>
    <w:p>
      <w:pPr>
        <w:spacing w:after="0" w:line="212" w:lineRule="exact"/>
        <w:rPr>
          <w:sz w:val="20"/>
          <w:szCs w:val="20"/>
          <w:color w:val="auto"/>
        </w:rPr>
      </w:pPr>
    </w:p>
    <w:p>
      <w:pPr>
        <w:ind w:left="740" w:right="2995" w:hanging="189"/>
        <w:spacing w:after="0" w:line="275" w:lineRule="auto"/>
        <w:tabs>
          <w:tab w:leader="none" w:pos="945" w:val="left"/>
        </w:tabs>
        <w:numPr>
          <w:ilvl w:val="0"/>
          <w:numId w:val="43"/>
        </w:numPr>
        <w:rPr>
          <w:rFonts w:ascii="Arial" w:cs="Arial" w:eastAsia="Arial" w:hAnsi="Arial"/>
          <w:sz w:val="17"/>
          <w:szCs w:val="17"/>
          <w:color w:val="00A0DD"/>
        </w:rPr>
      </w:pPr>
      <w:r>
        <w:rPr>
          <w:rFonts w:ascii="Arial" w:cs="Arial" w:eastAsia="Arial" w:hAnsi="Arial"/>
          <w:sz w:val="17"/>
          <w:szCs w:val="17"/>
          <w:color w:val="auto"/>
        </w:rPr>
        <w:t>Live webcasts of quarterly earnings presentations</w:t>
      </w:r>
    </w:p>
    <w:p>
      <w:pPr>
        <w:spacing w:after="0" w:line="43" w:lineRule="exact"/>
        <w:rPr>
          <w:rFonts w:ascii="Arial" w:cs="Arial" w:eastAsia="Arial" w:hAnsi="Arial"/>
          <w:sz w:val="17"/>
          <w:szCs w:val="17"/>
          <w:color w:val="00A0DD"/>
        </w:rPr>
      </w:pPr>
    </w:p>
    <w:p>
      <w:pPr>
        <w:ind w:left="740" w:right="2395" w:hanging="189"/>
        <w:spacing w:after="0" w:line="266" w:lineRule="auto"/>
        <w:tabs>
          <w:tab w:leader="none" w:pos="945" w:val="left"/>
        </w:tabs>
        <w:numPr>
          <w:ilvl w:val="0"/>
          <w:numId w:val="43"/>
        </w:numPr>
        <w:rPr>
          <w:rFonts w:ascii="Arial" w:cs="Arial" w:eastAsia="Arial" w:hAnsi="Arial"/>
          <w:sz w:val="16"/>
          <w:szCs w:val="16"/>
          <w:color w:val="00A0DD"/>
        </w:rPr>
      </w:pPr>
      <w:r>
        <w:rPr>
          <w:rFonts w:ascii="Arial" w:cs="Arial" w:eastAsia="Arial" w:hAnsi="Arial"/>
          <w:sz w:val="17"/>
          <w:szCs w:val="17"/>
          <w:color w:val="auto"/>
        </w:rPr>
        <w:t>Live webcasts of co-CEOs, CFO and other business leaders speaking at investor conferences</w:t>
      </w:r>
    </w:p>
    <w:p>
      <w:pPr>
        <w:spacing w:after="0" w:line="51" w:lineRule="exact"/>
        <w:rPr>
          <w:rFonts w:ascii="Arial" w:cs="Arial" w:eastAsia="Arial" w:hAnsi="Arial"/>
          <w:sz w:val="16"/>
          <w:szCs w:val="16"/>
          <w:color w:val="00A0DD"/>
        </w:rPr>
      </w:pPr>
    </w:p>
    <w:p>
      <w:pPr>
        <w:ind w:left="740" w:right="2535" w:hanging="189"/>
        <w:spacing w:after="0" w:line="242" w:lineRule="auto"/>
        <w:tabs>
          <w:tab w:leader="none" w:pos="945" w:val="left"/>
        </w:tabs>
        <w:numPr>
          <w:ilvl w:val="0"/>
          <w:numId w:val="43"/>
        </w:numPr>
        <w:rPr>
          <w:rFonts w:ascii="Arial" w:cs="Arial" w:eastAsia="Arial" w:hAnsi="Arial"/>
          <w:sz w:val="17"/>
          <w:szCs w:val="17"/>
          <w:color w:val="00A0DD"/>
        </w:rPr>
      </w:pPr>
      <w:r>
        <w:rPr>
          <w:rFonts w:ascii="Arial" w:cs="Arial" w:eastAsia="Arial" w:hAnsi="Arial"/>
          <w:sz w:val="18"/>
          <w:szCs w:val="18"/>
          <w:color w:val="auto"/>
        </w:rPr>
        <w:t>Met with over 250 institutional investors on strategy and business results through a combination of in-person and virtual meetings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both"/>
        <w:ind w:left="185" w:right="999" w:hanging="185"/>
        <w:spacing w:after="0" w:line="244" w:lineRule="auto"/>
        <w:tabs>
          <w:tab w:leader="none" w:pos="390" w:val="left"/>
        </w:tabs>
        <w:numPr>
          <w:ilvl w:val="0"/>
          <w:numId w:val="44"/>
        </w:numPr>
        <w:rPr>
          <w:rFonts w:ascii="Arial" w:cs="Arial" w:eastAsia="Arial" w:hAnsi="Arial"/>
          <w:sz w:val="18"/>
          <w:szCs w:val="18"/>
          <w:color w:val="00A0DD"/>
        </w:rPr>
      </w:pPr>
      <w:r>
        <w:rPr>
          <w:rFonts w:ascii="Arial" w:cs="Arial" w:eastAsia="Arial" w:hAnsi="Arial"/>
          <w:sz w:val="18"/>
          <w:szCs w:val="18"/>
          <w:color w:val="auto"/>
        </w:rPr>
        <w:t>Outreach to proponents of shareholder proposals before proxy statement filed</w:t>
      </w:r>
    </w:p>
    <w:p>
      <w:pPr>
        <w:spacing w:after="0" w:line="68" w:lineRule="exact"/>
        <w:rPr>
          <w:rFonts w:ascii="Arial" w:cs="Arial" w:eastAsia="Arial" w:hAnsi="Arial"/>
          <w:sz w:val="18"/>
          <w:szCs w:val="18"/>
          <w:color w:val="00A0DD"/>
        </w:rPr>
      </w:pPr>
    </w:p>
    <w:p>
      <w:pPr>
        <w:ind w:left="185" w:right="1279" w:hanging="185"/>
        <w:spacing w:after="0" w:line="247" w:lineRule="auto"/>
        <w:tabs>
          <w:tab w:leader="none" w:pos="390" w:val="left"/>
        </w:tabs>
        <w:numPr>
          <w:ilvl w:val="0"/>
          <w:numId w:val="44"/>
        </w:numPr>
        <w:rPr>
          <w:rFonts w:ascii="Arial" w:cs="Arial" w:eastAsia="Arial" w:hAnsi="Arial"/>
          <w:sz w:val="18"/>
          <w:szCs w:val="18"/>
          <w:color w:val="00A0DD"/>
        </w:rPr>
      </w:pPr>
      <w:r>
        <w:rPr>
          <w:rFonts w:ascii="Arial" w:cs="Arial" w:eastAsia="Arial" w:hAnsi="Arial"/>
          <w:sz w:val="18"/>
          <w:szCs w:val="18"/>
          <w:color w:val="auto"/>
        </w:rPr>
        <w:t>Meetings with investors to discuss annual meeting proposals</w:t>
      </w:r>
    </w:p>
    <w:p>
      <w:pPr>
        <w:spacing w:after="0" w:line="65" w:lineRule="exact"/>
        <w:rPr>
          <w:rFonts w:ascii="Arial" w:cs="Arial" w:eastAsia="Arial" w:hAnsi="Arial"/>
          <w:sz w:val="18"/>
          <w:szCs w:val="18"/>
          <w:color w:val="00A0DD"/>
        </w:rPr>
      </w:pPr>
    </w:p>
    <w:p>
      <w:pPr>
        <w:ind w:left="185" w:right="979" w:hanging="185"/>
        <w:spacing w:after="0" w:line="253" w:lineRule="auto"/>
        <w:tabs>
          <w:tab w:leader="none" w:pos="390" w:val="left"/>
        </w:tabs>
        <w:numPr>
          <w:ilvl w:val="0"/>
          <w:numId w:val="44"/>
        </w:numPr>
        <w:rPr>
          <w:rFonts w:ascii="Arial" w:cs="Arial" w:eastAsia="Arial" w:hAnsi="Arial"/>
          <w:sz w:val="18"/>
          <w:szCs w:val="18"/>
          <w:color w:val="00A0DD"/>
        </w:rPr>
      </w:pPr>
      <w:r>
        <w:rPr>
          <w:rFonts w:ascii="Arial" w:cs="Arial" w:eastAsia="Arial" w:hAnsi="Arial"/>
          <w:sz w:val="18"/>
          <w:szCs w:val="18"/>
          <w:color w:val="auto"/>
        </w:rPr>
        <w:t>Review and consider shareholder voting results</w:t>
      </w:r>
    </w:p>
    <w:p>
      <w:pPr>
        <w:spacing w:after="0" w:line="271" w:lineRule="exact"/>
        <w:rPr>
          <w:sz w:val="20"/>
          <w:szCs w:val="20"/>
          <w:color w:val="auto"/>
        </w:rPr>
      </w:pPr>
    </w:p>
    <w:p>
      <w:pPr>
        <w:sectPr>
          <w:pgSz w:w="11900" w:h="16838" w:orient="portrait"/>
          <w:cols w:equalWidth="0" w:num="2">
            <w:col w:w="5255" w:space="720"/>
            <w:col w:w="3044"/>
          </w:cols>
          <w:pgMar w:left="1440" w:top="229" w:right="1440" w:bottom="1440" w:gutter="0" w:footer="0" w:header="0"/>
          <w:type w:val="continuous"/>
        </w:sectPr>
      </w:pPr>
    </w:p>
    <w:p>
      <w:pPr>
        <w:spacing w:after="0" w:line="19" w:lineRule="exact"/>
        <w:rPr>
          <w:sz w:val="20"/>
          <w:szCs w:val="20"/>
          <w:color w:val="auto"/>
        </w:rPr>
      </w:pPr>
    </w:p>
    <w:p>
      <w:pPr>
        <w:ind w:left="820" w:right="959" w:hanging="204"/>
        <w:spacing w:after="0" w:line="301" w:lineRule="auto"/>
        <w:tabs>
          <w:tab w:leader="none" w:pos="1025" w:val="left"/>
        </w:tabs>
        <w:numPr>
          <w:ilvl w:val="0"/>
          <w:numId w:val="45"/>
        </w:numPr>
        <w:rPr>
          <w:rFonts w:ascii="Arial" w:cs="Arial" w:eastAsia="Arial" w:hAnsi="Arial"/>
          <w:sz w:val="16"/>
          <w:szCs w:val="16"/>
          <w:color w:val="00A0DD"/>
        </w:rPr>
      </w:pPr>
      <w:r>
        <w:rPr>
          <w:rFonts w:ascii="Arial" w:cs="Arial" w:eastAsia="Arial" w:hAnsi="Arial"/>
          <w:sz w:val="17"/>
          <w:szCs w:val="17"/>
          <w:color w:val="auto"/>
        </w:rPr>
        <w:t>Our Board and its committees review annual meeting outcomes and consider pertinent insights and feedback from engagements with investors, including on compensation design</w:t>
      </w:r>
    </w:p>
    <w:p>
      <w:pPr>
        <w:spacing w:after="0" w:line="131" w:lineRule="exact"/>
        <w:rPr>
          <w:sz w:val="20"/>
          <w:szCs w:val="20"/>
          <w:color w:val="auto"/>
        </w:rPr>
      </w:pPr>
    </w:p>
    <w:p>
      <w:pPr>
        <w:ind w:left="320" w:right="339"/>
        <w:spacing w:after="0" w:line="239" w:lineRule="auto"/>
        <w:rPr>
          <w:sz w:val="20"/>
          <w:szCs w:val="20"/>
          <w:color w:val="auto"/>
        </w:rPr>
      </w:pPr>
      <w:r>
        <w:rPr>
          <w:rFonts w:ascii="Arial" w:cs="Arial" w:eastAsia="Arial" w:hAnsi="Arial"/>
          <w:sz w:val="18"/>
          <w:szCs w:val="18"/>
          <w:color w:val="auto"/>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on page 65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36"/>
          <w:szCs w:val="36"/>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292735</wp:posOffset>
            </wp:positionV>
            <wp:extent cx="108839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88390" cy="43180"/>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sz w:val="1"/>
          <w:szCs w:val="1"/>
          <w:color w:val="auto"/>
        </w:rPr>
        <w:drawing>
          <wp:inline distT="0" distB="0" distL="0" distR="0">
            <wp:extent cx="196850" cy="30861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6850" cy="308610"/>
                    </a:xfrm>
                    <a:prstGeom prst="rect">
                      <a:avLst/>
                    </a:prstGeom>
                    <a:noFill/>
                    <a:ln>
                      <a:noFill/>
                    </a:ln>
                  </pic:spPr>
                </pic:pic>
              </a:graphicData>
            </a:graphic>
          </wp:inline>
        </w:drawing>
      </w:r>
      <w:r>
        <w:rPr>
          <w:rFonts w:ascii="Arial" w:cs="Arial" w:eastAsia="Arial" w:hAnsi="Arial"/>
          <w:sz w:val="22"/>
          <w:szCs w:val="22"/>
          <w:b w:val="1"/>
          <w:bCs w:val="1"/>
          <w:color w:val="FFFFFF"/>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5306060" cy="10115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06060" cy="1011555"/>
                    </a:xfrm>
                    <a:prstGeom prst="rect">
                      <a:avLst/>
                    </a:prstGeom>
                    <a:noFill/>
                  </pic:spPr>
                </pic:pic>
              </a:graphicData>
            </a:graphic>
          </wp:anchor>
        </w:drawing>
      </w:r>
    </w:p>
    <w:p>
      <w:pPr>
        <w:spacing w:after="0" w:line="81" w:lineRule="exact"/>
        <w:rPr>
          <w:sz w:val="20"/>
          <w:szCs w:val="20"/>
          <w:color w:val="auto"/>
        </w:rPr>
      </w:pPr>
    </w:p>
    <w:p>
      <w:pPr>
        <w:ind w:left="680"/>
        <w:spacing w:after="0"/>
        <w:rPr>
          <w:sz w:val="20"/>
          <w:szCs w:val="20"/>
          <w:color w:val="auto"/>
        </w:rPr>
      </w:pPr>
      <w:r>
        <w:rPr>
          <w:rFonts w:ascii="Arial" w:cs="Arial" w:eastAsia="Arial" w:hAnsi="Arial"/>
          <w:sz w:val="29"/>
          <w:szCs w:val="29"/>
          <w:b w:val="1"/>
          <w:bCs w:val="1"/>
          <w:color w:val="00A0DD"/>
        </w:rPr>
        <w:t>Ratify Appointment of Independent Auditors</w:t>
      </w:r>
    </w:p>
    <w:p>
      <w:pPr>
        <w:spacing w:after="0" w:line="195" w:lineRule="exact"/>
        <w:rPr>
          <w:sz w:val="20"/>
          <w:szCs w:val="20"/>
          <w:color w:val="auto"/>
        </w:rPr>
      </w:pPr>
    </w:p>
    <w:p>
      <w:pPr>
        <w:ind w:left="1180" w:right="399"/>
        <w:spacing w:after="0" w:line="271" w:lineRule="auto"/>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b w:val="1"/>
          <w:bCs w:val="1"/>
          <w:color w:val="00A0DD"/>
        </w:rPr>
        <w:t>“FOR”</w:t>
      </w:r>
      <w:r>
        <w:rPr>
          <w:rFonts w:ascii="Arial" w:cs="Arial" w:eastAsia="Arial" w:hAnsi="Arial"/>
          <w:sz w:val="18"/>
          <w:szCs w:val="18"/>
          <w:color w:val="auto"/>
        </w:rPr>
        <w:t xml:space="preserve"> ratifying the appointment of Deloitte &amp; Touche LLP as our independent auditors.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25"/>
          <w:szCs w:val="25"/>
          <w:color w:val="auto"/>
        </w:rPr>
        <w:t>Selection of Independent Registered Public Accounting Firm</w:t>
      </w:r>
    </w:p>
    <w:p>
      <w:pPr>
        <w:spacing w:after="0" w:line="121" w:lineRule="exact"/>
        <w:rPr>
          <w:sz w:val="20"/>
          <w:szCs w:val="20"/>
          <w:color w:val="auto"/>
        </w:rPr>
      </w:pPr>
    </w:p>
    <w:p>
      <w:pPr>
        <w:ind w:left="320" w:right="459"/>
        <w:spacing w:after="0" w:line="24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w:t>
      </w:r>
    </w:p>
    <w:p>
      <w:pPr>
        <w:spacing w:after="0" w:line="200" w:lineRule="exact"/>
        <w:rPr>
          <w:sz w:val="20"/>
          <w:szCs w:val="20"/>
          <w:color w:val="auto"/>
        </w:rPr>
      </w:pPr>
    </w:p>
    <w:p>
      <w:pPr>
        <w:spacing w:after="0" w:line="299" w:lineRule="exact"/>
        <w:rPr>
          <w:sz w:val="20"/>
          <w:szCs w:val="20"/>
          <w:color w:val="auto"/>
        </w:rPr>
      </w:pPr>
    </w:p>
    <w:p>
      <w:pPr>
        <w:ind w:left="1000" w:hanging="674"/>
        <w:spacing w:after="0"/>
        <w:tabs>
          <w:tab w:leader="none" w:pos="100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27" w:name="page28"/>
    <w:bookmarkEnd w:id="27"/>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460"/>
        <w:spacing w:after="0" w:line="247" w:lineRule="auto"/>
        <w:rPr>
          <w:sz w:val="20"/>
          <w:szCs w:val="20"/>
          <w:color w:val="auto"/>
        </w:rPr>
      </w:pPr>
      <w:r>
        <w:rPr>
          <w:rFonts w:ascii="Arial" w:cs="Arial" w:eastAsia="Arial" w:hAnsi="Arial"/>
          <w:sz w:val="18"/>
          <w:szCs w:val="18"/>
          <w:color w:val="auto"/>
        </w:rPr>
        <w:t>be rotated every five years. In accordance with this rotation, a new lead engagement partner was selected for 2026. The process for selection of a new lead engagement partner includes a meeting between the Chair of the Audit Committee and the candidate for this role, as well as discussion by the full Audit Committee and meetings with senior management.</w:t>
      </w:r>
    </w:p>
    <w:p>
      <w:pPr>
        <w:spacing w:after="0" w:line="66" w:lineRule="exact"/>
        <w:rPr>
          <w:sz w:val="20"/>
          <w:szCs w:val="20"/>
          <w:color w:val="auto"/>
        </w:rPr>
      </w:pPr>
    </w:p>
    <w:p>
      <w:pPr>
        <w:ind w:left="1180" w:right="1300"/>
        <w:spacing w:after="0" w:line="239" w:lineRule="auto"/>
        <w:rPr>
          <w:sz w:val="20"/>
          <w:szCs w:val="20"/>
          <w:color w:val="auto"/>
        </w:rPr>
      </w:pPr>
      <w:r>
        <w:rPr>
          <w:rFonts w:ascii="Arial" w:cs="Arial" w:eastAsia="Arial" w:hAnsi="Arial"/>
          <w:sz w:val="18"/>
          <w:szCs w:val="18"/>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75" w:lineRule="exact"/>
        <w:rPr>
          <w:sz w:val="20"/>
          <w:szCs w:val="20"/>
          <w:color w:val="auto"/>
        </w:rPr>
      </w:pPr>
    </w:p>
    <w:p>
      <w:pPr>
        <w:ind w:left="1180" w:right="1440"/>
        <w:spacing w:after="0" w:line="244" w:lineRule="auto"/>
        <w:rPr>
          <w:sz w:val="20"/>
          <w:szCs w:val="20"/>
          <w:color w:val="auto"/>
        </w:rPr>
      </w:pPr>
      <w:r>
        <w:rPr>
          <w:rFonts w:ascii="Arial" w:cs="Arial" w:eastAsia="Arial" w:hAnsi="Arial"/>
          <w:sz w:val="18"/>
          <w:szCs w:val="18"/>
          <w:color w:val="auto"/>
        </w:rPr>
        <w:t>Following the Audit Committee’s review of Deloitte’s performance, the Audit Committee appointed Deloitte to serve as our independent auditors for the year ending December 31, 2026. The Audit Committee and our Board recommend that you ratify this appointment, although your ratification is not required. A partner of Deloitte will be present at the annual meeting and will be available to respond to appropriate questions.</w:t>
      </w:r>
    </w:p>
    <w:p>
      <w:pPr>
        <w:spacing w:after="0" w:line="119"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Fees of Independent Registered Public Accounting Firm</w:t>
      </w:r>
    </w:p>
    <w:p>
      <w:pPr>
        <w:spacing w:after="0" w:line="121" w:lineRule="exact"/>
        <w:rPr>
          <w:sz w:val="20"/>
          <w:szCs w:val="20"/>
          <w:color w:val="auto"/>
        </w:rPr>
      </w:pPr>
    </w:p>
    <w:p>
      <w:pPr>
        <w:ind w:left="1180" w:right="1560"/>
        <w:spacing w:after="0" w:line="271"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2025 and 2024.</w:t>
      </w:r>
    </w:p>
    <w:p>
      <w:pPr>
        <w:spacing w:after="0" w:line="64" w:lineRule="exact"/>
        <w:rPr>
          <w:sz w:val="20"/>
          <w:szCs w:val="20"/>
          <w:color w:val="auto"/>
        </w:rPr>
      </w:pPr>
    </w:p>
    <w:tbl>
      <w:tblPr>
        <w:tblLayout w:type="fixed"/>
        <w:tblInd w:w="120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2024</w:t>
            </w:r>
          </w:p>
        </w:tc>
      </w:tr>
      <w:tr>
        <w:trPr>
          <w:trHeight w:val="183"/>
        </w:trPr>
        <w:tc>
          <w:tcPr>
            <w:tcW w:w="6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IN MILLIONS)</w:t>
            </w:r>
          </w:p>
        </w:tc>
        <w:tc>
          <w:tcPr>
            <w:tcW w:w="460" w:type="dxa"/>
            <w:vAlign w:val="bottom"/>
            <w:tcBorders>
              <w:bottom w:val="single" w:sz="8" w:color="auto"/>
            </w:tcBorders>
          </w:tcPr>
          <w:p>
            <w:pPr>
              <w:spacing w:after="0"/>
              <w:rPr>
                <w:sz w:val="15"/>
                <w:szCs w:val="15"/>
                <w:color w:val="auto"/>
              </w:rPr>
            </w:pPr>
          </w:p>
        </w:tc>
      </w:tr>
      <w:tr>
        <w:trPr>
          <w:trHeight w:val="183"/>
        </w:trPr>
        <w:tc>
          <w:tcPr>
            <w:tcW w:w="632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Audit fees</w:t>
            </w:r>
          </w:p>
        </w:tc>
        <w:tc>
          <w:tcPr>
            <w:tcW w:w="1560" w:type="dxa"/>
            <w:vAlign w:val="bottom"/>
            <w:tcBorders>
              <w:bottom w:val="single" w:sz="8" w:color="DCDDDE"/>
            </w:tcBorders>
          </w:tcPr>
          <w:p>
            <w:pPr>
              <w:jc w:val="right"/>
              <w:ind w:right="639"/>
              <w:spacing w:after="0" w:line="183" w:lineRule="exact"/>
              <w:rPr>
                <w:sz w:val="20"/>
                <w:szCs w:val="20"/>
                <w:color w:val="auto"/>
              </w:rPr>
            </w:pPr>
            <w:r>
              <w:rPr>
                <w:rFonts w:ascii="Arial" w:cs="Arial" w:eastAsia="Arial" w:hAnsi="Arial"/>
                <w:sz w:val="16"/>
                <w:szCs w:val="16"/>
                <w:color w:val="auto"/>
              </w:rPr>
              <w:t>34.5</w:t>
            </w:r>
          </w:p>
        </w:tc>
        <w:tc>
          <w:tcPr>
            <w:tcW w:w="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30.9</w:t>
            </w:r>
          </w:p>
        </w:tc>
      </w:tr>
      <w:tr>
        <w:trPr>
          <w:trHeight w:val="183"/>
        </w:trPr>
        <w:tc>
          <w:tcPr>
            <w:tcW w:w="632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Audit-related fees</w:t>
            </w:r>
          </w:p>
        </w:tc>
        <w:tc>
          <w:tcPr>
            <w:tcW w:w="1560" w:type="dxa"/>
            <w:vAlign w:val="bottom"/>
            <w:tcBorders>
              <w:bottom w:val="single" w:sz="8" w:color="DCDDDE"/>
            </w:tcBorders>
          </w:tcPr>
          <w:p>
            <w:pPr>
              <w:jc w:val="right"/>
              <w:ind w:right="639"/>
              <w:spacing w:after="0" w:line="183" w:lineRule="exact"/>
              <w:rPr>
                <w:sz w:val="20"/>
                <w:szCs w:val="20"/>
                <w:color w:val="auto"/>
              </w:rPr>
            </w:pPr>
            <w:r>
              <w:rPr>
                <w:rFonts w:ascii="Arial" w:cs="Arial" w:eastAsia="Arial" w:hAnsi="Arial"/>
                <w:sz w:val="16"/>
                <w:szCs w:val="16"/>
                <w:color w:val="auto"/>
              </w:rPr>
              <w:t>21.8</w:t>
            </w:r>
          </w:p>
        </w:tc>
        <w:tc>
          <w:tcPr>
            <w:tcW w:w="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2.4</w:t>
            </w:r>
          </w:p>
        </w:tc>
      </w:tr>
      <w:tr>
        <w:trPr>
          <w:trHeight w:val="183"/>
        </w:trPr>
        <w:tc>
          <w:tcPr>
            <w:tcW w:w="632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Tax fees</w:t>
            </w:r>
          </w:p>
        </w:tc>
        <w:tc>
          <w:tcPr>
            <w:tcW w:w="1560" w:type="dxa"/>
            <w:vAlign w:val="bottom"/>
            <w:tcBorders>
              <w:bottom w:val="single" w:sz="8" w:color="DCDDDE"/>
            </w:tcBorders>
          </w:tcPr>
          <w:p>
            <w:pPr>
              <w:jc w:val="right"/>
              <w:ind w:right="639"/>
              <w:spacing w:after="0" w:line="183" w:lineRule="exact"/>
              <w:rPr>
                <w:sz w:val="20"/>
                <w:szCs w:val="20"/>
                <w:color w:val="auto"/>
              </w:rPr>
            </w:pPr>
            <w:r>
              <w:rPr>
                <w:rFonts w:ascii="Arial" w:cs="Arial" w:eastAsia="Arial" w:hAnsi="Arial"/>
                <w:sz w:val="16"/>
                <w:szCs w:val="16"/>
                <w:color w:val="auto"/>
              </w:rPr>
              <w:t>1.5</w:t>
            </w:r>
          </w:p>
        </w:tc>
        <w:tc>
          <w:tcPr>
            <w:tcW w:w="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0.7</w:t>
            </w:r>
          </w:p>
        </w:tc>
      </w:tr>
      <w:tr>
        <w:trPr>
          <w:trHeight w:val="183"/>
        </w:trPr>
        <w:tc>
          <w:tcPr>
            <w:tcW w:w="632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All other fees</w:t>
            </w:r>
          </w:p>
        </w:tc>
        <w:tc>
          <w:tcPr>
            <w:tcW w:w="1560" w:type="dxa"/>
            <w:vAlign w:val="bottom"/>
            <w:tcBorders>
              <w:bottom w:val="single" w:sz="8" w:color="DCDDDE"/>
            </w:tcBorders>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3"/>
        </w:trPr>
        <w:tc>
          <w:tcPr>
            <w:tcW w:w="63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Total</w:t>
            </w:r>
          </w:p>
        </w:tc>
        <w:tc>
          <w:tcPr>
            <w:tcW w:w="15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color w:val="auto"/>
              </w:rPr>
              <w:t>57.7</w:t>
            </w:r>
          </w:p>
        </w:tc>
        <w:tc>
          <w:tcPr>
            <w:tcW w:w="4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34.0</w:t>
            </w:r>
          </w:p>
        </w:tc>
      </w:tr>
    </w:tbl>
    <w:p>
      <w:pPr>
        <w:spacing w:after="0" w:line="103" w:lineRule="exact"/>
        <w:rPr>
          <w:sz w:val="20"/>
          <w:szCs w:val="20"/>
          <w:color w:val="auto"/>
        </w:rPr>
      </w:pPr>
    </w:p>
    <w:p>
      <w:pPr>
        <w:ind w:left="1180" w:right="1640"/>
        <w:spacing w:after="0" w:line="244"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regulatory or contractual requirements.</w:t>
      </w:r>
    </w:p>
    <w:p>
      <w:pPr>
        <w:spacing w:after="0" w:line="68" w:lineRule="exact"/>
        <w:rPr>
          <w:sz w:val="20"/>
          <w:szCs w:val="20"/>
          <w:color w:val="auto"/>
        </w:rPr>
      </w:pPr>
    </w:p>
    <w:p>
      <w:pPr>
        <w:jc w:val="both"/>
        <w:ind w:left="1180" w:right="1340"/>
        <w:spacing w:after="0" w:line="253" w:lineRule="auto"/>
        <w:rPr>
          <w:sz w:val="20"/>
          <w:szCs w:val="20"/>
          <w:color w:val="auto"/>
        </w:rPr>
      </w:pPr>
      <w:r>
        <w:rPr>
          <w:rFonts w:ascii="Arial" w:cs="Arial" w:eastAsia="Arial" w:hAnsi="Arial"/>
          <w:sz w:val="18"/>
          <w:szCs w:val="18"/>
          <w:color w:val="auto"/>
        </w:rPr>
        <w:t>Audit-related fees consisted of fees paid or accrued for financial due diligence services and attestation services. Audit-related fees also include the audit of financial statements in connection with the Versant spin-off.</w:t>
      </w:r>
    </w:p>
    <w:p>
      <w:pPr>
        <w:spacing w:after="0" w:line="61" w:lineRule="exact"/>
        <w:rPr>
          <w:sz w:val="20"/>
          <w:szCs w:val="20"/>
          <w:color w:val="auto"/>
        </w:rPr>
      </w:pPr>
    </w:p>
    <w:p>
      <w:pPr>
        <w:jc w:val="both"/>
        <w:ind w:left="1180" w:right="1400"/>
        <w:spacing w:after="0" w:line="253"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There were no fees paid or accrued in 2025 and 2024 for tax planning.</w:t>
      </w:r>
    </w:p>
    <w:p>
      <w:pPr>
        <w:spacing w:after="0" w:line="61" w:lineRule="exact"/>
        <w:rPr>
          <w:sz w:val="20"/>
          <w:szCs w:val="20"/>
          <w:color w:val="auto"/>
        </w:rPr>
      </w:pPr>
    </w:p>
    <w:p>
      <w:pPr>
        <w:ind w:left="1180" w:right="1540"/>
        <w:spacing w:after="0" w:line="271" w:lineRule="auto"/>
        <w:rPr>
          <w:sz w:val="20"/>
          <w:szCs w:val="20"/>
          <w:color w:val="auto"/>
        </w:rPr>
      </w:pPr>
      <w:r>
        <w:rPr>
          <w:rFonts w:ascii="Arial" w:cs="Arial" w:eastAsia="Arial" w:hAnsi="Arial"/>
          <w:sz w:val="18"/>
          <w:szCs w:val="18"/>
          <w:color w:val="auto"/>
        </w:rPr>
        <w:t>Other fees included fees paid or accrued for subscription services; amounts in the periods presented round to zero.</w:t>
      </w:r>
    </w:p>
    <w:p>
      <w:pPr>
        <w:spacing w:after="0" w:line="96" w:lineRule="exact"/>
        <w:rPr>
          <w:sz w:val="20"/>
          <w:szCs w:val="20"/>
          <w:color w:val="auto"/>
        </w:rPr>
      </w:pPr>
    </w:p>
    <w:p>
      <w:pPr>
        <w:ind w:left="1180" w:right="2320"/>
        <w:spacing w:after="0" w:line="285" w:lineRule="auto"/>
        <w:rPr>
          <w:sz w:val="20"/>
          <w:szCs w:val="20"/>
          <w:color w:val="auto"/>
        </w:rPr>
      </w:pPr>
      <w:r>
        <w:rPr>
          <w:rFonts w:ascii="Arial" w:cs="Arial" w:eastAsia="Arial" w:hAnsi="Arial"/>
          <w:sz w:val="25"/>
          <w:szCs w:val="25"/>
          <w:color w:val="auto"/>
        </w:rPr>
        <w:t>Preapproval Policy of Audit Committee of Services Performed by Independent Auditors</w:t>
      </w:r>
    </w:p>
    <w:p>
      <w:pPr>
        <w:spacing w:after="0" w:line="23" w:lineRule="exact"/>
        <w:rPr>
          <w:sz w:val="20"/>
          <w:szCs w:val="20"/>
          <w:color w:val="auto"/>
        </w:rPr>
      </w:pPr>
    </w:p>
    <w:p>
      <w:pPr>
        <w:ind w:left="1180" w:right="1440"/>
        <w:spacing w:after="0" w:line="271"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25</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28" w:name="page29"/>
    <w:bookmarkEnd w:id="2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379"/>
        <w:spacing w:after="0" w:line="244" w:lineRule="auto"/>
        <w:rPr>
          <w:sz w:val="20"/>
          <w:szCs w:val="20"/>
          <w:color w:val="auto"/>
        </w:rPr>
      </w:pPr>
      <w:r>
        <w:rPr>
          <w:rFonts w:ascii="Arial" w:cs="Arial" w:eastAsia="Arial" w:hAnsi="Arial"/>
          <w:sz w:val="18"/>
          <w:szCs w:val="18"/>
          <w:color w:val="auto"/>
        </w:rPr>
        <w:t>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Report of the Audit Committee</w:t>
      </w:r>
    </w:p>
    <w:p>
      <w:pPr>
        <w:spacing w:after="0" w:line="127" w:lineRule="exact"/>
        <w:rPr>
          <w:sz w:val="20"/>
          <w:szCs w:val="20"/>
          <w:color w:val="auto"/>
        </w:rPr>
      </w:pPr>
    </w:p>
    <w:p>
      <w:pPr>
        <w:ind w:left="320" w:right="359"/>
        <w:spacing w:after="0"/>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the applicable rules of the SEC and The Nasdaq Stock Market LLC. Each member also is financially literate for audit committee purposes under the Nasdaq rules, and the Board has concluded that Jeffrey A. Honickman, Asuka Nakahara and Gordon Smith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77" w:lineRule="exact"/>
        <w:rPr>
          <w:sz w:val="20"/>
          <w:szCs w:val="20"/>
          <w:color w:val="auto"/>
        </w:rPr>
      </w:pPr>
    </w:p>
    <w:p>
      <w:pPr>
        <w:ind w:left="320" w:right="379"/>
        <w:spacing w:after="0" w:line="242"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71" w:lineRule="exact"/>
        <w:rPr>
          <w:sz w:val="20"/>
          <w:szCs w:val="20"/>
          <w:color w:val="auto"/>
        </w:rPr>
      </w:pPr>
    </w:p>
    <w:p>
      <w:pPr>
        <w:ind w:left="320" w:right="399"/>
        <w:spacing w:after="0" w:line="247" w:lineRule="auto"/>
        <w:rPr>
          <w:sz w:val="20"/>
          <w:szCs w:val="20"/>
          <w:color w:val="auto"/>
        </w:rPr>
      </w:pPr>
      <w:r>
        <w:rPr>
          <w:rFonts w:ascii="Arial" w:cs="Arial" w:eastAsia="Arial" w:hAnsi="Arial"/>
          <w:sz w:val="18"/>
          <w:szCs w:val="18"/>
          <w:color w:val="auto"/>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66" w:lineRule="exact"/>
        <w:rPr>
          <w:sz w:val="20"/>
          <w:szCs w:val="20"/>
          <w:color w:val="auto"/>
        </w:rPr>
      </w:pPr>
    </w:p>
    <w:p>
      <w:pPr>
        <w:ind w:left="320" w:right="479"/>
        <w:spacing w:after="0" w:line="239" w:lineRule="auto"/>
        <w:rPr>
          <w:sz w:val="20"/>
          <w:szCs w:val="20"/>
          <w:color w:val="auto"/>
        </w:rPr>
      </w:pPr>
      <w:r>
        <w:rPr>
          <w:rFonts w:ascii="Arial" w:cs="Arial" w:eastAsia="Arial" w:hAnsi="Arial"/>
          <w:sz w:val="18"/>
          <w:szCs w:val="18"/>
          <w:color w:val="auto"/>
        </w:rPr>
        <w:t>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estimates) with management, Comcast’s internal auditors and the independent auditors. We also reviewed Comcast’s policies, practices and assessments with respect to significant financial risks and significant business risks, including cybersecurity, as well as its processes and practices with respect to enterprise risk assessment and management. We discussed with the independent auditors critical audit matters identified during the course of the audit and other matters required to be discussed by applicable Public Company Accounting Oversight Board (“PCAOB”) and SEC rules.</w:t>
      </w:r>
    </w:p>
    <w:p>
      <w:pPr>
        <w:spacing w:after="0" w:line="72" w:lineRule="exact"/>
        <w:rPr>
          <w:sz w:val="20"/>
          <w:szCs w:val="20"/>
          <w:color w:val="auto"/>
        </w:rPr>
      </w:pPr>
    </w:p>
    <w:p>
      <w:pPr>
        <w:ind w:left="320" w:right="359"/>
        <w:spacing w:after="0"/>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72" w:lineRule="exact"/>
        <w:rPr>
          <w:sz w:val="20"/>
          <w:szCs w:val="20"/>
          <w:color w:val="auto"/>
        </w:rPr>
      </w:pPr>
    </w:p>
    <w:p>
      <w:pPr>
        <w:ind w:left="320" w:right="359"/>
        <w:spacing w:after="0" w:line="244" w:lineRule="auto"/>
        <w:rPr>
          <w:sz w:val="20"/>
          <w:szCs w:val="20"/>
          <w:color w:val="auto"/>
        </w:rPr>
      </w:pPr>
      <w:r>
        <w:rPr>
          <w:rFonts w:ascii="Arial" w:cs="Arial" w:eastAsia="Arial" w:hAnsi="Arial"/>
          <w:sz w:val="18"/>
          <w:szCs w:val="18"/>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200" w:lineRule="exact"/>
        <w:rPr>
          <w:sz w:val="20"/>
          <w:szCs w:val="20"/>
          <w:color w:val="auto"/>
        </w:rPr>
      </w:pPr>
    </w:p>
    <w:p>
      <w:pPr>
        <w:spacing w:after="0" w:line="301" w:lineRule="exact"/>
        <w:rPr>
          <w:sz w:val="20"/>
          <w:szCs w:val="20"/>
          <w:color w:val="auto"/>
        </w:rPr>
      </w:pPr>
    </w:p>
    <w:p>
      <w:pPr>
        <w:ind w:left="1000" w:hanging="674"/>
        <w:spacing w:after="0"/>
        <w:tabs>
          <w:tab w:leader="none" w:pos="10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9" w:name="page30"/>
    <w:bookmarkEnd w:id="2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220"/>
        <w:spacing w:after="0" w:line="238"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required to be discussed by the applicable requirements of the PCAOB and SEC, and received written disclosures from the independent auditors required by applicable PCAOB rules regarding their independence.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 Based on the reviews and discussions referred to above, we recommended to the Board, and the Board approved, that the audited consolidated financial statements be included in Comcast’s Annual Report on Form 10-K for the year ended December 31, 2025, filed with the SEC.</w:t>
      </w:r>
    </w:p>
    <w:p>
      <w:pPr>
        <w:spacing w:after="0" w:line="78" w:lineRule="exact"/>
        <w:rPr>
          <w:sz w:val="20"/>
          <w:szCs w:val="20"/>
          <w:color w:val="auto"/>
        </w:rPr>
      </w:pPr>
    </w:p>
    <w:p>
      <w:pPr>
        <w:ind w:left="1180" w:right="1220"/>
        <w:spacing w:after="0" w:line="238"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2026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2026 and are recommending that Comcast’s shareholders ratify this appointment.</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00A0DD"/>
        </w:rPr>
        <w:t>Members of the Audit Committee</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Jeffrey A. Honickman (Chair)</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Wonya Y. Lucas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Asuka Nakahara</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Gordon Smith*</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*Mr. Smith joined the Audit Committee in February 2026.</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27</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30" w:name="page31"/>
    <w:bookmarkEnd w:id="3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36"/>
          <w:szCs w:val="3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292735</wp:posOffset>
            </wp:positionV>
            <wp:extent cx="109728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97280" cy="43180"/>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sz w:val="1"/>
          <w:szCs w:val="1"/>
          <w:color w:val="auto"/>
        </w:rPr>
        <w:drawing>
          <wp:inline distT="0" distB="0" distL="0" distR="0">
            <wp:extent cx="154305"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240030"/>
                    </a:xfrm>
                    <a:prstGeom prst="rect">
                      <a:avLst/>
                    </a:prstGeom>
                    <a:noFill/>
                    <a:ln>
                      <a:noFill/>
                    </a:ln>
                  </pic:spPr>
                </pic:pic>
              </a:graphicData>
            </a:graphic>
          </wp:inline>
        </w:drawing>
      </w:r>
      <w:r>
        <w:rPr>
          <w:rFonts w:ascii="Arial" w:cs="Arial" w:eastAsia="Arial" w:hAnsi="Arial"/>
          <w:sz w:val="22"/>
          <w:szCs w:val="22"/>
          <w:b w:val="1"/>
          <w:bCs w:val="1"/>
          <w:color w:val="FFFFFF"/>
        </w:rPr>
        <w:t xml:space="preserve">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-196215</wp:posOffset>
            </wp:positionV>
            <wp:extent cx="5306060" cy="8312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06060" cy="83121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29"/>
          <w:szCs w:val="29"/>
          <w:b w:val="1"/>
          <w:bCs w:val="1"/>
          <w:color w:val="00A0DD"/>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-189230</wp:posOffset>
            </wp:positionV>
            <wp:extent cx="5151755" cy="5918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51755" cy="59182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-189230</wp:posOffset>
            </wp:positionV>
            <wp:extent cx="5151755" cy="5918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51755" cy="591820"/>
                    </a:xfrm>
                    <a:prstGeom prst="rect">
                      <a:avLst/>
                    </a:prstGeom>
                    <a:noFill/>
                  </pic:spPr>
                </pic:pic>
              </a:graphicData>
            </a:graphic>
          </wp:anchor>
        </w:drawing>
      </w:r>
    </w:p>
    <w:p>
      <w:pPr>
        <w:spacing w:after="0" w:line="67" w:lineRule="exact"/>
        <w:rPr>
          <w:sz w:val="20"/>
          <w:szCs w:val="20"/>
          <w:color w:val="auto"/>
        </w:rPr>
      </w:pPr>
    </w:p>
    <w:p>
      <w:pPr>
        <w:ind w:left="1100" w:right="1259"/>
        <w:spacing w:after="0" w:line="271" w:lineRule="auto"/>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b w:val="1"/>
          <w:bCs w:val="1"/>
          <w:color w:val="00A0DD"/>
        </w:rPr>
        <w:t>“FOR”</w:t>
      </w:r>
      <w:r>
        <w:rPr>
          <w:rFonts w:ascii="Arial" w:cs="Arial" w:eastAsia="Arial" w:hAnsi="Arial"/>
          <w:sz w:val="18"/>
          <w:szCs w:val="18"/>
          <w:color w:val="auto"/>
        </w:rPr>
        <w:t xml:space="preserve"> approval of the compensation of our NEOs.</w:t>
      </w:r>
    </w:p>
    <w:p>
      <w:pPr>
        <w:spacing w:after="0" w:line="181" w:lineRule="exact"/>
        <w:rPr>
          <w:sz w:val="20"/>
          <w:szCs w:val="20"/>
          <w:color w:val="auto"/>
        </w:rPr>
      </w:pPr>
    </w:p>
    <w:p>
      <w:pPr>
        <w:ind w:left="320" w:right="699"/>
        <w:spacing w:after="0" w:line="247" w:lineRule="auto"/>
        <w:rPr>
          <w:sz w:val="20"/>
          <w:szCs w:val="20"/>
          <w:color w:val="auto"/>
        </w:rPr>
      </w:pPr>
      <w:r>
        <w:rPr>
          <w:rFonts w:ascii="Arial" w:cs="Arial" w:eastAsia="Arial" w:hAnsi="Arial"/>
          <w:sz w:val="18"/>
          <w:szCs w:val="18"/>
          <w:color w:val="auto"/>
        </w:rPr>
        <w:t>The following proposal gives our shareholders the opportunity to cast a non-binding, advisory vote to approve the compensation of our NEOs. This vote is not intended to address any specific item of compensation, but rather the overall compensation of our NEOs and our compensation philosophy, process, plans and practices, as disclosed below.</w:t>
      </w:r>
    </w:p>
    <w:p>
      <w:pPr>
        <w:spacing w:after="0" w:line="66" w:lineRule="exact"/>
        <w:rPr>
          <w:sz w:val="20"/>
          <w:szCs w:val="20"/>
          <w:color w:val="auto"/>
        </w:rPr>
      </w:pPr>
    </w:p>
    <w:p>
      <w:pPr>
        <w:ind w:left="320" w:right="439"/>
        <w:spacing w:after="0" w:line="247" w:lineRule="auto"/>
        <w:rPr>
          <w:sz w:val="20"/>
          <w:szCs w:val="20"/>
          <w:color w:val="auto"/>
        </w:rPr>
      </w:pPr>
      <w:r>
        <w:rPr>
          <w:rFonts w:ascii="Arial" w:cs="Arial" w:eastAsia="Arial" w:hAnsi="Arial"/>
          <w:sz w:val="18"/>
          <w:szCs w:val="18"/>
          <w:color w:val="auto"/>
        </w:rPr>
        <w:t>We encourage shareholders to review detailed information on our executive compensation program and the 2025 compensation of our NEOs as set forth in “Executive Compensation – Compensation Discussion and Analysis,” starting below. Shareholders are being asked to vote “FOR” the adoption of the following resolution:</w:t>
      </w:r>
    </w:p>
    <w:p>
      <w:pPr>
        <w:spacing w:after="0" w:line="66" w:lineRule="exact"/>
        <w:rPr>
          <w:sz w:val="20"/>
          <w:szCs w:val="20"/>
          <w:color w:val="auto"/>
        </w:rPr>
      </w:pPr>
    </w:p>
    <w:p>
      <w:pPr>
        <w:ind w:left="320" w:right="379"/>
        <w:spacing w:after="0" w:line="257" w:lineRule="auto"/>
        <w:rPr>
          <w:sz w:val="20"/>
          <w:szCs w:val="20"/>
          <w:color w:val="auto"/>
        </w:rPr>
      </w:pPr>
      <w:r>
        <w:rPr>
          <w:rFonts w:ascii="Arial" w:cs="Arial" w:eastAsia="Arial" w:hAnsi="Arial"/>
          <w:sz w:val="18"/>
          <w:szCs w:val="18"/>
          <w:b w:val="1"/>
          <w:bCs w:val="1"/>
          <w:color w:val="auto"/>
        </w:rPr>
        <w:t>“RESOLVED, that the compensation paid to Comcast Corporation’s NEOs, as disclosed pursuant to Item 402 of Regulation S-K, including the Compensation Discussion and Analysis, compensation tables and narrative discussion, is hereby APPROVED.”</w:t>
      </w:r>
    </w:p>
    <w:p>
      <w:pPr>
        <w:spacing w:after="0" w:line="51" w:lineRule="exact"/>
        <w:rPr>
          <w:sz w:val="20"/>
          <w:szCs w:val="20"/>
          <w:color w:val="auto"/>
        </w:rPr>
      </w:pPr>
    </w:p>
    <w:p>
      <w:pPr>
        <w:ind w:left="320" w:right="619"/>
        <w:spacing w:after="0" w:line="247" w:lineRule="auto"/>
        <w:rPr>
          <w:sz w:val="20"/>
          <w:szCs w:val="20"/>
          <w:color w:val="auto"/>
        </w:rPr>
      </w:pPr>
      <w:r>
        <w:rPr>
          <w:rFonts w:ascii="Arial" w:cs="Arial" w:eastAsia="Arial" w:hAnsi="Arial"/>
          <w:sz w:val="18"/>
          <w:szCs w:val="18"/>
          <w:color w:val="auto"/>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currently conduct advisory votes to approve the compensation paid to our NEOs on an annual basis.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Compensation Discussion and Analysis</w:t>
      </w:r>
    </w:p>
    <w:p>
      <w:pPr>
        <w:spacing w:after="0" w:line="127" w:lineRule="exact"/>
        <w:rPr>
          <w:sz w:val="20"/>
          <w:szCs w:val="20"/>
          <w:color w:val="auto"/>
        </w:rPr>
      </w:pPr>
    </w:p>
    <w:p>
      <w:pPr>
        <w:jc w:val="both"/>
        <w:ind w:left="320" w:right="699"/>
        <w:spacing w:after="0" w:line="253"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our compensation program’s alignment with our performance; and the 2025 compensation decisions for our NEOs set forth in the Summary Compensation Table.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25"/>
          <w:szCs w:val="25"/>
          <w:color w:val="auto"/>
        </w:rPr>
        <w:t>Executive Overview</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Overall Performance</w:t>
      </w:r>
    </w:p>
    <w:p>
      <w:pPr>
        <w:spacing w:after="0" w:line="92" w:lineRule="exact"/>
        <w:rPr>
          <w:sz w:val="20"/>
          <w:szCs w:val="20"/>
          <w:color w:val="auto"/>
        </w:rPr>
      </w:pPr>
    </w:p>
    <w:p>
      <w:pPr>
        <w:ind w:left="320" w:right="459"/>
        <w:spacing w:after="0"/>
        <w:rPr>
          <w:sz w:val="20"/>
          <w:szCs w:val="20"/>
          <w:color w:val="auto"/>
        </w:rPr>
      </w:pPr>
      <w:r>
        <w:rPr>
          <w:rFonts w:ascii="Arial" w:cs="Arial" w:eastAsia="Arial" w:hAnsi="Arial"/>
          <w:sz w:val="18"/>
          <w:szCs w:val="18"/>
          <w:color w:val="auto"/>
        </w:rPr>
        <w:t>Our Board credits our senior leadership team for their successful leadership over the past year, despite sustained competitive challenges across our businesses. 2025 marked a year of decisive management, operational and structural changes, resetting how we operate and compete, with a focus on positioning our company for growth. As described above in “About Comcast – 2025 Performance Overview,” 2025 consolidated financial results were solid, benefiting from contributions across our businesses, including residential broadband, wireless, business services connectivity, theme parks, streaming and premium studios content. At the same time, we maintained a healthy balance sheet and returned significant capital to shareholders.</w:t>
      </w:r>
    </w:p>
    <w:p>
      <w:pPr>
        <w:spacing w:after="0" w:line="59" w:lineRule="exact"/>
        <w:rPr>
          <w:sz w:val="20"/>
          <w:szCs w:val="20"/>
          <w:color w:val="auto"/>
        </w:rPr>
      </w:pPr>
    </w:p>
    <w:p>
      <w:pPr>
        <w:ind w:left="320" w:right="459"/>
        <w:spacing w:after="0" w:line="244" w:lineRule="auto"/>
        <w:rPr>
          <w:sz w:val="20"/>
          <w:szCs w:val="20"/>
          <w:color w:val="auto"/>
        </w:rPr>
      </w:pPr>
      <w:r>
        <w:rPr>
          <w:rFonts w:ascii="Arial" w:cs="Arial" w:eastAsia="Arial" w:hAnsi="Arial"/>
          <w:sz w:val="18"/>
          <w:szCs w:val="18"/>
          <w:color w:val="auto"/>
        </w:rPr>
        <w:t>Our NEOs worked collaboratively with our businesses on key strategic initiatives such as our new simplified broadband offering with a more transparent value proposition to customers, strengthening our wireless business with new offerings, further growing our business services business, growing our Peacock revenue and lowering its operating losses, creating premium content and successfully opening Epic Universe in May</w:t>
      </w:r>
    </w:p>
    <w:p>
      <w:pPr>
        <w:spacing w:after="0" w:line="200" w:lineRule="exact"/>
        <w:rPr>
          <w:sz w:val="20"/>
          <w:szCs w:val="20"/>
          <w:color w:val="auto"/>
        </w:rPr>
      </w:pPr>
    </w:p>
    <w:p>
      <w:pPr>
        <w:spacing w:after="0" w:line="301" w:lineRule="exact"/>
        <w:rPr>
          <w:sz w:val="20"/>
          <w:szCs w:val="20"/>
          <w:color w:val="auto"/>
        </w:rPr>
      </w:pPr>
    </w:p>
    <w:p>
      <w:pPr>
        <w:ind w:left="1000" w:hanging="674"/>
        <w:spacing w:after="0"/>
        <w:tabs>
          <w:tab w:leader="none" w:pos="10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1" w:name="page32"/>
    <w:bookmarkEnd w:id="31"/>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260"/>
        <w:spacing w:after="0"/>
        <w:rPr>
          <w:sz w:val="20"/>
          <w:szCs w:val="20"/>
          <w:color w:val="auto"/>
        </w:rPr>
      </w:pPr>
      <w:r>
        <w:rPr>
          <w:rFonts w:ascii="Arial" w:cs="Arial" w:eastAsia="Arial" w:hAnsi="Arial"/>
          <w:sz w:val="18"/>
          <w:szCs w:val="18"/>
          <w:color w:val="auto"/>
        </w:rPr>
        <w:t>2025. At the same time, we completed our spin-off of Versant in January 2026, creating a focused, well-capitalized public company while positioning our remaining businesses to better compete in the evolving media landscape. Our leadership team also supported our stakeholders, including our employees, customers and the communities where we operate. From our dedication to advancing digital opportunity by providing more people with the tools and resources they need to succeed in a digital society, to our ongoing efforts in community impact, environmental sustainability and strengthening our workplace culture of respect for others, our senior leadership team reinforced our company’s commitment to doing what’s right while emphasizing our commitment to act with integrity.</w:t>
      </w:r>
    </w:p>
    <w:p>
      <w:pPr>
        <w:spacing w:after="0" w:line="55"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2025 Compensation Overview</w:t>
      </w:r>
    </w:p>
    <w:p>
      <w:pPr>
        <w:spacing w:after="0" w:line="108" w:lineRule="exact"/>
        <w:rPr>
          <w:sz w:val="20"/>
          <w:szCs w:val="20"/>
          <w:color w:val="auto"/>
        </w:rPr>
      </w:pPr>
    </w:p>
    <w:p>
      <w:pPr>
        <w:ind w:left="1180" w:right="1480"/>
        <w:spacing w:after="0" w:line="244" w:lineRule="auto"/>
        <w:rPr>
          <w:sz w:val="20"/>
          <w:szCs w:val="20"/>
          <w:color w:val="auto"/>
        </w:rPr>
      </w:pPr>
      <w:r>
        <w:rPr>
          <w:rFonts w:ascii="Arial" w:cs="Arial" w:eastAsia="Arial" w:hAnsi="Arial"/>
          <w:sz w:val="18"/>
          <w:szCs w:val="18"/>
          <w:color w:val="auto"/>
        </w:rPr>
        <w:t>Our executive compensation program is designed to pay for performance, aligning our NEOs’ compensation with our shareholders’ interests and our long-term strategic goals. In making compensation decisions for 2025, the Compensation Committee considered, among other things, the strong performance of our NEOs in successfully managing our company for the long term and market compensation paid by other similarly situated companies.</w:t>
      </w:r>
    </w:p>
    <w:p>
      <w:pPr>
        <w:spacing w:after="0" w:line="41" w:lineRule="exact"/>
        <w:rPr>
          <w:sz w:val="20"/>
          <w:szCs w:val="20"/>
          <w:color w:val="auto"/>
        </w:rPr>
      </w:pPr>
    </w:p>
    <w:p>
      <w:pPr>
        <w:ind w:left="1180" w:right="1680"/>
        <w:spacing w:after="0" w:line="271" w:lineRule="auto"/>
        <w:rPr>
          <w:sz w:val="20"/>
          <w:szCs w:val="20"/>
          <w:color w:val="auto"/>
        </w:rPr>
      </w:pPr>
      <w:r>
        <w:rPr>
          <w:rFonts w:ascii="Arial" w:cs="Arial" w:eastAsia="Arial" w:hAnsi="Arial"/>
          <w:sz w:val="18"/>
          <w:szCs w:val="18"/>
          <w:color w:val="auto"/>
        </w:rPr>
        <w:t>As a result of our compensation design, the vast majority of our NEOs’ total target compensation is performance-based, strongly aligning NEO compensation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49530</wp:posOffset>
            </wp:positionV>
            <wp:extent cx="5306060" cy="21685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0606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80" w:right="1440"/>
        <w:spacing w:after="0" w:line="253" w:lineRule="auto"/>
        <w:rPr>
          <w:sz w:val="20"/>
          <w:szCs w:val="20"/>
          <w:color w:val="auto"/>
        </w:rPr>
      </w:pPr>
      <w:r>
        <w:rPr>
          <w:rFonts w:ascii="Arial" w:cs="Arial" w:eastAsia="Arial" w:hAnsi="Arial"/>
          <w:sz w:val="18"/>
          <w:szCs w:val="18"/>
          <w:color w:val="auto"/>
        </w:rPr>
        <w:t>Key executive compensation decisions in respect of 2025 compensation are discussed in detail below under “Our Approach to Compensation” and “Design and Structure of Our Executive Compensation Program – Compensation Decisions.”</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Shareholder Feedback on Executive Compensation</w:t>
      </w:r>
    </w:p>
    <w:p>
      <w:pPr>
        <w:spacing w:after="0" w:line="108" w:lineRule="exact"/>
        <w:rPr>
          <w:sz w:val="20"/>
          <w:szCs w:val="20"/>
          <w:color w:val="auto"/>
        </w:rPr>
      </w:pPr>
    </w:p>
    <w:p>
      <w:pPr>
        <w:ind w:left="1180" w:right="1240"/>
        <w:spacing w:after="0"/>
        <w:rPr>
          <w:sz w:val="20"/>
          <w:szCs w:val="20"/>
          <w:color w:val="auto"/>
        </w:rPr>
      </w:pPr>
      <w:r>
        <w:rPr>
          <w:rFonts w:ascii="Arial" w:cs="Arial" w:eastAsia="Arial" w:hAnsi="Arial"/>
          <w:sz w:val="18"/>
          <w:szCs w:val="18"/>
          <w:color w:val="auto"/>
        </w:rPr>
        <w:t>The Compensation Committee and our management team are committed to continued engagement with shareholders to understand their viewpoints and to discuss and demonstrate the important connection between our compensation program, on the one hand, and our business strategy, goals and financial and operating performance, on the other hand. In response to shareholder feedback, our executive compensation program design includes a significant amount of performance-based compensation. We believe shareholders continue to view our executive compensation program favorably, as reflected by shareholders approving on an advisory basis the 2024 compensation of our NEOs by 90% of the votes cast at our 2025 annual meeting.</w:t>
      </w:r>
    </w:p>
    <w:p>
      <w:pPr>
        <w:spacing w:after="0" w:line="45" w:lineRule="exact"/>
        <w:rPr>
          <w:sz w:val="20"/>
          <w:szCs w:val="20"/>
          <w:color w:val="auto"/>
        </w:rPr>
      </w:pPr>
    </w:p>
    <w:p>
      <w:pPr>
        <w:ind w:left="1180" w:right="1220"/>
        <w:spacing w:after="0" w:line="242" w:lineRule="auto"/>
        <w:rPr>
          <w:sz w:val="20"/>
          <w:szCs w:val="20"/>
          <w:color w:val="auto"/>
        </w:rPr>
      </w:pPr>
      <w:r>
        <w:rPr>
          <w:rFonts w:ascii="Arial" w:cs="Arial" w:eastAsia="Arial" w:hAnsi="Arial"/>
          <w:sz w:val="18"/>
          <w:szCs w:val="18"/>
          <w:color w:val="auto"/>
        </w:rPr>
        <w:t>The Compensation Committee discussed and evaluated our executive compensation program and considered our annual say-on-pay advisory voting results with Korn Ferry, its independent compensation consultant. The Compensation Committee believes that its decisions are consistent with our compensation philosophy and objectives and that those compensation decisions align the interests of our NEOs with our long-term goals and the interests of our shareholders without incenting inappropriate risk-taking.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29</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32" w:name="page33"/>
    <w:bookmarkEnd w:id="32"/>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25"/>
          <w:szCs w:val="25"/>
          <w:color w:val="auto"/>
        </w:rPr>
        <w:t>Executive Compensation Best Practices</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390"/>
        </w:trPr>
        <w:tc>
          <w:tcPr>
            <w:tcW w:w="4100" w:type="dxa"/>
            <w:vAlign w:val="bottom"/>
            <w:shd w:val="clear" w:color="auto" w:fill="00A0DD"/>
          </w:tcPr>
          <w:p>
            <w:pPr>
              <w:ind w:left="1420"/>
              <w:spacing w:after="0"/>
              <w:rPr>
                <w:sz w:val="20"/>
                <w:szCs w:val="20"/>
                <w:color w:val="auto"/>
              </w:rPr>
            </w:pPr>
            <w:r>
              <w:rPr>
                <w:rFonts w:ascii="Arial" w:cs="Arial" w:eastAsia="Arial" w:hAnsi="Arial"/>
                <w:sz w:val="22"/>
                <w:szCs w:val="22"/>
                <w:b w:val="1"/>
                <w:bCs w:val="1"/>
                <w:color w:val="FFFFFF"/>
              </w:rPr>
              <w:t>What We Do</w:t>
            </w:r>
          </w:p>
        </w:tc>
        <w:tc>
          <w:tcPr>
            <w:tcW w:w="160" w:type="dxa"/>
            <w:vAlign w:val="bottom"/>
          </w:tcPr>
          <w:p>
            <w:pPr>
              <w:spacing w:after="0"/>
              <w:rPr>
                <w:sz w:val="24"/>
                <w:szCs w:val="24"/>
                <w:color w:val="auto"/>
              </w:rPr>
            </w:pPr>
          </w:p>
        </w:tc>
        <w:tc>
          <w:tcPr>
            <w:tcW w:w="4100" w:type="dxa"/>
            <w:vAlign w:val="bottom"/>
            <w:shd w:val="clear" w:color="auto" w:fill="636466"/>
          </w:tcPr>
          <w:p>
            <w:pPr>
              <w:ind w:left="1120"/>
              <w:spacing w:after="0"/>
              <w:rPr>
                <w:sz w:val="20"/>
                <w:szCs w:val="20"/>
                <w:color w:val="auto"/>
              </w:rPr>
            </w:pPr>
            <w:r>
              <w:rPr>
                <w:rFonts w:ascii="Arial" w:cs="Arial" w:eastAsia="Arial" w:hAnsi="Arial"/>
                <w:sz w:val="22"/>
                <w:szCs w:val="22"/>
                <w:b w:val="1"/>
                <w:bCs w:val="1"/>
                <w:color w:val="FFFFFF"/>
              </w:rPr>
              <w:t>What We Don’t Do</w:t>
            </w:r>
          </w:p>
        </w:tc>
      </w:tr>
      <w:tr>
        <w:trPr>
          <w:trHeight w:val="82"/>
        </w:trPr>
        <w:tc>
          <w:tcPr>
            <w:tcW w:w="4100" w:type="dxa"/>
            <w:vAlign w:val="bottom"/>
            <w:shd w:val="clear" w:color="auto" w:fill="00A0DD"/>
          </w:tcPr>
          <w:p>
            <w:pPr>
              <w:spacing w:after="0"/>
              <w:rPr>
                <w:sz w:val="7"/>
                <w:szCs w:val="7"/>
                <w:color w:val="auto"/>
              </w:rPr>
            </w:pPr>
          </w:p>
        </w:tc>
        <w:tc>
          <w:tcPr>
            <w:tcW w:w="160" w:type="dxa"/>
            <w:vAlign w:val="bottom"/>
          </w:tcPr>
          <w:p>
            <w:pPr>
              <w:spacing w:after="0"/>
              <w:rPr>
                <w:sz w:val="7"/>
                <w:szCs w:val="7"/>
                <w:color w:val="auto"/>
              </w:rPr>
            </w:pPr>
          </w:p>
        </w:tc>
        <w:tc>
          <w:tcPr>
            <w:tcW w:w="4100" w:type="dxa"/>
            <w:vAlign w:val="bottom"/>
            <w:shd w:val="clear" w:color="auto" w:fill="636466"/>
          </w:tcPr>
          <w:p>
            <w:pPr>
              <w:spacing w:after="0"/>
              <w:rPr>
                <w:sz w:val="7"/>
                <w:szCs w:val="7"/>
                <w:color w:val="auto"/>
              </w:rPr>
            </w:pPr>
          </w:p>
        </w:tc>
      </w:tr>
    </w:tbl>
    <w:p>
      <w:pPr>
        <w:spacing w:after="0" w:line="130" w:lineRule="exact"/>
        <w:rPr>
          <w:sz w:val="20"/>
          <w:szCs w:val="20"/>
          <w:color w:val="auto"/>
        </w:rPr>
      </w:pPr>
    </w:p>
    <w:p>
      <w:pPr>
        <w:sectPr>
          <w:pgSz w:w="11900" w:h="16838" w:orient="portrait"/>
          <w:cols w:equalWidth="0" w:num="1">
            <w:col w:w="9019"/>
          </w:cols>
          <w:pgMar w:left="1440" w:top="229" w:right="1440" w:bottom="1440" w:gutter="0" w:footer="0" w:header="0"/>
        </w:sectPr>
      </w:pPr>
    </w:p>
    <w:p>
      <w:pPr>
        <w:ind w:left="520" w:right="320" w:hanging="196"/>
        <w:spacing w:after="0" w:line="261" w:lineRule="auto"/>
        <w:tabs>
          <w:tab w:leader="none" w:pos="534" w:val="left"/>
        </w:tabs>
        <w:numPr>
          <w:ilvl w:val="0"/>
          <w:numId w:val="49"/>
        </w:numPr>
        <w:rPr>
          <w:rFonts w:ascii="Wingdings" w:cs="Wingdings" w:eastAsia="Wingdings" w:hAnsi="Wingdings"/>
          <w:sz w:val="16"/>
          <w:szCs w:val="16"/>
          <w:b w:val="1"/>
          <w:bCs w:val="1"/>
          <w:color w:val="00A0DD"/>
        </w:rPr>
      </w:pPr>
      <w:r>
        <w:rPr>
          <w:rFonts w:ascii="Arial" w:cs="Arial" w:eastAsia="Arial" w:hAnsi="Arial"/>
          <w:sz w:val="18"/>
          <w:szCs w:val="18"/>
          <w:color w:val="auto"/>
        </w:rPr>
        <w:t>Employ rigorous Performance Stock Unit (“PSU”) and annual cash bonus performance conditions.</w:t>
      </w:r>
    </w:p>
    <w:p>
      <w:pPr>
        <w:spacing w:after="0" w:line="53" w:lineRule="exact"/>
        <w:rPr>
          <w:rFonts w:ascii="Wingdings" w:cs="Wingdings" w:eastAsia="Wingdings" w:hAnsi="Wingdings"/>
          <w:sz w:val="16"/>
          <w:szCs w:val="16"/>
          <w:b w:val="1"/>
          <w:bCs w:val="1"/>
          <w:color w:val="00A0DD"/>
        </w:rPr>
      </w:pPr>
    </w:p>
    <w:p>
      <w:pPr>
        <w:ind w:left="520" w:right="240" w:hanging="196"/>
        <w:spacing w:after="0" w:line="252" w:lineRule="auto"/>
        <w:tabs>
          <w:tab w:leader="none" w:pos="534" w:val="left"/>
        </w:tabs>
        <w:numPr>
          <w:ilvl w:val="0"/>
          <w:numId w:val="49"/>
        </w:numPr>
        <w:rPr>
          <w:rFonts w:ascii="Wingdings" w:cs="Wingdings" w:eastAsia="Wingdings" w:hAnsi="Wingdings"/>
          <w:sz w:val="16"/>
          <w:szCs w:val="16"/>
          <w:b w:val="1"/>
          <w:bCs w:val="1"/>
          <w:color w:val="00A0DD"/>
        </w:rPr>
      </w:pPr>
      <w:r>
        <w:rPr>
          <w:rFonts w:ascii="Arial" w:cs="Arial" w:eastAsia="Arial" w:hAnsi="Arial"/>
          <w:sz w:val="18"/>
          <w:szCs w:val="18"/>
          <w:color w:val="auto"/>
        </w:rPr>
        <w:t>Maintain robust stock ownership guidelines. A person not in compliance cannot sell or otherwise dispose of stock until the ownership requirement is met.</w:t>
      </w:r>
    </w:p>
    <w:p>
      <w:pPr>
        <w:spacing w:after="0" w:line="62" w:lineRule="exact"/>
        <w:rPr>
          <w:rFonts w:ascii="Wingdings" w:cs="Wingdings" w:eastAsia="Wingdings" w:hAnsi="Wingdings"/>
          <w:sz w:val="16"/>
          <w:szCs w:val="16"/>
          <w:b w:val="1"/>
          <w:bCs w:val="1"/>
          <w:color w:val="00A0DD"/>
        </w:rPr>
      </w:pPr>
    </w:p>
    <w:p>
      <w:pPr>
        <w:ind w:left="520" w:hanging="196"/>
        <w:spacing w:after="0" w:line="247" w:lineRule="auto"/>
        <w:tabs>
          <w:tab w:leader="none" w:pos="534" w:val="left"/>
        </w:tabs>
        <w:numPr>
          <w:ilvl w:val="0"/>
          <w:numId w:val="49"/>
        </w:numPr>
        <w:rPr>
          <w:rFonts w:ascii="Wingdings" w:cs="Wingdings" w:eastAsia="Wingdings" w:hAnsi="Wingdings"/>
          <w:sz w:val="16"/>
          <w:szCs w:val="16"/>
          <w:b w:val="1"/>
          <w:bCs w:val="1"/>
          <w:color w:val="00A0DD"/>
        </w:rPr>
      </w:pPr>
      <w:r>
        <w:rPr>
          <w:rFonts w:ascii="Arial" w:cs="Arial" w:eastAsia="Arial" w:hAnsi="Arial"/>
          <w:sz w:val="18"/>
          <w:szCs w:val="18"/>
          <w:color w:val="auto"/>
        </w:rPr>
        <w:t>Prohibit executive officers and directors from (i) pledging Comcast stock as collateral or holding it in margin accounts and (ii) using any strategies or products to hedge against potential changes in the value of our stock.</w:t>
      </w:r>
    </w:p>
    <w:p>
      <w:pPr>
        <w:spacing w:after="0" w:line="68" w:lineRule="exact"/>
        <w:rPr>
          <w:rFonts w:ascii="Wingdings" w:cs="Wingdings" w:eastAsia="Wingdings" w:hAnsi="Wingdings"/>
          <w:sz w:val="16"/>
          <w:szCs w:val="16"/>
          <w:b w:val="1"/>
          <w:bCs w:val="1"/>
          <w:color w:val="00A0DD"/>
        </w:rPr>
      </w:pPr>
    </w:p>
    <w:p>
      <w:pPr>
        <w:ind w:left="520" w:right="20" w:hanging="196"/>
        <w:spacing w:after="0" w:line="261" w:lineRule="auto"/>
        <w:tabs>
          <w:tab w:leader="none" w:pos="534" w:val="left"/>
        </w:tabs>
        <w:numPr>
          <w:ilvl w:val="0"/>
          <w:numId w:val="49"/>
        </w:numPr>
        <w:rPr>
          <w:rFonts w:ascii="Wingdings" w:cs="Wingdings" w:eastAsia="Wingdings" w:hAnsi="Wingdings"/>
          <w:sz w:val="16"/>
          <w:szCs w:val="16"/>
          <w:b w:val="1"/>
          <w:bCs w:val="1"/>
          <w:color w:val="00A0DD"/>
        </w:rPr>
      </w:pPr>
      <w:r>
        <w:rPr>
          <w:rFonts w:ascii="Arial" w:cs="Arial" w:eastAsia="Arial" w:hAnsi="Arial"/>
          <w:sz w:val="18"/>
          <w:szCs w:val="18"/>
          <w:color w:val="auto"/>
        </w:rPr>
        <w:t>Have an incentive compensation recoupment (or “clawback”) policy applicable to our executive officers.</w:t>
      </w:r>
    </w:p>
    <w:p>
      <w:pPr>
        <w:spacing w:after="0" w:line="53" w:lineRule="exact"/>
        <w:rPr>
          <w:rFonts w:ascii="Wingdings" w:cs="Wingdings" w:eastAsia="Wingdings" w:hAnsi="Wingdings"/>
          <w:sz w:val="16"/>
          <w:szCs w:val="16"/>
          <w:b w:val="1"/>
          <w:bCs w:val="1"/>
          <w:color w:val="00A0DD"/>
        </w:rPr>
      </w:pPr>
    </w:p>
    <w:p>
      <w:pPr>
        <w:ind w:left="520" w:right="20" w:hanging="196"/>
        <w:spacing w:after="0" w:line="261" w:lineRule="auto"/>
        <w:tabs>
          <w:tab w:leader="none" w:pos="534" w:val="left"/>
        </w:tabs>
        <w:numPr>
          <w:ilvl w:val="0"/>
          <w:numId w:val="49"/>
        </w:numPr>
        <w:rPr>
          <w:rFonts w:ascii="Wingdings" w:cs="Wingdings" w:eastAsia="Wingdings" w:hAnsi="Wingdings"/>
          <w:sz w:val="16"/>
          <w:szCs w:val="16"/>
          <w:b w:val="1"/>
          <w:bCs w:val="1"/>
          <w:color w:val="00A0DD"/>
        </w:rPr>
      </w:pPr>
      <w:r>
        <w:rPr>
          <w:rFonts w:ascii="Arial" w:cs="Arial" w:eastAsia="Arial" w:hAnsi="Arial"/>
          <w:sz w:val="18"/>
          <w:szCs w:val="18"/>
          <w:color w:val="auto"/>
        </w:rPr>
        <w:t>Compensation Committee directly engages Korn Ferry as its own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wp:posOffset>
            </wp:positionV>
            <wp:extent cx="26060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0" w:right="719" w:hanging="190"/>
        <w:spacing w:after="0" w:line="261" w:lineRule="auto"/>
        <w:tabs>
          <w:tab w:leader="none" w:pos="189" w:val="left"/>
        </w:tabs>
        <w:numPr>
          <w:ilvl w:val="0"/>
          <w:numId w:val="50"/>
        </w:numPr>
        <w:rPr>
          <w:rFonts w:ascii="Wingdings" w:cs="Wingdings" w:eastAsia="Wingdings" w:hAnsi="Wingdings"/>
          <w:sz w:val="17"/>
          <w:szCs w:val="17"/>
          <w:b w:val="1"/>
          <w:bCs w:val="1"/>
          <w:color w:val="auto"/>
        </w:rPr>
      </w:pPr>
      <w:r>
        <w:rPr>
          <w:rFonts w:ascii="Arial" w:cs="Arial" w:eastAsia="Arial" w:hAnsi="Arial"/>
          <w:sz w:val="18"/>
          <w:szCs w:val="18"/>
          <w:color w:val="auto"/>
        </w:rPr>
        <w:t>Do not maintain any defined benefit pension plans or supplemental executive retirement plans for our NEOs.</w:t>
      </w:r>
    </w:p>
    <w:p>
      <w:pPr>
        <w:spacing w:after="0" w:line="53" w:lineRule="exact"/>
        <w:rPr>
          <w:rFonts w:ascii="Wingdings" w:cs="Wingdings" w:eastAsia="Wingdings" w:hAnsi="Wingdings"/>
          <w:sz w:val="17"/>
          <w:szCs w:val="17"/>
          <w:b w:val="1"/>
          <w:bCs w:val="1"/>
          <w:color w:val="auto"/>
        </w:rPr>
      </w:pPr>
    </w:p>
    <w:p>
      <w:pPr>
        <w:ind w:left="190" w:right="339" w:hanging="190"/>
        <w:spacing w:after="0" w:line="243" w:lineRule="auto"/>
        <w:tabs>
          <w:tab w:leader="none" w:pos="189" w:val="left"/>
        </w:tabs>
        <w:numPr>
          <w:ilvl w:val="0"/>
          <w:numId w:val="50"/>
        </w:numPr>
        <w:rPr>
          <w:rFonts w:ascii="Wingdings" w:cs="Wingdings" w:eastAsia="Wingdings" w:hAnsi="Wingdings"/>
          <w:sz w:val="17"/>
          <w:szCs w:val="17"/>
          <w:b w:val="1"/>
          <w:bCs w:val="1"/>
          <w:color w:val="auto"/>
        </w:rPr>
      </w:pPr>
      <w:r>
        <w:rPr>
          <w:rFonts w:ascii="Arial" w:cs="Arial" w:eastAsia="Arial" w:hAnsi="Arial"/>
          <w:sz w:val="18"/>
          <w:szCs w:val="18"/>
          <w:color w:val="auto"/>
        </w:rPr>
        <w:t>None of our equity plans has automatic (“single-trigger”) accelerated vesting provisions in connection with a change in control. Mr. Roberts’ employment agreement has a “double-trigger” change in control provision. No other NEO has change in control provisions in their employment agreement.</w:t>
      </w:r>
    </w:p>
    <w:p>
      <w:pPr>
        <w:spacing w:after="0" w:line="72" w:lineRule="exact"/>
        <w:rPr>
          <w:rFonts w:ascii="Wingdings" w:cs="Wingdings" w:eastAsia="Wingdings" w:hAnsi="Wingdings"/>
          <w:sz w:val="17"/>
          <w:szCs w:val="17"/>
          <w:b w:val="1"/>
          <w:bCs w:val="1"/>
          <w:color w:val="auto"/>
        </w:rPr>
      </w:pPr>
    </w:p>
    <w:p>
      <w:pPr>
        <w:ind w:left="190" w:right="479" w:hanging="190"/>
        <w:spacing w:after="0" w:line="261" w:lineRule="auto"/>
        <w:tabs>
          <w:tab w:leader="none" w:pos="189" w:val="left"/>
        </w:tabs>
        <w:numPr>
          <w:ilvl w:val="0"/>
          <w:numId w:val="50"/>
        </w:numPr>
        <w:rPr>
          <w:rFonts w:ascii="Wingdings" w:cs="Wingdings" w:eastAsia="Wingdings" w:hAnsi="Wingdings"/>
          <w:sz w:val="17"/>
          <w:szCs w:val="17"/>
          <w:b w:val="1"/>
          <w:bCs w:val="1"/>
          <w:color w:val="auto"/>
        </w:rPr>
      </w:pPr>
      <w:r>
        <w:rPr>
          <w:rFonts w:ascii="Arial" w:cs="Arial" w:eastAsia="Arial" w:hAnsi="Arial"/>
          <w:sz w:val="18"/>
          <w:szCs w:val="18"/>
          <w:color w:val="auto"/>
        </w:rPr>
        <w:t>Do not pay dividends or dividend equivalents in respect of any unearned PSUs or Restricted Stock Units (“RSUs”) or on any stock options.</w:t>
      </w:r>
    </w:p>
    <w:p>
      <w:pPr>
        <w:spacing w:after="0" w:line="53" w:lineRule="exact"/>
        <w:rPr>
          <w:rFonts w:ascii="Wingdings" w:cs="Wingdings" w:eastAsia="Wingdings" w:hAnsi="Wingdings"/>
          <w:sz w:val="17"/>
          <w:szCs w:val="17"/>
          <w:b w:val="1"/>
          <w:bCs w:val="1"/>
          <w:color w:val="auto"/>
        </w:rPr>
      </w:pPr>
    </w:p>
    <w:p>
      <w:pPr>
        <w:ind w:left="190" w:right="359" w:hanging="190"/>
        <w:spacing w:after="0" w:line="287" w:lineRule="auto"/>
        <w:tabs>
          <w:tab w:leader="none" w:pos="189" w:val="left"/>
        </w:tabs>
        <w:numPr>
          <w:ilvl w:val="0"/>
          <w:numId w:val="50"/>
        </w:numPr>
        <w:rPr>
          <w:rFonts w:ascii="Wingdings" w:cs="Wingdings" w:eastAsia="Wingdings" w:hAnsi="Wingdings"/>
          <w:sz w:val="17"/>
          <w:szCs w:val="17"/>
          <w:b w:val="1"/>
          <w:bCs w:val="1"/>
          <w:color w:val="auto"/>
        </w:rPr>
      </w:pPr>
      <w:r>
        <w:rPr>
          <w:rFonts w:ascii="Arial" w:cs="Arial" w:eastAsia="Arial" w:hAnsi="Arial"/>
          <w:sz w:val="18"/>
          <w:szCs w:val="18"/>
          <w:color w:val="auto"/>
        </w:rPr>
        <w:t>Do not provide any excise or other tax gross-ups for our executive officers.</w:t>
      </w:r>
    </w:p>
    <w:p>
      <w:pPr>
        <w:spacing w:after="0" w:line="31" w:lineRule="exact"/>
        <w:rPr>
          <w:rFonts w:ascii="Wingdings" w:cs="Wingdings" w:eastAsia="Wingdings" w:hAnsi="Wingdings"/>
          <w:sz w:val="17"/>
          <w:szCs w:val="17"/>
          <w:b w:val="1"/>
          <w:bCs w:val="1"/>
          <w:color w:val="auto"/>
        </w:rPr>
      </w:pPr>
    </w:p>
    <w:p>
      <w:pPr>
        <w:ind w:left="190" w:right="359" w:hanging="190"/>
        <w:spacing w:after="0" w:line="287" w:lineRule="auto"/>
        <w:tabs>
          <w:tab w:leader="none" w:pos="189" w:val="left"/>
        </w:tabs>
        <w:numPr>
          <w:ilvl w:val="0"/>
          <w:numId w:val="50"/>
        </w:numPr>
        <w:rPr>
          <w:rFonts w:ascii="Wingdings" w:cs="Wingdings" w:eastAsia="Wingdings" w:hAnsi="Wingdings"/>
          <w:sz w:val="17"/>
          <w:szCs w:val="17"/>
          <w:b w:val="1"/>
          <w:bCs w:val="1"/>
          <w:color w:val="auto"/>
        </w:rPr>
      </w:pPr>
      <w:r>
        <w:rPr>
          <w:rFonts w:ascii="Arial" w:cs="Arial" w:eastAsia="Arial" w:hAnsi="Arial"/>
          <w:sz w:val="18"/>
          <w:szCs w:val="18"/>
          <w:color w:val="auto"/>
        </w:rPr>
        <w:t>Do not permit the repricing of options of any kind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2597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4420" w:space="170"/>
            <w:col w:w="4429"/>
          </w:cols>
          <w:pgMar w:left="1440" w:top="229" w:right="1440" w:bottom="1440" w:gutter="0" w:footer="0" w:header="0"/>
          <w:type w:val="continuous"/>
        </w:sectPr>
      </w:pPr>
    </w:p>
    <w:p>
      <w:pPr>
        <w:spacing w:after="0" w:line="93" w:lineRule="exact"/>
        <w:rPr>
          <w:sz w:val="20"/>
          <w:szCs w:val="20"/>
          <w:color w:val="auto"/>
        </w:rPr>
      </w:pPr>
    </w:p>
    <w:p>
      <w:pPr>
        <w:ind w:left="320"/>
        <w:spacing w:after="0"/>
        <w:rPr>
          <w:sz w:val="20"/>
          <w:szCs w:val="20"/>
          <w:color w:val="auto"/>
        </w:rPr>
      </w:pPr>
      <w:r>
        <w:rPr>
          <w:rFonts w:ascii="Arial" w:cs="Arial" w:eastAsia="Arial" w:hAnsi="Arial"/>
          <w:sz w:val="25"/>
          <w:szCs w:val="25"/>
          <w:color w:val="auto"/>
        </w:rPr>
        <w:t>Our Approach to Compensation</w:t>
      </w:r>
    </w:p>
    <w:p>
      <w:pPr>
        <w:spacing w:after="0" w:line="94" w:lineRule="exact"/>
        <w:rPr>
          <w:sz w:val="20"/>
          <w:szCs w:val="20"/>
          <w:color w:val="auto"/>
        </w:rPr>
      </w:pPr>
    </w:p>
    <w:p>
      <w:pPr>
        <w:ind w:left="320" w:right="439"/>
        <w:spacing w:after="0" w:line="242" w:lineRule="auto"/>
        <w:rPr>
          <w:sz w:val="20"/>
          <w:szCs w:val="20"/>
          <w:color w:val="auto"/>
        </w:rPr>
      </w:pPr>
      <w:r>
        <w:rPr>
          <w:rFonts w:ascii="Arial" w:cs="Arial" w:eastAsia="Arial" w:hAnsi="Arial"/>
          <w:sz w:val="18"/>
          <w:szCs w:val="18"/>
          <w:color w:val="auto"/>
        </w:rPr>
        <w:t>In designing our compensation program, we evaluate both our business objectives and the need to attract and retain uniquely talented and experienced individuals who think strategically for the long term, particularly in light of the challenging and evolving competitive, technological and regulatory environments in which we operate. We employ a variety of elements that further our shareholders’ interests by securing our executives’ services in an exceedingly competitive talent market and aligning the long-term interests of our executives with the creation of shareholder value.</w:t>
      </w:r>
    </w:p>
    <w:p>
      <w:pPr>
        <w:spacing w:after="0" w:line="17" w:lineRule="exact"/>
        <w:rPr>
          <w:sz w:val="20"/>
          <w:szCs w:val="20"/>
          <w:color w:val="auto"/>
        </w:rPr>
      </w:pPr>
    </w:p>
    <w:p>
      <w:pPr>
        <w:ind w:left="520" w:right="499" w:hanging="196"/>
        <w:spacing w:after="0" w:line="246" w:lineRule="auto"/>
        <w:tabs>
          <w:tab w:leader="none" w:pos="520" w:val="left"/>
        </w:tabs>
        <w:numPr>
          <w:ilvl w:val="0"/>
          <w:numId w:val="51"/>
        </w:numPr>
        <w:rPr>
          <w:rFonts w:ascii="Times New Roman" w:cs="Times New Roman" w:eastAsia="Times New Roman" w:hAnsi="Times New Roman"/>
          <w:sz w:val="18"/>
          <w:szCs w:val="18"/>
          <w:color w:val="00A0DD"/>
        </w:rPr>
      </w:pPr>
      <w:r>
        <w:rPr>
          <w:rFonts w:ascii="Arial" w:cs="Arial" w:eastAsia="Arial" w:hAnsi="Arial"/>
          <w:sz w:val="18"/>
          <w:szCs w:val="18"/>
          <w:color w:val="auto"/>
        </w:rPr>
        <w:t>In addition to fixed compensation, we provide short-term and long-term performance-based compensation earned based on the achievement of Company-specific performance goals, as well as relative performance goals that measure our shareholder value creation relative to market performance.</w:t>
      </w:r>
    </w:p>
    <w:p>
      <w:pPr>
        <w:spacing w:after="0" w:line="14" w:lineRule="exact"/>
        <w:rPr>
          <w:rFonts w:ascii="Times New Roman" w:cs="Times New Roman" w:eastAsia="Times New Roman" w:hAnsi="Times New Roman"/>
          <w:sz w:val="18"/>
          <w:szCs w:val="18"/>
          <w:color w:val="00A0DD"/>
        </w:rPr>
      </w:pPr>
    </w:p>
    <w:p>
      <w:pPr>
        <w:ind w:left="520" w:hanging="196"/>
        <w:spacing w:after="0"/>
        <w:tabs>
          <w:tab w:leader="none" w:pos="520" w:val="left"/>
        </w:tabs>
        <w:numPr>
          <w:ilvl w:val="0"/>
          <w:numId w:val="51"/>
        </w:numPr>
        <w:rPr>
          <w:rFonts w:ascii="Times New Roman" w:cs="Times New Roman" w:eastAsia="Times New Roman" w:hAnsi="Times New Roman"/>
          <w:sz w:val="18"/>
          <w:szCs w:val="18"/>
          <w:color w:val="00A0DD"/>
        </w:rPr>
      </w:pPr>
      <w:r>
        <w:rPr>
          <w:rFonts w:ascii="Arial" w:cs="Arial" w:eastAsia="Arial" w:hAnsi="Arial"/>
          <w:sz w:val="18"/>
          <w:szCs w:val="18"/>
          <w:color w:val="auto"/>
        </w:rPr>
        <w:t>To motivate and retain our executives, we provide pay opportunity levels that are highly competitive.</w:t>
      </w:r>
    </w:p>
    <w:p>
      <w:pPr>
        <w:spacing w:after="0" w:line="62" w:lineRule="exact"/>
        <w:rPr>
          <w:rFonts w:ascii="Times New Roman" w:cs="Times New Roman" w:eastAsia="Times New Roman" w:hAnsi="Times New Roman"/>
          <w:sz w:val="18"/>
          <w:szCs w:val="18"/>
          <w:color w:val="00A0DD"/>
        </w:rPr>
      </w:pPr>
    </w:p>
    <w:p>
      <w:pPr>
        <w:ind w:left="520" w:right="339" w:hanging="196"/>
        <w:spacing w:after="0" w:line="243" w:lineRule="auto"/>
        <w:tabs>
          <w:tab w:leader="none" w:pos="520" w:val="left"/>
        </w:tabs>
        <w:numPr>
          <w:ilvl w:val="0"/>
          <w:numId w:val="51"/>
        </w:numPr>
        <w:rPr>
          <w:rFonts w:ascii="Times New Roman" w:cs="Times New Roman" w:eastAsia="Times New Roman" w:hAnsi="Times New Roman"/>
          <w:sz w:val="18"/>
          <w:szCs w:val="18"/>
          <w:color w:val="00A0DD"/>
        </w:rPr>
      </w:pPr>
      <w:r>
        <w:rPr>
          <w:rFonts w:ascii="Arial" w:cs="Arial" w:eastAsia="Arial" w:hAnsi="Arial"/>
          <w:sz w:val="18"/>
          <w:szCs w:val="18"/>
          <w:color w:val="auto"/>
        </w:rPr>
        <w:t>Our short-term annual bonus program includes quantitative financial performance goals that are based, in part, on consolidated budgets that are prepared annually, taking into consideration the cyclicality of working capital in our business, capital spending plans for the upcoming year and other relevant factors. We balance out our annual bonus program by also incenting attainment of operational performance goals and key stakeholder and sustainability initiatives.</w:t>
      </w:r>
    </w:p>
    <w:p>
      <w:pPr>
        <w:spacing w:after="0" w:line="17" w:lineRule="exact"/>
        <w:rPr>
          <w:rFonts w:ascii="Times New Roman" w:cs="Times New Roman" w:eastAsia="Times New Roman" w:hAnsi="Times New Roman"/>
          <w:sz w:val="18"/>
          <w:szCs w:val="18"/>
          <w:color w:val="00A0DD"/>
        </w:rPr>
      </w:pPr>
    </w:p>
    <w:p>
      <w:pPr>
        <w:ind w:left="520" w:right="379" w:hanging="196"/>
        <w:spacing w:after="0" w:line="246" w:lineRule="auto"/>
        <w:tabs>
          <w:tab w:leader="none" w:pos="520" w:val="left"/>
        </w:tabs>
        <w:numPr>
          <w:ilvl w:val="0"/>
          <w:numId w:val="51"/>
        </w:numPr>
        <w:rPr>
          <w:rFonts w:ascii="Times New Roman" w:cs="Times New Roman" w:eastAsia="Times New Roman" w:hAnsi="Times New Roman"/>
          <w:sz w:val="18"/>
          <w:szCs w:val="18"/>
          <w:color w:val="00A0DD"/>
        </w:rPr>
      </w:pPr>
      <w:r>
        <w:rPr>
          <w:rFonts w:ascii="Arial" w:cs="Arial" w:eastAsia="Arial" w:hAnsi="Arial"/>
          <w:sz w:val="18"/>
          <w:szCs w:val="18"/>
          <w:color w:val="auto"/>
        </w:rPr>
        <w:t>Our 2025 annual long-term incentive program is composed entirely of PSUs. PSUs are earned based on our performance over a cumulative three-year period against two relative performance metrics relating to Adjusted Earnings Per Share (“EPS”) growth and Total Shareholder Return (“TSR”), as well as an absolute Return on Invested Capital (“ROIC”) performance metric.</w:t>
      </w:r>
    </w:p>
    <w:p>
      <w:pPr>
        <w:spacing w:after="0" w:line="14" w:lineRule="exact"/>
        <w:rPr>
          <w:rFonts w:ascii="Times New Roman" w:cs="Times New Roman" w:eastAsia="Times New Roman" w:hAnsi="Times New Roman"/>
          <w:sz w:val="18"/>
          <w:szCs w:val="18"/>
          <w:color w:val="00A0DD"/>
        </w:rPr>
      </w:pPr>
    </w:p>
    <w:p>
      <w:pPr>
        <w:ind w:left="520" w:right="399" w:hanging="196"/>
        <w:spacing w:after="0" w:line="246" w:lineRule="auto"/>
        <w:tabs>
          <w:tab w:leader="none" w:pos="520" w:val="left"/>
        </w:tabs>
        <w:numPr>
          <w:ilvl w:val="0"/>
          <w:numId w:val="51"/>
        </w:numPr>
        <w:rPr>
          <w:rFonts w:ascii="Times New Roman" w:cs="Times New Roman" w:eastAsia="Times New Roman" w:hAnsi="Times New Roman"/>
          <w:sz w:val="18"/>
          <w:szCs w:val="18"/>
          <w:color w:val="00A0DD"/>
        </w:rPr>
      </w:pPr>
      <w:r>
        <w:rPr>
          <w:rFonts w:ascii="Arial" w:cs="Arial" w:eastAsia="Arial" w:hAnsi="Arial"/>
          <w:sz w:val="18"/>
          <w:szCs w:val="18"/>
          <w:color w:val="auto"/>
        </w:rPr>
        <w:t>The financial quantitative metrics used in our 2025 annual incentive compensation program generally reflect those used internally to measure our performance and externally to report to investors. Many of these measures are tied to cash generation and capital efficiency and seek to balance over both the short-term and the longer-term profitable growth and shareholder value creation.</w:t>
      </w:r>
    </w:p>
    <w:p>
      <w:pPr>
        <w:spacing w:after="0" w:line="200" w:lineRule="exact"/>
        <w:rPr>
          <w:sz w:val="20"/>
          <w:szCs w:val="20"/>
          <w:color w:val="auto"/>
        </w:rPr>
      </w:pPr>
    </w:p>
    <w:p>
      <w:pPr>
        <w:spacing w:after="0" w:line="328" w:lineRule="exact"/>
        <w:rPr>
          <w:sz w:val="20"/>
          <w:szCs w:val="20"/>
          <w:color w:val="auto"/>
        </w:rPr>
      </w:pPr>
    </w:p>
    <w:p>
      <w:pPr>
        <w:ind w:left="1000" w:hanging="674"/>
        <w:spacing w:after="0"/>
        <w:tabs>
          <w:tab w:leader="none" w:pos="10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33" w:name="page34"/>
    <w:bookmarkEnd w:id="33"/>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814705</wp:posOffset>
            </wp:positionV>
            <wp:extent cx="53060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b w:val="1"/>
                <w:bCs w:val="1"/>
                <w:color w:val="00A0DD"/>
              </w:rPr>
              <w:t>Annual Cash</w:t>
            </w:r>
          </w:p>
        </w:tc>
        <w:tc>
          <w:tcPr>
            <w:tcW w:w="2040" w:type="dxa"/>
            <w:vAlign w:val="bottom"/>
          </w:tcPr>
          <w:p>
            <w:pPr>
              <w:ind w:left="100"/>
              <w:spacing w:after="0"/>
              <w:rPr>
                <w:sz w:val="20"/>
                <w:szCs w:val="20"/>
                <w:color w:val="auto"/>
              </w:rPr>
            </w:pPr>
            <w:r>
              <w:rPr>
                <w:rFonts w:ascii="Arial" w:cs="Arial" w:eastAsia="Arial" w:hAnsi="Arial"/>
                <w:sz w:val="18"/>
                <w:szCs w:val="18"/>
                <w:color w:val="auto"/>
              </w:rPr>
              <w:t>Revenue</w:t>
            </w:r>
          </w:p>
        </w:tc>
        <w:tc>
          <w:tcPr>
            <w:tcW w:w="4980" w:type="dxa"/>
            <w:vAlign w:val="bottom"/>
          </w:tcPr>
          <w:p>
            <w:pPr>
              <w:ind w:left="140"/>
              <w:spacing w:after="0"/>
              <w:rPr>
                <w:sz w:val="20"/>
                <w:szCs w:val="20"/>
                <w:color w:val="auto"/>
              </w:rPr>
            </w:pPr>
            <w:r>
              <w:rPr>
                <w:rFonts w:ascii="Arial" w:cs="Arial" w:eastAsia="Arial" w:hAnsi="Arial"/>
                <w:sz w:val="18"/>
                <w:szCs w:val="18"/>
                <w:color w:val="auto"/>
              </w:rPr>
              <w:t>Serves as the top line component to cash generation</w:t>
            </w:r>
          </w:p>
        </w:tc>
        <w:tc>
          <w:tcPr>
            <w:tcW w:w="0" w:type="dxa"/>
            <w:vAlign w:val="bottom"/>
          </w:tcPr>
          <w:p>
            <w:pPr>
              <w:spacing w:after="0"/>
              <w:rPr>
                <w:sz w:val="1"/>
                <w:szCs w:val="1"/>
                <w:color w:val="auto"/>
              </w:rPr>
            </w:pPr>
          </w:p>
        </w:tc>
      </w:tr>
      <w:tr>
        <w:trPr>
          <w:trHeight w:val="32"/>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00A0DD"/>
              </w:rPr>
              <w:t>Bonus</w:t>
            </w:r>
          </w:p>
        </w:tc>
        <w:tc>
          <w:tcPr>
            <w:tcW w:w="2040" w:type="dxa"/>
            <w:vAlign w:val="bottom"/>
            <w:tcBorders>
              <w:bottom w:val="single" w:sz="8" w:color="DCDDDE"/>
            </w:tcBorders>
          </w:tcPr>
          <w:p>
            <w:pPr>
              <w:spacing w:after="0"/>
              <w:rPr>
                <w:sz w:val="2"/>
                <w:szCs w:val="2"/>
                <w:color w:val="auto"/>
              </w:rPr>
            </w:pPr>
          </w:p>
        </w:tc>
        <w:tc>
          <w:tcPr>
            <w:tcW w:w="4980" w:type="dxa"/>
            <w:vAlign w:val="bottom"/>
            <w:tcBorders>
              <w:bottom w:val="single" w:sz="8" w:color="DCDDDE"/>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340" w:type="dxa"/>
            <w:vAlign w:val="bottom"/>
            <w:vMerge w:val="continue"/>
          </w:tcPr>
          <w:p>
            <w:pPr>
              <w:spacing w:after="0"/>
              <w:rPr>
                <w:sz w:val="17"/>
                <w:szCs w:val="17"/>
                <w:color w:val="auto"/>
              </w:rPr>
            </w:pPr>
          </w:p>
        </w:tc>
        <w:tc>
          <w:tcPr>
            <w:tcW w:w="2040" w:type="dxa"/>
            <w:vAlign w:val="bottom"/>
          </w:tcPr>
          <w:p>
            <w:pPr>
              <w:ind w:left="100"/>
              <w:spacing w:after="0" w:line="204" w:lineRule="exact"/>
              <w:rPr>
                <w:sz w:val="20"/>
                <w:szCs w:val="20"/>
                <w:color w:val="auto"/>
              </w:rPr>
            </w:pPr>
            <w:r>
              <w:rPr>
                <w:rFonts w:ascii="Arial" w:cs="Arial" w:eastAsia="Arial" w:hAnsi="Arial"/>
                <w:sz w:val="18"/>
                <w:szCs w:val="18"/>
                <w:color w:val="auto"/>
              </w:rPr>
              <w:t>Adjusted EBITDA</w:t>
            </w:r>
          </w:p>
        </w:tc>
        <w:tc>
          <w:tcPr>
            <w:tcW w:w="4980" w:type="dxa"/>
            <w:vAlign w:val="bottom"/>
          </w:tcPr>
          <w:p>
            <w:pPr>
              <w:ind w:left="140"/>
              <w:spacing w:after="0" w:line="204" w:lineRule="exact"/>
              <w:rPr>
                <w:sz w:val="20"/>
                <w:szCs w:val="20"/>
                <w:color w:val="auto"/>
              </w:rPr>
            </w:pPr>
            <w:r>
              <w:rPr>
                <w:rFonts w:ascii="Arial" w:cs="Arial" w:eastAsia="Arial" w:hAnsi="Arial"/>
                <w:sz w:val="18"/>
                <w:szCs w:val="18"/>
                <w:color w:val="auto"/>
              </w:rPr>
              <w:t>Reflects the operational performance of our businesses,</w:t>
            </w: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p>
        </w:tc>
        <w:tc>
          <w:tcPr>
            <w:tcW w:w="2040" w:type="dxa"/>
            <w:vAlign w:val="bottom"/>
            <w:tcBorders>
              <w:bottom w:val="single" w:sz="8" w:color="DCDDDE"/>
            </w:tcBorders>
          </w:tcPr>
          <w:p>
            <w:pPr>
              <w:spacing w:after="0"/>
              <w:rPr>
                <w:sz w:val="20"/>
                <w:szCs w:val="20"/>
                <w:color w:val="auto"/>
              </w:rPr>
            </w:pPr>
          </w:p>
        </w:tc>
        <w:tc>
          <w:tcPr>
            <w:tcW w:w="4980" w:type="dxa"/>
            <w:vAlign w:val="bottom"/>
            <w:tcBorders>
              <w:bottom w:val="single" w:sz="8" w:color="DCDDDE"/>
            </w:tcBorders>
          </w:tcPr>
          <w:p>
            <w:pPr>
              <w:ind w:left="140"/>
              <w:spacing w:after="0"/>
              <w:rPr>
                <w:sz w:val="20"/>
                <w:szCs w:val="20"/>
                <w:color w:val="auto"/>
              </w:rPr>
            </w:pPr>
            <w:r>
              <w:rPr>
                <w:rFonts w:ascii="Arial" w:cs="Arial" w:eastAsia="Arial" w:hAnsi="Arial"/>
                <w:sz w:val="18"/>
                <w:szCs w:val="18"/>
                <w:color w:val="auto"/>
              </w:rPr>
              <w:t>taking into account the costs of operating these businesses</w:t>
            </w: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2040" w:type="dxa"/>
            <w:vAlign w:val="bottom"/>
          </w:tcPr>
          <w:p>
            <w:pPr>
              <w:ind w:left="100"/>
              <w:spacing w:after="0" w:line="204" w:lineRule="exact"/>
              <w:rPr>
                <w:sz w:val="20"/>
                <w:szCs w:val="20"/>
                <w:color w:val="auto"/>
              </w:rPr>
            </w:pPr>
            <w:r>
              <w:rPr>
                <w:rFonts w:ascii="Arial" w:cs="Arial" w:eastAsia="Arial" w:hAnsi="Arial"/>
                <w:sz w:val="18"/>
                <w:szCs w:val="18"/>
                <w:color w:val="auto"/>
              </w:rPr>
              <w:t>Free Cash Flow</w:t>
            </w:r>
          </w:p>
        </w:tc>
        <w:tc>
          <w:tcPr>
            <w:tcW w:w="4980" w:type="dxa"/>
            <w:vAlign w:val="bottom"/>
          </w:tcPr>
          <w:p>
            <w:pPr>
              <w:ind w:left="140"/>
              <w:spacing w:after="0" w:line="204" w:lineRule="exact"/>
              <w:rPr>
                <w:sz w:val="20"/>
                <w:szCs w:val="20"/>
                <w:color w:val="auto"/>
              </w:rPr>
            </w:pPr>
            <w:r>
              <w:rPr>
                <w:rFonts w:ascii="Arial" w:cs="Arial" w:eastAsia="Arial" w:hAnsi="Arial"/>
                <w:sz w:val="18"/>
                <w:szCs w:val="18"/>
                <w:color w:val="auto"/>
              </w:rPr>
              <w:t>Measures, among other things, cash remaining after capital</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investments that allows us to repay indebtedness, make</w:t>
            </w:r>
          </w:p>
        </w:tc>
        <w:tc>
          <w:tcPr>
            <w:tcW w:w="0" w:type="dxa"/>
            <w:vAlign w:val="bottom"/>
          </w:tcPr>
          <w:p>
            <w:pPr>
              <w:spacing w:after="0"/>
              <w:rPr>
                <w:sz w:val="1"/>
                <w:szCs w:val="1"/>
                <w:color w:val="auto"/>
              </w:rPr>
            </w:pPr>
          </w:p>
        </w:tc>
      </w:tr>
      <w:tr>
        <w:trPr>
          <w:trHeight w:val="235"/>
        </w:trPr>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strategic investments and return capital to shareholders</w:t>
            </w:r>
          </w:p>
        </w:tc>
        <w:tc>
          <w:tcPr>
            <w:tcW w:w="0" w:type="dxa"/>
            <w:vAlign w:val="bottom"/>
          </w:tcPr>
          <w:p>
            <w:pPr>
              <w:spacing w:after="0"/>
              <w:rPr>
                <w:sz w:val="1"/>
                <w:szCs w:val="1"/>
                <w:color w:val="auto"/>
              </w:rPr>
            </w:pPr>
          </w:p>
        </w:tc>
      </w:tr>
      <w:tr>
        <w:trPr>
          <w:trHeight w:val="204"/>
        </w:trPr>
        <w:tc>
          <w:tcPr>
            <w:tcW w:w="1340" w:type="dxa"/>
            <w:vAlign w:val="bottom"/>
          </w:tcPr>
          <w:p>
            <w:pPr>
              <w:spacing w:after="0" w:line="204" w:lineRule="exact"/>
              <w:rPr>
                <w:sz w:val="20"/>
                <w:szCs w:val="20"/>
                <w:color w:val="auto"/>
              </w:rPr>
            </w:pPr>
            <w:r>
              <w:rPr>
                <w:rFonts w:ascii="Arial" w:cs="Arial" w:eastAsia="Arial" w:hAnsi="Arial"/>
                <w:sz w:val="18"/>
                <w:szCs w:val="18"/>
                <w:b w:val="1"/>
                <w:bCs w:val="1"/>
                <w:color w:val="00A0DD"/>
              </w:rPr>
              <w:t>Long-Term</w:t>
            </w:r>
          </w:p>
        </w:tc>
        <w:tc>
          <w:tcPr>
            <w:tcW w:w="2040" w:type="dxa"/>
            <w:vAlign w:val="bottom"/>
          </w:tcPr>
          <w:p>
            <w:pPr>
              <w:ind w:left="100"/>
              <w:spacing w:after="0" w:line="204" w:lineRule="exact"/>
              <w:rPr>
                <w:sz w:val="20"/>
                <w:szCs w:val="20"/>
                <w:color w:val="auto"/>
              </w:rPr>
            </w:pPr>
            <w:r>
              <w:rPr>
                <w:rFonts w:ascii="Arial" w:cs="Arial" w:eastAsia="Arial" w:hAnsi="Arial"/>
                <w:sz w:val="18"/>
                <w:szCs w:val="18"/>
                <w:color w:val="auto"/>
              </w:rPr>
              <w:t>Average ROIC</w:t>
            </w:r>
          </w:p>
        </w:tc>
        <w:tc>
          <w:tcPr>
            <w:tcW w:w="4980" w:type="dxa"/>
            <w:vAlign w:val="bottom"/>
          </w:tcPr>
          <w:p>
            <w:pPr>
              <w:ind w:left="140"/>
              <w:spacing w:after="0" w:line="204" w:lineRule="exact"/>
              <w:rPr>
                <w:sz w:val="20"/>
                <w:szCs w:val="20"/>
                <w:color w:val="auto"/>
              </w:rPr>
            </w:pPr>
            <w:r>
              <w:rPr>
                <w:rFonts w:ascii="Arial" w:cs="Arial" w:eastAsia="Arial" w:hAnsi="Arial"/>
                <w:sz w:val="18"/>
                <w:szCs w:val="18"/>
                <w:color w:val="auto"/>
              </w:rPr>
              <w:t>Measures how well capital (equity and debt) is used to</w:t>
            </w:r>
          </w:p>
        </w:tc>
        <w:tc>
          <w:tcPr>
            <w:tcW w:w="0" w:type="dxa"/>
            <w:vAlign w:val="bottom"/>
          </w:tcPr>
          <w:p>
            <w:pPr>
              <w:spacing w:after="0"/>
              <w:rPr>
                <w:sz w:val="1"/>
                <w:szCs w:val="1"/>
                <w:color w:val="auto"/>
              </w:rPr>
            </w:pP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b w:val="1"/>
                <w:bCs w:val="1"/>
                <w:color w:val="00A0DD"/>
              </w:rPr>
              <w:t>Incentive</w:t>
            </w:r>
          </w:p>
        </w:tc>
        <w:tc>
          <w:tcPr>
            <w:tcW w:w="2040" w:type="dxa"/>
            <w:vAlign w:val="bottom"/>
          </w:tcPr>
          <w:p>
            <w:pPr>
              <w:spacing w:after="0"/>
              <w:rPr>
                <w:sz w:val="17"/>
                <w:szCs w:val="17"/>
                <w:color w:val="auto"/>
              </w:rPr>
            </w:pPr>
          </w:p>
        </w:tc>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generate earnings over a three-year period</w:t>
            </w:r>
          </w:p>
        </w:tc>
        <w:tc>
          <w:tcPr>
            <w:tcW w:w="0" w:type="dxa"/>
            <w:vAlign w:val="bottom"/>
          </w:tcPr>
          <w:p>
            <w:pPr>
              <w:spacing w:after="0"/>
              <w:rPr>
                <w:sz w:val="1"/>
                <w:szCs w:val="1"/>
                <w:color w:val="auto"/>
              </w:rPr>
            </w:pPr>
          </w:p>
        </w:tc>
      </w:tr>
      <w:tr>
        <w:trPr>
          <w:trHeight w:val="32"/>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00A0DD"/>
              </w:rPr>
              <w:t>Program</w:t>
            </w:r>
          </w:p>
        </w:tc>
        <w:tc>
          <w:tcPr>
            <w:tcW w:w="2040" w:type="dxa"/>
            <w:vAlign w:val="bottom"/>
            <w:tcBorders>
              <w:bottom w:val="single" w:sz="8" w:color="DCDDDE"/>
            </w:tcBorders>
          </w:tcPr>
          <w:p>
            <w:pPr>
              <w:spacing w:after="0"/>
              <w:rPr>
                <w:sz w:val="2"/>
                <w:szCs w:val="2"/>
                <w:color w:val="auto"/>
              </w:rPr>
            </w:pPr>
          </w:p>
        </w:tc>
        <w:tc>
          <w:tcPr>
            <w:tcW w:w="4980" w:type="dxa"/>
            <w:vAlign w:val="bottom"/>
            <w:tcBorders>
              <w:bottom w:val="single" w:sz="8" w:color="DCDDDE"/>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340" w:type="dxa"/>
            <w:vAlign w:val="bottom"/>
            <w:vMerge w:val="continue"/>
          </w:tcPr>
          <w:p>
            <w:pPr>
              <w:spacing w:after="0"/>
              <w:rPr>
                <w:sz w:val="17"/>
                <w:szCs w:val="17"/>
                <w:color w:val="auto"/>
              </w:rPr>
            </w:pPr>
          </w:p>
        </w:tc>
        <w:tc>
          <w:tcPr>
            <w:tcW w:w="2040" w:type="dxa"/>
            <w:vAlign w:val="bottom"/>
          </w:tcPr>
          <w:p>
            <w:pPr>
              <w:ind w:left="100"/>
              <w:spacing w:after="0" w:line="204" w:lineRule="exact"/>
              <w:rPr>
                <w:sz w:val="20"/>
                <w:szCs w:val="20"/>
                <w:color w:val="auto"/>
              </w:rPr>
            </w:pPr>
            <w:r>
              <w:rPr>
                <w:rFonts w:ascii="Arial" w:cs="Arial" w:eastAsia="Arial" w:hAnsi="Arial"/>
                <w:sz w:val="18"/>
                <w:szCs w:val="18"/>
                <w:color w:val="auto"/>
              </w:rPr>
              <w:t>Relative Adjusted EPS</w:t>
            </w:r>
          </w:p>
        </w:tc>
        <w:tc>
          <w:tcPr>
            <w:tcW w:w="4980" w:type="dxa"/>
            <w:vAlign w:val="bottom"/>
          </w:tcPr>
          <w:p>
            <w:pPr>
              <w:ind w:left="140"/>
              <w:spacing w:after="0" w:line="204" w:lineRule="exact"/>
              <w:rPr>
                <w:sz w:val="20"/>
                <w:szCs w:val="20"/>
                <w:color w:val="auto"/>
              </w:rPr>
            </w:pPr>
            <w:r>
              <w:rPr>
                <w:rFonts w:ascii="Arial" w:cs="Arial" w:eastAsia="Arial" w:hAnsi="Arial"/>
                <w:sz w:val="18"/>
                <w:szCs w:val="18"/>
                <w:color w:val="auto"/>
              </w:rPr>
              <w:t>Measures earnings performance compared to other S&amp;P</w:t>
            </w: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p>
        </w:tc>
        <w:tc>
          <w:tcPr>
            <w:tcW w:w="2040" w:type="dxa"/>
            <w:vAlign w:val="bottom"/>
            <w:tcBorders>
              <w:bottom w:val="single" w:sz="8" w:color="DCDDDE"/>
            </w:tcBorders>
          </w:tcPr>
          <w:p>
            <w:pPr>
              <w:ind w:left="100"/>
              <w:spacing w:after="0"/>
              <w:rPr>
                <w:sz w:val="20"/>
                <w:szCs w:val="20"/>
                <w:color w:val="auto"/>
              </w:rPr>
            </w:pPr>
            <w:r>
              <w:rPr>
                <w:rFonts w:ascii="Arial" w:cs="Arial" w:eastAsia="Arial" w:hAnsi="Arial"/>
                <w:sz w:val="18"/>
                <w:szCs w:val="18"/>
                <w:color w:val="auto"/>
              </w:rPr>
              <w:t>Growth</w:t>
            </w:r>
          </w:p>
        </w:tc>
        <w:tc>
          <w:tcPr>
            <w:tcW w:w="4980" w:type="dxa"/>
            <w:vAlign w:val="bottom"/>
            <w:tcBorders>
              <w:bottom w:val="single" w:sz="8" w:color="DCDDDE"/>
            </w:tcBorders>
          </w:tcPr>
          <w:p>
            <w:pPr>
              <w:ind w:left="140"/>
              <w:spacing w:after="0"/>
              <w:rPr>
                <w:sz w:val="20"/>
                <w:szCs w:val="20"/>
                <w:color w:val="auto"/>
              </w:rPr>
            </w:pPr>
            <w:r>
              <w:rPr>
                <w:rFonts w:ascii="Arial" w:cs="Arial" w:eastAsia="Arial" w:hAnsi="Arial"/>
                <w:sz w:val="18"/>
                <w:szCs w:val="18"/>
                <w:color w:val="auto"/>
              </w:rPr>
              <w:t>100 companies over a three-year period</w:t>
            </w: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2040" w:type="dxa"/>
            <w:vAlign w:val="bottom"/>
          </w:tcPr>
          <w:p>
            <w:pPr>
              <w:ind w:left="100"/>
              <w:spacing w:after="0" w:line="204" w:lineRule="exact"/>
              <w:rPr>
                <w:sz w:val="20"/>
                <w:szCs w:val="20"/>
                <w:color w:val="auto"/>
              </w:rPr>
            </w:pPr>
            <w:r>
              <w:rPr>
                <w:rFonts w:ascii="Arial" w:cs="Arial" w:eastAsia="Arial" w:hAnsi="Arial"/>
                <w:sz w:val="18"/>
                <w:szCs w:val="18"/>
                <w:color w:val="auto"/>
              </w:rPr>
              <w:t>Relative TSR</w:t>
            </w:r>
          </w:p>
        </w:tc>
        <w:tc>
          <w:tcPr>
            <w:tcW w:w="4980" w:type="dxa"/>
            <w:vAlign w:val="bottom"/>
          </w:tcPr>
          <w:p>
            <w:pPr>
              <w:ind w:left="140"/>
              <w:spacing w:after="0" w:line="204" w:lineRule="exact"/>
              <w:rPr>
                <w:sz w:val="20"/>
                <w:szCs w:val="20"/>
                <w:color w:val="auto"/>
              </w:rPr>
            </w:pPr>
            <w:r>
              <w:rPr>
                <w:rFonts w:ascii="Arial" w:cs="Arial" w:eastAsia="Arial" w:hAnsi="Arial"/>
                <w:sz w:val="18"/>
                <w:szCs w:val="18"/>
                <w:color w:val="auto"/>
                <w:w w:val="99"/>
              </w:rPr>
              <w:t>Measures total company achievement of shareholder returns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compared to other S&amp;P 100 companies over a three-year</w:t>
            </w:r>
          </w:p>
        </w:tc>
        <w:tc>
          <w:tcPr>
            <w:tcW w:w="0" w:type="dxa"/>
            <w:vAlign w:val="bottom"/>
          </w:tcPr>
          <w:p>
            <w:pPr>
              <w:spacing w:after="0"/>
              <w:rPr>
                <w:sz w:val="1"/>
                <w:szCs w:val="1"/>
                <w:color w:val="auto"/>
              </w:rPr>
            </w:pPr>
          </w:p>
        </w:tc>
      </w:tr>
      <w:tr>
        <w:trPr>
          <w:trHeight w:val="235"/>
        </w:trPr>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Design and Structure of Our Executive Compensation Program</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Elements of Compensation</w:t>
      </w:r>
    </w:p>
    <w:p>
      <w:pPr>
        <w:spacing w:after="0" w:line="16" w:lineRule="exact"/>
        <w:rPr>
          <w:sz w:val="20"/>
          <w:szCs w:val="20"/>
          <w:color w:val="auto"/>
        </w:rPr>
      </w:pPr>
    </w:p>
    <w:p>
      <w:pPr>
        <w:ind w:left="1180" w:right="1360"/>
        <w:spacing w:after="0" w:line="242" w:lineRule="auto"/>
        <w:rPr>
          <w:sz w:val="20"/>
          <w:szCs w:val="20"/>
          <w:color w:val="auto"/>
        </w:rPr>
      </w:pPr>
      <w:r>
        <w:rPr>
          <w:rFonts w:ascii="Arial" w:cs="Arial" w:eastAsia="Arial" w:hAnsi="Arial"/>
          <w:sz w:val="18"/>
          <w:szCs w:val="18"/>
          <w:color w:val="auto"/>
        </w:rPr>
        <w:t>We view our executive compensation program on a “portfolio” basis to appropriately balance various compensation elements that motivate and reward our NEOs for their performance and creation of long-term shareholder value.</w:t>
      </w:r>
    </w:p>
    <w:p>
      <w:pPr>
        <w:spacing w:after="0" w:line="104" w:lineRule="exact"/>
        <w:rPr>
          <w:sz w:val="20"/>
          <w:szCs w:val="20"/>
          <w:color w:val="auto"/>
        </w:rPr>
      </w:pPr>
    </w:p>
    <w:tbl>
      <w:tblPr>
        <w:tblLayout w:type="fixed"/>
        <w:tblInd w:w="1180" w:type="dxa"/>
        <w:tblCellMar>
          <w:top w:w="0" w:type="dxa"/>
          <w:left w:w="0" w:type="dxa"/>
          <w:bottom w:w="0" w:type="dxa"/>
          <w:right w:w="0" w:type="dxa"/>
        </w:tblCellMar>
      </w:tblPr>
      <w:tr>
        <w:trPr>
          <w:trHeight w:val="270"/>
        </w:trPr>
        <w:tc>
          <w:tcPr>
            <w:tcW w:w="1220" w:type="dxa"/>
            <w:vAlign w:val="bottom"/>
          </w:tcPr>
          <w:p>
            <w:pPr>
              <w:spacing w:after="0"/>
              <w:rPr>
                <w:sz w:val="20"/>
                <w:szCs w:val="20"/>
                <w:color w:val="auto"/>
              </w:rPr>
            </w:pPr>
            <w:r>
              <w:rPr>
                <w:rFonts w:ascii="Arial" w:cs="Arial" w:eastAsia="Arial" w:hAnsi="Arial"/>
                <w:sz w:val="16"/>
                <w:szCs w:val="16"/>
                <w:b w:val="1"/>
                <w:bCs w:val="1"/>
                <w:color w:val="auto"/>
              </w:rPr>
              <w:t>TYPE</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ELEMENT</w:t>
            </w: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WHY WE USED IT</w:t>
            </w:r>
          </w:p>
        </w:tc>
        <w:tc>
          <w:tcPr>
            <w:tcW w:w="80" w:type="dxa"/>
            <w:vAlign w:val="bottom"/>
            <w:tcBorders>
              <w:bottom w:val="single" w:sz="8" w:color="E2F1FB"/>
            </w:tcBorders>
            <w:shd w:val="clear" w:color="auto" w:fill="E2F1FB"/>
          </w:tcPr>
          <w:p>
            <w:pPr>
              <w:spacing w:after="0"/>
              <w:rPr>
                <w:sz w:val="23"/>
                <w:szCs w:val="23"/>
                <w:color w:val="auto"/>
              </w:rPr>
            </w:pPr>
          </w:p>
        </w:tc>
        <w:tc>
          <w:tcPr>
            <w:tcW w:w="2780" w:type="dxa"/>
            <w:vAlign w:val="bottom"/>
            <w:tcBorders>
              <w:bottom w:val="single" w:sz="8" w:color="E2F1FB"/>
            </w:tcBorders>
            <w:gridSpan w:val="2"/>
            <w:shd w:val="clear" w:color="auto" w:fill="E2F1FB"/>
          </w:tcPr>
          <w:p>
            <w:pPr>
              <w:spacing w:after="0"/>
              <w:rPr>
                <w:sz w:val="20"/>
                <w:szCs w:val="20"/>
                <w:color w:val="auto"/>
              </w:rPr>
            </w:pPr>
            <w:r>
              <w:rPr>
                <w:rFonts w:ascii="Arial" w:cs="Arial" w:eastAsia="Arial" w:hAnsi="Arial"/>
                <w:sz w:val="16"/>
                <w:szCs w:val="16"/>
                <w:b w:val="1"/>
                <w:bCs w:val="1"/>
                <w:color w:val="auto"/>
              </w:rPr>
              <w:t>COMPENSATION HIGHLIGHTS</w:t>
            </w:r>
          </w:p>
        </w:tc>
        <w:tc>
          <w:tcPr>
            <w:tcW w:w="0" w:type="dxa"/>
            <w:vAlign w:val="bottom"/>
          </w:tcPr>
          <w:p>
            <w:pPr>
              <w:spacing w:after="0"/>
              <w:rPr>
                <w:sz w:val="1"/>
                <w:szCs w:val="1"/>
                <w:color w:val="auto"/>
              </w:rPr>
            </w:pPr>
          </w:p>
        </w:tc>
      </w:tr>
      <w:tr>
        <w:trPr>
          <w:trHeight w:val="249"/>
        </w:trPr>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Fixed</w:t>
            </w: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Base</w:t>
            </w: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00A0DD"/>
              </w:rPr>
              <w:t>•</w:t>
            </w:r>
          </w:p>
        </w:tc>
        <w:tc>
          <w:tcPr>
            <w:tcW w:w="31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Necessary to attract and retain our</w:t>
            </w:r>
          </w:p>
        </w:tc>
        <w:tc>
          <w:tcPr>
            <w:tcW w:w="80" w:type="dxa"/>
            <w:vAlign w:val="bottom"/>
            <w:tcBorders>
              <w:top w:val="single" w:sz="8" w:color="auto"/>
            </w:tcBorders>
            <w:shd w:val="clear" w:color="auto" w:fill="E2F1FB"/>
          </w:tcPr>
          <w:p>
            <w:pPr>
              <w:spacing w:after="0"/>
              <w:rPr>
                <w:sz w:val="21"/>
                <w:szCs w:val="21"/>
                <w:color w:val="auto"/>
              </w:rPr>
            </w:pPr>
          </w:p>
        </w:tc>
        <w:tc>
          <w:tcPr>
            <w:tcW w:w="120" w:type="dxa"/>
            <w:vAlign w:val="bottom"/>
            <w:tcBorders>
              <w:top w:val="single" w:sz="8" w:color="auto"/>
            </w:tcBorders>
            <w:shd w:val="clear" w:color="auto" w:fill="E2F1FB"/>
          </w:tcPr>
          <w:p>
            <w:pPr>
              <w:spacing w:after="0"/>
              <w:rPr>
                <w:sz w:val="20"/>
                <w:szCs w:val="20"/>
                <w:color w:val="auto"/>
              </w:rPr>
            </w:pPr>
            <w:r>
              <w:rPr>
                <w:rFonts w:ascii="Arial" w:cs="Arial" w:eastAsia="Arial" w:hAnsi="Arial"/>
                <w:sz w:val="16"/>
                <w:szCs w:val="16"/>
                <w:color w:val="00A0DD"/>
              </w:rPr>
              <w:t>•</w:t>
            </w:r>
          </w:p>
        </w:tc>
        <w:tc>
          <w:tcPr>
            <w:tcW w:w="2660" w:type="dxa"/>
            <w:vAlign w:val="bottom"/>
            <w:tcBorders>
              <w:top w:val="single" w:sz="8" w:color="auto"/>
            </w:tcBorders>
            <w:shd w:val="clear" w:color="auto" w:fill="E2F1FB"/>
          </w:tcPr>
          <w:p>
            <w:pPr>
              <w:ind w:left="280"/>
              <w:spacing w:after="0"/>
              <w:rPr>
                <w:sz w:val="20"/>
                <w:szCs w:val="20"/>
                <w:color w:val="auto"/>
              </w:rPr>
            </w:pPr>
            <w:r>
              <w:rPr>
                <w:rFonts w:ascii="Arial" w:cs="Arial" w:eastAsia="Arial" w:hAnsi="Arial"/>
                <w:sz w:val="16"/>
                <w:szCs w:val="16"/>
                <w:color w:val="auto"/>
              </w:rPr>
              <w:t>Salary level is based on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Salary</w:t>
            </w:r>
          </w:p>
        </w:tc>
        <w:tc>
          <w:tcPr>
            <w:tcW w:w="180" w:type="dxa"/>
            <w:vAlign w:val="bottom"/>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NEOs.</w:t>
            </w:r>
          </w:p>
        </w:tc>
        <w:tc>
          <w:tcPr>
            <w:tcW w:w="80" w:type="dxa"/>
            <w:vAlign w:val="bottom"/>
            <w:shd w:val="clear" w:color="auto" w:fill="E2F1FB"/>
          </w:tcPr>
          <w:p>
            <w:pPr>
              <w:spacing w:after="0"/>
              <w:rPr>
                <w:sz w:val="17"/>
                <w:szCs w:val="17"/>
                <w:color w:val="auto"/>
              </w:rPr>
            </w:pPr>
          </w:p>
        </w:tc>
        <w:tc>
          <w:tcPr>
            <w:tcW w:w="120" w:type="dxa"/>
            <w:vAlign w:val="bottom"/>
            <w:shd w:val="clear" w:color="auto" w:fill="E2F1FB"/>
          </w:tcPr>
          <w:p>
            <w:pPr>
              <w:spacing w:after="0"/>
              <w:rPr>
                <w:sz w:val="17"/>
                <w:szCs w:val="17"/>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individual performance, experience,</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00A0DD"/>
              </w:rPr>
              <w:t>•</w:t>
            </w:r>
          </w:p>
        </w:tc>
        <w:tc>
          <w:tcPr>
            <w:tcW w:w="3100" w:type="dxa"/>
            <w:vAlign w:val="bottom"/>
            <w:vMerge w:val="restart"/>
          </w:tcPr>
          <w:p>
            <w:pPr>
              <w:ind w:left="280"/>
              <w:spacing w:after="0"/>
              <w:rPr>
                <w:sz w:val="20"/>
                <w:szCs w:val="20"/>
                <w:color w:val="auto"/>
              </w:rPr>
            </w:pPr>
            <w:r>
              <w:rPr>
                <w:rFonts w:ascii="Arial" w:cs="Arial" w:eastAsia="Arial" w:hAnsi="Arial"/>
                <w:sz w:val="16"/>
                <w:szCs w:val="16"/>
                <w:color w:val="auto"/>
              </w:rPr>
              <w:t>Serves as a baseline measure of an</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market data, position within the</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80" w:type="dxa"/>
            <w:vAlign w:val="bottom"/>
            <w:shd w:val="clear" w:color="auto" w:fill="E2F1FB"/>
          </w:tcPr>
          <w:p>
            <w:pPr>
              <w:spacing w:after="0"/>
              <w:rPr>
                <w:sz w:val="10"/>
                <w:szCs w:val="10"/>
                <w:color w:val="auto"/>
              </w:rPr>
            </w:pPr>
          </w:p>
        </w:tc>
        <w:tc>
          <w:tcPr>
            <w:tcW w:w="120" w:type="dxa"/>
            <w:vAlign w:val="bottom"/>
            <w:shd w:val="clear" w:color="auto" w:fill="E2F1FB"/>
          </w:tcPr>
          <w:p>
            <w:pPr>
              <w:spacing w:after="0"/>
              <w:rPr>
                <w:sz w:val="10"/>
                <w:szCs w:val="10"/>
                <w:color w:val="auto"/>
              </w:rPr>
            </w:pPr>
          </w:p>
        </w:tc>
        <w:tc>
          <w:tcPr>
            <w:tcW w:w="2660" w:type="dxa"/>
            <w:vAlign w:val="bottom"/>
            <w:vMerge w:val="restart"/>
            <w:shd w:val="clear" w:color="auto" w:fill="E2F1FB"/>
          </w:tcPr>
          <w:p>
            <w:pPr>
              <w:ind w:left="80"/>
              <w:spacing w:after="0"/>
              <w:rPr>
                <w:sz w:val="20"/>
                <w:szCs w:val="20"/>
                <w:color w:val="auto"/>
              </w:rPr>
            </w:pPr>
            <w:r>
              <w:rPr>
                <w:rFonts w:ascii="Arial" w:cs="Arial" w:eastAsia="Arial" w:hAnsi="Arial"/>
                <w:sz w:val="16"/>
                <w:szCs w:val="16"/>
                <w:color w:val="auto"/>
              </w:rPr>
              <w:t>organization and duties and</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vMerge w:val="restart"/>
          </w:tcPr>
          <w:p>
            <w:pPr>
              <w:ind w:left="60"/>
              <w:spacing w:after="0"/>
              <w:rPr>
                <w:sz w:val="20"/>
                <w:szCs w:val="20"/>
                <w:color w:val="auto"/>
              </w:rPr>
            </w:pPr>
            <w:r>
              <w:rPr>
                <w:rFonts w:ascii="Arial" w:cs="Arial" w:eastAsia="Arial" w:hAnsi="Arial"/>
                <w:sz w:val="16"/>
                <w:szCs w:val="16"/>
                <w:color w:val="auto"/>
              </w:rPr>
              <w:t>NEO’s value.</w:t>
            </w:r>
          </w:p>
        </w:tc>
        <w:tc>
          <w:tcPr>
            <w:tcW w:w="80" w:type="dxa"/>
            <w:vAlign w:val="bottom"/>
            <w:shd w:val="clear" w:color="auto" w:fill="E2F1FB"/>
          </w:tcPr>
          <w:p>
            <w:pPr>
              <w:spacing w:after="0"/>
              <w:rPr>
                <w:sz w:val="5"/>
                <w:szCs w:val="5"/>
                <w:color w:val="auto"/>
              </w:rPr>
            </w:pPr>
          </w:p>
        </w:tc>
        <w:tc>
          <w:tcPr>
            <w:tcW w:w="120" w:type="dxa"/>
            <w:vAlign w:val="bottom"/>
            <w:shd w:val="clear" w:color="auto" w:fill="E2F1FB"/>
          </w:tcPr>
          <w:p>
            <w:pPr>
              <w:spacing w:after="0"/>
              <w:rPr>
                <w:sz w:val="5"/>
                <w:szCs w:val="5"/>
                <w:color w:val="auto"/>
              </w:rPr>
            </w:pPr>
          </w:p>
        </w:tc>
        <w:tc>
          <w:tcPr>
            <w:tcW w:w="2660" w:type="dxa"/>
            <w:vAlign w:val="bottom"/>
            <w:vMerge w:val="continue"/>
            <w:shd w:val="clear" w:color="auto" w:fill="E2F1FB"/>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80" w:type="dxa"/>
            <w:vAlign w:val="bottom"/>
            <w:shd w:val="clear" w:color="auto" w:fill="E2F1FB"/>
          </w:tcPr>
          <w:p>
            <w:pPr>
              <w:spacing w:after="0"/>
              <w:rPr>
                <w:sz w:val="12"/>
                <w:szCs w:val="12"/>
                <w:color w:val="auto"/>
              </w:rPr>
            </w:pPr>
          </w:p>
        </w:tc>
        <w:tc>
          <w:tcPr>
            <w:tcW w:w="120" w:type="dxa"/>
            <w:vAlign w:val="bottom"/>
            <w:shd w:val="clear" w:color="auto" w:fill="E2F1FB"/>
          </w:tcPr>
          <w:p>
            <w:pPr>
              <w:spacing w:after="0"/>
              <w:rPr>
                <w:sz w:val="12"/>
                <w:szCs w:val="12"/>
                <w:color w:val="auto"/>
              </w:rPr>
            </w:pPr>
          </w:p>
        </w:tc>
        <w:tc>
          <w:tcPr>
            <w:tcW w:w="2660" w:type="dxa"/>
            <w:vAlign w:val="bottom"/>
            <w:vMerge w:val="restart"/>
            <w:shd w:val="clear" w:color="auto" w:fill="E2F1FB"/>
          </w:tcPr>
          <w:p>
            <w:pPr>
              <w:ind w:left="80"/>
              <w:spacing w:after="0"/>
              <w:rPr>
                <w:sz w:val="20"/>
                <w:szCs w:val="20"/>
                <w:color w:val="auto"/>
              </w:rPr>
            </w:pPr>
            <w:r>
              <w:rPr>
                <w:rFonts w:ascii="Arial" w:cs="Arial" w:eastAsia="Arial" w:hAnsi="Arial"/>
                <w:sz w:val="16"/>
                <w:szCs w:val="16"/>
                <w:color w:val="auto"/>
              </w:rPr>
              <w:t>responsibilities.</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tcPr>
          <w:p>
            <w:pPr>
              <w:spacing w:after="0"/>
              <w:rPr>
                <w:sz w:val="5"/>
                <w:szCs w:val="5"/>
                <w:color w:val="auto"/>
              </w:rPr>
            </w:pPr>
          </w:p>
        </w:tc>
        <w:tc>
          <w:tcPr>
            <w:tcW w:w="80" w:type="dxa"/>
            <w:vAlign w:val="bottom"/>
            <w:shd w:val="clear" w:color="auto" w:fill="E2F1FB"/>
          </w:tcPr>
          <w:p>
            <w:pPr>
              <w:spacing w:after="0"/>
              <w:rPr>
                <w:sz w:val="5"/>
                <w:szCs w:val="5"/>
                <w:color w:val="auto"/>
              </w:rPr>
            </w:pPr>
          </w:p>
        </w:tc>
        <w:tc>
          <w:tcPr>
            <w:tcW w:w="120" w:type="dxa"/>
            <w:vAlign w:val="bottom"/>
            <w:shd w:val="clear" w:color="auto" w:fill="E2F1FB"/>
          </w:tcPr>
          <w:p>
            <w:pPr>
              <w:spacing w:after="0"/>
              <w:rPr>
                <w:sz w:val="5"/>
                <w:szCs w:val="5"/>
                <w:color w:val="auto"/>
              </w:rPr>
            </w:pPr>
          </w:p>
        </w:tc>
        <w:tc>
          <w:tcPr>
            <w:tcW w:w="2660" w:type="dxa"/>
            <w:vAlign w:val="bottom"/>
            <w:vMerge w:val="continue"/>
            <w:shd w:val="clear" w:color="auto" w:fill="E2F1FB"/>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A0DD"/>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Guaranteed compensation in</w:t>
            </w:r>
          </w:p>
        </w:tc>
        <w:tc>
          <w:tcPr>
            <w:tcW w:w="80" w:type="dxa"/>
            <w:vAlign w:val="bottom"/>
            <w:shd w:val="clear" w:color="auto" w:fill="E2F1FB"/>
          </w:tcPr>
          <w:p>
            <w:pPr>
              <w:spacing w:after="0"/>
              <w:rPr>
                <w:sz w:val="18"/>
                <w:szCs w:val="18"/>
                <w:color w:val="auto"/>
              </w:rPr>
            </w:pPr>
          </w:p>
        </w:tc>
        <w:tc>
          <w:tcPr>
            <w:tcW w:w="120" w:type="dxa"/>
            <w:vAlign w:val="bottom"/>
            <w:shd w:val="clear" w:color="auto" w:fill="E2F1FB"/>
          </w:tcPr>
          <w:p>
            <w:pPr>
              <w:spacing w:after="0"/>
              <w:rPr>
                <w:sz w:val="18"/>
                <w:szCs w:val="18"/>
                <w:color w:val="auto"/>
              </w:rPr>
            </w:pPr>
          </w:p>
        </w:tc>
        <w:tc>
          <w:tcPr>
            <w:tcW w:w="2660" w:type="dxa"/>
            <w:vAlign w:val="bottom"/>
            <w:shd w:val="clear" w:color="auto" w:fill="E2F1F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exchange for investing in a career with</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us.</w:t>
            </w:r>
          </w:p>
        </w:tc>
        <w:tc>
          <w:tcPr>
            <w:tcW w:w="80" w:type="dxa"/>
            <w:vAlign w:val="bottom"/>
            <w:tcBorders>
              <w:bottom w:val="single" w:sz="8" w:color="E2F1FB"/>
            </w:tcBorders>
            <w:shd w:val="clear" w:color="auto" w:fill="E2F1FB"/>
          </w:tcPr>
          <w:p>
            <w:pPr>
              <w:spacing w:after="0"/>
              <w:rPr>
                <w:sz w:val="23"/>
                <w:szCs w:val="23"/>
                <w:color w:val="auto"/>
              </w:rPr>
            </w:pPr>
          </w:p>
        </w:tc>
        <w:tc>
          <w:tcPr>
            <w:tcW w:w="120" w:type="dxa"/>
            <w:vAlign w:val="bottom"/>
            <w:tcBorders>
              <w:bottom w:val="single" w:sz="8" w:color="E2F1FB"/>
            </w:tcBorders>
            <w:shd w:val="clear" w:color="auto" w:fill="E2F1FB"/>
          </w:tcPr>
          <w:p>
            <w:pPr>
              <w:spacing w:after="0"/>
              <w:rPr>
                <w:sz w:val="23"/>
                <w:szCs w:val="23"/>
                <w:color w:val="auto"/>
              </w:rPr>
            </w:pPr>
          </w:p>
        </w:tc>
        <w:tc>
          <w:tcPr>
            <w:tcW w:w="2660" w:type="dxa"/>
            <w:vAlign w:val="bottom"/>
            <w:tcBorders>
              <w:bottom w:val="single" w:sz="8" w:color="E2F1FB"/>
            </w:tcBorders>
            <w:shd w:val="clear" w:color="auto" w:fill="E2F1FB"/>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220" w:type="dxa"/>
            <w:vAlign w:val="bottom"/>
            <w:tcBorders>
              <w:top w:val="single" w:sz="8" w:color="DCDDDE"/>
            </w:tcBorders>
          </w:tcPr>
          <w:p>
            <w:pPr>
              <w:spacing w:after="0"/>
              <w:rPr>
                <w:sz w:val="20"/>
                <w:szCs w:val="20"/>
                <w:color w:val="auto"/>
              </w:rPr>
            </w:pPr>
            <w:r>
              <w:rPr>
                <w:rFonts w:ascii="Arial" w:cs="Arial" w:eastAsia="Arial" w:hAnsi="Arial"/>
                <w:sz w:val="16"/>
                <w:szCs w:val="16"/>
                <w:b w:val="1"/>
                <w:bCs w:val="1"/>
                <w:color w:val="auto"/>
              </w:rPr>
              <w:t>Variable,</w:t>
            </w:r>
          </w:p>
        </w:tc>
        <w:tc>
          <w:tcPr>
            <w:tcW w:w="1000" w:type="dxa"/>
            <w:vAlign w:val="bottom"/>
            <w:tcBorders>
              <w:top w:val="single" w:sz="8" w:color="DCDDDE"/>
            </w:tcBorders>
          </w:tcPr>
          <w:p>
            <w:pPr>
              <w:ind w:left="60"/>
              <w:spacing w:after="0"/>
              <w:rPr>
                <w:sz w:val="20"/>
                <w:szCs w:val="20"/>
                <w:color w:val="auto"/>
              </w:rPr>
            </w:pPr>
            <w:r>
              <w:rPr>
                <w:rFonts w:ascii="Arial" w:cs="Arial" w:eastAsia="Arial" w:hAnsi="Arial"/>
                <w:sz w:val="16"/>
                <w:szCs w:val="16"/>
                <w:b w:val="1"/>
                <w:bCs w:val="1"/>
                <w:color w:val="00A0E0"/>
              </w:rPr>
              <w:t>Annual</w:t>
            </w:r>
          </w:p>
        </w:tc>
        <w:tc>
          <w:tcPr>
            <w:tcW w:w="180" w:type="dxa"/>
            <w:vAlign w:val="bottom"/>
            <w:tcBorders>
              <w:top w:val="single" w:sz="8" w:color="DCDDDE"/>
            </w:tcBorders>
          </w:tcPr>
          <w:p>
            <w:pPr>
              <w:ind w:left="60"/>
              <w:spacing w:after="0"/>
              <w:rPr>
                <w:sz w:val="20"/>
                <w:szCs w:val="20"/>
                <w:color w:val="auto"/>
              </w:rPr>
            </w:pPr>
            <w:r>
              <w:rPr>
                <w:rFonts w:ascii="Arial" w:cs="Arial" w:eastAsia="Arial" w:hAnsi="Arial"/>
                <w:sz w:val="16"/>
                <w:szCs w:val="16"/>
                <w:color w:val="00A0DD"/>
              </w:rPr>
              <w:t>•</w:t>
            </w:r>
          </w:p>
        </w:tc>
        <w:tc>
          <w:tcPr>
            <w:tcW w:w="3100" w:type="dxa"/>
            <w:vAlign w:val="bottom"/>
            <w:tcBorders>
              <w:top w:val="single" w:sz="8" w:color="DCDDDE"/>
            </w:tcBorders>
          </w:tcPr>
          <w:p>
            <w:pPr>
              <w:ind w:left="280"/>
              <w:spacing w:after="0"/>
              <w:rPr>
                <w:sz w:val="20"/>
                <w:szCs w:val="20"/>
                <w:color w:val="auto"/>
              </w:rPr>
            </w:pPr>
            <w:r>
              <w:rPr>
                <w:rFonts w:ascii="Arial" w:cs="Arial" w:eastAsia="Arial" w:hAnsi="Arial"/>
                <w:sz w:val="16"/>
                <w:szCs w:val="16"/>
                <w:color w:val="auto"/>
              </w:rPr>
              <w:t>Provides a competitive annual cash</w:t>
            </w:r>
          </w:p>
        </w:tc>
        <w:tc>
          <w:tcPr>
            <w:tcW w:w="80" w:type="dxa"/>
            <w:vAlign w:val="bottom"/>
            <w:tcBorders>
              <w:top w:val="single" w:sz="8" w:color="E2F1FB"/>
            </w:tcBorders>
            <w:shd w:val="clear" w:color="auto" w:fill="E2F1FB"/>
          </w:tcPr>
          <w:p>
            <w:pPr>
              <w:spacing w:after="0"/>
              <w:rPr>
                <w:sz w:val="20"/>
                <w:szCs w:val="20"/>
                <w:color w:val="auto"/>
              </w:rPr>
            </w:pPr>
          </w:p>
        </w:tc>
        <w:tc>
          <w:tcPr>
            <w:tcW w:w="120" w:type="dxa"/>
            <w:vAlign w:val="bottom"/>
            <w:tcBorders>
              <w:top w:val="single" w:sz="8" w:color="DCDDDE"/>
            </w:tcBorders>
            <w:shd w:val="clear" w:color="auto" w:fill="E2F1FB"/>
          </w:tcPr>
          <w:p>
            <w:pPr>
              <w:spacing w:after="0"/>
              <w:rPr>
                <w:sz w:val="20"/>
                <w:szCs w:val="20"/>
                <w:color w:val="auto"/>
              </w:rPr>
            </w:pPr>
            <w:r>
              <w:rPr>
                <w:rFonts w:ascii="Arial" w:cs="Arial" w:eastAsia="Arial" w:hAnsi="Arial"/>
                <w:sz w:val="16"/>
                <w:szCs w:val="16"/>
                <w:color w:val="00A0DD"/>
              </w:rPr>
              <w:t>•</w:t>
            </w:r>
          </w:p>
        </w:tc>
        <w:tc>
          <w:tcPr>
            <w:tcW w:w="2660" w:type="dxa"/>
            <w:vAlign w:val="bottom"/>
            <w:tcBorders>
              <w:top w:val="single" w:sz="8" w:color="DCDDDE"/>
            </w:tcBorders>
            <w:shd w:val="clear" w:color="auto" w:fill="E2F1FB"/>
          </w:tcPr>
          <w:p>
            <w:pPr>
              <w:ind w:left="280"/>
              <w:spacing w:after="0"/>
              <w:rPr>
                <w:sz w:val="20"/>
                <w:szCs w:val="20"/>
                <w:color w:val="auto"/>
              </w:rPr>
            </w:pPr>
            <w:r>
              <w:rPr>
                <w:rFonts w:ascii="Arial" w:cs="Arial" w:eastAsia="Arial" w:hAnsi="Arial"/>
                <w:sz w:val="16"/>
                <w:szCs w:val="16"/>
                <w:color w:val="auto"/>
              </w:rPr>
              <w:t>Based on objective quantitative</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20"/>
                <w:szCs w:val="20"/>
                <w:color w:val="auto"/>
              </w:rPr>
            </w:pPr>
            <w:r>
              <w:rPr>
                <w:rFonts w:ascii="Arial" w:cs="Arial" w:eastAsia="Arial" w:hAnsi="Arial"/>
                <w:sz w:val="16"/>
                <w:szCs w:val="16"/>
                <w:b w:val="1"/>
                <w:bCs w:val="1"/>
                <w:color w:val="auto"/>
              </w:rPr>
              <w:t>Short-Term,</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00A0E0"/>
              </w:rPr>
              <w:t>Cash</w:t>
            </w: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bonus opportunity and completes our</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financial performance metrics and</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00A0E0"/>
              </w:rPr>
              <w:t>Bonus</w:t>
            </w: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competitive total annual cash</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quantitative and qualitative goals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b w:val="1"/>
                <w:bCs w:val="1"/>
                <w:color w:val="auto"/>
              </w:rPr>
              <w:t>Based</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compensation package.</w:t>
            </w:r>
          </w:p>
        </w:tc>
        <w:tc>
          <w:tcPr>
            <w:tcW w:w="80" w:type="dxa"/>
            <w:vAlign w:val="bottom"/>
            <w:shd w:val="clear" w:color="auto" w:fill="E2F1FB"/>
          </w:tcPr>
          <w:p>
            <w:pPr>
              <w:spacing w:after="0"/>
              <w:rPr>
                <w:sz w:val="17"/>
                <w:szCs w:val="17"/>
                <w:color w:val="auto"/>
              </w:rPr>
            </w:pPr>
          </w:p>
        </w:tc>
        <w:tc>
          <w:tcPr>
            <w:tcW w:w="120" w:type="dxa"/>
            <w:vAlign w:val="bottom"/>
            <w:shd w:val="clear" w:color="auto" w:fill="E2F1FB"/>
          </w:tcPr>
          <w:p>
            <w:pPr>
              <w:spacing w:after="0"/>
              <w:rPr>
                <w:sz w:val="17"/>
                <w:szCs w:val="17"/>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relating to key operational</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00A0DD"/>
              </w:rPr>
              <w:t>•</w:t>
            </w:r>
          </w:p>
        </w:tc>
        <w:tc>
          <w:tcPr>
            <w:tcW w:w="3100" w:type="dxa"/>
            <w:vAlign w:val="bottom"/>
            <w:vMerge w:val="restart"/>
          </w:tcPr>
          <w:p>
            <w:pPr>
              <w:ind w:left="280"/>
              <w:spacing w:after="0"/>
              <w:rPr>
                <w:sz w:val="20"/>
                <w:szCs w:val="20"/>
                <w:color w:val="auto"/>
              </w:rPr>
            </w:pPr>
            <w:r>
              <w:rPr>
                <w:rFonts w:ascii="Arial" w:cs="Arial" w:eastAsia="Arial" w:hAnsi="Arial"/>
                <w:sz w:val="16"/>
                <w:szCs w:val="16"/>
                <w:color w:val="auto"/>
              </w:rPr>
              <w:t>Target bonus is based on the</w:t>
            </w:r>
          </w:p>
        </w:tc>
        <w:tc>
          <w:tcPr>
            <w:tcW w:w="80" w:type="dxa"/>
            <w:vAlign w:val="bottom"/>
            <w:shd w:val="clear" w:color="auto" w:fill="E2F1FB"/>
          </w:tcPr>
          <w:p>
            <w:pPr>
              <w:spacing w:after="0"/>
              <w:rPr>
                <w:sz w:val="18"/>
                <w:szCs w:val="18"/>
                <w:color w:val="auto"/>
              </w:rPr>
            </w:pPr>
          </w:p>
        </w:tc>
        <w:tc>
          <w:tcPr>
            <w:tcW w:w="120" w:type="dxa"/>
            <w:vAlign w:val="bottom"/>
            <w:shd w:val="clear" w:color="auto" w:fill="E2F1FB"/>
          </w:tcPr>
          <w:p>
            <w:pPr>
              <w:spacing w:after="0"/>
              <w:rPr>
                <w:sz w:val="18"/>
                <w:szCs w:val="18"/>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80" w:type="dxa"/>
            <w:vAlign w:val="bottom"/>
            <w:shd w:val="clear" w:color="auto" w:fill="E2F1FB"/>
          </w:tcPr>
          <w:p>
            <w:pPr>
              <w:spacing w:after="0"/>
              <w:rPr>
                <w:sz w:val="8"/>
                <w:szCs w:val="8"/>
                <w:color w:val="auto"/>
              </w:rPr>
            </w:pPr>
          </w:p>
        </w:tc>
        <w:tc>
          <w:tcPr>
            <w:tcW w:w="120" w:type="dxa"/>
            <w:vAlign w:val="bottom"/>
            <w:shd w:val="clear" w:color="auto" w:fill="E2F1FB"/>
          </w:tcPr>
          <w:p>
            <w:pPr>
              <w:spacing w:after="0"/>
              <w:rPr>
                <w:sz w:val="8"/>
                <w:szCs w:val="8"/>
                <w:color w:val="auto"/>
              </w:rPr>
            </w:pPr>
          </w:p>
        </w:tc>
        <w:tc>
          <w:tcPr>
            <w:tcW w:w="2660" w:type="dxa"/>
            <w:vAlign w:val="bottom"/>
            <w:shd w:val="clear" w:color="auto" w:fill="E2F1FB"/>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Compensation Committee’s assessment</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20"/>
                <w:szCs w:val="20"/>
                <w:color w:val="auto"/>
              </w:rPr>
            </w:pPr>
            <w:r>
              <w:rPr>
                <w:rFonts w:ascii="Arial" w:cs="Arial" w:eastAsia="Arial" w:hAnsi="Arial"/>
                <w:sz w:val="16"/>
                <w:szCs w:val="16"/>
                <w:color w:val="00A0DD"/>
              </w:rPr>
              <w:t>•</w:t>
            </w:r>
          </w:p>
        </w:tc>
        <w:tc>
          <w:tcPr>
            <w:tcW w:w="2660" w:type="dxa"/>
            <w:vAlign w:val="bottom"/>
            <w:shd w:val="clear" w:color="auto" w:fill="E2F1FB"/>
          </w:tcPr>
          <w:p>
            <w:pPr>
              <w:ind w:left="280"/>
              <w:spacing w:after="0"/>
              <w:rPr>
                <w:sz w:val="20"/>
                <w:szCs w:val="20"/>
                <w:color w:val="auto"/>
              </w:rPr>
            </w:pPr>
            <w:r>
              <w:rPr>
                <w:rFonts w:ascii="Arial" w:cs="Arial" w:eastAsia="Arial" w:hAnsi="Arial"/>
                <w:sz w:val="16"/>
                <w:szCs w:val="16"/>
                <w:color w:val="auto"/>
              </w:rPr>
              <w:t>Includes a qualitative portion</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of the optimal mix of fixed vs. variable</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based on stakeholder and</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cash compensation.</w:t>
            </w:r>
          </w:p>
        </w:tc>
        <w:tc>
          <w:tcPr>
            <w:tcW w:w="80" w:type="dxa"/>
            <w:vAlign w:val="bottom"/>
            <w:shd w:val="clear" w:color="auto" w:fill="E2F1FB"/>
          </w:tcPr>
          <w:p>
            <w:pPr>
              <w:spacing w:after="0"/>
              <w:rPr>
                <w:sz w:val="18"/>
                <w:szCs w:val="18"/>
                <w:color w:val="auto"/>
              </w:rPr>
            </w:pPr>
          </w:p>
        </w:tc>
        <w:tc>
          <w:tcPr>
            <w:tcW w:w="120" w:type="dxa"/>
            <w:vAlign w:val="bottom"/>
            <w:shd w:val="clear" w:color="auto" w:fill="E2F1FB"/>
          </w:tcPr>
          <w:p>
            <w:pPr>
              <w:spacing w:after="0"/>
              <w:rPr>
                <w:sz w:val="18"/>
                <w:szCs w:val="18"/>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sustainability initiatives.</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A0DD"/>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Supports our objective that NEOs</w:t>
            </w:r>
          </w:p>
        </w:tc>
        <w:tc>
          <w:tcPr>
            <w:tcW w:w="80" w:type="dxa"/>
            <w:vAlign w:val="bottom"/>
            <w:shd w:val="clear" w:color="auto" w:fill="E2F1FB"/>
          </w:tcPr>
          <w:p>
            <w:pPr>
              <w:spacing w:after="0"/>
              <w:rPr>
                <w:sz w:val="24"/>
                <w:szCs w:val="24"/>
                <w:color w:val="auto"/>
              </w:rPr>
            </w:pPr>
          </w:p>
        </w:tc>
        <w:tc>
          <w:tcPr>
            <w:tcW w:w="120" w:type="dxa"/>
            <w:vAlign w:val="bottom"/>
            <w:shd w:val="clear" w:color="auto" w:fill="E2F1FB"/>
          </w:tcPr>
          <w:p>
            <w:pPr>
              <w:spacing w:after="0"/>
              <w:rPr>
                <w:sz w:val="24"/>
                <w:szCs w:val="24"/>
                <w:color w:val="auto"/>
              </w:rPr>
            </w:pPr>
          </w:p>
        </w:tc>
        <w:tc>
          <w:tcPr>
            <w:tcW w:w="2660" w:type="dxa"/>
            <w:vAlign w:val="bottom"/>
            <w:shd w:val="clear" w:color="auto" w:fill="E2F1F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must balance achieving current year</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(short-term) goals with long-term value</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creation.</w:t>
            </w:r>
          </w:p>
        </w:tc>
        <w:tc>
          <w:tcPr>
            <w:tcW w:w="80" w:type="dxa"/>
            <w:vAlign w:val="bottom"/>
            <w:shd w:val="clear" w:color="auto" w:fill="E2F1FB"/>
          </w:tcPr>
          <w:p>
            <w:pPr>
              <w:spacing w:after="0"/>
              <w:rPr>
                <w:sz w:val="18"/>
                <w:szCs w:val="18"/>
                <w:color w:val="auto"/>
              </w:rPr>
            </w:pPr>
          </w:p>
        </w:tc>
        <w:tc>
          <w:tcPr>
            <w:tcW w:w="120" w:type="dxa"/>
            <w:vAlign w:val="bottom"/>
            <w:shd w:val="clear" w:color="auto" w:fill="E2F1FB"/>
          </w:tcPr>
          <w:p>
            <w:pPr>
              <w:spacing w:after="0"/>
              <w:rPr>
                <w:sz w:val="18"/>
                <w:szCs w:val="18"/>
                <w:color w:val="auto"/>
              </w:rPr>
            </w:pPr>
          </w:p>
        </w:tc>
        <w:tc>
          <w:tcPr>
            <w:tcW w:w="2660" w:type="dxa"/>
            <w:vAlign w:val="bottom"/>
            <w:shd w:val="clear" w:color="auto" w:fill="E2F1FB"/>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20" w:type="dxa"/>
            <w:vAlign w:val="bottom"/>
            <w:tcBorders>
              <w:bottom w:val="single" w:sz="8" w:color="DCDDDE"/>
            </w:tcBorders>
          </w:tcPr>
          <w:p>
            <w:pPr>
              <w:spacing w:after="0"/>
              <w:rPr>
                <w:sz w:val="6"/>
                <w:szCs w:val="6"/>
                <w:color w:val="auto"/>
              </w:rPr>
            </w:pPr>
          </w:p>
        </w:tc>
        <w:tc>
          <w:tcPr>
            <w:tcW w:w="1000" w:type="dxa"/>
            <w:vAlign w:val="bottom"/>
            <w:tcBorders>
              <w:bottom w:val="single" w:sz="8" w:color="DCDDDE"/>
            </w:tcBorders>
          </w:tcPr>
          <w:p>
            <w:pPr>
              <w:spacing w:after="0"/>
              <w:rPr>
                <w:sz w:val="6"/>
                <w:szCs w:val="6"/>
                <w:color w:val="auto"/>
              </w:rPr>
            </w:pPr>
          </w:p>
        </w:tc>
        <w:tc>
          <w:tcPr>
            <w:tcW w:w="180" w:type="dxa"/>
            <w:vAlign w:val="bottom"/>
            <w:tcBorders>
              <w:bottom w:val="single" w:sz="8" w:color="DCDDDE"/>
            </w:tcBorders>
          </w:tcPr>
          <w:p>
            <w:pPr>
              <w:spacing w:after="0"/>
              <w:rPr>
                <w:sz w:val="6"/>
                <w:szCs w:val="6"/>
                <w:color w:val="auto"/>
              </w:rPr>
            </w:pPr>
          </w:p>
        </w:tc>
        <w:tc>
          <w:tcPr>
            <w:tcW w:w="3100" w:type="dxa"/>
            <w:vAlign w:val="bottom"/>
            <w:tcBorders>
              <w:bottom w:val="single" w:sz="8" w:color="DCDDDE"/>
            </w:tcBorders>
          </w:tcPr>
          <w:p>
            <w:pPr>
              <w:spacing w:after="0"/>
              <w:rPr>
                <w:sz w:val="6"/>
                <w:szCs w:val="6"/>
                <w:color w:val="auto"/>
              </w:rPr>
            </w:pPr>
          </w:p>
        </w:tc>
        <w:tc>
          <w:tcPr>
            <w:tcW w:w="80" w:type="dxa"/>
            <w:vAlign w:val="bottom"/>
            <w:tcBorders>
              <w:bottom w:val="single" w:sz="8" w:color="E2F1FB"/>
            </w:tcBorders>
            <w:shd w:val="clear" w:color="auto" w:fill="E2F1FB"/>
          </w:tcPr>
          <w:p>
            <w:pPr>
              <w:spacing w:after="0"/>
              <w:rPr>
                <w:sz w:val="6"/>
                <w:szCs w:val="6"/>
                <w:color w:val="auto"/>
              </w:rPr>
            </w:pPr>
          </w:p>
        </w:tc>
        <w:tc>
          <w:tcPr>
            <w:tcW w:w="120" w:type="dxa"/>
            <w:vAlign w:val="bottom"/>
            <w:tcBorders>
              <w:bottom w:val="single" w:sz="8" w:color="DCDDDE"/>
            </w:tcBorders>
            <w:shd w:val="clear" w:color="auto" w:fill="E2F1FB"/>
          </w:tcPr>
          <w:p>
            <w:pPr>
              <w:spacing w:after="0"/>
              <w:rPr>
                <w:sz w:val="6"/>
                <w:szCs w:val="6"/>
                <w:color w:val="auto"/>
              </w:rPr>
            </w:pPr>
          </w:p>
        </w:tc>
        <w:tc>
          <w:tcPr>
            <w:tcW w:w="2660" w:type="dxa"/>
            <w:vAlign w:val="bottom"/>
            <w:tcBorders>
              <w:bottom w:val="single" w:sz="8" w:color="DCDDDE"/>
            </w:tcBorders>
            <w:shd w:val="clear" w:color="auto" w:fill="E2F1FB"/>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r>
              <w:rPr>
                <w:rFonts w:ascii="Arial" w:cs="Arial" w:eastAsia="Arial" w:hAnsi="Arial"/>
                <w:sz w:val="16"/>
                <w:szCs w:val="16"/>
                <w:b w:val="1"/>
                <w:bCs w:val="1"/>
                <w:color w:val="auto"/>
              </w:rPr>
              <w:t>Variable, Long-</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00A0E0"/>
              </w:rPr>
              <w:t>Annual</w:t>
            </w:r>
          </w:p>
        </w:tc>
        <w:tc>
          <w:tcPr>
            <w:tcW w:w="180" w:type="dxa"/>
            <w:vAlign w:val="bottom"/>
          </w:tcPr>
          <w:p>
            <w:pPr>
              <w:ind w:left="60"/>
              <w:spacing w:after="0"/>
              <w:rPr>
                <w:sz w:val="20"/>
                <w:szCs w:val="20"/>
                <w:color w:val="auto"/>
              </w:rPr>
            </w:pPr>
            <w:r>
              <w:rPr>
                <w:rFonts w:ascii="Arial" w:cs="Arial" w:eastAsia="Arial" w:hAnsi="Arial"/>
                <w:sz w:val="16"/>
                <w:szCs w:val="16"/>
                <w:color w:val="00A0DD"/>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Fosters a long-term commitment and</w:t>
            </w:r>
          </w:p>
        </w:tc>
        <w:tc>
          <w:tcPr>
            <w:tcW w:w="80" w:type="dxa"/>
            <w:vAlign w:val="bottom"/>
            <w:shd w:val="clear" w:color="auto" w:fill="E2F1FB"/>
          </w:tcPr>
          <w:p>
            <w:pPr>
              <w:spacing w:after="0"/>
              <w:rPr>
                <w:sz w:val="20"/>
                <w:szCs w:val="20"/>
                <w:color w:val="auto"/>
              </w:rPr>
            </w:pPr>
          </w:p>
        </w:tc>
        <w:tc>
          <w:tcPr>
            <w:tcW w:w="120" w:type="dxa"/>
            <w:vAlign w:val="bottom"/>
            <w:shd w:val="clear" w:color="auto" w:fill="E2F1FB"/>
          </w:tcPr>
          <w:p>
            <w:pPr>
              <w:spacing w:after="0"/>
              <w:rPr>
                <w:sz w:val="20"/>
                <w:szCs w:val="20"/>
                <w:color w:val="auto"/>
              </w:rPr>
            </w:pPr>
            <w:r>
              <w:rPr>
                <w:rFonts w:ascii="Arial" w:cs="Arial" w:eastAsia="Arial" w:hAnsi="Arial"/>
                <w:sz w:val="16"/>
                <w:szCs w:val="16"/>
                <w:color w:val="00A0DD"/>
              </w:rPr>
              <w:t>•</w:t>
            </w:r>
          </w:p>
        </w:tc>
        <w:tc>
          <w:tcPr>
            <w:tcW w:w="2660" w:type="dxa"/>
            <w:vAlign w:val="bottom"/>
            <w:shd w:val="clear" w:color="auto" w:fill="E2F1FB"/>
          </w:tcPr>
          <w:p>
            <w:pPr>
              <w:ind w:left="280"/>
              <w:spacing w:after="0"/>
              <w:rPr>
                <w:sz w:val="20"/>
                <w:szCs w:val="20"/>
                <w:color w:val="auto"/>
              </w:rPr>
            </w:pPr>
            <w:r>
              <w:rPr>
                <w:rFonts w:ascii="Arial" w:cs="Arial" w:eastAsia="Arial" w:hAnsi="Arial"/>
                <w:sz w:val="16"/>
                <w:szCs w:val="16"/>
                <w:color w:val="auto"/>
              </w:rPr>
              <w:t>Cliff vest after three years.</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20"/>
                <w:szCs w:val="20"/>
                <w:color w:val="auto"/>
              </w:rPr>
            </w:pPr>
            <w:r>
              <w:rPr>
                <w:rFonts w:ascii="Arial" w:cs="Arial" w:eastAsia="Arial" w:hAnsi="Arial"/>
                <w:sz w:val="16"/>
                <w:szCs w:val="16"/>
                <w:b w:val="1"/>
                <w:bCs w:val="1"/>
                <w:color w:val="auto"/>
              </w:rPr>
              <w:t>Term,</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00A0E0"/>
              </w:rPr>
              <w:t>PSU Grants</w:t>
            </w: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motivates executives to improve the</w:t>
            </w:r>
          </w:p>
        </w:tc>
        <w:tc>
          <w:tcPr>
            <w:tcW w:w="80" w:type="dxa"/>
            <w:vAlign w:val="bottom"/>
            <w:shd w:val="clear" w:color="auto" w:fill="E2F1FB"/>
          </w:tcPr>
          <w:p>
            <w:pPr>
              <w:spacing w:after="0"/>
              <w:rPr>
                <w:sz w:val="16"/>
                <w:szCs w:val="16"/>
                <w:color w:val="auto"/>
              </w:rPr>
            </w:pPr>
          </w:p>
        </w:tc>
        <w:tc>
          <w:tcPr>
            <w:tcW w:w="120" w:type="dxa"/>
            <w:vAlign w:val="bottom"/>
            <w:vMerge w:val="restart"/>
            <w:shd w:val="clear" w:color="auto" w:fill="E2F1FB"/>
          </w:tcPr>
          <w:p>
            <w:pPr>
              <w:spacing w:after="0"/>
              <w:rPr>
                <w:sz w:val="20"/>
                <w:szCs w:val="20"/>
                <w:color w:val="auto"/>
              </w:rPr>
            </w:pPr>
            <w:r>
              <w:rPr>
                <w:rFonts w:ascii="Arial" w:cs="Arial" w:eastAsia="Arial" w:hAnsi="Arial"/>
                <w:sz w:val="16"/>
                <w:szCs w:val="16"/>
                <w:color w:val="00A0DD"/>
              </w:rPr>
              <w:t>•</w:t>
            </w:r>
          </w:p>
        </w:tc>
        <w:tc>
          <w:tcPr>
            <w:tcW w:w="2660" w:type="dxa"/>
            <w:vAlign w:val="bottom"/>
            <w:vMerge w:val="restart"/>
            <w:shd w:val="clear" w:color="auto" w:fill="E2F1FB"/>
          </w:tcPr>
          <w:p>
            <w:pPr>
              <w:ind w:left="280"/>
              <w:spacing w:after="0"/>
              <w:rPr>
                <w:sz w:val="20"/>
                <w:szCs w:val="20"/>
                <w:color w:val="auto"/>
              </w:rPr>
            </w:pPr>
            <w:r>
              <w:rPr>
                <w:rFonts w:ascii="Arial" w:cs="Arial" w:eastAsia="Arial" w:hAnsi="Arial"/>
                <w:sz w:val="16"/>
                <w:szCs w:val="16"/>
                <w:color w:val="auto"/>
              </w:rPr>
              <w:t>Vesting is dependent upon</w:t>
            </w:r>
          </w:p>
        </w:tc>
        <w:tc>
          <w:tcPr>
            <w:tcW w:w="0" w:type="dxa"/>
            <w:vAlign w:val="bottom"/>
          </w:tcPr>
          <w:p>
            <w:pPr>
              <w:spacing w:after="0"/>
              <w:rPr>
                <w:sz w:val="1"/>
                <w:szCs w:val="1"/>
                <w:color w:val="auto"/>
              </w:rPr>
            </w:pPr>
          </w:p>
        </w:tc>
      </w:tr>
      <w:tr>
        <w:trPr>
          <w:trHeight w:val="135"/>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Performance-</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00" w:type="dxa"/>
            <w:vAlign w:val="bottom"/>
            <w:vMerge w:val="restart"/>
          </w:tcPr>
          <w:p>
            <w:pPr>
              <w:ind w:left="60"/>
              <w:spacing w:after="0"/>
              <w:rPr>
                <w:sz w:val="20"/>
                <w:szCs w:val="20"/>
                <w:color w:val="auto"/>
              </w:rPr>
            </w:pPr>
            <w:r>
              <w:rPr>
                <w:rFonts w:ascii="Arial" w:cs="Arial" w:eastAsia="Arial" w:hAnsi="Arial"/>
                <w:sz w:val="16"/>
                <w:szCs w:val="16"/>
                <w:color w:val="auto"/>
              </w:rPr>
              <w:t>long-term market performance of our</w:t>
            </w:r>
          </w:p>
        </w:tc>
        <w:tc>
          <w:tcPr>
            <w:tcW w:w="80" w:type="dxa"/>
            <w:vAlign w:val="bottom"/>
            <w:shd w:val="clear" w:color="auto" w:fill="E2F1FB"/>
          </w:tcPr>
          <w:p>
            <w:pPr>
              <w:spacing w:after="0"/>
              <w:rPr>
                <w:sz w:val="11"/>
                <w:szCs w:val="11"/>
                <w:color w:val="auto"/>
              </w:rPr>
            </w:pPr>
          </w:p>
        </w:tc>
        <w:tc>
          <w:tcPr>
            <w:tcW w:w="120" w:type="dxa"/>
            <w:vAlign w:val="bottom"/>
            <w:vMerge w:val="continue"/>
            <w:shd w:val="clear" w:color="auto" w:fill="E2F1FB"/>
          </w:tcPr>
          <w:p>
            <w:pPr>
              <w:spacing w:after="0"/>
              <w:rPr>
                <w:sz w:val="11"/>
                <w:szCs w:val="11"/>
                <w:color w:val="auto"/>
              </w:rPr>
            </w:pPr>
          </w:p>
        </w:tc>
        <w:tc>
          <w:tcPr>
            <w:tcW w:w="2660" w:type="dxa"/>
            <w:vAlign w:val="bottom"/>
            <w:vMerge w:val="continue"/>
            <w:shd w:val="clear" w:color="auto" w:fill="E2F1FB"/>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80" w:type="dxa"/>
            <w:vAlign w:val="bottom"/>
            <w:shd w:val="clear" w:color="auto" w:fill="E2F1FB"/>
          </w:tcPr>
          <w:p>
            <w:pPr>
              <w:spacing w:after="0"/>
              <w:rPr>
                <w:sz w:val="4"/>
                <w:szCs w:val="4"/>
                <w:color w:val="auto"/>
              </w:rPr>
            </w:pPr>
          </w:p>
        </w:tc>
        <w:tc>
          <w:tcPr>
            <w:tcW w:w="120" w:type="dxa"/>
            <w:vAlign w:val="bottom"/>
            <w:shd w:val="clear" w:color="auto" w:fill="E2F1FB"/>
          </w:tcPr>
          <w:p>
            <w:pPr>
              <w:spacing w:after="0"/>
              <w:rPr>
                <w:sz w:val="4"/>
                <w:szCs w:val="4"/>
                <w:color w:val="auto"/>
              </w:rPr>
            </w:pPr>
          </w:p>
        </w:tc>
        <w:tc>
          <w:tcPr>
            <w:tcW w:w="2660" w:type="dxa"/>
            <w:vAlign w:val="bottom"/>
            <w:vMerge w:val="restart"/>
            <w:shd w:val="clear" w:color="auto" w:fill="E2F1FB"/>
          </w:tcPr>
          <w:p>
            <w:pPr>
              <w:ind w:left="80"/>
              <w:spacing w:after="0"/>
              <w:rPr>
                <w:sz w:val="20"/>
                <w:szCs w:val="20"/>
                <w:color w:val="auto"/>
              </w:rPr>
            </w:pPr>
            <w:r>
              <w:rPr>
                <w:rFonts w:ascii="Arial" w:cs="Arial" w:eastAsia="Arial" w:hAnsi="Arial"/>
                <w:sz w:val="16"/>
                <w:szCs w:val="16"/>
                <w:color w:val="auto"/>
              </w:rPr>
              <w:t>achievement of absolute and</w:t>
            </w:r>
          </w:p>
        </w:tc>
        <w:tc>
          <w:tcPr>
            <w:tcW w:w="0" w:type="dxa"/>
            <w:vAlign w:val="bottom"/>
          </w:tcPr>
          <w:p>
            <w:pPr>
              <w:spacing w:after="0"/>
              <w:rPr>
                <w:sz w:val="1"/>
                <w:szCs w:val="1"/>
                <w:color w:val="auto"/>
              </w:rPr>
            </w:pPr>
          </w:p>
        </w:tc>
      </w:tr>
      <w:tr>
        <w:trPr>
          <w:trHeight w:val="135"/>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Based</w:t>
            </w: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00" w:type="dxa"/>
            <w:vAlign w:val="bottom"/>
            <w:vMerge w:val="restart"/>
          </w:tcPr>
          <w:p>
            <w:pPr>
              <w:ind w:left="60"/>
              <w:spacing w:after="0"/>
              <w:rPr>
                <w:sz w:val="20"/>
                <w:szCs w:val="20"/>
                <w:color w:val="auto"/>
              </w:rPr>
            </w:pPr>
            <w:r>
              <w:rPr>
                <w:rFonts w:ascii="Arial" w:cs="Arial" w:eastAsia="Arial" w:hAnsi="Arial"/>
                <w:sz w:val="16"/>
                <w:szCs w:val="16"/>
                <w:color w:val="auto"/>
              </w:rPr>
              <w:t>stock.</w:t>
            </w:r>
          </w:p>
        </w:tc>
        <w:tc>
          <w:tcPr>
            <w:tcW w:w="80" w:type="dxa"/>
            <w:vAlign w:val="bottom"/>
            <w:shd w:val="clear" w:color="auto" w:fill="E2F1FB"/>
          </w:tcPr>
          <w:p>
            <w:pPr>
              <w:spacing w:after="0"/>
              <w:rPr>
                <w:sz w:val="11"/>
                <w:szCs w:val="11"/>
                <w:color w:val="auto"/>
              </w:rPr>
            </w:pPr>
          </w:p>
        </w:tc>
        <w:tc>
          <w:tcPr>
            <w:tcW w:w="120" w:type="dxa"/>
            <w:vAlign w:val="bottom"/>
            <w:shd w:val="clear" w:color="auto" w:fill="E2F1FB"/>
          </w:tcPr>
          <w:p>
            <w:pPr>
              <w:spacing w:after="0"/>
              <w:rPr>
                <w:sz w:val="11"/>
                <w:szCs w:val="11"/>
                <w:color w:val="auto"/>
              </w:rPr>
            </w:pPr>
          </w:p>
        </w:tc>
        <w:tc>
          <w:tcPr>
            <w:tcW w:w="2660" w:type="dxa"/>
            <w:vAlign w:val="bottom"/>
            <w:vMerge w:val="continue"/>
            <w:shd w:val="clear" w:color="auto" w:fill="E2F1FB"/>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80" w:type="dxa"/>
            <w:vAlign w:val="bottom"/>
            <w:shd w:val="clear" w:color="auto" w:fill="E2F1FB"/>
          </w:tcPr>
          <w:p>
            <w:pPr>
              <w:spacing w:after="0"/>
              <w:rPr>
                <w:sz w:val="8"/>
                <w:szCs w:val="8"/>
                <w:color w:val="auto"/>
              </w:rPr>
            </w:pPr>
          </w:p>
        </w:tc>
        <w:tc>
          <w:tcPr>
            <w:tcW w:w="120" w:type="dxa"/>
            <w:vAlign w:val="bottom"/>
            <w:shd w:val="clear" w:color="auto" w:fill="E2F1FB"/>
          </w:tcPr>
          <w:p>
            <w:pPr>
              <w:spacing w:after="0"/>
              <w:rPr>
                <w:sz w:val="8"/>
                <w:szCs w:val="8"/>
                <w:color w:val="auto"/>
              </w:rPr>
            </w:pPr>
          </w:p>
        </w:tc>
        <w:tc>
          <w:tcPr>
            <w:tcW w:w="2660" w:type="dxa"/>
            <w:vAlign w:val="bottom"/>
            <w:vMerge w:val="restart"/>
            <w:shd w:val="clear" w:color="auto" w:fill="E2F1FB"/>
          </w:tcPr>
          <w:p>
            <w:pPr>
              <w:ind w:left="80"/>
              <w:spacing w:after="0"/>
              <w:rPr>
                <w:sz w:val="20"/>
                <w:szCs w:val="20"/>
                <w:color w:val="auto"/>
              </w:rPr>
            </w:pPr>
            <w:r>
              <w:rPr>
                <w:rFonts w:ascii="Arial" w:cs="Arial" w:eastAsia="Arial" w:hAnsi="Arial"/>
                <w:sz w:val="16"/>
                <w:szCs w:val="16"/>
                <w:color w:val="auto"/>
              </w:rPr>
              <w:t>relative performance metrics</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shd w:val="clear" w:color="auto" w:fill="E2F1FB"/>
          </w:tcPr>
          <w:p>
            <w:pPr>
              <w:spacing w:after="0"/>
              <w:rPr>
                <w:sz w:val="8"/>
                <w:szCs w:val="8"/>
                <w:color w:val="auto"/>
              </w:rPr>
            </w:pPr>
          </w:p>
        </w:tc>
        <w:tc>
          <w:tcPr>
            <w:tcW w:w="120" w:type="dxa"/>
            <w:vAlign w:val="bottom"/>
            <w:shd w:val="clear" w:color="auto" w:fill="E2F1FB"/>
          </w:tcPr>
          <w:p>
            <w:pPr>
              <w:spacing w:after="0"/>
              <w:rPr>
                <w:sz w:val="8"/>
                <w:szCs w:val="8"/>
                <w:color w:val="auto"/>
              </w:rPr>
            </w:pPr>
          </w:p>
        </w:tc>
        <w:tc>
          <w:tcPr>
            <w:tcW w:w="2660" w:type="dxa"/>
            <w:vAlign w:val="bottom"/>
            <w:vMerge w:val="continue"/>
            <w:shd w:val="clear" w:color="auto" w:fill="E2F1FB"/>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A0DD"/>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Links the NEOs’ decision-making with</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established at the beginning of the</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the long-term outcomes of those</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three-year period.</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decisions.</w:t>
            </w:r>
          </w:p>
        </w:tc>
        <w:tc>
          <w:tcPr>
            <w:tcW w:w="80" w:type="dxa"/>
            <w:vAlign w:val="bottom"/>
            <w:shd w:val="clear" w:color="auto" w:fill="E2F1FB"/>
          </w:tcPr>
          <w:p>
            <w:pPr>
              <w:spacing w:after="0"/>
              <w:rPr>
                <w:sz w:val="18"/>
                <w:szCs w:val="18"/>
                <w:color w:val="auto"/>
              </w:rPr>
            </w:pPr>
          </w:p>
        </w:tc>
        <w:tc>
          <w:tcPr>
            <w:tcW w:w="120" w:type="dxa"/>
            <w:vAlign w:val="bottom"/>
            <w:vMerge w:val="restart"/>
            <w:shd w:val="clear" w:color="auto" w:fill="E2F1FB"/>
          </w:tcPr>
          <w:p>
            <w:pPr>
              <w:spacing w:after="0"/>
              <w:rPr>
                <w:sz w:val="20"/>
                <w:szCs w:val="20"/>
                <w:color w:val="auto"/>
              </w:rPr>
            </w:pPr>
            <w:r>
              <w:rPr>
                <w:rFonts w:ascii="Arial" w:cs="Arial" w:eastAsia="Arial" w:hAnsi="Arial"/>
                <w:sz w:val="16"/>
                <w:szCs w:val="16"/>
                <w:color w:val="00A0DD"/>
              </w:rPr>
              <w:t>•</w:t>
            </w:r>
          </w:p>
        </w:tc>
        <w:tc>
          <w:tcPr>
            <w:tcW w:w="2660" w:type="dxa"/>
            <w:vAlign w:val="bottom"/>
            <w:vMerge w:val="restart"/>
            <w:shd w:val="clear" w:color="auto" w:fill="E2F1FB"/>
          </w:tcPr>
          <w:p>
            <w:pPr>
              <w:ind w:left="280"/>
              <w:spacing w:after="0"/>
              <w:rPr>
                <w:sz w:val="20"/>
                <w:szCs w:val="20"/>
                <w:color w:val="auto"/>
              </w:rPr>
            </w:pPr>
            <w:r>
              <w:rPr>
                <w:rFonts w:ascii="Arial" w:cs="Arial" w:eastAsia="Arial" w:hAnsi="Arial"/>
                <w:sz w:val="16"/>
                <w:szCs w:val="16"/>
                <w:color w:val="auto"/>
              </w:rPr>
              <w:t>Ultimate value of shares</w:t>
            </w:r>
          </w:p>
        </w:tc>
        <w:tc>
          <w:tcPr>
            <w:tcW w:w="0" w:type="dxa"/>
            <w:vAlign w:val="bottom"/>
          </w:tcPr>
          <w:p>
            <w:pPr>
              <w:spacing w:after="0"/>
              <w:rPr>
                <w:sz w:val="1"/>
                <w:szCs w:val="1"/>
                <w:color w:val="auto"/>
              </w:rPr>
            </w:pPr>
          </w:p>
        </w:tc>
      </w:tr>
      <w:tr>
        <w:trPr>
          <w:trHeight w:val="96"/>
        </w:trPr>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shd w:val="clear" w:color="auto" w:fill="E2F1FB"/>
          </w:tcPr>
          <w:p>
            <w:pPr>
              <w:spacing w:after="0"/>
              <w:rPr>
                <w:sz w:val="8"/>
                <w:szCs w:val="8"/>
                <w:color w:val="auto"/>
              </w:rPr>
            </w:pPr>
          </w:p>
        </w:tc>
        <w:tc>
          <w:tcPr>
            <w:tcW w:w="120" w:type="dxa"/>
            <w:vAlign w:val="bottom"/>
            <w:vMerge w:val="continue"/>
            <w:shd w:val="clear" w:color="auto" w:fill="E2F1FB"/>
          </w:tcPr>
          <w:p>
            <w:pPr>
              <w:spacing w:after="0"/>
              <w:rPr>
                <w:sz w:val="8"/>
                <w:szCs w:val="8"/>
                <w:color w:val="auto"/>
              </w:rPr>
            </w:pPr>
          </w:p>
        </w:tc>
        <w:tc>
          <w:tcPr>
            <w:tcW w:w="2660" w:type="dxa"/>
            <w:vAlign w:val="bottom"/>
            <w:vMerge w:val="continue"/>
            <w:shd w:val="clear" w:color="auto" w:fill="E2F1FB"/>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A0DD"/>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Creates a meaningful retention tool</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acquired upon vesting depends on</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and ties value ultimately realized to</w:t>
            </w:r>
          </w:p>
        </w:tc>
        <w:tc>
          <w:tcPr>
            <w:tcW w:w="80" w:type="dxa"/>
            <w:vAlign w:val="bottom"/>
            <w:shd w:val="clear" w:color="auto" w:fill="E2F1FB"/>
          </w:tcPr>
          <w:p>
            <w:pPr>
              <w:spacing w:after="0"/>
              <w:rPr>
                <w:sz w:val="16"/>
                <w:szCs w:val="16"/>
                <w:color w:val="auto"/>
              </w:rPr>
            </w:pPr>
          </w:p>
        </w:tc>
        <w:tc>
          <w:tcPr>
            <w:tcW w:w="120" w:type="dxa"/>
            <w:vAlign w:val="bottom"/>
            <w:shd w:val="clear" w:color="auto" w:fill="E2F1FB"/>
          </w:tcPr>
          <w:p>
            <w:pPr>
              <w:spacing w:after="0"/>
              <w:rPr>
                <w:sz w:val="16"/>
                <w:szCs w:val="16"/>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attainment of metrics and stock</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longer-term performance.</w:t>
            </w:r>
          </w:p>
        </w:tc>
        <w:tc>
          <w:tcPr>
            <w:tcW w:w="80" w:type="dxa"/>
            <w:vAlign w:val="bottom"/>
            <w:shd w:val="clear" w:color="auto" w:fill="E2F1FB"/>
          </w:tcPr>
          <w:p>
            <w:pPr>
              <w:spacing w:after="0"/>
              <w:rPr>
                <w:sz w:val="18"/>
                <w:szCs w:val="18"/>
                <w:color w:val="auto"/>
              </w:rPr>
            </w:pPr>
          </w:p>
        </w:tc>
        <w:tc>
          <w:tcPr>
            <w:tcW w:w="120" w:type="dxa"/>
            <w:vAlign w:val="bottom"/>
            <w:shd w:val="clear" w:color="auto" w:fill="E2F1FB"/>
          </w:tcPr>
          <w:p>
            <w:pPr>
              <w:spacing w:after="0"/>
              <w:rPr>
                <w:sz w:val="18"/>
                <w:szCs w:val="18"/>
                <w:color w:val="auto"/>
              </w:rPr>
            </w:pPr>
          </w:p>
        </w:tc>
        <w:tc>
          <w:tcPr>
            <w:tcW w:w="2660" w:type="dxa"/>
            <w:vAlign w:val="bottom"/>
            <w:shd w:val="clear" w:color="auto" w:fill="E2F1FB"/>
          </w:tcPr>
          <w:p>
            <w:pPr>
              <w:ind w:left="80"/>
              <w:spacing w:after="0"/>
              <w:rPr>
                <w:sz w:val="20"/>
                <w:szCs w:val="20"/>
                <w:color w:val="auto"/>
              </w:rPr>
            </w:pPr>
            <w:r>
              <w:rPr>
                <w:rFonts w:ascii="Arial" w:cs="Arial" w:eastAsia="Arial" w:hAnsi="Arial"/>
                <w:sz w:val="16"/>
                <w:szCs w:val="16"/>
                <w:color w:val="auto"/>
              </w:rPr>
              <w:t>price.</w:t>
            </w: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shd w:val="clear" w:color="auto" w:fill="E2F1FB"/>
          </w:tcPr>
          <w:p>
            <w:pPr>
              <w:spacing w:after="0"/>
              <w:rPr>
                <w:sz w:val="16"/>
                <w:szCs w:val="16"/>
                <w:color w:val="auto"/>
              </w:rPr>
            </w:pPr>
          </w:p>
        </w:tc>
        <w:tc>
          <w:tcPr>
            <w:tcW w:w="120" w:type="dxa"/>
            <w:vAlign w:val="bottom"/>
            <w:tcBorders>
              <w:bottom w:val="single" w:sz="8" w:color="auto"/>
            </w:tcBorders>
            <w:shd w:val="clear" w:color="auto" w:fill="E2F1FB"/>
          </w:tcPr>
          <w:p>
            <w:pPr>
              <w:spacing w:after="0"/>
              <w:rPr>
                <w:sz w:val="16"/>
                <w:szCs w:val="16"/>
                <w:color w:val="auto"/>
              </w:rPr>
            </w:pPr>
          </w:p>
        </w:tc>
        <w:tc>
          <w:tcPr>
            <w:tcW w:w="2660" w:type="dxa"/>
            <w:vAlign w:val="bottom"/>
            <w:tcBorders>
              <w:bottom w:val="single" w:sz="8" w:color="auto"/>
            </w:tcBorders>
            <w:shd w:val="clear" w:color="auto" w:fill="E2F1FB"/>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31</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34" w:name="page35"/>
    <w:bookmarkEnd w:id="34"/>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Compensation Decisions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Base Salary</w:t>
      </w:r>
    </w:p>
    <w:p>
      <w:pPr>
        <w:spacing w:after="0" w:line="97" w:lineRule="exact"/>
        <w:rPr>
          <w:sz w:val="20"/>
          <w:szCs w:val="20"/>
          <w:color w:val="auto"/>
        </w:rPr>
      </w:pPr>
    </w:p>
    <w:p>
      <w:pPr>
        <w:ind w:left="320" w:right="479"/>
        <w:spacing w:after="0" w:line="253" w:lineRule="auto"/>
        <w:rPr>
          <w:sz w:val="20"/>
          <w:szCs w:val="20"/>
          <w:color w:val="auto"/>
        </w:rPr>
      </w:pPr>
      <w:r>
        <w:rPr>
          <w:rFonts w:ascii="Arial" w:cs="Arial" w:eastAsia="Arial" w:hAnsi="Arial"/>
          <w:sz w:val="18"/>
          <w:szCs w:val="18"/>
          <w:color w:val="auto"/>
        </w:rPr>
        <w:t>The Compensation Committee annually reviews base salary levels for the NEOs. In December 2025, in connection with Mr. Cavanagh’s promotion to co-CEO, his base salary increased to $2.75 million effective January 2026.</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Annual Cash Bonus</w:t>
      </w:r>
    </w:p>
    <w:p>
      <w:pPr>
        <w:spacing w:after="0" w:line="97" w:lineRule="exact"/>
        <w:rPr>
          <w:sz w:val="20"/>
          <w:szCs w:val="20"/>
          <w:color w:val="auto"/>
        </w:rPr>
      </w:pPr>
    </w:p>
    <w:p>
      <w:pPr>
        <w:jc w:val="both"/>
        <w:ind w:left="320" w:right="679"/>
        <w:spacing w:after="0" w:line="253" w:lineRule="auto"/>
        <w:rPr>
          <w:sz w:val="20"/>
          <w:szCs w:val="20"/>
          <w:color w:val="auto"/>
        </w:rPr>
      </w:pPr>
      <w:r>
        <w:rPr>
          <w:rFonts w:ascii="Arial" w:cs="Arial" w:eastAsia="Arial" w:hAnsi="Arial"/>
          <w:sz w:val="18"/>
          <w:szCs w:val="18"/>
          <w:color w:val="auto"/>
        </w:rPr>
        <w:t>Our short-term incentive program includes meaningful performance-based elements tied to financial goals, as well as incentives for attainment of operational goals tied to key strategic initiatives and key stakeholder and sustainability initiatives.</w:t>
      </w:r>
    </w:p>
    <w:p>
      <w:pPr>
        <w:spacing w:after="0" w:line="34" w:lineRule="exact"/>
        <w:rPr>
          <w:sz w:val="20"/>
          <w:szCs w:val="20"/>
          <w:color w:val="auto"/>
        </w:rPr>
      </w:pPr>
    </w:p>
    <w:p>
      <w:pPr>
        <w:ind w:left="520" w:right="459" w:hanging="196"/>
        <w:spacing w:after="0" w:line="270" w:lineRule="auto"/>
        <w:tabs>
          <w:tab w:leader="none" w:pos="520" w:val="left"/>
        </w:tabs>
        <w:numPr>
          <w:ilvl w:val="0"/>
          <w:numId w:val="53"/>
        </w:numPr>
        <w:rPr>
          <w:rFonts w:ascii="Times New Roman" w:cs="Times New Roman" w:eastAsia="Times New Roman" w:hAnsi="Times New Roman"/>
          <w:sz w:val="18"/>
          <w:szCs w:val="18"/>
          <w:color w:val="00A0DD"/>
        </w:rPr>
      </w:pPr>
      <w:r>
        <w:rPr>
          <w:rFonts w:ascii="Arial" w:cs="Arial" w:eastAsia="Arial" w:hAnsi="Arial"/>
          <w:sz w:val="18"/>
          <w:szCs w:val="18"/>
          <w:color w:val="auto"/>
        </w:rPr>
        <w:t>The target bonus opportunity for 2025, as a percentage of salary, was 300% for Messrs. Roberts and Cavanagh, 250% for Mr. Reid, 200% for Mr. Armstrong and 150% for Ms. Khoury.</w:t>
      </w:r>
    </w:p>
    <w:p>
      <w:pPr>
        <w:spacing w:after="0" w:line="5" w:lineRule="exact"/>
        <w:rPr>
          <w:rFonts w:ascii="Times New Roman" w:cs="Times New Roman" w:eastAsia="Times New Roman" w:hAnsi="Times New Roman"/>
          <w:sz w:val="18"/>
          <w:szCs w:val="18"/>
          <w:color w:val="00A0DD"/>
        </w:rPr>
      </w:pPr>
    </w:p>
    <w:p>
      <w:pPr>
        <w:ind w:left="520" w:right="399" w:hanging="196"/>
        <w:spacing w:after="0" w:line="246" w:lineRule="auto"/>
        <w:tabs>
          <w:tab w:leader="none" w:pos="520" w:val="left"/>
        </w:tabs>
        <w:numPr>
          <w:ilvl w:val="0"/>
          <w:numId w:val="53"/>
        </w:numPr>
        <w:rPr>
          <w:rFonts w:ascii="Times New Roman" w:cs="Times New Roman" w:eastAsia="Times New Roman" w:hAnsi="Times New Roman"/>
          <w:sz w:val="18"/>
          <w:szCs w:val="18"/>
          <w:color w:val="00A0DD"/>
        </w:rPr>
      </w:pPr>
      <w:r>
        <w:rPr>
          <w:rFonts w:ascii="Arial" w:cs="Arial" w:eastAsia="Arial" w:hAnsi="Arial"/>
          <w:sz w:val="18"/>
          <w:szCs w:val="18"/>
          <w:color w:val="auto"/>
        </w:rPr>
        <w:t>Below are the target weightings for each element of the annual cash bonus plan for our NEOs. The maximum bonus achievable was 192.5%, based on a maximum weight of 140% for the three financial metrics plus 30% for operational performance goals and 22.5% for stakeholder and sustainability-related goals.</w:t>
      </w:r>
    </w:p>
    <w:p>
      <w:pPr>
        <w:spacing w:after="0" w:line="101"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320" w:type="dxa"/>
            <w:vAlign w:val="bottom"/>
            <w:tcBorders>
              <w:left w:val="single" w:sz="8" w:color="00A0DE"/>
            </w:tcBorders>
            <w:shd w:val="clear" w:color="auto" w:fill="00A0DE"/>
          </w:tcPr>
          <w:p>
            <w:pPr>
              <w:spacing w:after="0"/>
              <w:rPr>
                <w:sz w:val="19"/>
                <w:szCs w:val="19"/>
                <w:color w:val="auto"/>
              </w:rPr>
            </w:pPr>
          </w:p>
        </w:tc>
        <w:tc>
          <w:tcPr>
            <w:tcW w:w="2380" w:type="dxa"/>
            <w:vAlign w:val="bottom"/>
            <w:gridSpan w:val="2"/>
            <w:vMerge w:val="restart"/>
            <w:shd w:val="clear" w:color="auto" w:fill="00A0DE"/>
          </w:tcPr>
          <w:p>
            <w:pPr>
              <w:jc w:val="center"/>
              <w:ind w:right="320"/>
              <w:spacing w:after="0"/>
              <w:rPr>
                <w:sz w:val="20"/>
                <w:szCs w:val="20"/>
                <w:color w:val="auto"/>
              </w:rPr>
            </w:pPr>
            <w:r>
              <w:rPr>
                <w:rFonts w:ascii="Arial" w:cs="Arial" w:eastAsia="Arial" w:hAnsi="Arial"/>
                <w:sz w:val="18"/>
                <w:szCs w:val="18"/>
                <w:b w:val="1"/>
                <w:bCs w:val="1"/>
                <w:color w:val="FFFFFF"/>
                <w:w w:val="99"/>
              </w:rPr>
              <w:t>Financial</w:t>
            </w:r>
          </w:p>
        </w:tc>
        <w:tc>
          <w:tcPr>
            <w:tcW w:w="180" w:type="dxa"/>
            <w:vAlign w:val="bottom"/>
          </w:tcPr>
          <w:p>
            <w:pPr>
              <w:spacing w:after="0"/>
              <w:rPr>
                <w:sz w:val="19"/>
                <w:szCs w:val="19"/>
                <w:color w:val="auto"/>
              </w:rPr>
            </w:pPr>
          </w:p>
        </w:tc>
        <w:tc>
          <w:tcPr>
            <w:tcW w:w="200" w:type="dxa"/>
            <w:vAlign w:val="bottom"/>
            <w:shd w:val="clear" w:color="auto" w:fill="69BCEB"/>
          </w:tcPr>
          <w:p>
            <w:pPr>
              <w:spacing w:after="0"/>
              <w:rPr>
                <w:sz w:val="19"/>
                <w:szCs w:val="19"/>
                <w:color w:val="auto"/>
              </w:rPr>
            </w:pPr>
          </w:p>
        </w:tc>
        <w:tc>
          <w:tcPr>
            <w:tcW w:w="2480" w:type="dxa"/>
            <w:vAlign w:val="bottom"/>
            <w:gridSpan w:val="2"/>
            <w:vMerge w:val="restart"/>
            <w:shd w:val="clear" w:color="auto" w:fill="69BCEB"/>
          </w:tcPr>
          <w:p>
            <w:pPr>
              <w:ind w:left="60"/>
              <w:spacing w:after="0"/>
              <w:rPr>
                <w:sz w:val="20"/>
                <w:szCs w:val="20"/>
                <w:color w:val="auto"/>
              </w:rPr>
            </w:pPr>
            <w:r>
              <w:rPr>
                <w:rFonts w:ascii="Arial" w:cs="Arial" w:eastAsia="Arial" w:hAnsi="Arial"/>
                <w:sz w:val="18"/>
                <w:szCs w:val="18"/>
                <w:b w:val="1"/>
                <w:bCs w:val="1"/>
                <w:color w:val="FFFFFF"/>
              </w:rPr>
              <w:t>Operational Performance</w:t>
            </w:r>
          </w:p>
        </w:tc>
        <w:tc>
          <w:tcPr>
            <w:tcW w:w="160" w:type="dxa"/>
            <w:vAlign w:val="bottom"/>
          </w:tcPr>
          <w:p>
            <w:pPr>
              <w:spacing w:after="0"/>
              <w:rPr>
                <w:sz w:val="19"/>
                <w:szCs w:val="19"/>
                <w:color w:val="auto"/>
              </w:rPr>
            </w:pPr>
          </w:p>
        </w:tc>
        <w:tc>
          <w:tcPr>
            <w:tcW w:w="2640" w:type="dxa"/>
            <w:vAlign w:val="bottom"/>
            <w:tcBorders>
              <w:right w:val="single" w:sz="8" w:color="B0D9F5"/>
            </w:tcBorders>
            <w:gridSpan w:val="3"/>
            <w:shd w:val="clear" w:color="auto" w:fill="B0D9F5"/>
          </w:tcPr>
          <w:p>
            <w:pPr>
              <w:ind w:left="120"/>
              <w:spacing w:after="0"/>
              <w:rPr>
                <w:sz w:val="20"/>
                <w:szCs w:val="20"/>
                <w:color w:val="auto"/>
              </w:rPr>
            </w:pPr>
            <w:r>
              <w:rPr>
                <w:rFonts w:ascii="Arial" w:cs="Arial" w:eastAsia="Arial" w:hAnsi="Arial"/>
                <w:sz w:val="18"/>
                <w:szCs w:val="18"/>
                <w:b w:val="1"/>
                <w:bCs w:val="1"/>
                <w:color w:val="FFFFFF"/>
              </w:rPr>
              <w:t>Stakeholder &amp; Sustainability</w:t>
            </w:r>
          </w:p>
        </w:tc>
        <w:tc>
          <w:tcPr>
            <w:tcW w:w="0" w:type="dxa"/>
            <w:vAlign w:val="bottom"/>
          </w:tcPr>
          <w:p>
            <w:pPr>
              <w:spacing w:after="0"/>
              <w:rPr>
                <w:sz w:val="1"/>
                <w:szCs w:val="1"/>
                <w:color w:val="auto"/>
              </w:rPr>
            </w:pPr>
          </w:p>
        </w:tc>
      </w:tr>
      <w:tr>
        <w:trPr>
          <w:trHeight w:val="95"/>
        </w:trPr>
        <w:tc>
          <w:tcPr>
            <w:tcW w:w="320" w:type="dxa"/>
            <w:vAlign w:val="bottom"/>
            <w:tcBorders>
              <w:left w:val="single" w:sz="8" w:color="00A0DE"/>
            </w:tcBorders>
            <w:shd w:val="clear" w:color="auto" w:fill="00A0DE"/>
          </w:tcPr>
          <w:p>
            <w:pPr>
              <w:spacing w:after="0"/>
              <w:rPr>
                <w:sz w:val="8"/>
                <w:szCs w:val="8"/>
                <w:color w:val="auto"/>
              </w:rPr>
            </w:pPr>
          </w:p>
        </w:tc>
        <w:tc>
          <w:tcPr>
            <w:tcW w:w="2380" w:type="dxa"/>
            <w:vAlign w:val="bottom"/>
            <w:gridSpan w:val="2"/>
            <w:vMerge w:val="continue"/>
            <w:shd w:val="clear" w:color="auto" w:fill="00A0D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shd w:val="clear" w:color="auto" w:fill="69BCEB"/>
          </w:tcPr>
          <w:p>
            <w:pPr>
              <w:spacing w:after="0"/>
              <w:rPr>
                <w:sz w:val="8"/>
                <w:szCs w:val="8"/>
                <w:color w:val="auto"/>
              </w:rPr>
            </w:pPr>
          </w:p>
        </w:tc>
        <w:tc>
          <w:tcPr>
            <w:tcW w:w="2480" w:type="dxa"/>
            <w:vAlign w:val="bottom"/>
            <w:gridSpan w:val="2"/>
            <w:vMerge w:val="continue"/>
            <w:shd w:val="clear" w:color="auto" w:fill="69BCEB"/>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shd w:val="clear" w:color="auto" w:fill="B0D9F5"/>
          </w:tcPr>
          <w:p>
            <w:pPr>
              <w:spacing w:after="0"/>
              <w:rPr>
                <w:sz w:val="8"/>
                <w:szCs w:val="8"/>
                <w:color w:val="auto"/>
              </w:rPr>
            </w:pPr>
          </w:p>
        </w:tc>
        <w:tc>
          <w:tcPr>
            <w:tcW w:w="2420" w:type="dxa"/>
            <w:vAlign w:val="bottom"/>
            <w:tcBorders>
              <w:right w:val="single" w:sz="8" w:color="B0D9F5"/>
            </w:tcBorders>
            <w:gridSpan w:val="2"/>
            <w:vMerge w:val="restart"/>
            <w:shd w:val="clear" w:color="auto" w:fill="B0D9F5"/>
          </w:tcPr>
          <w:p>
            <w:pPr>
              <w:ind w:left="680"/>
              <w:spacing w:after="0" w:line="202" w:lineRule="exact"/>
              <w:rPr>
                <w:sz w:val="20"/>
                <w:szCs w:val="20"/>
                <w:color w:val="auto"/>
              </w:rPr>
            </w:pPr>
            <w:r>
              <w:rPr>
                <w:rFonts w:ascii="Arial" w:cs="Arial" w:eastAsia="Arial" w:hAnsi="Arial"/>
                <w:sz w:val="18"/>
                <w:szCs w:val="18"/>
                <w:b w:val="1"/>
                <w:bCs w:val="1"/>
                <w:color w:val="FFFFFF"/>
              </w:rPr>
              <w:t>Initiatives</w:t>
            </w:r>
          </w:p>
        </w:tc>
        <w:tc>
          <w:tcPr>
            <w:tcW w:w="0" w:type="dxa"/>
            <w:vAlign w:val="bottom"/>
          </w:tcPr>
          <w:p>
            <w:pPr>
              <w:spacing w:after="0"/>
              <w:rPr>
                <w:sz w:val="1"/>
                <w:szCs w:val="1"/>
                <w:color w:val="auto"/>
              </w:rPr>
            </w:pPr>
          </w:p>
        </w:tc>
      </w:tr>
      <w:tr>
        <w:trPr>
          <w:trHeight w:val="108"/>
        </w:trPr>
        <w:tc>
          <w:tcPr>
            <w:tcW w:w="320" w:type="dxa"/>
            <w:vAlign w:val="bottom"/>
            <w:tcBorders>
              <w:left w:val="single" w:sz="8" w:color="00A0DE"/>
            </w:tcBorders>
            <w:shd w:val="clear" w:color="auto" w:fill="00A0DE"/>
          </w:tcPr>
          <w:p>
            <w:pPr>
              <w:spacing w:after="0"/>
              <w:rPr>
                <w:sz w:val="9"/>
                <w:szCs w:val="9"/>
                <w:color w:val="auto"/>
              </w:rPr>
            </w:pPr>
          </w:p>
        </w:tc>
        <w:tc>
          <w:tcPr>
            <w:tcW w:w="2380" w:type="dxa"/>
            <w:vAlign w:val="bottom"/>
            <w:gridSpan w:val="2"/>
            <w:vMerge w:val="restart"/>
            <w:shd w:val="clear" w:color="auto" w:fill="00A0DE"/>
          </w:tcPr>
          <w:p>
            <w:pPr>
              <w:jc w:val="right"/>
              <w:ind w:right="1100"/>
              <w:spacing w:after="0"/>
              <w:rPr>
                <w:sz w:val="20"/>
                <w:szCs w:val="20"/>
                <w:color w:val="auto"/>
              </w:rPr>
            </w:pPr>
            <w:r>
              <w:rPr>
                <w:rFonts w:ascii="Arial" w:cs="Arial" w:eastAsia="Arial" w:hAnsi="Arial"/>
                <w:sz w:val="18"/>
                <w:szCs w:val="18"/>
                <w:b w:val="1"/>
                <w:bCs w:val="1"/>
                <w:color w:val="FFFFFF"/>
              </w:rPr>
              <w:t>(70%)</w:t>
            </w:r>
          </w:p>
        </w:tc>
        <w:tc>
          <w:tcPr>
            <w:tcW w:w="180" w:type="dxa"/>
            <w:vAlign w:val="bottom"/>
          </w:tcPr>
          <w:p>
            <w:pPr>
              <w:spacing w:after="0"/>
              <w:rPr>
                <w:sz w:val="9"/>
                <w:szCs w:val="9"/>
                <w:color w:val="auto"/>
              </w:rPr>
            </w:pPr>
          </w:p>
        </w:tc>
        <w:tc>
          <w:tcPr>
            <w:tcW w:w="200" w:type="dxa"/>
            <w:vAlign w:val="bottom"/>
            <w:shd w:val="clear" w:color="auto" w:fill="69BCEB"/>
          </w:tcPr>
          <w:p>
            <w:pPr>
              <w:spacing w:after="0"/>
              <w:rPr>
                <w:sz w:val="9"/>
                <w:szCs w:val="9"/>
                <w:color w:val="auto"/>
              </w:rPr>
            </w:pPr>
          </w:p>
        </w:tc>
        <w:tc>
          <w:tcPr>
            <w:tcW w:w="2480" w:type="dxa"/>
            <w:vAlign w:val="bottom"/>
            <w:gridSpan w:val="2"/>
            <w:vMerge w:val="restart"/>
            <w:shd w:val="clear" w:color="auto" w:fill="69BCEB"/>
          </w:tcPr>
          <w:p>
            <w:pPr>
              <w:ind w:left="860"/>
              <w:spacing w:after="0"/>
              <w:rPr>
                <w:sz w:val="20"/>
                <w:szCs w:val="20"/>
                <w:color w:val="auto"/>
              </w:rPr>
            </w:pPr>
            <w:r>
              <w:rPr>
                <w:rFonts w:ascii="Arial" w:cs="Arial" w:eastAsia="Arial" w:hAnsi="Arial"/>
                <w:sz w:val="18"/>
                <w:szCs w:val="18"/>
                <w:b w:val="1"/>
                <w:bCs w:val="1"/>
                <w:color w:val="FFFFFF"/>
              </w:rPr>
              <w:t>(15%)*</w:t>
            </w:r>
          </w:p>
        </w:tc>
        <w:tc>
          <w:tcPr>
            <w:tcW w:w="160" w:type="dxa"/>
            <w:vAlign w:val="bottom"/>
          </w:tcPr>
          <w:p>
            <w:pPr>
              <w:spacing w:after="0"/>
              <w:rPr>
                <w:sz w:val="9"/>
                <w:szCs w:val="9"/>
                <w:color w:val="auto"/>
              </w:rPr>
            </w:pPr>
          </w:p>
        </w:tc>
        <w:tc>
          <w:tcPr>
            <w:tcW w:w="220" w:type="dxa"/>
            <w:vAlign w:val="bottom"/>
            <w:shd w:val="clear" w:color="auto" w:fill="B0D9F5"/>
          </w:tcPr>
          <w:p>
            <w:pPr>
              <w:spacing w:after="0"/>
              <w:rPr>
                <w:sz w:val="9"/>
                <w:szCs w:val="9"/>
                <w:color w:val="auto"/>
              </w:rPr>
            </w:pPr>
          </w:p>
        </w:tc>
        <w:tc>
          <w:tcPr>
            <w:tcW w:w="2420" w:type="dxa"/>
            <w:vAlign w:val="bottom"/>
            <w:tcBorders>
              <w:right w:val="single" w:sz="8" w:color="B0D9F5"/>
            </w:tcBorders>
            <w:gridSpan w:val="2"/>
            <w:vMerge w:val="continue"/>
            <w:shd w:val="clear" w:color="auto" w:fill="B0D9F5"/>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20" w:type="dxa"/>
            <w:vAlign w:val="bottom"/>
            <w:tcBorders>
              <w:left w:val="single" w:sz="8" w:color="00A0DE"/>
            </w:tcBorders>
            <w:shd w:val="clear" w:color="auto" w:fill="00A0DE"/>
          </w:tcPr>
          <w:p>
            <w:pPr>
              <w:spacing w:after="0"/>
              <w:rPr>
                <w:sz w:val="12"/>
                <w:szCs w:val="12"/>
                <w:color w:val="auto"/>
              </w:rPr>
            </w:pPr>
          </w:p>
        </w:tc>
        <w:tc>
          <w:tcPr>
            <w:tcW w:w="2380" w:type="dxa"/>
            <w:vAlign w:val="bottom"/>
            <w:gridSpan w:val="2"/>
            <w:vMerge w:val="continue"/>
            <w:shd w:val="clear" w:color="auto" w:fill="00A0D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shd w:val="clear" w:color="auto" w:fill="69BCEB"/>
          </w:tcPr>
          <w:p>
            <w:pPr>
              <w:spacing w:after="0"/>
              <w:rPr>
                <w:sz w:val="12"/>
                <w:szCs w:val="12"/>
                <w:color w:val="auto"/>
              </w:rPr>
            </w:pPr>
          </w:p>
        </w:tc>
        <w:tc>
          <w:tcPr>
            <w:tcW w:w="2480" w:type="dxa"/>
            <w:vAlign w:val="bottom"/>
            <w:gridSpan w:val="2"/>
            <w:vMerge w:val="continue"/>
            <w:shd w:val="clear" w:color="auto" w:fill="69BCEB"/>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shd w:val="clear" w:color="auto" w:fill="B0D9F5"/>
          </w:tcPr>
          <w:p>
            <w:pPr>
              <w:spacing w:after="0"/>
              <w:rPr>
                <w:sz w:val="12"/>
                <w:szCs w:val="12"/>
                <w:color w:val="auto"/>
              </w:rPr>
            </w:pPr>
          </w:p>
        </w:tc>
        <w:tc>
          <w:tcPr>
            <w:tcW w:w="2420" w:type="dxa"/>
            <w:vAlign w:val="bottom"/>
            <w:tcBorders>
              <w:right w:val="single" w:sz="8" w:color="B0D9F5"/>
            </w:tcBorders>
            <w:gridSpan w:val="2"/>
            <w:vMerge w:val="restart"/>
            <w:shd w:val="clear" w:color="auto" w:fill="B0D9F5"/>
          </w:tcPr>
          <w:p>
            <w:pPr>
              <w:ind w:left="820"/>
              <w:spacing w:after="0"/>
              <w:rPr>
                <w:sz w:val="20"/>
                <w:szCs w:val="20"/>
                <w:color w:val="auto"/>
              </w:rPr>
            </w:pPr>
            <w:r>
              <w:rPr>
                <w:rFonts w:ascii="Arial" w:cs="Arial" w:eastAsia="Arial" w:hAnsi="Arial"/>
                <w:sz w:val="18"/>
                <w:szCs w:val="18"/>
                <w:b w:val="1"/>
                <w:bCs w:val="1"/>
                <w:color w:val="FFFFFF"/>
              </w:rPr>
              <w:t>(15%)*</w:t>
            </w:r>
          </w:p>
        </w:tc>
        <w:tc>
          <w:tcPr>
            <w:tcW w:w="0" w:type="dxa"/>
            <w:vAlign w:val="bottom"/>
          </w:tcPr>
          <w:p>
            <w:pPr>
              <w:spacing w:after="0"/>
              <w:rPr>
                <w:sz w:val="1"/>
                <w:szCs w:val="1"/>
                <w:color w:val="auto"/>
              </w:rPr>
            </w:pPr>
          </w:p>
        </w:tc>
      </w:tr>
      <w:tr>
        <w:trPr>
          <w:trHeight w:val="123"/>
        </w:trPr>
        <w:tc>
          <w:tcPr>
            <w:tcW w:w="320" w:type="dxa"/>
            <w:vAlign w:val="bottom"/>
            <w:tcBorders>
              <w:left w:val="single" w:sz="8" w:color="00A0DE"/>
            </w:tcBorders>
            <w:shd w:val="clear" w:color="auto" w:fill="00A0DE"/>
          </w:tcPr>
          <w:p>
            <w:pPr>
              <w:spacing w:after="0"/>
              <w:rPr>
                <w:sz w:val="10"/>
                <w:szCs w:val="10"/>
                <w:color w:val="auto"/>
              </w:rPr>
            </w:pPr>
          </w:p>
        </w:tc>
        <w:tc>
          <w:tcPr>
            <w:tcW w:w="1040" w:type="dxa"/>
            <w:vAlign w:val="bottom"/>
            <w:tcBorders>
              <w:right w:val="single" w:sz="8" w:color="00A0DE"/>
            </w:tcBorders>
            <w:shd w:val="clear" w:color="auto" w:fill="00A0DE"/>
          </w:tcPr>
          <w:p>
            <w:pPr>
              <w:spacing w:after="0"/>
              <w:rPr>
                <w:sz w:val="10"/>
                <w:szCs w:val="10"/>
                <w:color w:val="auto"/>
              </w:rPr>
            </w:pPr>
          </w:p>
        </w:tc>
        <w:tc>
          <w:tcPr>
            <w:tcW w:w="1340" w:type="dxa"/>
            <w:vAlign w:val="bottom"/>
            <w:shd w:val="clear" w:color="auto" w:fill="00A0D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shd w:val="clear" w:color="auto" w:fill="69BCEB"/>
          </w:tcPr>
          <w:p>
            <w:pPr>
              <w:spacing w:after="0"/>
              <w:rPr>
                <w:sz w:val="10"/>
                <w:szCs w:val="10"/>
                <w:color w:val="auto"/>
              </w:rPr>
            </w:pPr>
          </w:p>
        </w:tc>
        <w:tc>
          <w:tcPr>
            <w:tcW w:w="1160" w:type="dxa"/>
            <w:vAlign w:val="bottom"/>
            <w:tcBorders>
              <w:right w:val="single" w:sz="8" w:color="69BCEB"/>
            </w:tcBorders>
            <w:shd w:val="clear" w:color="auto" w:fill="69BCEB"/>
          </w:tcPr>
          <w:p>
            <w:pPr>
              <w:spacing w:after="0"/>
              <w:rPr>
                <w:sz w:val="10"/>
                <w:szCs w:val="10"/>
                <w:color w:val="auto"/>
              </w:rPr>
            </w:pPr>
          </w:p>
        </w:tc>
        <w:tc>
          <w:tcPr>
            <w:tcW w:w="1320" w:type="dxa"/>
            <w:vAlign w:val="bottom"/>
            <w:shd w:val="clear" w:color="auto" w:fill="69BCEB"/>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shd w:val="clear" w:color="auto" w:fill="B0D9F5"/>
          </w:tcPr>
          <w:p>
            <w:pPr>
              <w:spacing w:after="0"/>
              <w:rPr>
                <w:sz w:val="10"/>
                <w:szCs w:val="10"/>
                <w:color w:val="auto"/>
              </w:rPr>
            </w:pPr>
          </w:p>
        </w:tc>
        <w:tc>
          <w:tcPr>
            <w:tcW w:w="2420" w:type="dxa"/>
            <w:vAlign w:val="bottom"/>
            <w:tcBorders>
              <w:right w:val="single" w:sz="8" w:color="B0D9F5"/>
            </w:tcBorders>
            <w:gridSpan w:val="2"/>
            <w:vMerge w:val="continue"/>
            <w:shd w:val="clear" w:color="auto" w:fill="B0D9F5"/>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0" w:type="dxa"/>
            <w:vAlign w:val="bottom"/>
            <w:tcBorders>
              <w:bottom w:val="single" w:sz="8" w:color="00A0DE"/>
            </w:tcBorders>
          </w:tcPr>
          <w:p>
            <w:pPr>
              <w:spacing w:after="0"/>
              <w:rPr>
                <w:sz w:val="14"/>
                <w:szCs w:val="14"/>
                <w:color w:val="auto"/>
              </w:rPr>
            </w:pPr>
          </w:p>
        </w:tc>
        <w:tc>
          <w:tcPr>
            <w:tcW w:w="1040" w:type="dxa"/>
            <w:vAlign w:val="bottom"/>
            <w:tcBorders>
              <w:bottom w:val="single" w:sz="8" w:color="00A0DE"/>
              <w:right w:val="single" w:sz="8" w:color="00A0DE"/>
            </w:tcBorders>
          </w:tcPr>
          <w:p>
            <w:pPr>
              <w:spacing w:after="0"/>
              <w:rPr>
                <w:sz w:val="14"/>
                <w:szCs w:val="14"/>
                <w:color w:val="auto"/>
              </w:rPr>
            </w:pPr>
          </w:p>
        </w:tc>
        <w:tc>
          <w:tcPr>
            <w:tcW w:w="1340" w:type="dxa"/>
            <w:vAlign w:val="bottom"/>
            <w:tcBorders>
              <w:bottom w:val="single" w:sz="8" w:color="00A0DE"/>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69BCEB"/>
            </w:tcBorders>
          </w:tcPr>
          <w:p>
            <w:pPr>
              <w:spacing w:after="0"/>
              <w:rPr>
                <w:sz w:val="14"/>
                <w:szCs w:val="14"/>
                <w:color w:val="auto"/>
              </w:rPr>
            </w:pPr>
          </w:p>
        </w:tc>
        <w:tc>
          <w:tcPr>
            <w:tcW w:w="1160" w:type="dxa"/>
            <w:vAlign w:val="bottom"/>
            <w:tcBorders>
              <w:bottom w:val="single" w:sz="8" w:color="69BCEB"/>
              <w:right w:val="single" w:sz="8" w:color="69BCEB"/>
            </w:tcBorders>
          </w:tcPr>
          <w:p>
            <w:pPr>
              <w:spacing w:after="0"/>
              <w:rPr>
                <w:sz w:val="14"/>
                <w:szCs w:val="14"/>
                <w:color w:val="auto"/>
              </w:rPr>
            </w:pPr>
          </w:p>
        </w:tc>
        <w:tc>
          <w:tcPr>
            <w:tcW w:w="1320" w:type="dxa"/>
            <w:vAlign w:val="bottom"/>
            <w:tcBorders>
              <w:bottom w:val="single" w:sz="8" w:color="69BCEB"/>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B0D9F5"/>
            </w:tcBorders>
          </w:tcPr>
          <w:p>
            <w:pPr>
              <w:spacing w:after="0"/>
              <w:rPr>
                <w:sz w:val="14"/>
                <w:szCs w:val="14"/>
                <w:color w:val="auto"/>
              </w:rPr>
            </w:pPr>
          </w:p>
        </w:tc>
        <w:tc>
          <w:tcPr>
            <w:tcW w:w="1120" w:type="dxa"/>
            <w:vAlign w:val="bottom"/>
            <w:tcBorders>
              <w:bottom w:val="single" w:sz="8" w:color="B0D9F5"/>
              <w:right w:val="single" w:sz="8" w:color="B0D9F5"/>
            </w:tcBorders>
          </w:tcPr>
          <w:p>
            <w:pPr>
              <w:spacing w:after="0"/>
              <w:rPr>
                <w:sz w:val="14"/>
                <w:szCs w:val="14"/>
                <w:color w:val="auto"/>
              </w:rPr>
            </w:pPr>
          </w:p>
        </w:tc>
        <w:tc>
          <w:tcPr>
            <w:tcW w:w="1300" w:type="dxa"/>
            <w:vAlign w:val="bottom"/>
            <w:tcBorders>
              <w:bottom w:val="single" w:sz="8" w:color="B0D9F5"/>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20" w:type="dxa"/>
            <w:vAlign w:val="bottom"/>
            <w:tcBorders>
              <w:left w:val="single" w:sz="8" w:color="00A0DE"/>
            </w:tcBorders>
          </w:tcPr>
          <w:p>
            <w:pPr>
              <w:ind w:left="100"/>
              <w:spacing w:after="0"/>
              <w:rPr>
                <w:sz w:val="20"/>
                <w:szCs w:val="20"/>
                <w:color w:val="auto"/>
              </w:rPr>
            </w:pPr>
            <w:r>
              <w:rPr>
                <w:rFonts w:ascii="Arial" w:cs="Arial" w:eastAsia="Arial" w:hAnsi="Arial"/>
                <w:sz w:val="16"/>
                <w:szCs w:val="16"/>
                <w:color w:val="00A0DD"/>
              </w:rPr>
              <w:t>•</w:t>
            </w:r>
          </w:p>
        </w:tc>
        <w:tc>
          <w:tcPr>
            <w:tcW w:w="2380" w:type="dxa"/>
            <w:vAlign w:val="bottom"/>
            <w:gridSpan w:val="2"/>
          </w:tcPr>
          <w:p>
            <w:pPr>
              <w:ind w:left="18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b w:val="1"/>
                <w:bCs w:val="1"/>
                <w:color w:val="auto"/>
              </w:rPr>
              <w:t>(35%)</w:t>
            </w:r>
          </w:p>
        </w:tc>
        <w:tc>
          <w:tcPr>
            <w:tcW w:w="180" w:type="dxa"/>
            <w:vAlign w:val="bottom"/>
            <w:tcBorders>
              <w:left w:val="single" w:sz="8" w:color="00A0DE"/>
              <w:right w:val="single" w:sz="8" w:color="69BCEB"/>
            </w:tcBorders>
          </w:tcPr>
          <w:p>
            <w:pPr>
              <w:spacing w:after="0"/>
              <w:rPr>
                <w:sz w:val="22"/>
                <w:szCs w:val="22"/>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00A0DD"/>
              </w:rPr>
              <w:t>•</w:t>
            </w:r>
          </w:p>
        </w:tc>
        <w:tc>
          <w:tcPr>
            <w:tcW w:w="2480" w:type="dxa"/>
            <w:vAlign w:val="bottom"/>
            <w:gridSpan w:val="2"/>
          </w:tcPr>
          <w:p>
            <w:pPr>
              <w:ind w:left="300"/>
              <w:spacing w:after="0"/>
              <w:rPr>
                <w:sz w:val="20"/>
                <w:szCs w:val="20"/>
                <w:color w:val="auto"/>
              </w:rPr>
            </w:pPr>
            <w:r>
              <w:rPr>
                <w:rFonts w:ascii="Arial" w:cs="Arial" w:eastAsia="Arial" w:hAnsi="Arial"/>
                <w:sz w:val="18"/>
                <w:szCs w:val="18"/>
                <w:color w:val="auto"/>
              </w:rPr>
              <w:t>Alignment with Long</w:t>
            </w:r>
          </w:p>
        </w:tc>
        <w:tc>
          <w:tcPr>
            <w:tcW w:w="160" w:type="dxa"/>
            <w:vAlign w:val="bottom"/>
            <w:tcBorders>
              <w:left w:val="single" w:sz="8" w:color="69BCEB"/>
              <w:right w:val="single" w:sz="8" w:color="B0D9F5"/>
            </w:tcBorders>
          </w:tcPr>
          <w:p>
            <w:pPr>
              <w:spacing w:after="0"/>
              <w:rPr>
                <w:sz w:val="22"/>
                <w:szCs w:val="22"/>
                <w:color w:val="auto"/>
              </w:rPr>
            </w:pPr>
          </w:p>
        </w:tc>
        <w:tc>
          <w:tcPr>
            <w:tcW w:w="220" w:type="dxa"/>
            <w:vAlign w:val="bottom"/>
          </w:tcPr>
          <w:p>
            <w:pPr>
              <w:ind w:left="80"/>
              <w:spacing w:after="0"/>
              <w:rPr>
                <w:sz w:val="20"/>
                <w:szCs w:val="20"/>
                <w:color w:val="auto"/>
              </w:rPr>
            </w:pPr>
            <w:r>
              <w:rPr>
                <w:rFonts w:ascii="Arial" w:cs="Arial" w:eastAsia="Arial" w:hAnsi="Arial"/>
                <w:sz w:val="16"/>
                <w:szCs w:val="16"/>
                <w:color w:val="00A0DD"/>
              </w:rPr>
              <w:t>•</w:t>
            </w:r>
          </w:p>
        </w:tc>
        <w:tc>
          <w:tcPr>
            <w:tcW w:w="2420" w:type="dxa"/>
            <w:vAlign w:val="bottom"/>
            <w:tcBorders>
              <w:right w:val="single" w:sz="8" w:color="B0D9F5"/>
            </w:tcBorders>
            <w:gridSpan w:val="2"/>
          </w:tcPr>
          <w:p>
            <w:pPr>
              <w:ind w:left="260"/>
              <w:spacing w:after="0"/>
              <w:rPr>
                <w:sz w:val="20"/>
                <w:szCs w:val="20"/>
                <w:color w:val="auto"/>
              </w:rPr>
            </w:pPr>
            <w:r>
              <w:rPr>
                <w:rFonts w:ascii="Arial" w:cs="Arial" w:eastAsia="Arial" w:hAnsi="Arial"/>
                <w:sz w:val="18"/>
                <w:szCs w:val="18"/>
                <w:color w:val="auto"/>
              </w:rPr>
              <w:t>Advancing Digital</w:t>
            </w:r>
          </w:p>
        </w:tc>
        <w:tc>
          <w:tcPr>
            <w:tcW w:w="0" w:type="dxa"/>
            <w:vAlign w:val="bottom"/>
          </w:tcPr>
          <w:p>
            <w:pPr>
              <w:spacing w:after="0"/>
              <w:rPr>
                <w:sz w:val="1"/>
                <w:szCs w:val="1"/>
                <w:color w:val="auto"/>
              </w:rPr>
            </w:pPr>
          </w:p>
        </w:tc>
      </w:tr>
      <w:tr>
        <w:trPr>
          <w:trHeight w:val="239"/>
        </w:trPr>
        <w:tc>
          <w:tcPr>
            <w:tcW w:w="320" w:type="dxa"/>
            <w:vAlign w:val="bottom"/>
            <w:tcBorders>
              <w:left w:val="single" w:sz="8" w:color="00A0DE"/>
            </w:tcBorders>
            <w:vMerge w:val="restart"/>
          </w:tcPr>
          <w:p>
            <w:pPr>
              <w:ind w:left="100"/>
              <w:spacing w:after="0"/>
              <w:rPr>
                <w:sz w:val="20"/>
                <w:szCs w:val="20"/>
                <w:color w:val="auto"/>
              </w:rPr>
            </w:pPr>
            <w:r>
              <w:rPr>
                <w:rFonts w:ascii="Arial" w:cs="Arial" w:eastAsia="Arial" w:hAnsi="Arial"/>
                <w:sz w:val="16"/>
                <w:szCs w:val="16"/>
                <w:color w:val="00A0DD"/>
              </w:rPr>
              <w:t>•</w:t>
            </w:r>
          </w:p>
        </w:tc>
        <w:tc>
          <w:tcPr>
            <w:tcW w:w="2380" w:type="dxa"/>
            <w:vAlign w:val="bottom"/>
            <w:gridSpan w:val="2"/>
            <w:vMerge w:val="restart"/>
          </w:tcPr>
          <w:p>
            <w:pPr>
              <w:ind w:left="180"/>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8"/>
                <w:szCs w:val="18"/>
                <w:b w:val="1"/>
                <w:bCs w:val="1"/>
                <w:color w:val="auto"/>
              </w:rPr>
              <w:t>(25%)</w:t>
            </w:r>
          </w:p>
        </w:tc>
        <w:tc>
          <w:tcPr>
            <w:tcW w:w="180" w:type="dxa"/>
            <w:vAlign w:val="bottom"/>
            <w:tcBorders>
              <w:left w:val="single" w:sz="8" w:color="00A0DE"/>
              <w:right w:val="single" w:sz="8" w:color="69BCEB"/>
            </w:tcBorders>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2"/>
          </w:tcPr>
          <w:p>
            <w:pPr>
              <w:ind w:left="80"/>
              <w:spacing w:after="0"/>
              <w:rPr>
                <w:sz w:val="20"/>
                <w:szCs w:val="20"/>
                <w:color w:val="auto"/>
              </w:rPr>
            </w:pPr>
            <w:r>
              <w:rPr>
                <w:rFonts w:ascii="Arial" w:cs="Arial" w:eastAsia="Arial" w:hAnsi="Arial"/>
                <w:sz w:val="18"/>
                <w:szCs w:val="18"/>
                <w:color w:val="auto"/>
              </w:rPr>
              <w:t>Range Plans</w:t>
            </w:r>
          </w:p>
        </w:tc>
        <w:tc>
          <w:tcPr>
            <w:tcW w:w="160" w:type="dxa"/>
            <w:vAlign w:val="bottom"/>
            <w:tcBorders>
              <w:left w:val="single" w:sz="8" w:color="69BCEB"/>
              <w:right w:val="single" w:sz="8" w:color="B0D9F5"/>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Borders>
              <w:right w:val="single" w:sz="8" w:color="B0D9F5"/>
            </w:tcBorders>
            <w:gridSpan w:val="2"/>
          </w:tcPr>
          <w:p>
            <w:pPr>
              <w:ind w:left="60"/>
              <w:spacing w:after="0"/>
              <w:rPr>
                <w:sz w:val="20"/>
                <w:szCs w:val="20"/>
                <w:color w:val="auto"/>
              </w:rPr>
            </w:pPr>
            <w:r>
              <w:rPr>
                <w:rFonts w:ascii="Arial" w:cs="Arial" w:eastAsia="Arial" w:hAnsi="Arial"/>
                <w:sz w:val="18"/>
                <w:szCs w:val="18"/>
                <w:color w:val="auto"/>
              </w:rPr>
              <w:t>Opportunity</w:t>
            </w:r>
          </w:p>
        </w:tc>
        <w:tc>
          <w:tcPr>
            <w:tcW w:w="0" w:type="dxa"/>
            <w:vAlign w:val="bottom"/>
          </w:tcPr>
          <w:p>
            <w:pPr>
              <w:spacing w:after="0"/>
              <w:rPr>
                <w:sz w:val="1"/>
                <w:szCs w:val="1"/>
                <w:color w:val="auto"/>
              </w:rPr>
            </w:pPr>
          </w:p>
        </w:tc>
      </w:tr>
      <w:tr>
        <w:trPr>
          <w:trHeight w:val="116"/>
        </w:trPr>
        <w:tc>
          <w:tcPr>
            <w:tcW w:w="320" w:type="dxa"/>
            <w:vAlign w:val="bottom"/>
            <w:tcBorders>
              <w:left w:val="single" w:sz="8" w:color="00A0DE"/>
            </w:tcBorders>
            <w:vMerge w:val="continue"/>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180" w:type="dxa"/>
            <w:vAlign w:val="bottom"/>
            <w:tcBorders>
              <w:left w:val="single" w:sz="8" w:color="00A0DE"/>
              <w:right w:val="single" w:sz="8" w:color="69BCEB"/>
            </w:tcBorders>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00A0DD"/>
              </w:rPr>
              <w:t>•</w:t>
            </w:r>
          </w:p>
        </w:tc>
        <w:tc>
          <w:tcPr>
            <w:tcW w:w="2480" w:type="dxa"/>
            <w:vAlign w:val="bottom"/>
            <w:gridSpan w:val="2"/>
            <w:vMerge w:val="restart"/>
          </w:tcPr>
          <w:p>
            <w:pPr>
              <w:ind w:left="300"/>
              <w:spacing w:after="0"/>
              <w:rPr>
                <w:sz w:val="20"/>
                <w:szCs w:val="20"/>
                <w:color w:val="auto"/>
              </w:rPr>
            </w:pPr>
            <w:r>
              <w:rPr>
                <w:rFonts w:ascii="Arial" w:cs="Arial" w:eastAsia="Arial" w:hAnsi="Arial"/>
                <w:sz w:val="18"/>
                <w:szCs w:val="18"/>
                <w:color w:val="auto"/>
              </w:rPr>
              <w:t>Organizational</w:t>
            </w:r>
          </w:p>
        </w:tc>
        <w:tc>
          <w:tcPr>
            <w:tcW w:w="160" w:type="dxa"/>
            <w:vAlign w:val="bottom"/>
            <w:tcBorders>
              <w:left w:val="single" w:sz="8" w:color="69BCEB"/>
              <w:right w:val="single" w:sz="8" w:color="B0D9F5"/>
            </w:tcBorders>
          </w:tcPr>
          <w:p>
            <w:pPr>
              <w:spacing w:after="0"/>
              <w:rPr>
                <w:sz w:val="10"/>
                <w:szCs w:val="10"/>
                <w:color w:val="auto"/>
              </w:rPr>
            </w:pPr>
          </w:p>
        </w:tc>
        <w:tc>
          <w:tcPr>
            <w:tcW w:w="220" w:type="dxa"/>
            <w:vAlign w:val="bottom"/>
            <w:vMerge w:val="restart"/>
          </w:tcPr>
          <w:p>
            <w:pPr>
              <w:ind w:left="80"/>
              <w:spacing w:after="0"/>
              <w:rPr>
                <w:sz w:val="20"/>
                <w:szCs w:val="20"/>
                <w:color w:val="auto"/>
              </w:rPr>
            </w:pPr>
            <w:r>
              <w:rPr>
                <w:rFonts w:ascii="Arial" w:cs="Arial" w:eastAsia="Arial" w:hAnsi="Arial"/>
                <w:sz w:val="16"/>
                <w:szCs w:val="16"/>
                <w:color w:val="00A0DD"/>
              </w:rPr>
              <w:t>•</w:t>
            </w:r>
          </w:p>
        </w:tc>
        <w:tc>
          <w:tcPr>
            <w:tcW w:w="2420" w:type="dxa"/>
            <w:vAlign w:val="bottom"/>
            <w:tcBorders>
              <w:right w:val="single" w:sz="8" w:color="B0D9F5"/>
            </w:tcBorders>
            <w:gridSpan w:val="2"/>
            <w:vMerge w:val="restart"/>
          </w:tcPr>
          <w:p>
            <w:pPr>
              <w:ind w:left="260"/>
              <w:spacing w:after="0"/>
              <w:rPr>
                <w:sz w:val="20"/>
                <w:szCs w:val="20"/>
                <w:color w:val="auto"/>
              </w:rPr>
            </w:pPr>
            <w:r>
              <w:rPr>
                <w:rFonts w:ascii="Arial" w:cs="Arial" w:eastAsia="Arial" w:hAnsi="Arial"/>
                <w:sz w:val="18"/>
                <w:szCs w:val="18"/>
                <w:color w:val="auto"/>
              </w:rPr>
              <w:t>Company Culture</w:t>
            </w:r>
          </w:p>
        </w:tc>
        <w:tc>
          <w:tcPr>
            <w:tcW w:w="0" w:type="dxa"/>
            <w:vAlign w:val="bottom"/>
          </w:tcPr>
          <w:p>
            <w:pPr>
              <w:spacing w:after="0"/>
              <w:rPr>
                <w:sz w:val="1"/>
                <w:szCs w:val="1"/>
                <w:color w:val="auto"/>
              </w:rPr>
            </w:pPr>
          </w:p>
        </w:tc>
      </w:tr>
      <w:tr>
        <w:trPr>
          <w:trHeight w:val="158"/>
        </w:trPr>
        <w:tc>
          <w:tcPr>
            <w:tcW w:w="320" w:type="dxa"/>
            <w:vAlign w:val="bottom"/>
            <w:tcBorders>
              <w:left w:val="single" w:sz="8" w:color="00A0DE"/>
            </w:tcBorders>
            <w:vMerge w:val="restart"/>
          </w:tcPr>
          <w:p>
            <w:pPr>
              <w:ind w:left="100"/>
              <w:spacing w:after="0"/>
              <w:rPr>
                <w:sz w:val="20"/>
                <w:szCs w:val="20"/>
                <w:color w:val="auto"/>
              </w:rPr>
            </w:pPr>
            <w:r>
              <w:rPr>
                <w:rFonts w:ascii="Arial" w:cs="Arial" w:eastAsia="Arial" w:hAnsi="Arial"/>
                <w:sz w:val="16"/>
                <w:szCs w:val="16"/>
                <w:color w:val="00A0DD"/>
              </w:rPr>
              <w:t>•</w:t>
            </w:r>
          </w:p>
        </w:tc>
        <w:tc>
          <w:tcPr>
            <w:tcW w:w="2380" w:type="dxa"/>
            <w:vAlign w:val="bottom"/>
            <w:gridSpan w:val="2"/>
            <w:vMerge w:val="restart"/>
          </w:tcPr>
          <w:p>
            <w:pPr>
              <w:ind w:left="18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b w:val="1"/>
                <w:bCs w:val="1"/>
                <w:color w:val="auto"/>
              </w:rPr>
              <w:t>(10%)</w:t>
            </w:r>
          </w:p>
        </w:tc>
        <w:tc>
          <w:tcPr>
            <w:tcW w:w="180" w:type="dxa"/>
            <w:vAlign w:val="bottom"/>
            <w:tcBorders>
              <w:left w:val="single" w:sz="8" w:color="00A0DE"/>
              <w:right w:val="single" w:sz="8" w:color="69BCEB"/>
            </w:tcBorders>
          </w:tcPr>
          <w:p>
            <w:pPr>
              <w:spacing w:after="0"/>
              <w:rPr>
                <w:sz w:val="13"/>
                <w:szCs w:val="13"/>
                <w:color w:val="auto"/>
              </w:rPr>
            </w:pPr>
          </w:p>
        </w:tc>
        <w:tc>
          <w:tcPr>
            <w:tcW w:w="20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60" w:type="dxa"/>
            <w:vAlign w:val="bottom"/>
            <w:tcBorders>
              <w:left w:val="single" w:sz="8" w:color="69BCEB"/>
              <w:right w:val="single" w:sz="8" w:color="B0D9F5"/>
            </w:tcBorders>
          </w:tcPr>
          <w:p>
            <w:pPr>
              <w:spacing w:after="0"/>
              <w:rPr>
                <w:sz w:val="13"/>
                <w:szCs w:val="13"/>
                <w:color w:val="auto"/>
              </w:rPr>
            </w:pPr>
          </w:p>
        </w:tc>
        <w:tc>
          <w:tcPr>
            <w:tcW w:w="220" w:type="dxa"/>
            <w:vAlign w:val="bottom"/>
            <w:vMerge w:val="continue"/>
          </w:tcPr>
          <w:p>
            <w:pPr>
              <w:spacing w:after="0"/>
              <w:rPr>
                <w:sz w:val="13"/>
                <w:szCs w:val="13"/>
                <w:color w:val="auto"/>
              </w:rPr>
            </w:pPr>
          </w:p>
        </w:tc>
        <w:tc>
          <w:tcPr>
            <w:tcW w:w="2420" w:type="dxa"/>
            <w:vAlign w:val="bottom"/>
            <w:tcBorders>
              <w:right w:val="single" w:sz="8" w:color="B0D9F5"/>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Borders>
              <w:left w:val="single" w:sz="8" w:color="00A0DE"/>
            </w:tcBorders>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80" w:type="dxa"/>
            <w:vAlign w:val="bottom"/>
            <w:tcBorders>
              <w:left w:val="single" w:sz="8" w:color="00A0DE"/>
              <w:right w:val="single" w:sz="8" w:color="69BCEB"/>
            </w:tcBorders>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vMerge w:val="restart"/>
          </w:tcPr>
          <w:p>
            <w:pPr>
              <w:ind w:left="80"/>
              <w:spacing w:after="0"/>
              <w:rPr>
                <w:sz w:val="20"/>
                <w:szCs w:val="20"/>
                <w:color w:val="auto"/>
              </w:rPr>
            </w:pPr>
            <w:r>
              <w:rPr>
                <w:rFonts w:ascii="Arial" w:cs="Arial" w:eastAsia="Arial" w:hAnsi="Arial"/>
                <w:sz w:val="18"/>
                <w:szCs w:val="18"/>
                <w:color w:val="auto"/>
              </w:rPr>
              <w:t>Collaboration</w:t>
            </w:r>
          </w:p>
        </w:tc>
        <w:tc>
          <w:tcPr>
            <w:tcW w:w="160" w:type="dxa"/>
            <w:vAlign w:val="bottom"/>
            <w:tcBorders>
              <w:left w:val="single" w:sz="8" w:color="69BCEB"/>
              <w:right w:val="single" w:sz="8" w:color="B0D9F5"/>
            </w:tcBorders>
          </w:tcPr>
          <w:p>
            <w:pPr>
              <w:spacing w:after="0"/>
              <w:rPr>
                <w:sz w:val="13"/>
                <w:szCs w:val="13"/>
                <w:color w:val="auto"/>
              </w:rPr>
            </w:pPr>
          </w:p>
        </w:tc>
        <w:tc>
          <w:tcPr>
            <w:tcW w:w="220" w:type="dxa"/>
            <w:vAlign w:val="bottom"/>
            <w:vMerge w:val="restart"/>
          </w:tcPr>
          <w:p>
            <w:pPr>
              <w:ind w:left="80"/>
              <w:spacing w:after="0"/>
              <w:rPr>
                <w:sz w:val="20"/>
                <w:szCs w:val="20"/>
                <w:color w:val="auto"/>
              </w:rPr>
            </w:pPr>
            <w:r>
              <w:rPr>
                <w:rFonts w:ascii="Arial" w:cs="Arial" w:eastAsia="Arial" w:hAnsi="Arial"/>
                <w:sz w:val="16"/>
                <w:szCs w:val="16"/>
                <w:color w:val="00A0DD"/>
              </w:rPr>
              <w:t>•</w:t>
            </w:r>
          </w:p>
        </w:tc>
        <w:tc>
          <w:tcPr>
            <w:tcW w:w="2420" w:type="dxa"/>
            <w:vAlign w:val="bottom"/>
            <w:tcBorders>
              <w:right w:val="single" w:sz="8" w:color="B0D9F5"/>
            </w:tcBorders>
            <w:gridSpan w:val="2"/>
            <w:vMerge w:val="restart"/>
          </w:tcPr>
          <w:p>
            <w:pPr>
              <w:ind w:left="260"/>
              <w:spacing w:after="0"/>
              <w:rPr>
                <w:sz w:val="20"/>
                <w:szCs w:val="20"/>
                <w:color w:val="auto"/>
              </w:rPr>
            </w:pPr>
            <w:r>
              <w:rPr>
                <w:rFonts w:ascii="Arial" w:cs="Arial" w:eastAsia="Arial" w:hAnsi="Arial"/>
                <w:sz w:val="18"/>
                <w:szCs w:val="18"/>
                <w:color w:val="auto"/>
              </w:rPr>
              <w:t>Environmental</w:t>
            </w:r>
          </w:p>
        </w:tc>
        <w:tc>
          <w:tcPr>
            <w:tcW w:w="0" w:type="dxa"/>
            <w:vAlign w:val="bottom"/>
          </w:tcPr>
          <w:p>
            <w:pPr>
              <w:spacing w:after="0"/>
              <w:rPr>
                <w:sz w:val="1"/>
                <w:szCs w:val="1"/>
                <w:color w:val="auto"/>
              </w:rPr>
            </w:pPr>
          </w:p>
        </w:tc>
      </w:tr>
      <w:tr>
        <w:trPr>
          <w:trHeight w:val="87"/>
        </w:trPr>
        <w:tc>
          <w:tcPr>
            <w:tcW w:w="320" w:type="dxa"/>
            <w:vAlign w:val="bottom"/>
            <w:tcBorders>
              <w:left w:val="single" w:sz="8" w:color="00A0DE"/>
            </w:tcBorders>
          </w:tcPr>
          <w:p>
            <w:pPr>
              <w:spacing w:after="0"/>
              <w:rPr>
                <w:sz w:val="7"/>
                <w:szCs w:val="7"/>
                <w:color w:val="auto"/>
              </w:rPr>
            </w:pPr>
          </w:p>
        </w:tc>
        <w:tc>
          <w:tcPr>
            <w:tcW w:w="1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Borders>
              <w:left w:val="single" w:sz="8" w:color="00A0DE"/>
              <w:right w:val="single" w:sz="8" w:color="69BCEB"/>
            </w:tcBorders>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160" w:type="dxa"/>
            <w:vAlign w:val="bottom"/>
            <w:tcBorders>
              <w:left w:val="single" w:sz="8" w:color="69BCEB"/>
              <w:right w:val="single" w:sz="8" w:color="B0D9F5"/>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2420" w:type="dxa"/>
            <w:vAlign w:val="bottom"/>
            <w:tcBorders>
              <w:right w:val="single" w:sz="8" w:color="B0D9F5"/>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20" w:type="dxa"/>
            <w:vAlign w:val="bottom"/>
            <w:tcBorders>
              <w:left w:val="single" w:sz="8" w:color="00A0DE"/>
            </w:tcBorders>
          </w:tcPr>
          <w:p>
            <w:pPr>
              <w:spacing w:after="0"/>
              <w:rPr>
                <w:sz w:val="6"/>
                <w:szCs w:val="6"/>
                <w:color w:val="auto"/>
              </w:rPr>
            </w:pPr>
          </w:p>
        </w:tc>
        <w:tc>
          <w:tcPr>
            <w:tcW w:w="10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Borders>
              <w:left w:val="single" w:sz="8" w:color="00A0DE"/>
              <w:right w:val="single" w:sz="8" w:color="69BCEB"/>
            </w:tcBorders>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60" w:type="dxa"/>
            <w:vAlign w:val="bottom"/>
            <w:tcBorders>
              <w:left w:val="single" w:sz="8" w:color="69BCEB"/>
              <w:right w:val="single" w:sz="8" w:color="B0D9F5"/>
            </w:tcBorders>
          </w:tcPr>
          <w:p>
            <w:pPr>
              <w:spacing w:after="0"/>
              <w:rPr>
                <w:sz w:val="6"/>
                <w:szCs w:val="6"/>
                <w:color w:val="auto"/>
              </w:rPr>
            </w:pPr>
          </w:p>
        </w:tc>
        <w:tc>
          <w:tcPr>
            <w:tcW w:w="220" w:type="dxa"/>
            <w:vAlign w:val="bottom"/>
            <w:vMerge w:val="continue"/>
          </w:tcPr>
          <w:p>
            <w:pPr>
              <w:spacing w:after="0"/>
              <w:rPr>
                <w:sz w:val="6"/>
                <w:szCs w:val="6"/>
                <w:color w:val="auto"/>
              </w:rPr>
            </w:pPr>
          </w:p>
        </w:tc>
        <w:tc>
          <w:tcPr>
            <w:tcW w:w="2420" w:type="dxa"/>
            <w:vAlign w:val="bottom"/>
            <w:tcBorders>
              <w:right w:val="single" w:sz="8" w:color="B0D9F5"/>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20" w:type="dxa"/>
            <w:vAlign w:val="bottom"/>
            <w:tcBorders>
              <w:left w:val="single" w:sz="8" w:color="00A0DE"/>
            </w:tcBorders>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Borders>
              <w:left w:val="single" w:sz="8" w:color="00A0DE"/>
              <w:right w:val="single" w:sz="8" w:color="69BCEB"/>
            </w:tcBorders>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00A0DD"/>
              </w:rPr>
              <w:t>•</w:t>
            </w:r>
          </w:p>
        </w:tc>
        <w:tc>
          <w:tcPr>
            <w:tcW w:w="2480" w:type="dxa"/>
            <w:vAlign w:val="bottom"/>
            <w:gridSpan w:val="2"/>
          </w:tcPr>
          <w:p>
            <w:pPr>
              <w:ind w:left="300"/>
              <w:spacing w:after="0"/>
              <w:rPr>
                <w:sz w:val="20"/>
                <w:szCs w:val="20"/>
                <w:color w:val="auto"/>
              </w:rPr>
            </w:pPr>
            <w:r>
              <w:rPr>
                <w:rFonts w:ascii="Arial" w:cs="Arial" w:eastAsia="Arial" w:hAnsi="Arial"/>
                <w:sz w:val="18"/>
                <w:szCs w:val="18"/>
                <w:color w:val="auto"/>
              </w:rPr>
              <w:t>Operational Agility</w:t>
            </w:r>
          </w:p>
        </w:tc>
        <w:tc>
          <w:tcPr>
            <w:tcW w:w="160" w:type="dxa"/>
            <w:vAlign w:val="bottom"/>
            <w:tcBorders>
              <w:left w:val="single" w:sz="8" w:color="69BCEB"/>
              <w:right w:val="single" w:sz="8" w:color="B0D9F5"/>
            </w:tcBorders>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Borders>
              <w:right w:val="single" w:sz="8" w:color="B0D9F5"/>
            </w:tcBorders>
            <w:gridSpan w:val="2"/>
          </w:tcPr>
          <w:p>
            <w:pPr>
              <w:ind w:left="60"/>
              <w:spacing w:after="0"/>
              <w:rPr>
                <w:sz w:val="20"/>
                <w:szCs w:val="20"/>
                <w:color w:val="auto"/>
              </w:rPr>
            </w:pPr>
            <w:r>
              <w:rPr>
                <w:rFonts w:ascii="Arial" w:cs="Arial" w:eastAsia="Arial" w:hAnsi="Arial"/>
                <w:sz w:val="18"/>
                <w:szCs w:val="18"/>
                <w:color w:val="auto"/>
              </w:rPr>
              <w:t>Sustainability</w:t>
            </w:r>
          </w:p>
        </w:tc>
        <w:tc>
          <w:tcPr>
            <w:tcW w:w="0" w:type="dxa"/>
            <w:vAlign w:val="bottom"/>
          </w:tcPr>
          <w:p>
            <w:pPr>
              <w:spacing w:after="0"/>
              <w:rPr>
                <w:sz w:val="1"/>
                <w:szCs w:val="1"/>
                <w:color w:val="auto"/>
              </w:rPr>
            </w:pPr>
          </w:p>
        </w:tc>
      </w:tr>
      <w:tr>
        <w:trPr>
          <w:trHeight w:val="81"/>
        </w:trPr>
        <w:tc>
          <w:tcPr>
            <w:tcW w:w="320" w:type="dxa"/>
            <w:vAlign w:val="bottom"/>
            <w:tcBorders>
              <w:left w:val="single" w:sz="8" w:color="00A0DE"/>
              <w:bottom w:val="single" w:sz="8" w:color="00A0DE"/>
            </w:tcBorders>
          </w:tcPr>
          <w:p>
            <w:pPr>
              <w:spacing w:after="0"/>
              <w:rPr>
                <w:sz w:val="7"/>
                <w:szCs w:val="7"/>
                <w:color w:val="auto"/>
              </w:rPr>
            </w:pPr>
          </w:p>
        </w:tc>
        <w:tc>
          <w:tcPr>
            <w:tcW w:w="1040" w:type="dxa"/>
            <w:vAlign w:val="bottom"/>
            <w:tcBorders>
              <w:bottom w:val="single" w:sz="8" w:color="00A0DE"/>
            </w:tcBorders>
          </w:tcPr>
          <w:p>
            <w:pPr>
              <w:spacing w:after="0"/>
              <w:rPr>
                <w:sz w:val="7"/>
                <w:szCs w:val="7"/>
                <w:color w:val="auto"/>
              </w:rPr>
            </w:pPr>
          </w:p>
        </w:tc>
        <w:tc>
          <w:tcPr>
            <w:tcW w:w="1340" w:type="dxa"/>
            <w:vAlign w:val="bottom"/>
            <w:tcBorders>
              <w:bottom w:val="single" w:sz="8" w:color="00A0DE"/>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69BCEB"/>
            </w:tcBorders>
          </w:tcPr>
          <w:p>
            <w:pPr>
              <w:spacing w:after="0"/>
              <w:rPr>
                <w:sz w:val="7"/>
                <w:szCs w:val="7"/>
                <w:color w:val="auto"/>
              </w:rPr>
            </w:pPr>
          </w:p>
        </w:tc>
        <w:tc>
          <w:tcPr>
            <w:tcW w:w="1160" w:type="dxa"/>
            <w:vAlign w:val="bottom"/>
            <w:tcBorders>
              <w:bottom w:val="single" w:sz="8" w:color="69BCEB"/>
            </w:tcBorders>
          </w:tcPr>
          <w:p>
            <w:pPr>
              <w:spacing w:after="0"/>
              <w:rPr>
                <w:sz w:val="7"/>
                <w:szCs w:val="7"/>
                <w:color w:val="auto"/>
              </w:rPr>
            </w:pPr>
          </w:p>
        </w:tc>
        <w:tc>
          <w:tcPr>
            <w:tcW w:w="1320" w:type="dxa"/>
            <w:vAlign w:val="bottom"/>
            <w:tcBorders>
              <w:bottom w:val="single" w:sz="8" w:color="69BCEB"/>
            </w:tcBorders>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Borders>
              <w:bottom w:val="single" w:sz="8" w:color="B0D9F5"/>
            </w:tcBorders>
          </w:tcPr>
          <w:p>
            <w:pPr>
              <w:spacing w:after="0"/>
              <w:rPr>
                <w:sz w:val="7"/>
                <w:szCs w:val="7"/>
                <w:color w:val="auto"/>
              </w:rPr>
            </w:pPr>
          </w:p>
        </w:tc>
        <w:tc>
          <w:tcPr>
            <w:tcW w:w="1120" w:type="dxa"/>
            <w:vAlign w:val="bottom"/>
            <w:tcBorders>
              <w:bottom w:val="single" w:sz="8" w:color="B0D9F5"/>
            </w:tcBorders>
          </w:tcPr>
          <w:p>
            <w:pPr>
              <w:spacing w:after="0"/>
              <w:rPr>
                <w:sz w:val="7"/>
                <w:szCs w:val="7"/>
                <w:color w:val="auto"/>
              </w:rPr>
            </w:pPr>
          </w:p>
        </w:tc>
        <w:tc>
          <w:tcPr>
            <w:tcW w:w="1300" w:type="dxa"/>
            <w:vAlign w:val="bottom"/>
            <w:tcBorders>
              <w:bottom w:val="single" w:sz="8" w:color="B0D9F5"/>
              <w:right w:val="single" w:sz="8" w:color="B0D9F5"/>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2007235</wp:posOffset>
            </wp:positionH>
            <wp:positionV relativeFrom="paragraph">
              <wp:posOffset>-72390</wp:posOffset>
            </wp:positionV>
            <wp:extent cx="3429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5725"/>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-72390</wp:posOffset>
            </wp:positionV>
            <wp:extent cx="33655"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8572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-72390</wp:posOffset>
            </wp:positionV>
            <wp:extent cx="3429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5725"/>
                    </a:xfrm>
                    <a:prstGeom prst="rect">
                      <a:avLst/>
                    </a:prstGeom>
                    <a:noFill/>
                  </pic:spPr>
                </pic:pic>
              </a:graphicData>
            </a:graphic>
          </wp:anchor>
        </w:drawing>
        <w:drawing>
          <wp:anchor simplePos="0" relativeHeight="251657728" behindDoc="1" locked="0" layoutInCell="0" allowOverlap="1">
            <wp:simplePos x="0" y="0"/>
            <wp:positionH relativeFrom="column">
              <wp:posOffset>3721735</wp:posOffset>
            </wp:positionH>
            <wp:positionV relativeFrom="paragraph">
              <wp:posOffset>-72390</wp:posOffset>
            </wp:positionV>
            <wp:extent cx="33655"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85725"/>
                    </a:xfrm>
                    <a:prstGeom prst="rect">
                      <a:avLst/>
                    </a:prstGeom>
                    <a:noFill/>
                  </pic:spPr>
                </pic:pic>
              </a:graphicData>
            </a:graphic>
          </wp:anchor>
        </w:drawing>
      </w:r>
    </w:p>
    <w:p>
      <w:pPr>
        <w:spacing w:after="0" w:line="85" w:lineRule="exact"/>
        <w:rPr>
          <w:sz w:val="20"/>
          <w:szCs w:val="20"/>
          <w:color w:val="auto"/>
        </w:rPr>
      </w:pPr>
    </w:p>
    <w:p>
      <w:pPr>
        <w:ind w:left="440" w:hanging="116"/>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Metrics are not individually weighted and are considered collectively on a holistic basis.</w:t>
      </w:r>
    </w:p>
    <w:p>
      <w:pPr>
        <w:spacing w:after="0" w:line="10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color w:val="00A0DD"/>
        </w:rPr>
        <w:t>Financial Metrics and Results</w:t>
      </w:r>
    </w:p>
    <w:p>
      <w:pPr>
        <w:spacing w:after="0" w:line="104" w:lineRule="exact"/>
        <w:rPr>
          <w:sz w:val="20"/>
          <w:szCs w:val="20"/>
          <w:color w:val="auto"/>
        </w:rPr>
      </w:pPr>
    </w:p>
    <w:p>
      <w:pPr>
        <w:ind w:left="320" w:right="359"/>
        <w:spacing w:after="0" w:line="242" w:lineRule="auto"/>
        <w:rPr>
          <w:sz w:val="20"/>
          <w:szCs w:val="20"/>
          <w:color w:val="auto"/>
        </w:rPr>
      </w:pPr>
      <w:r>
        <w:rPr>
          <w:rFonts w:ascii="Arial" w:cs="Arial" w:eastAsia="Arial" w:hAnsi="Arial"/>
          <w:sz w:val="18"/>
          <w:szCs w:val="18"/>
          <w:color w:val="auto"/>
        </w:rPr>
        <w:t>Below are the performance ranges established for the financial performance metrics under the NEOs’ 2025 bonus program. Achievement for each financial metric would be zero if performance is below the threshold of the metric’s range, with potential payouts ranging from 14% if achievement for each financial metric is at the bottom of the range to a maximum of 140% if achievement for each is at the top of the range. See “2025 Performance Overview” above for a description of our strong financial performance in 2025.</w:t>
      </w:r>
    </w:p>
    <w:p>
      <w:pPr>
        <w:spacing w:after="0" w:line="71" w:lineRule="exact"/>
        <w:rPr>
          <w:sz w:val="20"/>
          <w:szCs w:val="20"/>
          <w:color w:val="auto"/>
        </w:rPr>
      </w:pPr>
    </w:p>
    <w:p>
      <w:pPr>
        <w:ind w:left="320" w:right="479"/>
        <w:spacing w:after="0"/>
        <w:rPr>
          <w:sz w:val="20"/>
          <w:szCs w:val="20"/>
          <w:color w:val="auto"/>
        </w:rPr>
      </w:pPr>
      <w:r>
        <w:rPr>
          <w:rFonts w:ascii="Arial" w:cs="Arial" w:eastAsia="Arial" w:hAnsi="Arial"/>
          <w:sz w:val="18"/>
          <w:szCs w:val="18"/>
          <w:color w:val="auto"/>
        </w:rPr>
        <w:t>Performance ranges were established based on meeting our enterprise-wide consolidated operating budget, which takes into account the cyclicality of working capital, capital spending plans for the upcoming year, target product rollout numbers and other relevant factors. Specifically, 2025 targets and performance ranges were set contemplating that 2025 (i) would not include broadcasts of the Summer Olympics that had occurred in 2024, which negatively impacts revenue in 2025, and (ii) would include incremental investments relating to the acquisition of new NBA media rights and the payment of related sports rights fees that were absent in 2024, which negatively impacts Adjusted EBITDA and Free Cash Flow in 2025.</w:t>
      </w:r>
    </w:p>
    <w:p>
      <w:pPr>
        <w:spacing w:after="0" w:line="200" w:lineRule="exact"/>
        <w:rPr>
          <w:sz w:val="20"/>
          <w:szCs w:val="20"/>
          <w:color w:val="auto"/>
        </w:rPr>
      </w:pPr>
    </w:p>
    <w:p>
      <w:pPr>
        <w:spacing w:after="0" w:line="372" w:lineRule="exact"/>
        <w:rPr>
          <w:sz w:val="20"/>
          <w:szCs w:val="20"/>
          <w:color w:val="auto"/>
        </w:rPr>
      </w:pPr>
    </w:p>
    <w:p>
      <w:pPr>
        <w:ind w:left="1000" w:hanging="674"/>
        <w:spacing w:after="0"/>
        <w:tabs>
          <w:tab w:leader="none" w:pos="10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5" w:name="page36"/>
    <w:bookmarkEnd w:id="35"/>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5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2025 PERFORMANCE</w:t>
            </w:r>
          </w:p>
        </w:tc>
        <w:tc>
          <w:tcPr>
            <w:tcW w:w="1780" w:type="dxa"/>
            <w:vAlign w:val="bottom"/>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3560" w:type="dxa"/>
            <w:vAlign w:val="bottom"/>
          </w:tcPr>
          <w:p>
            <w:pPr>
              <w:jc w:val="right"/>
              <w:ind w:right="219"/>
              <w:spacing w:after="0" w:line="189" w:lineRule="exact"/>
              <w:rPr>
                <w:sz w:val="20"/>
                <w:szCs w:val="20"/>
                <w:color w:val="auto"/>
              </w:rPr>
            </w:pPr>
            <w:r>
              <w:rPr>
                <w:rFonts w:ascii="Arial" w:cs="Arial" w:eastAsia="Arial" w:hAnsi="Arial"/>
                <w:sz w:val="16"/>
                <w:szCs w:val="16"/>
                <w:b w:val="1"/>
                <w:bCs w:val="1"/>
                <w:color w:val="auto"/>
              </w:rPr>
              <w:t>RANGE</w:t>
            </w:r>
            <w:r>
              <w:rPr>
                <w:rFonts w:ascii="Arial" w:cs="Arial" w:eastAsia="Arial" w:hAnsi="Arial"/>
                <w:sz w:val="21"/>
                <w:szCs w:val="21"/>
                <w:b w:val="1"/>
                <w:bCs w:val="1"/>
                <w:color w:val="auto"/>
                <w:vertAlign w:val="superscript"/>
              </w:rPr>
              <w:t>(1)</w:t>
            </w:r>
          </w:p>
        </w:tc>
        <w:tc>
          <w:tcPr>
            <w:tcW w:w="1780" w:type="dxa"/>
            <w:vAlign w:val="bottom"/>
          </w:tcPr>
          <w:p>
            <w:pPr>
              <w:jc w:val="right"/>
              <w:ind w:right="99"/>
              <w:spacing w:after="0"/>
              <w:rPr>
                <w:sz w:val="20"/>
                <w:szCs w:val="20"/>
                <w:color w:val="auto"/>
              </w:rPr>
            </w:pPr>
            <w:r>
              <w:rPr>
                <w:rFonts w:ascii="Arial" w:cs="Arial" w:eastAsia="Arial" w:hAnsi="Arial"/>
                <w:sz w:val="16"/>
                <w:szCs w:val="16"/>
                <w:b w:val="1"/>
                <w:bCs w:val="1"/>
                <w:color w:val="auto"/>
              </w:rPr>
              <w:t>2025 ACTUAL</w:t>
            </w:r>
          </w:p>
        </w:tc>
      </w:tr>
      <w:tr>
        <w:trPr>
          <w:trHeight w:val="230"/>
        </w:trPr>
        <w:tc>
          <w:tcPr>
            <w:tcW w:w="30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IN BILLIONS)</w:t>
            </w:r>
          </w:p>
        </w:tc>
        <w:tc>
          <w:tcPr>
            <w:tcW w:w="1780" w:type="dxa"/>
            <w:vAlign w:val="bottom"/>
            <w:tcBorders>
              <w:bottom w:val="single" w:sz="8" w:color="auto"/>
            </w:tcBorders>
          </w:tcPr>
          <w:p>
            <w:pPr>
              <w:jc w:val="right"/>
              <w:ind w:right="99"/>
              <w:spacing w:after="0" w:line="230" w:lineRule="exact"/>
              <w:rPr>
                <w:sz w:val="20"/>
                <w:szCs w:val="20"/>
                <w:color w:val="auto"/>
              </w:rPr>
            </w:pPr>
            <w:r>
              <w:rPr>
                <w:rFonts w:ascii="Arial" w:cs="Arial" w:eastAsia="Arial" w:hAnsi="Arial"/>
                <w:sz w:val="16"/>
                <w:szCs w:val="16"/>
                <w:b w:val="1"/>
                <w:bCs w:val="1"/>
                <w:color w:val="auto"/>
              </w:rPr>
              <w:t>ACHIEVEMENT</w:t>
            </w:r>
            <w:r>
              <w:rPr>
                <w:rFonts w:ascii="Arial" w:cs="Arial" w:eastAsia="Arial" w:hAnsi="Arial"/>
                <w:sz w:val="21"/>
                <w:szCs w:val="21"/>
                <w:b w:val="1"/>
                <w:bCs w:val="1"/>
                <w:color w:val="auto"/>
                <w:vertAlign w:val="superscript"/>
              </w:rPr>
              <w:t>(2)</w:t>
            </w:r>
          </w:p>
        </w:tc>
      </w:tr>
      <w:tr>
        <w:trPr>
          <w:trHeight w:val="196"/>
        </w:trPr>
        <w:tc>
          <w:tcPr>
            <w:tcW w:w="300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Adjusted EBITDA</w:t>
            </w:r>
          </w:p>
        </w:tc>
        <w:tc>
          <w:tcPr>
            <w:tcW w:w="3560" w:type="dxa"/>
            <w:vAlign w:val="bottom"/>
            <w:tcBorders>
              <w:bottom w:val="single" w:sz="8" w:color="DCDDDE"/>
            </w:tcBorders>
          </w:tcPr>
          <w:p>
            <w:pPr>
              <w:jc w:val="right"/>
              <w:ind w:right="219"/>
              <w:spacing w:after="0"/>
              <w:rPr>
                <w:sz w:val="20"/>
                <w:szCs w:val="20"/>
                <w:color w:val="auto"/>
              </w:rPr>
            </w:pPr>
            <w:r>
              <w:rPr>
                <w:rFonts w:ascii="Arial" w:cs="Arial" w:eastAsia="Arial" w:hAnsi="Arial"/>
                <w:sz w:val="16"/>
                <w:szCs w:val="16"/>
                <w:color w:val="auto"/>
              </w:rPr>
              <w:t>35.761 – 41.407</w:t>
            </w:r>
          </w:p>
        </w:tc>
        <w:tc>
          <w:tcPr>
            <w:tcW w:w="178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32%</w:t>
            </w:r>
          </w:p>
        </w:tc>
      </w:tr>
      <w:tr>
        <w:trPr>
          <w:trHeight w:val="183"/>
        </w:trPr>
        <w:tc>
          <w:tcPr>
            <w:tcW w:w="300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Free Cash Flow</w:t>
            </w:r>
          </w:p>
        </w:tc>
        <w:tc>
          <w:tcPr>
            <w:tcW w:w="356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13.858 – 21.195</w:t>
            </w:r>
          </w:p>
        </w:tc>
        <w:tc>
          <w:tcPr>
            <w:tcW w:w="1780" w:type="dxa"/>
            <w:vAlign w:val="bottom"/>
            <w:tcBorders>
              <w:bottom w:val="single" w:sz="8" w:color="DCDDDE"/>
            </w:tcBorders>
          </w:tcPr>
          <w:p>
            <w:pPr>
              <w:jc w:val="right"/>
              <w:spacing w:after="0" w:line="183" w:lineRule="exact"/>
              <w:rPr>
                <w:sz w:val="20"/>
                <w:szCs w:val="20"/>
                <w:color w:val="auto"/>
              </w:rPr>
            </w:pPr>
            <w:r>
              <w:rPr>
                <w:rFonts w:ascii="Arial" w:cs="Arial" w:eastAsia="Arial" w:hAnsi="Arial"/>
                <w:sz w:val="16"/>
                <w:szCs w:val="16"/>
                <w:color w:val="auto"/>
              </w:rPr>
              <w:t>35%</w:t>
            </w:r>
          </w:p>
        </w:tc>
      </w:tr>
      <w:tr>
        <w:trPr>
          <w:trHeight w:val="183"/>
        </w:trPr>
        <w:tc>
          <w:tcPr>
            <w:tcW w:w="300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Revenue</w:t>
            </w:r>
          </w:p>
        </w:tc>
        <w:tc>
          <w:tcPr>
            <w:tcW w:w="356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117.062 – 135.545</w:t>
            </w:r>
          </w:p>
        </w:tc>
        <w:tc>
          <w:tcPr>
            <w:tcW w:w="1780" w:type="dxa"/>
            <w:vAlign w:val="bottom"/>
            <w:tcBorders>
              <w:bottom w:val="single" w:sz="8" w:color="DCDDDE"/>
            </w:tcBorders>
          </w:tcPr>
          <w:p>
            <w:pPr>
              <w:jc w:val="right"/>
              <w:spacing w:after="0" w:line="183" w:lineRule="exact"/>
              <w:rPr>
                <w:sz w:val="20"/>
                <w:szCs w:val="20"/>
                <w:color w:val="auto"/>
              </w:rPr>
            </w:pPr>
            <w:r>
              <w:rPr>
                <w:rFonts w:ascii="Arial" w:cs="Arial" w:eastAsia="Arial" w:hAnsi="Arial"/>
                <w:sz w:val="16"/>
                <w:szCs w:val="16"/>
                <w:color w:val="auto"/>
              </w:rPr>
              <w:t>10%</w:t>
            </w:r>
          </w:p>
        </w:tc>
      </w:tr>
      <w:tr>
        <w:trPr>
          <w:trHeight w:val="196"/>
        </w:trPr>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35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bl>
    <w:p>
      <w:pPr>
        <w:spacing w:after="0" w:line="107" w:lineRule="exact"/>
        <w:rPr>
          <w:sz w:val="20"/>
          <w:szCs w:val="20"/>
          <w:color w:val="auto"/>
        </w:rPr>
      </w:pPr>
    </w:p>
    <w:p>
      <w:pPr>
        <w:ind w:left="1380" w:right="1720" w:hanging="201"/>
        <w:spacing w:after="0" w:line="281" w:lineRule="auto"/>
        <w:tabs>
          <w:tab w:leader="none" w:pos="1380" w:val="left"/>
        </w:tabs>
        <w:numPr>
          <w:ilvl w:val="0"/>
          <w:numId w:val="56"/>
        </w:numPr>
        <w:rPr>
          <w:rFonts w:ascii="Times New Roman" w:cs="Times New Roman" w:eastAsia="Times New Roman" w:hAnsi="Times New Roman"/>
          <w:sz w:val="10"/>
          <w:szCs w:val="10"/>
          <w:color w:val="auto"/>
        </w:rPr>
      </w:pPr>
      <w:r>
        <w:rPr>
          <w:rFonts w:ascii="Arial" w:cs="Arial" w:eastAsia="Arial" w:hAnsi="Arial"/>
          <w:sz w:val="16"/>
          <w:szCs w:val="16"/>
          <w:color w:val="auto"/>
        </w:rPr>
        <w:t>Amounts reflected are on a consolidated basis and have been adjusted to reflect Sky results on a constant currency basis.</w:t>
      </w:r>
    </w:p>
    <w:p>
      <w:pPr>
        <w:spacing w:after="0" w:line="1" w:lineRule="exact"/>
        <w:rPr>
          <w:rFonts w:ascii="Times New Roman" w:cs="Times New Roman" w:eastAsia="Times New Roman" w:hAnsi="Times New Roman"/>
          <w:sz w:val="10"/>
          <w:szCs w:val="10"/>
          <w:color w:val="auto"/>
        </w:rPr>
      </w:pPr>
    </w:p>
    <w:p>
      <w:pPr>
        <w:ind w:left="1380" w:right="1200" w:hanging="201"/>
        <w:spacing w:after="0" w:line="259" w:lineRule="auto"/>
        <w:tabs>
          <w:tab w:leader="none" w:pos="1380" w:val="left"/>
        </w:tabs>
        <w:numPr>
          <w:ilvl w:val="0"/>
          <w:numId w:val="56"/>
        </w:numPr>
        <w:rPr>
          <w:rFonts w:ascii="Times New Roman" w:cs="Times New Roman" w:eastAsia="Times New Roman" w:hAnsi="Times New Roman"/>
          <w:sz w:val="10"/>
          <w:szCs w:val="10"/>
          <w:color w:val="auto"/>
        </w:rPr>
      </w:pPr>
      <w:r>
        <w:rPr>
          <w:rFonts w:ascii="Arial" w:cs="Arial" w:eastAsia="Arial" w:hAnsi="Arial"/>
          <w:sz w:val="16"/>
          <w:szCs w:val="16"/>
          <w:color w:val="auto"/>
        </w:rPr>
        <w:t>Achievement percentages are interpolated between specified achievement levels and are presented based on the maximum weighted levels of achievement described in the section immediately above (i.e., achievement of the target performance for the three metrics would total 70% (Adjusted EBITDA: 35%; Free Cash Flow: 25%; and revenue: 10%)).</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00A0DD"/>
        </w:rPr>
        <w:t>Operational Performance Goals and Results</w:t>
      </w:r>
    </w:p>
    <w:p>
      <w:pPr>
        <w:spacing w:after="0" w:line="104" w:lineRule="exact"/>
        <w:rPr>
          <w:sz w:val="20"/>
          <w:szCs w:val="20"/>
          <w:color w:val="auto"/>
        </w:rPr>
      </w:pPr>
    </w:p>
    <w:p>
      <w:pPr>
        <w:ind w:left="1180" w:right="1220"/>
        <w:spacing w:after="0"/>
        <w:rPr>
          <w:sz w:val="20"/>
          <w:szCs w:val="20"/>
          <w:color w:val="auto"/>
        </w:rPr>
      </w:pPr>
      <w:r>
        <w:rPr>
          <w:rFonts w:ascii="Arial" w:cs="Arial" w:eastAsia="Arial" w:hAnsi="Arial"/>
          <w:sz w:val="18"/>
          <w:szCs w:val="18"/>
          <w:color w:val="auto"/>
        </w:rPr>
        <w:t>The Compensation Committee established operational performance goals in February 2025 that accounted for 15% of the 2025 target annual bonus, with potential payouts ranging from 0% to 30%. The Compensation Committee determined that achievement against these goals was 18% based on both quantifiable outcomes and a holistic evaluation of the NEOs’ performance, collectively and individually. Each operational goal established, and the related considerations for achievement, are described below. Certain details about the performance of our operational goals are not disclosed due to competitive concerns.</w:t>
      </w:r>
    </w:p>
    <w:p>
      <w:pPr>
        <w:spacing w:after="0" w:line="90" w:lineRule="exact"/>
        <w:rPr>
          <w:sz w:val="20"/>
          <w:szCs w:val="20"/>
          <w:color w:val="auto"/>
        </w:rPr>
      </w:pPr>
    </w:p>
    <w:p>
      <w:pPr>
        <w:ind w:left="1240"/>
        <w:spacing w:after="0"/>
        <w:tabs>
          <w:tab w:leader="none" w:pos="2920" w:val="left"/>
        </w:tabs>
        <w:rPr>
          <w:sz w:val="20"/>
          <w:szCs w:val="20"/>
          <w:color w:val="auto"/>
        </w:rPr>
      </w:pPr>
      <w:r>
        <w:rPr>
          <w:rFonts w:ascii="Arial" w:cs="Arial" w:eastAsia="Arial" w:hAnsi="Arial"/>
          <w:sz w:val="18"/>
          <w:szCs w:val="18"/>
          <w:b w:val="1"/>
          <w:bCs w:val="1"/>
          <w:color w:val="auto"/>
        </w:rPr>
        <w:t>GOALS</w:t>
      </w:r>
      <w:r>
        <w:rPr>
          <w:sz w:val="20"/>
          <w:szCs w:val="20"/>
          <w:color w:val="auto"/>
        </w:rPr>
        <w:tab/>
      </w:r>
      <w:r>
        <w:rPr>
          <w:rFonts w:ascii="Arial" w:cs="Arial" w:eastAsia="Arial" w:hAnsi="Arial"/>
          <w:sz w:val="18"/>
          <w:szCs w:val="18"/>
          <w:b w:val="1"/>
          <w:bCs w:val="1"/>
          <w:color w:val="auto"/>
        </w:rPr>
        <w:t>ACHIEVEMENT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34925</wp:posOffset>
            </wp:positionV>
            <wp:extent cx="5306060" cy="22459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06060" cy="2245995"/>
                    </a:xfrm>
                    <a:prstGeom prst="rect">
                      <a:avLst/>
                    </a:prstGeom>
                    <a:noFill/>
                  </pic:spPr>
                </pic:pic>
              </a:graphicData>
            </a:graphic>
          </wp:anchor>
        </w:drawing>
      </w:r>
    </w:p>
    <w:p>
      <w:pPr>
        <w:spacing w:after="0" w:line="70" w:lineRule="exact"/>
        <w:rPr>
          <w:sz w:val="20"/>
          <w:szCs w:val="20"/>
          <w:color w:val="auto"/>
        </w:rPr>
      </w:pPr>
    </w:p>
    <w:p>
      <w:pPr>
        <w:ind w:left="1240" w:right="1240"/>
        <w:spacing w:after="0" w:line="245" w:lineRule="auto"/>
        <w:rPr>
          <w:sz w:val="20"/>
          <w:szCs w:val="20"/>
          <w:color w:val="auto"/>
        </w:rPr>
      </w:pPr>
      <w:r>
        <w:rPr>
          <w:rFonts w:ascii="Arial" w:cs="Arial" w:eastAsia="Arial" w:hAnsi="Arial"/>
          <w:sz w:val="18"/>
          <w:szCs w:val="18"/>
          <w:b w:val="1"/>
          <w:bCs w:val="1"/>
          <w:color w:val="auto"/>
        </w:rPr>
        <w:t xml:space="preserve">Alignment with </w:t>
      </w:r>
      <w:r>
        <w:rPr>
          <w:rFonts w:ascii="Arial" w:cs="Arial" w:eastAsia="Arial" w:hAnsi="Arial"/>
          <w:sz w:val="18"/>
          <w:szCs w:val="18"/>
          <w:color w:val="auto"/>
        </w:rPr>
        <w:t>In 2025, we significantly progressed our long-range strategic plans around our key</w:t>
      </w:r>
      <w:r>
        <w:rPr>
          <w:rFonts w:ascii="Arial" w:cs="Arial" w:eastAsia="Arial" w:hAnsi="Arial"/>
          <w:sz w:val="18"/>
          <w:szCs w:val="18"/>
          <w:b w:val="1"/>
          <w:bCs w:val="1"/>
          <w:color w:val="auto"/>
        </w:rPr>
        <w:t xml:space="preserve"> Long Range Plans </w:t>
      </w:r>
      <w:r>
        <w:rPr>
          <w:rFonts w:ascii="Arial" w:cs="Arial" w:eastAsia="Arial" w:hAnsi="Arial"/>
          <w:sz w:val="18"/>
          <w:szCs w:val="18"/>
          <w:color w:val="auto"/>
        </w:rPr>
        <w:t>growth drivers in managing our operations in what continues to be an intensely</w:t>
      </w:r>
    </w:p>
    <w:p>
      <w:pPr>
        <w:ind w:left="2940"/>
        <w:spacing w:after="0"/>
        <w:rPr>
          <w:sz w:val="20"/>
          <w:szCs w:val="20"/>
          <w:color w:val="auto"/>
        </w:rPr>
      </w:pPr>
      <w:r>
        <w:rPr>
          <w:rFonts w:ascii="Arial" w:cs="Arial" w:eastAsia="Arial" w:hAnsi="Arial"/>
          <w:sz w:val="18"/>
          <w:szCs w:val="18"/>
          <w:color w:val="auto"/>
        </w:rPr>
        <w:t>competitive environment:</w:t>
      </w:r>
    </w:p>
    <w:p>
      <w:pPr>
        <w:spacing w:after="0" w:line="59" w:lineRule="exact"/>
        <w:rPr>
          <w:sz w:val="20"/>
          <w:szCs w:val="20"/>
          <w:color w:val="auto"/>
        </w:rPr>
      </w:pPr>
    </w:p>
    <w:p>
      <w:pPr>
        <w:ind w:left="3140" w:right="1460" w:hanging="201"/>
        <w:spacing w:after="0" w:line="270" w:lineRule="auto"/>
        <w:tabs>
          <w:tab w:leader="none" w:pos="3140" w:val="left"/>
        </w:tabs>
        <w:numPr>
          <w:ilvl w:val="0"/>
          <w:numId w:val="57"/>
        </w:numPr>
        <w:rPr>
          <w:rFonts w:ascii="Times New Roman" w:cs="Times New Roman" w:eastAsia="Times New Roman" w:hAnsi="Times New Roman"/>
          <w:sz w:val="18"/>
          <w:szCs w:val="18"/>
          <w:color w:val="00A0DD"/>
        </w:rPr>
      </w:pPr>
      <w:r>
        <w:rPr>
          <w:rFonts w:ascii="Arial" w:cs="Arial" w:eastAsia="Arial" w:hAnsi="Arial"/>
          <w:sz w:val="18"/>
          <w:szCs w:val="18"/>
          <w:color w:val="auto"/>
        </w:rPr>
        <w:t>Adapted our broadband go-to-market offering to compete more effectively for the long term by focusing on network, product and customer experience.</w:t>
      </w:r>
    </w:p>
    <w:p>
      <w:pPr>
        <w:spacing w:after="0" w:line="5" w:lineRule="exact"/>
        <w:rPr>
          <w:rFonts w:ascii="Times New Roman" w:cs="Times New Roman" w:eastAsia="Times New Roman" w:hAnsi="Times New Roman"/>
          <w:sz w:val="18"/>
          <w:szCs w:val="18"/>
          <w:color w:val="00A0DD"/>
        </w:rPr>
      </w:pPr>
    </w:p>
    <w:p>
      <w:pPr>
        <w:ind w:left="3140" w:right="1200" w:hanging="201"/>
        <w:spacing w:after="0" w:line="252" w:lineRule="auto"/>
        <w:tabs>
          <w:tab w:leader="none" w:pos="3140" w:val="left"/>
        </w:tabs>
        <w:numPr>
          <w:ilvl w:val="0"/>
          <w:numId w:val="57"/>
        </w:numPr>
        <w:rPr>
          <w:rFonts w:ascii="Times New Roman" w:cs="Times New Roman" w:eastAsia="Times New Roman" w:hAnsi="Times New Roman"/>
          <w:sz w:val="18"/>
          <w:szCs w:val="18"/>
          <w:color w:val="00A0DD"/>
        </w:rPr>
      </w:pPr>
      <w:r>
        <w:rPr>
          <w:rFonts w:ascii="Arial" w:cs="Arial" w:eastAsia="Arial" w:hAnsi="Arial"/>
          <w:sz w:val="18"/>
          <w:szCs w:val="18"/>
          <w:color w:val="auto"/>
        </w:rPr>
        <w:t>Accelerated momentum in domestic wireless and expanded our subscriber base by more than 1.5 million lines, growing revenue by 16.3% and surpassing 15% penetration of our domestic residential broadband customers.</w:t>
      </w:r>
    </w:p>
    <w:p>
      <w:pPr>
        <w:spacing w:after="0" w:line="22" w:lineRule="exact"/>
        <w:rPr>
          <w:rFonts w:ascii="Times New Roman" w:cs="Times New Roman" w:eastAsia="Times New Roman" w:hAnsi="Times New Roman"/>
          <w:sz w:val="18"/>
          <w:szCs w:val="18"/>
          <w:color w:val="00A0DD"/>
        </w:rPr>
      </w:pPr>
    </w:p>
    <w:p>
      <w:pPr>
        <w:ind w:left="3140" w:right="1240" w:hanging="201"/>
        <w:spacing w:after="0" w:line="297" w:lineRule="auto"/>
        <w:tabs>
          <w:tab w:leader="none" w:pos="3140" w:val="left"/>
        </w:tabs>
        <w:numPr>
          <w:ilvl w:val="0"/>
          <w:numId w:val="57"/>
        </w:numPr>
        <w:rPr>
          <w:rFonts w:ascii="Times New Roman" w:cs="Times New Roman" w:eastAsia="Times New Roman" w:hAnsi="Times New Roman"/>
          <w:sz w:val="17"/>
          <w:szCs w:val="17"/>
          <w:color w:val="00A0DD"/>
        </w:rPr>
      </w:pPr>
      <w:r>
        <w:rPr>
          <w:rFonts w:ascii="Arial" w:cs="Arial" w:eastAsia="Arial" w:hAnsi="Arial"/>
          <w:sz w:val="17"/>
          <w:szCs w:val="17"/>
          <w:color w:val="auto"/>
        </w:rPr>
        <w:t>Grew connectivity revenue by 4.2% to $46.0 billion, driven by growth in domestic wireless, international connectivity and business services connectivity.</w:t>
      </w:r>
    </w:p>
    <w:p>
      <w:pPr>
        <w:spacing w:after="0" w:line="1" w:lineRule="exact"/>
        <w:rPr>
          <w:rFonts w:ascii="Times New Roman" w:cs="Times New Roman" w:eastAsia="Times New Roman" w:hAnsi="Times New Roman"/>
          <w:sz w:val="17"/>
          <w:szCs w:val="17"/>
          <w:color w:val="00A0DD"/>
        </w:rPr>
      </w:pPr>
    </w:p>
    <w:p>
      <w:pPr>
        <w:ind w:left="3140" w:right="1420" w:hanging="201"/>
        <w:spacing w:after="0" w:line="270" w:lineRule="auto"/>
        <w:tabs>
          <w:tab w:leader="none" w:pos="3140" w:val="left"/>
        </w:tabs>
        <w:numPr>
          <w:ilvl w:val="0"/>
          <w:numId w:val="57"/>
        </w:numPr>
        <w:rPr>
          <w:rFonts w:ascii="Times New Roman" w:cs="Times New Roman" w:eastAsia="Times New Roman" w:hAnsi="Times New Roman"/>
          <w:sz w:val="18"/>
          <w:szCs w:val="18"/>
          <w:color w:val="00A0DD"/>
        </w:rPr>
      </w:pPr>
      <w:r>
        <w:rPr>
          <w:rFonts w:ascii="Arial" w:cs="Arial" w:eastAsia="Arial" w:hAnsi="Arial"/>
          <w:sz w:val="18"/>
          <w:szCs w:val="18"/>
          <w:color w:val="auto"/>
        </w:rPr>
        <w:t>Universal theme parks increased revenue by 14.2% and Adjusted EBITDA by 4.5%, driven by the successful opening of Epic Universe in May 2025.</w:t>
      </w:r>
    </w:p>
    <w:p>
      <w:pPr>
        <w:spacing w:after="0" w:line="5" w:lineRule="exact"/>
        <w:rPr>
          <w:rFonts w:ascii="Times New Roman" w:cs="Times New Roman" w:eastAsia="Times New Roman" w:hAnsi="Times New Roman"/>
          <w:sz w:val="18"/>
          <w:szCs w:val="18"/>
          <w:color w:val="00A0DD"/>
        </w:rPr>
      </w:pPr>
    </w:p>
    <w:p>
      <w:pPr>
        <w:ind w:left="3140" w:right="1280" w:hanging="201"/>
        <w:spacing w:after="0" w:line="252" w:lineRule="auto"/>
        <w:tabs>
          <w:tab w:leader="none" w:pos="3140" w:val="left"/>
        </w:tabs>
        <w:numPr>
          <w:ilvl w:val="0"/>
          <w:numId w:val="57"/>
        </w:numPr>
        <w:rPr>
          <w:rFonts w:ascii="Times New Roman" w:cs="Times New Roman" w:eastAsia="Times New Roman" w:hAnsi="Times New Roman"/>
          <w:sz w:val="18"/>
          <w:szCs w:val="18"/>
          <w:color w:val="00A0DD"/>
        </w:rPr>
      </w:pPr>
      <w:r>
        <w:rPr>
          <w:rFonts w:ascii="Arial" w:cs="Arial" w:eastAsia="Arial" w:hAnsi="Arial"/>
          <w:sz w:val="18"/>
          <w:szCs w:val="18"/>
          <w:color w:val="auto"/>
        </w:rPr>
        <w:t>Peacock paid subscribers increased 22% to 44 million and achieved a more than $700 million improvement in Peacock losses, which included the impact of new NBA rights fees.</w:t>
      </w:r>
    </w:p>
    <w:p>
      <w:pPr>
        <w:spacing w:after="0" w:line="76" w:lineRule="exact"/>
        <w:rPr>
          <w:sz w:val="20"/>
          <w:szCs w:val="20"/>
          <w:color w:val="auto"/>
        </w:rPr>
      </w:pPr>
    </w:p>
    <w:p>
      <w:pPr>
        <w:ind w:left="1240"/>
        <w:spacing w:after="0"/>
        <w:tabs>
          <w:tab w:leader="none" w:pos="2920" w:val="left"/>
        </w:tabs>
        <w:rPr>
          <w:sz w:val="20"/>
          <w:szCs w:val="20"/>
          <w:color w:val="auto"/>
        </w:rPr>
      </w:pPr>
      <w:r>
        <w:rPr>
          <w:rFonts w:ascii="Arial" w:cs="Arial" w:eastAsia="Arial" w:hAnsi="Arial"/>
          <w:sz w:val="18"/>
          <w:szCs w:val="18"/>
          <w:b w:val="1"/>
          <w:bCs w:val="1"/>
          <w:color w:val="auto"/>
        </w:rPr>
        <w:t>Organizational</w:t>
      </w:r>
      <w:r>
        <w:rPr>
          <w:sz w:val="20"/>
          <w:szCs w:val="20"/>
          <w:color w:val="auto"/>
        </w:rPr>
        <w:tab/>
      </w:r>
      <w:r>
        <w:rPr>
          <w:rFonts w:ascii="Arial" w:cs="Arial" w:eastAsia="Arial" w:hAnsi="Arial"/>
          <w:sz w:val="18"/>
          <w:szCs w:val="18"/>
          <w:color w:val="auto"/>
        </w:rPr>
        <w:t>Our complementary, high-performing business units continued their strong</w:t>
      </w:r>
    </w:p>
    <w:p>
      <w:pPr>
        <w:spacing w:after="0" w:line="14" w:lineRule="exact"/>
        <w:rPr>
          <w:sz w:val="20"/>
          <w:szCs w:val="20"/>
          <w:color w:val="auto"/>
        </w:rPr>
      </w:pPr>
    </w:p>
    <w:p>
      <w:pPr>
        <w:ind w:left="1240"/>
        <w:spacing w:after="0"/>
        <w:tabs>
          <w:tab w:leader="none" w:pos="2920" w:val="left"/>
        </w:tabs>
        <w:rPr>
          <w:sz w:val="20"/>
          <w:szCs w:val="20"/>
          <w:color w:val="auto"/>
        </w:rPr>
      </w:pPr>
      <w:r>
        <w:rPr>
          <w:rFonts w:ascii="Arial" w:cs="Arial" w:eastAsia="Arial" w:hAnsi="Arial"/>
          <w:sz w:val="18"/>
          <w:szCs w:val="18"/>
          <w:b w:val="1"/>
          <w:bCs w:val="1"/>
          <w:color w:val="auto"/>
        </w:rPr>
        <w:t>Collaboration</w:t>
      </w:r>
      <w:r>
        <w:rPr>
          <w:sz w:val="20"/>
          <w:szCs w:val="20"/>
          <w:color w:val="auto"/>
        </w:rPr>
        <w:tab/>
      </w:r>
      <w:r>
        <w:rPr>
          <w:rFonts w:ascii="Arial" w:cs="Arial" w:eastAsia="Arial" w:hAnsi="Arial"/>
          <w:sz w:val="18"/>
          <w:szCs w:val="18"/>
          <w:color w:val="auto"/>
        </w:rPr>
        <w:t>collaboration and streamlined opportunities for further growth and alignment.</w:t>
      </w:r>
    </w:p>
    <w:p>
      <w:pPr>
        <w:spacing w:after="0" w:line="59" w:lineRule="exact"/>
        <w:rPr>
          <w:sz w:val="20"/>
          <w:szCs w:val="20"/>
          <w:color w:val="auto"/>
        </w:rPr>
      </w:pPr>
    </w:p>
    <w:p>
      <w:pPr>
        <w:ind w:left="3140" w:right="1860" w:hanging="201"/>
        <w:spacing w:after="0" w:line="252" w:lineRule="auto"/>
        <w:tabs>
          <w:tab w:leader="none" w:pos="3140" w:val="left"/>
        </w:tabs>
        <w:numPr>
          <w:ilvl w:val="0"/>
          <w:numId w:val="58"/>
        </w:numPr>
        <w:rPr>
          <w:rFonts w:ascii="Times New Roman" w:cs="Times New Roman" w:eastAsia="Times New Roman" w:hAnsi="Times New Roman"/>
          <w:sz w:val="18"/>
          <w:szCs w:val="18"/>
          <w:color w:val="00A0DD"/>
        </w:rPr>
      </w:pPr>
      <w:r>
        <w:rPr>
          <w:rFonts w:ascii="Arial" w:cs="Arial" w:eastAsia="Arial" w:hAnsi="Arial"/>
          <w:sz w:val="18"/>
          <w:szCs w:val="18"/>
          <w:color w:val="auto"/>
        </w:rPr>
        <w:t>Our technology teams around the world collaborated on our global Entertainment OS platform, integrated and designed for how consumers consume content.</w:t>
      </w:r>
    </w:p>
    <w:p>
      <w:pPr>
        <w:spacing w:after="0" w:line="22" w:lineRule="exact"/>
        <w:rPr>
          <w:rFonts w:ascii="Times New Roman" w:cs="Times New Roman" w:eastAsia="Times New Roman" w:hAnsi="Times New Roman"/>
          <w:sz w:val="18"/>
          <w:szCs w:val="18"/>
          <w:color w:val="00A0DD"/>
        </w:rPr>
      </w:pPr>
    </w:p>
    <w:p>
      <w:pPr>
        <w:ind w:left="3140" w:right="1400" w:hanging="201"/>
        <w:spacing w:after="0" w:line="243" w:lineRule="auto"/>
        <w:tabs>
          <w:tab w:leader="none" w:pos="3140" w:val="left"/>
        </w:tabs>
        <w:numPr>
          <w:ilvl w:val="0"/>
          <w:numId w:val="58"/>
        </w:numPr>
        <w:rPr>
          <w:rFonts w:ascii="Times New Roman" w:cs="Times New Roman" w:eastAsia="Times New Roman" w:hAnsi="Times New Roman"/>
          <w:sz w:val="18"/>
          <w:szCs w:val="18"/>
          <w:color w:val="00A0DD"/>
        </w:rPr>
      </w:pPr>
      <w:r>
        <w:rPr>
          <w:rFonts w:ascii="Arial" w:cs="Arial" w:eastAsia="Arial" w:hAnsi="Arial"/>
          <w:sz w:val="18"/>
          <w:szCs w:val="18"/>
          <w:color w:val="auto"/>
        </w:rPr>
        <w:t>We further aligned our businesses and teams around shared objectives, to simplify how we operate and prioritize growth across our broadband, wireless, business services, theme parks, studios and streaming businesses. For example, our teams partnered on further integrating business and marketing strategies –</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33</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36" w:name="page37"/>
    <w:bookmarkEnd w:id="36"/>
    <w:tbl>
      <w:tblPr>
        <w:tblLayout w:type="fixed"/>
        <w:tblInd w:w="320" w:type="dxa"/>
        <w:tblCellMar>
          <w:top w:w="0" w:type="dxa"/>
          <w:left w:w="0" w:type="dxa"/>
          <w:bottom w:w="0" w:type="dxa"/>
          <w:right w:w="0" w:type="dxa"/>
        </w:tblCellMar>
      </w:tblPr>
      <w:tr>
        <w:trPr>
          <w:trHeight w:val="207"/>
        </w:trPr>
        <w:tc>
          <w:tcPr>
            <w:tcW w:w="720" w:type="dxa"/>
            <w:vAlign w:val="bottom"/>
          </w:tcPr>
          <w:p>
            <w:pPr>
              <w:jc w:val="right"/>
              <w:spacing w:after="0"/>
              <w:rPr>
                <w:sz w:val="20"/>
                <w:szCs w:val="20"/>
                <w:color w:val="auto"/>
              </w:rPr>
            </w:pPr>
            <w:r>
              <w:rPr>
                <w:rFonts w:ascii="Arial" w:cs="Arial" w:eastAsia="Arial" w:hAnsi="Arial"/>
                <w:sz w:val="18"/>
                <w:szCs w:val="18"/>
                <w:b w:val="1"/>
                <w:bCs w:val="1"/>
                <w:color w:val="0000FF"/>
                <w:w w:val="98"/>
              </w:rPr>
              <w:t>Table of</w:t>
            </w:r>
          </w:p>
        </w:tc>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0000FF"/>
              </w:rPr>
              <w:t>Contents</w:t>
            </w:r>
          </w:p>
        </w:tc>
      </w:tr>
      <w:tr>
        <w:trPr>
          <w:trHeight w:val="1513"/>
        </w:trPr>
        <w:tc>
          <w:tcPr>
            <w:tcW w:w="720" w:type="dxa"/>
            <w:vAlign w:val="bottom"/>
            <w:tcBorders>
              <w:top w:val="single" w:sz="8" w:color="0000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GOALS</w:t>
            </w:r>
          </w:p>
        </w:tc>
        <w:tc>
          <w:tcPr>
            <w:tcW w:w="800" w:type="dxa"/>
            <w:vAlign w:val="bottom"/>
            <w:tcBorders>
              <w:top w:val="single" w:sz="8" w:color="0000FF"/>
              <w:bottom w:val="single" w:sz="8" w:color="auto"/>
            </w:tcBorders>
          </w:tcPr>
          <w:p>
            <w:pPr>
              <w:spacing w:after="0"/>
              <w:rPr>
                <w:sz w:val="24"/>
                <w:szCs w:val="24"/>
                <w:color w:val="auto"/>
              </w:rPr>
            </w:pPr>
          </w:p>
        </w:tc>
        <w:tc>
          <w:tcPr>
            <w:tcW w:w="6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ACHIEVEMENT CONSIDERATIONS</w:t>
            </w:r>
          </w:p>
        </w:tc>
      </w:tr>
    </w:tbl>
    <w:p>
      <w:pPr>
        <w:spacing w:after="0" w:line="62" w:lineRule="exact"/>
        <w:rPr>
          <w:sz w:val="20"/>
          <w:szCs w:val="20"/>
          <w:color w:val="auto"/>
        </w:rPr>
      </w:pPr>
    </w:p>
    <w:p>
      <w:pPr>
        <w:ind w:left="2280" w:right="379"/>
        <w:spacing w:after="0" w:line="242" w:lineRule="auto"/>
        <w:rPr>
          <w:sz w:val="20"/>
          <w:szCs w:val="20"/>
          <w:color w:val="auto"/>
        </w:rPr>
      </w:pPr>
      <w:r>
        <w:rPr>
          <w:rFonts w:ascii="Arial" w:cs="Arial" w:eastAsia="Arial" w:hAnsi="Arial"/>
          <w:sz w:val="18"/>
          <w:szCs w:val="18"/>
          <w:color w:val="auto"/>
        </w:rPr>
        <w:t xml:space="preserve">expanding NBCUniversal’s sports and entertainment reach and leveraging our iconic IP to deepen engagement with Xfinity customers. We advanced this effort through cross-portfolio promotions tied to major events and franchises such as </w:t>
      </w:r>
      <w:r>
        <w:rPr>
          <w:rFonts w:ascii="Arial" w:cs="Arial" w:eastAsia="Arial" w:hAnsi="Arial"/>
          <w:sz w:val="18"/>
          <w:szCs w:val="18"/>
          <w:i w:val="1"/>
          <w:iCs w:val="1"/>
          <w:color w:val="auto"/>
        </w:rPr>
        <w:t>Wicked</w:t>
      </w:r>
      <w:r>
        <w:rPr>
          <w:rFonts w:ascii="Arial" w:cs="Arial" w:eastAsia="Arial" w:hAnsi="Arial"/>
          <w:sz w:val="18"/>
          <w:szCs w:val="18"/>
          <w:color w:val="auto"/>
        </w:rPr>
        <w:t>,</w:t>
      </w:r>
      <w:r>
        <w:rPr>
          <w:rFonts w:ascii="Arial" w:cs="Arial" w:eastAsia="Arial" w:hAnsi="Arial"/>
          <w:sz w:val="18"/>
          <w:szCs w:val="18"/>
          <w:i w:val="1"/>
          <w:iCs w:val="1"/>
          <w:color w:val="auto"/>
        </w:rPr>
        <w:t xml:space="preserve"> Jurassic</w:t>
      </w:r>
      <w:r>
        <w:rPr>
          <w:rFonts w:ascii="Arial" w:cs="Arial" w:eastAsia="Arial" w:hAnsi="Arial"/>
          <w:sz w:val="18"/>
          <w:szCs w:val="18"/>
          <w:color w:val="auto"/>
        </w:rPr>
        <w:t>, the Olympics, the NFL and the NBA, as well as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Xfinity membership program designed to attract new broadband and wireless subscribers.</w:t>
      </w:r>
    </w:p>
    <w:p>
      <w:pPr>
        <w:spacing w:after="0" w:line="30" w:lineRule="exact"/>
        <w:rPr>
          <w:sz w:val="20"/>
          <w:szCs w:val="20"/>
          <w:color w:val="auto"/>
        </w:rPr>
      </w:pPr>
    </w:p>
    <w:p>
      <w:pPr>
        <w:ind w:left="2280" w:right="959" w:hanging="201"/>
        <w:spacing w:after="0" w:line="252" w:lineRule="auto"/>
        <w:tabs>
          <w:tab w:leader="none" w:pos="2280" w:val="left"/>
        </w:tabs>
        <w:numPr>
          <w:ilvl w:val="0"/>
          <w:numId w:val="59"/>
        </w:numPr>
        <w:rPr>
          <w:rFonts w:ascii="Times New Roman" w:cs="Times New Roman" w:eastAsia="Times New Roman" w:hAnsi="Times New Roman"/>
          <w:sz w:val="18"/>
          <w:szCs w:val="18"/>
          <w:color w:val="00A0DD"/>
        </w:rPr>
      </w:pPr>
      <w:r>
        <w:rPr>
          <w:rFonts w:ascii="Arial" w:cs="Arial" w:eastAsia="Arial" w:hAnsi="Arial"/>
          <w:sz w:val="18"/>
          <w:szCs w:val="18"/>
          <w:color w:val="auto"/>
        </w:rPr>
        <w:t>We leveraged our assets across Connectivity &amp; Platforms and Content &amp; Experiences to support the launch of Epic Universe as one of the most technologically advanced 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8890</wp:posOffset>
            </wp:positionV>
            <wp:extent cx="5306060" cy="17487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06060" cy="1748790"/>
                    </a:xfrm>
                    <a:prstGeom prst="rect">
                      <a:avLst/>
                    </a:prstGeom>
                    <a:noFill/>
                  </pic:spPr>
                </pic:pic>
              </a:graphicData>
            </a:graphic>
          </wp:anchor>
        </w:drawing>
      </w:r>
    </w:p>
    <w:p>
      <w:pPr>
        <w:spacing w:after="0" w:line="29" w:lineRule="exact"/>
        <w:rPr>
          <w:sz w:val="20"/>
          <w:szCs w:val="20"/>
          <w:color w:val="auto"/>
        </w:rPr>
      </w:pPr>
    </w:p>
    <w:p>
      <w:pPr>
        <w:jc w:val="both"/>
        <w:ind w:left="2280" w:right="399" w:hanging="1896"/>
        <w:spacing w:after="0" w:line="252" w:lineRule="auto"/>
        <w:rPr>
          <w:sz w:val="20"/>
          <w:szCs w:val="20"/>
          <w:color w:val="auto"/>
        </w:rPr>
      </w:pPr>
      <w:r>
        <w:rPr>
          <w:rFonts w:ascii="Arial" w:cs="Arial" w:eastAsia="Arial" w:hAnsi="Arial"/>
          <w:sz w:val="18"/>
          <w:szCs w:val="18"/>
          <w:b w:val="1"/>
          <w:bCs w:val="1"/>
          <w:color w:val="auto"/>
        </w:rPr>
        <w:t xml:space="preserve">Operational Agility </w:t>
      </w:r>
      <w:r>
        <w:rPr>
          <w:rFonts w:ascii="Times New Roman" w:cs="Times New Roman" w:eastAsia="Times New Roman" w:hAnsi="Times New Roman"/>
          <w:sz w:val="18"/>
          <w:szCs w:val="18"/>
          <w:color w:val="00A0DD"/>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focused on meeting demands of our Connectivity &amp; Platforms customers by</w:t>
      </w:r>
      <w:r>
        <w:rPr>
          <w:rFonts w:ascii="Arial" w:cs="Arial" w:eastAsia="Arial" w:hAnsi="Arial"/>
          <w:sz w:val="18"/>
          <w:szCs w:val="18"/>
          <w:b w:val="1"/>
          <w:bCs w:val="1"/>
          <w:color w:val="auto"/>
        </w:rPr>
        <w:t xml:space="preserve"> </w:t>
      </w:r>
      <w:r>
        <w:rPr>
          <w:rFonts w:ascii="Arial" w:cs="Arial" w:eastAsia="Arial" w:hAnsi="Arial"/>
          <w:sz w:val="18"/>
          <w:szCs w:val="18"/>
          <w:color w:val="auto"/>
        </w:rPr>
        <w:t>simplifying pricing, improving transparency and enhancing customer experience in our go-to-market strategy.</w:t>
      </w:r>
    </w:p>
    <w:p>
      <w:pPr>
        <w:spacing w:after="0" w:line="36" w:lineRule="exact"/>
        <w:rPr>
          <w:sz w:val="20"/>
          <w:szCs w:val="20"/>
          <w:color w:val="auto"/>
        </w:rPr>
      </w:pPr>
    </w:p>
    <w:p>
      <w:pPr>
        <w:ind w:left="2280" w:right="679" w:hanging="201"/>
        <w:spacing w:after="0" w:line="246" w:lineRule="auto"/>
        <w:tabs>
          <w:tab w:leader="none" w:pos="2280" w:val="left"/>
        </w:tabs>
        <w:numPr>
          <w:ilvl w:val="0"/>
          <w:numId w:val="60"/>
        </w:numPr>
        <w:rPr>
          <w:rFonts w:ascii="Times New Roman" w:cs="Times New Roman" w:eastAsia="Times New Roman" w:hAnsi="Times New Roman"/>
          <w:sz w:val="18"/>
          <w:szCs w:val="18"/>
          <w:color w:val="00A0DD"/>
        </w:rPr>
      </w:pPr>
      <w:r>
        <w:rPr>
          <w:rFonts w:ascii="Arial" w:cs="Arial" w:eastAsia="Arial" w:hAnsi="Arial"/>
          <w:sz w:val="18"/>
          <w:szCs w:val="18"/>
          <w:color w:val="auto"/>
        </w:rPr>
        <w:t>We celebrated the successful grand opening of Epic Universe in May 2025, which attained strong guest satisfaction. Beyond Orlando, we continued executing against a strong pipeline of new theme park opportunities to serve more guests across the United States and the United Kingdom.</w:t>
      </w:r>
    </w:p>
    <w:p>
      <w:pPr>
        <w:spacing w:after="0" w:line="28" w:lineRule="exact"/>
        <w:rPr>
          <w:rFonts w:ascii="Times New Roman" w:cs="Times New Roman" w:eastAsia="Times New Roman" w:hAnsi="Times New Roman"/>
          <w:sz w:val="18"/>
          <w:szCs w:val="18"/>
          <w:color w:val="00A0DD"/>
        </w:rPr>
      </w:pPr>
    </w:p>
    <w:p>
      <w:pPr>
        <w:ind w:left="2280" w:right="559" w:hanging="201"/>
        <w:spacing w:after="0" w:line="270" w:lineRule="auto"/>
        <w:tabs>
          <w:tab w:leader="none" w:pos="2280" w:val="left"/>
        </w:tabs>
        <w:numPr>
          <w:ilvl w:val="0"/>
          <w:numId w:val="60"/>
        </w:numPr>
        <w:rPr>
          <w:rFonts w:ascii="Times New Roman" w:cs="Times New Roman" w:eastAsia="Times New Roman" w:hAnsi="Times New Roman"/>
          <w:sz w:val="18"/>
          <w:szCs w:val="18"/>
          <w:color w:val="00A0DD"/>
        </w:rPr>
      </w:pPr>
      <w:r>
        <w:rPr>
          <w:rFonts w:ascii="Arial" w:cs="Arial" w:eastAsia="Arial" w:hAnsi="Arial"/>
          <w:sz w:val="18"/>
          <w:szCs w:val="18"/>
          <w:color w:val="auto"/>
        </w:rPr>
        <w:t xml:space="preserve">NBCUniversal’s studios had a strong movie slate that included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Rebirth </w:t>
      </w:r>
      <w:r>
        <w:rPr>
          <w:rFonts w:ascii="Arial" w:cs="Arial" w:eastAsia="Arial" w:hAnsi="Arial"/>
          <w:sz w:val="18"/>
          <w:szCs w:val="18"/>
          <w:color w:val="auto"/>
        </w:rPr>
        <w:t>and</w:t>
      </w:r>
      <w:r>
        <w:rPr>
          <w:rFonts w:ascii="Arial" w:cs="Arial" w:eastAsia="Arial" w:hAnsi="Arial"/>
          <w:sz w:val="18"/>
          <w:szCs w:val="18"/>
          <w:i w:val="1"/>
          <w:iCs w:val="1"/>
          <w:color w:val="auto"/>
        </w:rPr>
        <w:t xml:space="preserve"> Wicked: For Good</w:t>
      </w:r>
      <w:r>
        <w:rPr>
          <w:rFonts w:ascii="Arial" w:cs="Arial" w:eastAsia="Arial" w:hAnsi="Arial"/>
          <w:sz w:val="18"/>
          <w:szCs w:val="18"/>
          <w:color w:val="auto"/>
        </w:rPr>
        <w:t>.</w:t>
      </w:r>
    </w:p>
    <w:p>
      <w:pPr>
        <w:spacing w:after="0" w:line="5" w:lineRule="exact"/>
        <w:rPr>
          <w:rFonts w:ascii="Times New Roman" w:cs="Times New Roman" w:eastAsia="Times New Roman" w:hAnsi="Times New Roman"/>
          <w:sz w:val="18"/>
          <w:szCs w:val="18"/>
          <w:color w:val="00A0DD"/>
        </w:rPr>
      </w:pPr>
    </w:p>
    <w:p>
      <w:pPr>
        <w:ind w:left="2280" w:right="479" w:hanging="201"/>
        <w:spacing w:after="0" w:line="252" w:lineRule="auto"/>
        <w:tabs>
          <w:tab w:leader="none" w:pos="2280" w:val="left"/>
        </w:tabs>
        <w:numPr>
          <w:ilvl w:val="0"/>
          <w:numId w:val="60"/>
        </w:numPr>
        <w:rPr>
          <w:rFonts w:ascii="Times New Roman" w:cs="Times New Roman" w:eastAsia="Times New Roman" w:hAnsi="Times New Roman"/>
          <w:sz w:val="18"/>
          <w:szCs w:val="18"/>
          <w:color w:val="00A0DD"/>
        </w:rPr>
      </w:pPr>
      <w:r>
        <w:rPr>
          <w:rFonts w:ascii="Arial" w:cs="Arial" w:eastAsia="Arial" w:hAnsi="Arial"/>
          <w:sz w:val="18"/>
          <w:szCs w:val="18"/>
          <w:color w:val="auto"/>
        </w:rPr>
        <w:t>The NBA’s return to NBCUniversal marked the start of one of the biggest stretches of live sports in our history and drew the largest audience for an NBA opening double header since 2010.</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0DD"/>
        </w:rPr>
        <w:t>Stakeholder and Sustainability-Related Goals and Results</w:t>
      </w:r>
    </w:p>
    <w:p>
      <w:pPr>
        <w:spacing w:after="0" w:line="104" w:lineRule="exact"/>
        <w:rPr>
          <w:sz w:val="20"/>
          <w:szCs w:val="20"/>
          <w:color w:val="auto"/>
        </w:rPr>
      </w:pPr>
    </w:p>
    <w:p>
      <w:pPr>
        <w:ind w:left="320" w:right="379"/>
        <w:spacing w:after="0"/>
        <w:rPr>
          <w:sz w:val="20"/>
          <w:szCs w:val="20"/>
          <w:color w:val="auto"/>
        </w:rPr>
      </w:pPr>
      <w:r>
        <w:rPr>
          <w:rFonts w:ascii="Arial" w:cs="Arial" w:eastAsia="Arial" w:hAnsi="Arial"/>
          <w:sz w:val="18"/>
          <w:szCs w:val="18"/>
          <w:color w:val="auto"/>
        </w:rPr>
        <w:t>The Compensation Committee established stakeholder and sustainability-related goals in February 2025 that accounted for 15% of the target annual bonus, with potential payouts ranging from 0% to 22.5%. The Compensation Committee determined that achievement against these goals, which are not reduced to a specific metric or set of metrics, was 15% based on the Compensation Committee’s independent and holistic evaluation of the NEOs’ efforts, collectively and individually, to further progress these initiatives. Each stakeholder and sustainability goal, and the related considerations for achievement, are described below.</w:t>
      </w:r>
    </w:p>
    <w:p>
      <w:pPr>
        <w:spacing w:after="0" w:line="90" w:lineRule="exact"/>
        <w:rPr>
          <w:sz w:val="20"/>
          <w:szCs w:val="20"/>
          <w:color w:val="auto"/>
        </w:rPr>
      </w:pPr>
    </w:p>
    <w:tbl>
      <w:tblPr>
        <w:tblLayout w:type="fixed"/>
        <w:tblInd w:w="320" w:type="dxa"/>
        <w:tblCellMar>
          <w:top w:w="0" w:type="dxa"/>
          <w:left w:w="0" w:type="dxa"/>
          <w:bottom w:w="0" w:type="dxa"/>
          <w:right w:w="0" w:type="dxa"/>
        </w:tblCellMar>
      </w:tblPr>
      <w:tr>
        <w:trPr>
          <w:trHeight w:val="255"/>
        </w:trPr>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GOALS</w:t>
            </w:r>
          </w:p>
        </w:tc>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ACHIEVEMENT CONSIDERATIONS</w:t>
            </w:r>
          </w:p>
        </w:tc>
      </w:tr>
      <w:tr>
        <w:trPr>
          <w:trHeight w:val="243"/>
        </w:trPr>
        <w:tc>
          <w:tcPr>
            <w:tcW w:w="1720" w:type="dxa"/>
            <w:vAlign w:val="bottom"/>
            <w:shd w:val="clear" w:color="auto" w:fill="D8ECF7"/>
          </w:tcPr>
          <w:p>
            <w:pPr>
              <w:ind w:left="60"/>
              <w:spacing w:after="0"/>
              <w:rPr>
                <w:sz w:val="20"/>
                <w:szCs w:val="20"/>
                <w:color w:val="auto"/>
              </w:rPr>
            </w:pPr>
            <w:r>
              <w:rPr>
                <w:rFonts w:ascii="Arial" w:cs="Arial" w:eastAsia="Arial" w:hAnsi="Arial"/>
                <w:sz w:val="18"/>
                <w:szCs w:val="18"/>
                <w:b w:val="1"/>
                <w:bCs w:val="1"/>
                <w:color w:val="auto"/>
              </w:rPr>
              <w:t>Advancing Digital</w:t>
            </w:r>
          </w:p>
        </w:tc>
        <w:tc>
          <w:tcPr>
            <w:tcW w:w="6640" w:type="dxa"/>
            <w:vAlign w:val="bottom"/>
            <w:shd w:val="clear" w:color="auto" w:fill="D8ECF7"/>
          </w:tcPr>
          <w:p>
            <w:pPr>
              <w:ind w:left="40"/>
              <w:spacing w:after="0"/>
              <w:rPr>
                <w:sz w:val="20"/>
                <w:szCs w:val="20"/>
                <w:color w:val="auto"/>
              </w:rPr>
            </w:pPr>
            <w:r>
              <w:rPr>
                <w:rFonts w:ascii="Times New Roman" w:cs="Times New Roman" w:eastAsia="Times New Roman" w:hAnsi="Times New Roman"/>
                <w:sz w:val="18"/>
                <w:szCs w:val="18"/>
                <w:color w:val="00A0DD"/>
              </w:rPr>
              <w:t xml:space="preserve">•  </w:t>
            </w:r>
            <w:r>
              <w:rPr>
                <w:rFonts w:ascii="Arial" w:cs="Arial" w:eastAsia="Arial" w:hAnsi="Arial"/>
                <w:sz w:val="18"/>
                <w:szCs w:val="18"/>
                <w:color w:val="000000"/>
              </w:rPr>
              <w:t>We continued our strong leadership in advancing digital opportunity in 2025 by</w:t>
            </w:r>
          </w:p>
        </w:tc>
      </w:tr>
      <w:tr>
        <w:trPr>
          <w:trHeight w:val="203"/>
        </w:trPr>
        <w:tc>
          <w:tcPr>
            <w:tcW w:w="1720" w:type="dxa"/>
            <w:vAlign w:val="bottom"/>
            <w:shd w:val="clear" w:color="auto" w:fill="D8ECF7"/>
          </w:tcPr>
          <w:p>
            <w:pPr>
              <w:ind w:left="60"/>
              <w:spacing w:after="0" w:line="202" w:lineRule="exact"/>
              <w:rPr>
                <w:sz w:val="20"/>
                <w:szCs w:val="20"/>
                <w:color w:val="auto"/>
              </w:rPr>
            </w:pPr>
            <w:r>
              <w:rPr>
                <w:rFonts w:ascii="Arial" w:cs="Arial" w:eastAsia="Arial" w:hAnsi="Arial"/>
                <w:sz w:val="18"/>
                <w:szCs w:val="18"/>
                <w:b w:val="1"/>
                <w:bCs w:val="1"/>
                <w:color w:val="auto"/>
              </w:rPr>
              <w:t>Opportunity</w:t>
            </w: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extending our network to new areas where reliable, high-speed internet services</w:t>
            </w:r>
          </w:p>
        </w:tc>
      </w:tr>
      <w:tr>
        <w:trPr>
          <w:trHeight w:val="184"/>
        </w:trPr>
        <w:tc>
          <w:tcPr>
            <w:tcW w:w="1720" w:type="dxa"/>
            <w:vAlign w:val="bottom"/>
            <w:shd w:val="clear" w:color="auto" w:fill="D8ECF7"/>
          </w:tcPr>
          <w:p>
            <w:pPr>
              <w:spacing w:after="0"/>
              <w:rPr>
                <w:sz w:val="15"/>
                <w:szCs w:val="15"/>
                <w:color w:val="auto"/>
              </w:rPr>
            </w:pPr>
          </w:p>
        </w:tc>
        <w:tc>
          <w:tcPr>
            <w:tcW w:w="6640" w:type="dxa"/>
            <w:vAlign w:val="bottom"/>
            <w:shd w:val="clear" w:color="auto" w:fill="D8ECF7"/>
          </w:tcPr>
          <w:p>
            <w:pPr>
              <w:ind w:left="240"/>
              <w:spacing w:after="0" w:line="183" w:lineRule="exact"/>
              <w:rPr>
                <w:sz w:val="20"/>
                <w:szCs w:val="20"/>
                <w:color w:val="auto"/>
              </w:rPr>
            </w:pPr>
            <w:r>
              <w:rPr>
                <w:rFonts w:ascii="Arial" w:cs="Arial" w:eastAsia="Arial" w:hAnsi="Arial"/>
                <w:sz w:val="18"/>
                <w:szCs w:val="18"/>
                <w:color w:val="auto"/>
              </w:rPr>
              <w:t>had been unavailable and participating in federal, state and local programs</w:t>
            </w:r>
          </w:p>
        </w:tc>
      </w:tr>
      <w:tr>
        <w:trPr>
          <w:trHeight w:val="239"/>
        </w:trPr>
        <w:tc>
          <w:tcPr>
            <w:tcW w:w="1720" w:type="dxa"/>
            <w:vAlign w:val="bottom"/>
            <w:shd w:val="clear" w:color="auto" w:fill="D8ECF7"/>
          </w:tcPr>
          <w:p>
            <w:pPr>
              <w:spacing w:after="0"/>
              <w:rPr>
                <w:sz w:val="20"/>
                <w:szCs w:val="20"/>
                <w:color w:val="auto"/>
              </w:rPr>
            </w:pPr>
          </w:p>
        </w:tc>
        <w:tc>
          <w:tcPr>
            <w:tcW w:w="6640" w:type="dxa"/>
            <w:vAlign w:val="bottom"/>
            <w:shd w:val="clear" w:color="auto" w:fill="D8ECF7"/>
          </w:tcPr>
          <w:p>
            <w:pPr>
              <w:ind w:left="240"/>
              <w:spacing w:after="0"/>
              <w:rPr>
                <w:sz w:val="20"/>
                <w:szCs w:val="20"/>
                <w:color w:val="auto"/>
              </w:rPr>
            </w:pPr>
            <w:r>
              <w:rPr>
                <w:rFonts w:ascii="Arial" w:cs="Arial" w:eastAsia="Arial" w:hAnsi="Arial"/>
                <w:sz w:val="18"/>
                <w:szCs w:val="18"/>
                <w:color w:val="auto"/>
              </w:rPr>
              <w:t>designed to expand broadband to unserved and underserved Americans.</w:t>
            </w:r>
          </w:p>
        </w:tc>
      </w:tr>
      <w:tr>
        <w:trPr>
          <w:trHeight w:val="247"/>
        </w:trPr>
        <w:tc>
          <w:tcPr>
            <w:tcW w:w="1720" w:type="dxa"/>
            <w:vAlign w:val="bottom"/>
            <w:shd w:val="clear" w:color="auto" w:fill="D8ECF7"/>
          </w:tcPr>
          <w:p>
            <w:pPr>
              <w:spacing w:after="0"/>
              <w:rPr>
                <w:sz w:val="21"/>
                <w:szCs w:val="21"/>
                <w:color w:val="auto"/>
              </w:rPr>
            </w:pPr>
          </w:p>
        </w:tc>
        <w:tc>
          <w:tcPr>
            <w:tcW w:w="6640" w:type="dxa"/>
            <w:vAlign w:val="bottom"/>
            <w:shd w:val="clear" w:color="auto" w:fill="D8ECF7"/>
          </w:tcPr>
          <w:p>
            <w:pPr>
              <w:ind w:left="40"/>
              <w:spacing w:after="0"/>
              <w:rPr>
                <w:sz w:val="20"/>
                <w:szCs w:val="20"/>
                <w:color w:val="auto"/>
              </w:rPr>
            </w:pPr>
            <w:r>
              <w:rPr>
                <w:rFonts w:ascii="Times New Roman" w:cs="Times New Roman" w:eastAsia="Times New Roman" w:hAnsi="Times New Roman"/>
                <w:sz w:val="18"/>
                <w:szCs w:val="18"/>
                <w:color w:val="00A0DD"/>
              </w:rPr>
              <w:t xml:space="preserve">•  </w:t>
            </w:r>
            <w:r>
              <w:rPr>
                <w:rFonts w:ascii="Arial" w:cs="Arial" w:eastAsia="Arial" w:hAnsi="Arial"/>
                <w:sz w:val="18"/>
                <w:szCs w:val="18"/>
                <w:color w:val="000000"/>
              </w:rPr>
              <w:t>We expanded Internet Essentials – which has helped close the digital divide by</w:t>
            </w:r>
          </w:p>
        </w:tc>
      </w:tr>
      <w:tr>
        <w:trPr>
          <w:trHeight w:val="203"/>
        </w:trPr>
        <w:tc>
          <w:tcPr>
            <w:tcW w:w="1720" w:type="dxa"/>
            <w:vAlign w:val="bottom"/>
            <w:shd w:val="clear" w:color="auto" w:fill="D8ECF7"/>
          </w:tcPr>
          <w:p>
            <w:pPr>
              <w:spacing w:after="0"/>
              <w:rPr>
                <w:sz w:val="17"/>
                <w:szCs w:val="17"/>
                <w:color w:val="auto"/>
              </w:rPr>
            </w:pP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connecting millions of Americans to affordable, fast, reliable and secure Internet</w:t>
            </w:r>
          </w:p>
        </w:tc>
      </w:tr>
      <w:tr>
        <w:trPr>
          <w:trHeight w:val="203"/>
        </w:trPr>
        <w:tc>
          <w:tcPr>
            <w:tcW w:w="1720" w:type="dxa"/>
            <w:vAlign w:val="bottom"/>
            <w:shd w:val="clear" w:color="auto" w:fill="D8ECF7"/>
          </w:tcPr>
          <w:p>
            <w:pPr>
              <w:spacing w:after="0"/>
              <w:rPr>
                <w:sz w:val="17"/>
                <w:szCs w:val="17"/>
                <w:color w:val="auto"/>
              </w:rPr>
            </w:pP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at home since its launch in 2011 – to allow families to qualify based on their</w:t>
            </w:r>
          </w:p>
        </w:tc>
      </w:tr>
      <w:tr>
        <w:trPr>
          <w:trHeight w:val="239"/>
        </w:trPr>
        <w:tc>
          <w:tcPr>
            <w:tcW w:w="1720" w:type="dxa"/>
            <w:vAlign w:val="bottom"/>
            <w:shd w:val="clear" w:color="auto" w:fill="D8ECF7"/>
          </w:tcPr>
          <w:p>
            <w:pPr>
              <w:spacing w:after="0"/>
              <w:rPr>
                <w:sz w:val="20"/>
                <w:szCs w:val="20"/>
                <w:color w:val="auto"/>
              </w:rPr>
            </w:pPr>
          </w:p>
        </w:tc>
        <w:tc>
          <w:tcPr>
            <w:tcW w:w="6640" w:type="dxa"/>
            <w:vAlign w:val="bottom"/>
            <w:shd w:val="clear" w:color="auto" w:fill="D8ECF7"/>
          </w:tcPr>
          <w:p>
            <w:pPr>
              <w:ind w:left="240"/>
              <w:spacing w:after="0"/>
              <w:rPr>
                <w:sz w:val="20"/>
                <w:szCs w:val="20"/>
                <w:color w:val="auto"/>
              </w:rPr>
            </w:pPr>
            <w:r>
              <w:rPr>
                <w:rFonts w:ascii="Arial" w:cs="Arial" w:eastAsia="Arial" w:hAnsi="Arial"/>
                <w:sz w:val="18"/>
                <w:szCs w:val="18"/>
                <w:color w:val="auto"/>
              </w:rPr>
              <w:t>household income.</w:t>
            </w:r>
          </w:p>
        </w:tc>
      </w:tr>
      <w:tr>
        <w:trPr>
          <w:trHeight w:val="234"/>
        </w:trPr>
        <w:tc>
          <w:tcPr>
            <w:tcW w:w="1720" w:type="dxa"/>
            <w:vAlign w:val="bottom"/>
            <w:shd w:val="clear" w:color="auto" w:fill="D8ECF7"/>
          </w:tcPr>
          <w:p>
            <w:pPr>
              <w:spacing w:after="0"/>
              <w:rPr>
                <w:sz w:val="20"/>
                <w:szCs w:val="20"/>
                <w:color w:val="auto"/>
              </w:rPr>
            </w:pPr>
          </w:p>
        </w:tc>
        <w:tc>
          <w:tcPr>
            <w:tcW w:w="6640" w:type="dxa"/>
            <w:vAlign w:val="bottom"/>
            <w:shd w:val="clear" w:color="auto" w:fill="D8ECF7"/>
          </w:tcPr>
          <w:p>
            <w:pPr>
              <w:ind w:left="40"/>
              <w:spacing w:after="0"/>
              <w:rPr>
                <w:sz w:val="20"/>
                <w:szCs w:val="20"/>
                <w:color w:val="auto"/>
              </w:rPr>
            </w:pPr>
            <w:r>
              <w:rPr>
                <w:rFonts w:ascii="Times New Roman" w:cs="Times New Roman" w:eastAsia="Times New Roman" w:hAnsi="Times New Roman"/>
                <w:sz w:val="18"/>
                <w:szCs w:val="18"/>
                <w:color w:val="00A0DD"/>
              </w:rPr>
              <w:t xml:space="preserve">•  </w:t>
            </w:r>
            <w:r>
              <w:rPr>
                <w:rFonts w:ascii="Arial" w:cs="Arial" w:eastAsia="Arial" w:hAnsi="Arial"/>
                <w:sz w:val="18"/>
                <w:szCs w:val="18"/>
                <w:color w:val="000000"/>
              </w:rPr>
              <w:t>We launched new partnerships in urban and rural areas to expand access to</w:t>
            </w:r>
          </w:p>
        </w:tc>
      </w:tr>
      <w:tr>
        <w:trPr>
          <w:trHeight w:val="203"/>
        </w:trPr>
        <w:tc>
          <w:tcPr>
            <w:tcW w:w="1720" w:type="dxa"/>
            <w:vAlign w:val="bottom"/>
            <w:shd w:val="clear" w:color="auto" w:fill="D8ECF7"/>
          </w:tcPr>
          <w:p>
            <w:pPr>
              <w:spacing w:after="0"/>
              <w:rPr>
                <w:sz w:val="17"/>
                <w:szCs w:val="17"/>
                <w:color w:val="auto"/>
              </w:rPr>
            </w:pP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free advanced technology and WiFi in community centers, continued to invest</w:t>
            </w:r>
          </w:p>
        </w:tc>
      </w:tr>
      <w:tr>
        <w:trPr>
          <w:trHeight w:val="203"/>
        </w:trPr>
        <w:tc>
          <w:tcPr>
            <w:tcW w:w="1720" w:type="dxa"/>
            <w:vAlign w:val="bottom"/>
            <w:shd w:val="clear" w:color="auto" w:fill="D8ECF7"/>
          </w:tcPr>
          <w:p>
            <w:pPr>
              <w:spacing w:after="0"/>
              <w:rPr>
                <w:sz w:val="17"/>
                <w:szCs w:val="17"/>
                <w:color w:val="auto"/>
              </w:rPr>
            </w:pP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millions of dollars in community-based organizations that provide digital skills</w:t>
            </w:r>
          </w:p>
        </w:tc>
      </w:tr>
      <w:tr>
        <w:trPr>
          <w:trHeight w:val="203"/>
        </w:trPr>
        <w:tc>
          <w:tcPr>
            <w:tcW w:w="1720" w:type="dxa"/>
            <w:vAlign w:val="bottom"/>
            <w:shd w:val="clear" w:color="auto" w:fill="D8ECF7"/>
          </w:tcPr>
          <w:p>
            <w:pPr>
              <w:spacing w:after="0"/>
              <w:rPr>
                <w:sz w:val="17"/>
                <w:szCs w:val="17"/>
                <w:color w:val="auto"/>
              </w:rPr>
            </w:pP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and job training for individuals at all stages of learning and supported digital</w:t>
            </w:r>
          </w:p>
        </w:tc>
      </w:tr>
      <w:tr>
        <w:trPr>
          <w:trHeight w:val="202"/>
        </w:trPr>
        <w:tc>
          <w:tcPr>
            <w:tcW w:w="1720" w:type="dxa"/>
            <w:vAlign w:val="bottom"/>
            <w:shd w:val="clear" w:color="auto" w:fill="D8ECF7"/>
          </w:tcPr>
          <w:p>
            <w:pPr>
              <w:spacing w:after="0"/>
              <w:rPr>
                <w:sz w:val="17"/>
                <w:szCs w:val="17"/>
                <w:color w:val="auto"/>
              </w:rPr>
            </w:pPr>
          </w:p>
        </w:tc>
        <w:tc>
          <w:tcPr>
            <w:tcW w:w="6640" w:type="dxa"/>
            <w:vAlign w:val="bottom"/>
            <w:shd w:val="clear" w:color="auto" w:fill="D8ECF7"/>
          </w:tcPr>
          <w:p>
            <w:pPr>
              <w:ind w:left="240"/>
              <w:spacing w:after="0" w:line="202" w:lineRule="exact"/>
              <w:rPr>
                <w:sz w:val="20"/>
                <w:szCs w:val="20"/>
                <w:color w:val="auto"/>
              </w:rPr>
            </w:pPr>
            <w:r>
              <w:rPr>
                <w:rFonts w:ascii="Arial" w:cs="Arial" w:eastAsia="Arial" w:hAnsi="Arial"/>
                <w:sz w:val="18"/>
                <w:szCs w:val="18"/>
                <w:color w:val="auto"/>
              </w:rPr>
              <w:t>navigator programs to help more people get online, secure a device and learn</w:t>
            </w:r>
          </w:p>
        </w:tc>
      </w:tr>
      <w:tr>
        <w:trPr>
          <w:trHeight w:val="267"/>
        </w:trPr>
        <w:tc>
          <w:tcPr>
            <w:tcW w:w="1720" w:type="dxa"/>
            <w:vAlign w:val="bottom"/>
            <w:tcBorders>
              <w:bottom w:val="single" w:sz="8" w:color="D8ECF7"/>
            </w:tcBorders>
            <w:shd w:val="clear" w:color="auto" w:fill="D8ECF7"/>
          </w:tcPr>
          <w:p>
            <w:pPr>
              <w:spacing w:after="0"/>
              <w:rPr>
                <w:sz w:val="22"/>
                <w:szCs w:val="22"/>
                <w:color w:val="auto"/>
              </w:rPr>
            </w:pPr>
          </w:p>
        </w:tc>
        <w:tc>
          <w:tcPr>
            <w:tcW w:w="6640" w:type="dxa"/>
            <w:vAlign w:val="bottom"/>
            <w:tcBorders>
              <w:bottom w:val="single" w:sz="8" w:color="D8ECF7"/>
            </w:tcBorders>
            <w:shd w:val="clear" w:color="auto" w:fill="D8ECF7"/>
          </w:tcPr>
          <w:p>
            <w:pPr>
              <w:ind w:left="240"/>
              <w:spacing w:after="0"/>
              <w:rPr>
                <w:sz w:val="20"/>
                <w:szCs w:val="20"/>
                <w:color w:val="auto"/>
              </w:rPr>
            </w:pPr>
            <w:r>
              <w:rPr>
                <w:rFonts w:ascii="Arial" w:cs="Arial" w:eastAsia="Arial" w:hAnsi="Arial"/>
                <w:sz w:val="18"/>
                <w:szCs w:val="18"/>
                <w:color w:val="auto"/>
              </w:rPr>
              <w:t>digital skills.</w:t>
            </w:r>
          </w:p>
        </w:tc>
      </w:tr>
      <w:tr>
        <w:trPr>
          <w:trHeight w:val="236"/>
        </w:trPr>
        <w:tc>
          <w:tcPr>
            <w:tcW w:w="1720" w:type="dxa"/>
            <w:vAlign w:val="bottom"/>
            <w:tcBorders>
              <w:top w:val="single" w:sz="8" w:color="DCDDDE"/>
            </w:tcBorders>
          </w:tcPr>
          <w:p>
            <w:pPr>
              <w:ind w:left="60"/>
              <w:spacing w:after="0"/>
              <w:rPr>
                <w:sz w:val="20"/>
                <w:szCs w:val="20"/>
                <w:color w:val="auto"/>
              </w:rPr>
            </w:pPr>
            <w:r>
              <w:rPr>
                <w:rFonts w:ascii="Arial" w:cs="Arial" w:eastAsia="Arial" w:hAnsi="Arial"/>
                <w:sz w:val="18"/>
                <w:szCs w:val="18"/>
                <w:b w:val="1"/>
                <w:bCs w:val="1"/>
                <w:color w:val="auto"/>
              </w:rPr>
              <w:t>Company Culture</w:t>
            </w:r>
          </w:p>
        </w:tc>
        <w:tc>
          <w:tcPr>
            <w:tcW w:w="6640" w:type="dxa"/>
            <w:vAlign w:val="bottom"/>
            <w:tcBorders>
              <w:top w:val="single" w:sz="8" w:color="DCDDDE"/>
            </w:tcBorders>
          </w:tcPr>
          <w:p>
            <w:pPr>
              <w:ind w:left="40"/>
              <w:spacing w:after="0"/>
              <w:rPr>
                <w:sz w:val="20"/>
                <w:szCs w:val="20"/>
                <w:color w:val="auto"/>
              </w:rPr>
            </w:pPr>
            <w:r>
              <w:rPr>
                <w:rFonts w:ascii="Times New Roman" w:cs="Times New Roman" w:eastAsia="Times New Roman" w:hAnsi="Times New Roman"/>
                <w:sz w:val="18"/>
                <w:szCs w:val="18"/>
                <w:color w:val="00A0DD"/>
              </w:rPr>
              <w:t xml:space="preserve">•  </w:t>
            </w:r>
            <w:r>
              <w:rPr>
                <w:rFonts w:ascii="Arial" w:cs="Arial" w:eastAsia="Arial" w:hAnsi="Arial"/>
                <w:sz w:val="18"/>
                <w:szCs w:val="18"/>
                <w:color w:val="000000"/>
              </w:rPr>
              <w:t>We continued efforts around maintaining a workplace culture of respect and</w:t>
            </w:r>
          </w:p>
        </w:tc>
      </w:tr>
      <w:tr>
        <w:trPr>
          <w:trHeight w:val="185"/>
        </w:trPr>
        <w:tc>
          <w:tcPr>
            <w:tcW w:w="1720" w:type="dxa"/>
            <w:vAlign w:val="bottom"/>
          </w:tcPr>
          <w:p>
            <w:pPr>
              <w:spacing w:after="0"/>
              <w:rPr>
                <w:sz w:val="16"/>
                <w:szCs w:val="16"/>
                <w:color w:val="auto"/>
              </w:rPr>
            </w:pPr>
          </w:p>
        </w:tc>
        <w:tc>
          <w:tcPr>
            <w:tcW w:w="6640" w:type="dxa"/>
            <w:vAlign w:val="bottom"/>
          </w:tcPr>
          <w:p>
            <w:pPr>
              <w:ind w:left="240"/>
              <w:spacing w:after="0" w:line="184" w:lineRule="exact"/>
              <w:rPr>
                <w:sz w:val="20"/>
                <w:szCs w:val="20"/>
                <w:color w:val="auto"/>
              </w:rPr>
            </w:pPr>
            <w:r>
              <w:rPr>
                <w:rFonts w:ascii="Arial" w:cs="Arial" w:eastAsia="Arial" w:hAnsi="Arial"/>
                <w:sz w:val="18"/>
                <w:szCs w:val="18"/>
                <w:color w:val="auto"/>
              </w:rPr>
              <w:t>integrity that emphasizes respect for others and intolerance of harassment and</w:t>
            </w:r>
          </w:p>
        </w:tc>
      </w:tr>
      <w:tr>
        <w:trPr>
          <w:trHeight w:val="239"/>
        </w:trPr>
        <w:tc>
          <w:tcPr>
            <w:tcW w:w="1720" w:type="dxa"/>
            <w:vAlign w:val="bottom"/>
          </w:tcPr>
          <w:p>
            <w:pPr>
              <w:spacing w:after="0"/>
              <w:rPr>
                <w:sz w:val="20"/>
                <w:szCs w:val="20"/>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discrimination and that helps grow our talent pipeline.</w:t>
            </w:r>
          </w:p>
        </w:tc>
      </w:tr>
    </w:tbl>
    <w:p>
      <w:pPr>
        <w:spacing w:after="0" w:line="200" w:lineRule="exact"/>
        <w:rPr>
          <w:sz w:val="20"/>
          <w:szCs w:val="20"/>
          <w:color w:val="auto"/>
        </w:rPr>
      </w:pPr>
    </w:p>
    <w:p>
      <w:pPr>
        <w:spacing w:after="0" w:line="305" w:lineRule="exact"/>
        <w:rPr>
          <w:sz w:val="20"/>
          <w:szCs w:val="20"/>
          <w:color w:val="auto"/>
        </w:rPr>
      </w:pPr>
    </w:p>
    <w:p>
      <w:pPr>
        <w:ind w:left="1000" w:hanging="674"/>
        <w:spacing w:after="0"/>
        <w:tabs>
          <w:tab w:leader="none" w:pos="100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37" w:name="page38"/>
    <w:bookmarkEnd w:id="37"/>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40"/>
        <w:spacing w:after="0"/>
        <w:tabs>
          <w:tab w:leader="none" w:pos="2920" w:val="left"/>
        </w:tabs>
        <w:rPr>
          <w:sz w:val="20"/>
          <w:szCs w:val="20"/>
          <w:color w:val="auto"/>
        </w:rPr>
      </w:pPr>
      <w:r>
        <w:rPr>
          <w:rFonts w:ascii="Arial" w:cs="Arial" w:eastAsia="Arial" w:hAnsi="Arial"/>
          <w:sz w:val="18"/>
          <w:szCs w:val="18"/>
          <w:b w:val="1"/>
          <w:bCs w:val="1"/>
          <w:color w:val="auto"/>
        </w:rPr>
        <w:t>GOALS</w:t>
      </w:r>
      <w:r>
        <w:rPr>
          <w:sz w:val="20"/>
          <w:szCs w:val="20"/>
          <w:color w:val="auto"/>
        </w:rPr>
        <w:tab/>
      </w:r>
      <w:r>
        <w:rPr>
          <w:rFonts w:ascii="Arial" w:cs="Arial" w:eastAsia="Arial" w:hAnsi="Arial"/>
          <w:sz w:val="18"/>
          <w:szCs w:val="18"/>
          <w:b w:val="1"/>
          <w:bCs w:val="1"/>
          <w:color w:val="auto"/>
        </w:rPr>
        <w:t>ACHIEVEMENT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34925</wp:posOffset>
            </wp:positionV>
            <wp:extent cx="53060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70" w:lineRule="exact"/>
        <w:rPr>
          <w:sz w:val="20"/>
          <w:szCs w:val="20"/>
          <w:color w:val="auto"/>
        </w:rPr>
      </w:pPr>
    </w:p>
    <w:p>
      <w:pPr>
        <w:ind w:left="3140" w:right="1300" w:hanging="201"/>
        <w:spacing w:after="0" w:line="252" w:lineRule="auto"/>
        <w:tabs>
          <w:tab w:leader="none" w:pos="3140" w:val="left"/>
        </w:tabs>
        <w:numPr>
          <w:ilvl w:val="0"/>
          <w:numId w:val="62"/>
        </w:numPr>
        <w:rPr>
          <w:rFonts w:ascii="Times New Roman" w:cs="Times New Roman" w:eastAsia="Times New Roman" w:hAnsi="Times New Roman"/>
          <w:sz w:val="18"/>
          <w:szCs w:val="18"/>
          <w:color w:val="00A0DD"/>
        </w:rPr>
      </w:pPr>
      <w:r>
        <w:rPr>
          <w:rFonts w:ascii="Arial" w:cs="Arial" w:eastAsia="Arial" w:hAnsi="Arial"/>
          <w:sz w:val="18"/>
          <w:szCs w:val="18"/>
          <w:color w:val="auto"/>
        </w:rPr>
        <w:t>Our annual employee engagement survey reflected strong results in categories covering integrity and respect and overall satisfaction of working at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8890</wp:posOffset>
            </wp:positionV>
            <wp:extent cx="5306060" cy="1183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06060" cy="118300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p>
      <w:pPr>
        <w:spacing w:after="0" w:line="9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Environmental</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Sustainability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01" w:right="1260" w:hanging="201"/>
        <w:spacing w:after="0" w:line="252" w:lineRule="auto"/>
        <w:tabs>
          <w:tab w:leader="none" w:pos="201" w:val="left"/>
        </w:tabs>
        <w:numPr>
          <w:ilvl w:val="0"/>
          <w:numId w:val="63"/>
        </w:numPr>
        <w:rPr>
          <w:rFonts w:ascii="Times New Roman" w:cs="Times New Roman" w:eastAsia="Times New Roman" w:hAnsi="Times New Roman"/>
          <w:sz w:val="18"/>
          <w:szCs w:val="18"/>
          <w:color w:val="00A0DD"/>
        </w:rPr>
      </w:pPr>
      <w:r>
        <w:rPr>
          <w:rFonts w:ascii="Arial" w:cs="Arial" w:eastAsia="Arial" w:hAnsi="Arial"/>
          <w:sz w:val="18"/>
          <w:szCs w:val="18"/>
          <w:color w:val="auto"/>
        </w:rPr>
        <w:t>We continued to work toward our goal to be carbon neutral by 2035 for Scope 1 and 2 greenhouse gas emissions across our global operations, reducing emissions by 34% from our 2019 base year through year-end 2024.</w:t>
      </w:r>
    </w:p>
    <w:p>
      <w:pPr>
        <w:spacing w:after="0" w:line="35" w:lineRule="exact"/>
        <w:rPr>
          <w:rFonts w:ascii="Times New Roman" w:cs="Times New Roman" w:eastAsia="Times New Roman" w:hAnsi="Times New Roman"/>
          <w:sz w:val="18"/>
          <w:szCs w:val="18"/>
          <w:color w:val="00A0DD"/>
        </w:rPr>
      </w:pPr>
    </w:p>
    <w:p>
      <w:pPr>
        <w:ind w:left="201" w:right="1780" w:hanging="201"/>
        <w:spacing w:after="0" w:line="270" w:lineRule="auto"/>
        <w:tabs>
          <w:tab w:leader="none" w:pos="201" w:val="left"/>
        </w:tabs>
        <w:numPr>
          <w:ilvl w:val="0"/>
          <w:numId w:val="63"/>
        </w:numPr>
        <w:rPr>
          <w:rFonts w:ascii="Times New Roman" w:cs="Times New Roman" w:eastAsia="Times New Roman" w:hAnsi="Times New Roman"/>
          <w:sz w:val="18"/>
          <w:szCs w:val="18"/>
          <w:color w:val="00A0DD"/>
        </w:rPr>
      </w:pPr>
      <w:r>
        <w:rPr>
          <w:rFonts w:ascii="Arial" w:cs="Arial" w:eastAsia="Arial" w:hAnsi="Arial"/>
          <w:sz w:val="18"/>
          <w:szCs w:val="18"/>
          <w:color w:val="auto"/>
        </w:rPr>
        <w:t>We made meaningful progress toward our goal to double network energy efficiency within our domestic network by 2030.</w:t>
      </w:r>
    </w:p>
    <w:p>
      <w:pPr>
        <w:spacing w:after="0" w:line="5" w:lineRule="exact"/>
        <w:rPr>
          <w:rFonts w:ascii="Times New Roman" w:cs="Times New Roman" w:eastAsia="Times New Roman" w:hAnsi="Times New Roman"/>
          <w:sz w:val="18"/>
          <w:szCs w:val="18"/>
          <w:color w:val="00A0DD"/>
        </w:rPr>
      </w:pPr>
    </w:p>
    <w:p>
      <w:pPr>
        <w:ind w:left="201" w:right="1620" w:hanging="201"/>
        <w:spacing w:after="0" w:line="252" w:lineRule="auto"/>
        <w:tabs>
          <w:tab w:leader="none" w:pos="201" w:val="left"/>
        </w:tabs>
        <w:numPr>
          <w:ilvl w:val="0"/>
          <w:numId w:val="63"/>
        </w:numPr>
        <w:rPr>
          <w:rFonts w:ascii="Times New Roman" w:cs="Times New Roman" w:eastAsia="Times New Roman" w:hAnsi="Times New Roman"/>
          <w:sz w:val="18"/>
          <w:szCs w:val="18"/>
          <w:color w:val="00A0DD"/>
        </w:rPr>
      </w:pPr>
      <w:r>
        <w:rPr>
          <w:rFonts w:ascii="Arial" w:cs="Arial" w:eastAsia="Arial" w:hAnsi="Arial"/>
          <w:sz w:val="18"/>
          <w:szCs w:val="18"/>
          <w:color w:val="auto"/>
        </w:rPr>
        <w:t>We set new near-term science-based greenhouse gas reduction targets for Scopes 1, 2 and 3, which were validated by the Science-Based Targets initiative.</w:t>
      </w:r>
    </w:p>
    <w:p>
      <w:pPr>
        <w:spacing w:after="0" w:line="200" w:lineRule="exact"/>
        <w:rPr>
          <w:sz w:val="20"/>
          <w:szCs w:val="20"/>
          <w:color w:val="auto"/>
        </w:rPr>
      </w:pPr>
    </w:p>
    <w:p>
      <w:pPr>
        <w:sectPr>
          <w:pgSz w:w="11900" w:h="16838" w:orient="portrait"/>
          <w:cols w:equalWidth="0" w:num="2">
            <w:col w:w="2480" w:space="459"/>
            <w:col w:w="7781"/>
          </w:cols>
          <w:pgMar w:left="580" w:top="229" w:right="599" w:bottom="1440" w:gutter="0" w:footer="0" w:header="0"/>
          <w:type w:val="continuous"/>
        </w:sectPr>
      </w:pPr>
    </w:p>
    <w:p>
      <w:pPr>
        <w:spacing w:after="0" w:line="2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00A0DD"/>
        </w:rPr>
        <w:t>2025 NEO Performance</w:t>
      </w:r>
    </w:p>
    <w:p>
      <w:pPr>
        <w:spacing w:after="0" w:line="14" w:lineRule="exact"/>
        <w:rPr>
          <w:sz w:val="20"/>
          <w:szCs w:val="20"/>
          <w:color w:val="auto"/>
        </w:rPr>
      </w:pPr>
    </w:p>
    <w:p>
      <w:pPr>
        <w:ind w:left="1180" w:right="1360"/>
        <w:spacing w:after="0" w:line="242" w:lineRule="auto"/>
        <w:rPr>
          <w:sz w:val="20"/>
          <w:szCs w:val="20"/>
          <w:color w:val="auto"/>
        </w:rPr>
      </w:pPr>
      <w:r>
        <w:rPr>
          <w:rFonts w:ascii="Arial" w:cs="Arial" w:eastAsia="Arial" w:hAnsi="Arial"/>
          <w:sz w:val="18"/>
          <w:szCs w:val="18"/>
          <w:color w:val="auto"/>
        </w:rPr>
        <w:t>The Compensation Committee also evaluated each NEO’s overall management and leadership of our company in connection with its determination of overall achievement of, and progress toward, our 2025 operational and stakeholder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66040</wp:posOffset>
            </wp:positionV>
            <wp:extent cx="5306060" cy="1611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06060" cy="1611630"/>
                    </a:xfrm>
                    <a:prstGeom prst="rect">
                      <a:avLst/>
                    </a:prstGeom>
                    <a:noFill/>
                  </pic:spPr>
                </pic:pic>
              </a:graphicData>
            </a:graphic>
          </wp:anchor>
        </w:drawing>
      </w:r>
    </w:p>
    <w:p>
      <w:pPr>
        <w:spacing w:after="0" w:line="119" w:lineRule="exact"/>
        <w:rPr>
          <w:sz w:val="20"/>
          <w:szCs w:val="20"/>
          <w:color w:val="auto"/>
        </w:rPr>
      </w:pPr>
    </w:p>
    <w:p>
      <w:pPr>
        <w:ind w:left="2920" w:right="1220" w:hanging="1688"/>
        <w:spacing w:after="0" w:line="238" w:lineRule="auto"/>
        <w:tabs>
          <w:tab w:leader="none" w:pos="2900" w:val="left"/>
        </w:tabs>
        <w:rPr>
          <w:sz w:val="20"/>
          <w:szCs w:val="20"/>
          <w:color w:val="auto"/>
        </w:rPr>
      </w:pPr>
      <w:r>
        <w:rPr>
          <w:rFonts w:ascii="Arial" w:cs="Arial" w:eastAsia="Arial" w:hAnsi="Arial"/>
          <w:sz w:val="18"/>
          <w:szCs w:val="18"/>
          <w:b w:val="1"/>
          <w:bCs w:val="1"/>
          <w:color w:val="auto"/>
        </w:rPr>
        <w:t>Brian L. Roberts</w:t>
      </w:r>
      <w:r>
        <w:rPr>
          <w:sz w:val="20"/>
          <w:szCs w:val="20"/>
          <w:color w:val="auto"/>
        </w:rPr>
        <w:tab/>
      </w:r>
      <w:r>
        <w:rPr>
          <w:rFonts w:ascii="Arial" w:cs="Arial" w:eastAsia="Arial" w:hAnsi="Arial"/>
          <w:sz w:val="18"/>
          <w:szCs w:val="18"/>
          <w:color w:val="auto"/>
        </w:rPr>
        <w:t>Mr. Roberts provided invaluable long-term vision and stability as he continued to lead the execution of our company’s strategy worldwide, especially in light of competitive challenges. Under his leadership along with Mr. Cavanagh, we completed the successful spin-off of Versant, which we believe will better position our company to compete in the evolving media landscape. Mr. Roberts sets the tone for our businesses to execute at the highest level, to continue their strong collaboration and to further enhance the technological capabilities of our products across the Connectivity &amp; Platforms and Content &amp; Experiences businesses. Mr. Roberts continues to thoughtfully develop key senior leadership talent, as reflected with the promotion of Mr. Cavanagh to co-CEO in January 2026, and has continued our company’s commitment to advancing digital opportunity, a culture of integrity and respect and environmental sustainability.</w:t>
      </w:r>
    </w:p>
    <w:p>
      <w:pPr>
        <w:spacing w:after="0" w:line="61" w:lineRule="exact"/>
        <w:rPr>
          <w:sz w:val="20"/>
          <w:szCs w:val="20"/>
          <w:color w:val="auto"/>
        </w:rPr>
      </w:pPr>
    </w:p>
    <w:p>
      <w:pPr>
        <w:ind w:left="1240"/>
        <w:spacing w:after="0"/>
        <w:tabs>
          <w:tab w:leader="none" w:pos="2900" w:val="left"/>
        </w:tabs>
        <w:rPr>
          <w:sz w:val="20"/>
          <w:szCs w:val="20"/>
          <w:color w:val="auto"/>
        </w:rPr>
      </w:pPr>
      <w:r>
        <w:rPr>
          <w:rFonts w:ascii="Arial" w:cs="Arial" w:eastAsia="Arial" w:hAnsi="Arial"/>
          <w:sz w:val="18"/>
          <w:szCs w:val="18"/>
          <w:b w:val="1"/>
          <w:bCs w:val="1"/>
          <w:color w:val="auto"/>
        </w:rPr>
        <w:t>Michael J.</w:t>
      </w:r>
      <w:r>
        <w:rPr>
          <w:sz w:val="20"/>
          <w:szCs w:val="20"/>
          <w:color w:val="auto"/>
        </w:rPr>
        <w:tab/>
      </w:r>
      <w:r>
        <w:rPr>
          <w:rFonts w:ascii="Arial" w:cs="Arial" w:eastAsia="Arial" w:hAnsi="Arial"/>
          <w:sz w:val="17"/>
          <w:szCs w:val="17"/>
          <w:color w:val="auto"/>
        </w:rPr>
        <w:t>Mr. Cavanagh was named co-CEO of the Company, effective January 2026, as a</w:t>
      </w:r>
    </w:p>
    <w:p>
      <w:pPr>
        <w:spacing w:after="0" w:line="14" w:lineRule="exact"/>
        <w:rPr>
          <w:sz w:val="20"/>
          <w:szCs w:val="20"/>
          <w:color w:val="auto"/>
        </w:rPr>
      </w:pPr>
    </w:p>
    <w:p>
      <w:pPr>
        <w:ind w:left="2920" w:right="1180" w:hanging="1679"/>
        <w:spacing w:after="0" w:line="236" w:lineRule="auto"/>
        <w:tabs>
          <w:tab w:leader="none" w:pos="2900" w:val="left"/>
        </w:tabs>
        <w:rPr>
          <w:sz w:val="20"/>
          <w:szCs w:val="20"/>
          <w:color w:val="auto"/>
        </w:rPr>
      </w:pPr>
      <w:r>
        <w:rPr>
          <w:rFonts w:ascii="Arial" w:cs="Arial" w:eastAsia="Arial" w:hAnsi="Arial"/>
          <w:sz w:val="18"/>
          <w:szCs w:val="18"/>
          <w:b w:val="1"/>
          <w:bCs w:val="1"/>
          <w:color w:val="auto"/>
        </w:rPr>
        <w:t>Cavanagh</w:t>
      </w:r>
      <w:r>
        <w:rPr>
          <w:sz w:val="20"/>
          <w:szCs w:val="20"/>
          <w:color w:val="auto"/>
        </w:rPr>
        <w:tab/>
      </w:r>
      <w:r>
        <w:rPr>
          <w:rFonts w:ascii="Arial" w:cs="Arial" w:eastAsia="Arial" w:hAnsi="Arial"/>
          <w:sz w:val="18"/>
          <w:szCs w:val="18"/>
          <w:color w:val="auto"/>
        </w:rPr>
        <w:t xml:space="preserve">result of his exceptional leadership. Alongside Mr. Roberts, Mr. Cavanagh led the successful execution of key decisions on critical strategic and operational initiatives across all of our businesses, including the Versant spin-off. He also provided strong leadership and strategic direction for our Connectivity &amp; Platforms and Content &amp; Experiences businesses. At Connectivity &amp; Platforms, he oversaw the successful leadership succession and the acceleration of our wireless business which led to record new line additions in 2025. Content and Experiences, under his leadership, demonstrated strong execution on business and strategic initiatives such as box office successes like </w:t>
      </w:r>
      <w:r>
        <w:rPr>
          <w:rFonts w:ascii="Arial" w:cs="Arial" w:eastAsia="Arial" w:hAnsi="Arial"/>
          <w:sz w:val="18"/>
          <w:szCs w:val="18"/>
          <w:i w:val="1"/>
          <w:iCs w:val="1"/>
          <w:color w:val="auto"/>
        </w:rPr>
        <w:t>Wicked: For Good</w:t>
      </w:r>
      <w:r>
        <w:rPr>
          <w:rFonts w:ascii="Arial" w:cs="Arial" w:eastAsia="Arial" w:hAnsi="Arial"/>
          <w:sz w:val="18"/>
          <w:szCs w:val="18"/>
          <w:color w:val="auto"/>
        </w:rPr>
        <w:t>, the return of the NBA to NBCUniversal, Peacock growing revenue and mitigating its Adjusted EBITDA losses and the successful opening of Epic Universe.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19050</wp:posOffset>
            </wp:positionV>
            <wp:extent cx="5306060" cy="13544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06060" cy="1354455"/>
                    </a:xfrm>
                    <a:prstGeom prst="rect">
                      <a:avLst/>
                    </a:prstGeom>
                    <a:noFill/>
                  </pic:spPr>
                </pic:pic>
              </a:graphicData>
            </a:graphic>
          </wp:anchor>
        </w:drawing>
      </w:r>
    </w:p>
    <w:p>
      <w:pPr>
        <w:spacing w:after="0" w:line="45" w:lineRule="exact"/>
        <w:rPr>
          <w:sz w:val="20"/>
          <w:szCs w:val="20"/>
          <w:color w:val="auto"/>
        </w:rPr>
      </w:pPr>
    </w:p>
    <w:p>
      <w:pPr>
        <w:ind w:left="1240"/>
        <w:spacing w:after="0"/>
        <w:tabs>
          <w:tab w:leader="none" w:pos="2900" w:val="left"/>
        </w:tabs>
        <w:rPr>
          <w:sz w:val="20"/>
          <w:szCs w:val="20"/>
          <w:color w:val="auto"/>
        </w:rPr>
      </w:pPr>
      <w:r>
        <w:rPr>
          <w:rFonts w:ascii="Arial" w:cs="Arial" w:eastAsia="Arial" w:hAnsi="Arial"/>
          <w:sz w:val="18"/>
          <w:szCs w:val="18"/>
          <w:b w:val="1"/>
          <w:bCs w:val="1"/>
          <w:color w:val="auto"/>
        </w:rPr>
        <w:t>Jason S.</w:t>
      </w:r>
      <w:r>
        <w:rPr>
          <w:sz w:val="20"/>
          <w:szCs w:val="20"/>
          <w:color w:val="auto"/>
        </w:rPr>
        <w:tab/>
      </w:r>
      <w:r>
        <w:rPr>
          <w:rFonts w:ascii="Arial" w:cs="Arial" w:eastAsia="Arial" w:hAnsi="Arial"/>
          <w:sz w:val="17"/>
          <w:szCs w:val="17"/>
          <w:color w:val="auto"/>
        </w:rPr>
        <w:t>Mr. Armstrong provided critical leadership of our finance, accounting, tax, investor</w:t>
      </w:r>
    </w:p>
    <w:p>
      <w:pPr>
        <w:spacing w:after="0" w:line="14" w:lineRule="exact"/>
        <w:rPr>
          <w:sz w:val="20"/>
          <w:szCs w:val="20"/>
          <w:color w:val="auto"/>
        </w:rPr>
      </w:pPr>
    </w:p>
    <w:p>
      <w:pPr>
        <w:ind w:left="2920" w:right="1220" w:hanging="1679"/>
        <w:spacing w:after="0" w:line="237" w:lineRule="auto"/>
        <w:tabs>
          <w:tab w:leader="none" w:pos="2900" w:val="left"/>
        </w:tabs>
        <w:rPr>
          <w:sz w:val="20"/>
          <w:szCs w:val="20"/>
          <w:color w:val="auto"/>
        </w:rPr>
      </w:pPr>
      <w:r>
        <w:rPr>
          <w:rFonts w:ascii="Arial" w:cs="Arial" w:eastAsia="Arial" w:hAnsi="Arial"/>
          <w:sz w:val="18"/>
          <w:szCs w:val="18"/>
          <w:b w:val="1"/>
          <w:bCs w:val="1"/>
          <w:color w:val="auto"/>
        </w:rPr>
        <w:t>Armstrong</w:t>
      </w:r>
      <w:r>
        <w:rPr>
          <w:sz w:val="20"/>
          <w:szCs w:val="20"/>
          <w:color w:val="auto"/>
        </w:rPr>
        <w:tab/>
      </w:r>
      <w:r>
        <w:rPr>
          <w:rFonts w:ascii="Arial" w:cs="Arial" w:eastAsia="Arial" w:hAnsi="Arial"/>
          <w:sz w:val="18"/>
          <w:szCs w:val="18"/>
          <w:color w:val="auto"/>
        </w:rPr>
        <w:t>relations and treasury functions. He led our overall long -range planning process and provided critical focus on our growth initiatives. He also continued our longstanding focus on capital allocation strategies and capital spending priorities, balance sheet strength and liquidity. Under his leadership, we achieved robust free cash flow generation, maintaining a focus on cost efficiency while continuing to invest in our business priorities such as our broadband network upgrade, theme park expansion and premium content. We also returned nearly $12 billion to shareholders through a combination of dividends and our share repurchase program.</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35</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38" w:name="page39"/>
    <w:bookmarkEnd w:id="3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814705</wp:posOffset>
            </wp:positionV>
            <wp:extent cx="53060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60" w:right="379" w:hanging="1688"/>
        <w:spacing w:after="0" w:line="238" w:lineRule="auto"/>
        <w:tabs>
          <w:tab w:leader="none" w:pos="2040" w:val="left"/>
        </w:tabs>
        <w:rPr>
          <w:sz w:val="20"/>
          <w:szCs w:val="20"/>
          <w:color w:val="auto"/>
        </w:rPr>
      </w:pPr>
      <w:r>
        <w:rPr>
          <w:rFonts w:ascii="Arial" w:cs="Arial" w:eastAsia="Arial" w:hAnsi="Arial"/>
          <w:sz w:val="18"/>
          <w:szCs w:val="18"/>
          <w:b w:val="1"/>
          <w:bCs w:val="1"/>
          <w:color w:val="auto"/>
        </w:rPr>
        <w:t>Thomas J. Reid</w:t>
      </w:r>
      <w:r>
        <w:rPr>
          <w:sz w:val="20"/>
          <w:szCs w:val="20"/>
          <w:color w:val="auto"/>
        </w:rPr>
        <w:tab/>
      </w:r>
      <w:r>
        <w:rPr>
          <w:rFonts w:ascii="Arial" w:cs="Arial" w:eastAsia="Arial" w:hAnsi="Arial"/>
          <w:sz w:val="18"/>
          <w:szCs w:val="18"/>
          <w:color w:val="auto"/>
        </w:rPr>
        <w:t>Mr. Reid demonstrated strong leadership of our company’s global legal functions, providing expert counsel and sound judgment to our company on a wide variety of matters, including complex regulatory and compliance matters. Mr. Reid also provided valuable leadership of our government and regulatory affairs and political affairs functions as the changing political and regulatory environment affects our long-term plans in our highly regulated businesses. Under his leadership, we also undertook various initiatives in connection with the implementation of the Infrastructure Investment and Jobs Act, which provides federal subsidies for broadband deployment in unserved and underserved areas, and the enactment of the One Big Beautiful Bill Act provisions focused on corporate taxation and spectrum allocation. He leads with, and continuously reinforces, his commitment to a culture of integrity, respect and accountability across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16510</wp:posOffset>
            </wp:positionV>
            <wp:extent cx="5306060" cy="13544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06060" cy="1354455"/>
                    </a:xfrm>
                    <a:prstGeom prst="rect">
                      <a:avLst/>
                    </a:prstGeom>
                    <a:noFill/>
                  </pic:spPr>
                </pic:pic>
              </a:graphicData>
            </a:graphic>
          </wp:anchor>
        </w:drawing>
      </w:r>
    </w:p>
    <w:p>
      <w:pPr>
        <w:spacing w:after="0" w:line="41" w:lineRule="exact"/>
        <w:rPr>
          <w:sz w:val="20"/>
          <w:szCs w:val="20"/>
          <w:color w:val="auto"/>
        </w:rPr>
      </w:pPr>
    </w:p>
    <w:p>
      <w:pPr>
        <w:ind w:left="2060" w:right="379" w:hanging="1688"/>
        <w:spacing w:after="0" w:line="239" w:lineRule="auto"/>
        <w:tabs>
          <w:tab w:leader="none" w:pos="2040" w:val="left"/>
        </w:tabs>
        <w:rPr>
          <w:sz w:val="20"/>
          <w:szCs w:val="20"/>
          <w:color w:val="auto"/>
        </w:rPr>
      </w:pPr>
      <w:r>
        <w:rPr>
          <w:rFonts w:ascii="Arial" w:cs="Arial" w:eastAsia="Arial" w:hAnsi="Arial"/>
          <w:sz w:val="18"/>
          <w:szCs w:val="18"/>
          <w:b w:val="1"/>
          <w:bCs w:val="1"/>
          <w:color w:val="auto"/>
        </w:rPr>
        <w:t>Jennifer Khoury</w:t>
      </w:r>
      <w:r>
        <w:rPr>
          <w:sz w:val="20"/>
          <w:szCs w:val="20"/>
          <w:color w:val="auto"/>
        </w:rPr>
        <w:tab/>
      </w:r>
      <w:r>
        <w:rPr>
          <w:rFonts w:ascii="Arial" w:cs="Arial" w:eastAsia="Arial" w:hAnsi="Arial"/>
          <w:sz w:val="18"/>
          <w:szCs w:val="18"/>
          <w:color w:val="auto"/>
        </w:rPr>
        <w:t>Ms. Khoury provided critical global communications leadership, successfully overseeing corporate marketing and brand advertising, as well as the external, internal, financial, government and digital communications functions for our company. Additionally, as we navigated a complex and highly competitive landscape, Ms. Khoury served as a key advisor to our executive leadership teams across the Connectivity &amp; Platforms and Content &amp; Experiences businesses. She was also instrumental in driving effective messaging for significant company initiatives that contributed to our business’ achievements, including the Versant spin-off, leadership transitions, and numerous brand and product rollouts that were instrumental in supporting our growth priorities.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0DD"/>
        </w:rPr>
        <w:t>2025 Bonus Achievement</w:t>
      </w:r>
    </w:p>
    <w:p>
      <w:pPr>
        <w:spacing w:after="0" w:line="104" w:lineRule="exact"/>
        <w:rPr>
          <w:sz w:val="20"/>
          <w:szCs w:val="20"/>
          <w:color w:val="auto"/>
        </w:rPr>
      </w:pPr>
    </w:p>
    <w:p>
      <w:pPr>
        <w:ind w:left="320" w:right="679"/>
        <w:spacing w:after="0" w:line="271" w:lineRule="auto"/>
        <w:rPr>
          <w:sz w:val="20"/>
          <w:szCs w:val="20"/>
          <w:color w:val="auto"/>
        </w:rPr>
      </w:pPr>
      <w:r>
        <w:rPr>
          <w:rFonts w:ascii="Arial" w:cs="Arial" w:eastAsia="Arial" w:hAnsi="Arial"/>
          <w:sz w:val="18"/>
          <w:szCs w:val="18"/>
          <w:color w:val="auto"/>
        </w:rPr>
        <w:t>As a result of our strong performance during 2025, and the NEOs’ performance described above, the Compensation Committee determined that bonus amounts for 2025 were as follows.</w:t>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2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ROBERTS</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CAVANAGH</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ARMSTRONG</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REID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KHOURY</w:t>
            </w:r>
          </w:p>
        </w:tc>
      </w:tr>
      <w:tr>
        <w:trPr>
          <w:trHeight w:val="196"/>
        </w:trPr>
        <w:tc>
          <w:tcPr>
            <w:tcW w:w="216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Total Paid (% of Target)</w:t>
            </w:r>
          </w:p>
        </w:tc>
        <w:tc>
          <w:tcPr>
            <w:tcW w:w="1220" w:type="dxa"/>
            <w:vAlign w:val="bottom"/>
            <w:tcBorders>
              <w:bottom w:val="single" w:sz="8" w:color="DCDDDE"/>
            </w:tcBorders>
          </w:tcPr>
          <w:p>
            <w:pPr>
              <w:jc w:val="right"/>
              <w:ind w:right="59"/>
              <w:spacing w:after="0"/>
              <w:rPr>
                <w:sz w:val="20"/>
                <w:szCs w:val="20"/>
                <w:color w:val="auto"/>
              </w:rPr>
            </w:pPr>
            <w:r>
              <w:rPr>
                <w:rFonts w:ascii="Arial" w:cs="Arial" w:eastAsia="Arial" w:hAnsi="Arial"/>
                <w:sz w:val="16"/>
                <w:szCs w:val="16"/>
                <w:color w:val="auto"/>
              </w:rPr>
              <w:t>110%</w:t>
            </w:r>
          </w:p>
        </w:tc>
        <w:tc>
          <w:tcPr>
            <w:tcW w:w="1260" w:type="dxa"/>
            <w:vAlign w:val="bottom"/>
            <w:tcBorders>
              <w:bottom w:val="single" w:sz="8" w:color="DCDDDE"/>
            </w:tcBorders>
          </w:tcPr>
          <w:p>
            <w:pPr>
              <w:jc w:val="right"/>
              <w:ind w:right="99"/>
              <w:spacing w:after="0"/>
              <w:rPr>
                <w:sz w:val="20"/>
                <w:szCs w:val="20"/>
                <w:color w:val="auto"/>
              </w:rPr>
            </w:pPr>
            <w:r>
              <w:rPr>
                <w:rFonts w:ascii="Arial" w:cs="Arial" w:eastAsia="Arial" w:hAnsi="Arial"/>
                <w:sz w:val="16"/>
                <w:szCs w:val="16"/>
                <w:color w:val="auto"/>
              </w:rPr>
              <w:t>110%</w:t>
            </w:r>
          </w:p>
        </w:tc>
        <w:tc>
          <w:tcPr>
            <w:tcW w:w="1440" w:type="dxa"/>
            <w:vAlign w:val="bottom"/>
            <w:tcBorders>
              <w:bottom w:val="single" w:sz="8" w:color="DCDDDE"/>
            </w:tcBorders>
          </w:tcPr>
          <w:p>
            <w:pPr>
              <w:jc w:val="right"/>
              <w:ind w:right="119"/>
              <w:spacing w:after="0"/>
              <w:rPr>
                <w:sz w:val="20"/>
                <w:szCs w:val="20"/>
                <w:color w:val="auto"/>
              </w:rPr>
            </w:pPr>
            <w:r>
              <w:rPr>
                <w:rFonts w:ascii="Arial" w:cs="Arial" w:eastAsia="Arial" w:hAnsi="Arial"/>
                <w:sz w:val="16"/>
                <w:szCs w:val="16"/>
                <w:color w:val="auto"/>
              </w:rPr>
              <w:t>110%</w:t>
            </w:r>
          </w:p>
        </w:tc>
        <w:tc>
          <w:tcPr>
            <w:tcW w:w="1220" w:type="dxa"/>
            <w:vAlign w:val="bottom"/>
            <w:tcBorders>
              <w:bottom w:val="single" w:sz="8" w:color="DCDDDE"/>
            </w:tcBorders>
          </w:tcPr>
          <w:p>
            <w:pPr>
              <w:jc w:val="right"/>
              <w:ind w:right="119"/>
              <w:spacing w:after="0"/>
              <w:rPr>
                <w:sz w:val="20"/>
                <w:szCs w:val="20"/>
                <w:color w:val="auto"/>
              </w:rPr>
            </w:pPr>
            <w:r>
              <w:rPr>
                <w:rFonts w:ascii="Arial" w:cs="Arial" w:eastAsia="Arial" w:hAnsi="Arial"/>
                <w:sz w:val="16"/>
                <w:szCs w:val="16"/>
                <w:color w:val="auto"/>
              </w:rPr>
              <w:t>110%</w:t>
            </w:r>
          </w:p>
        </w:tc>
        <w:tc>
          <w:tcPr>
            <w:tcW w:w="1040" w:type="dxa"/>
            <w:vAlign w:val="bottom"/>
            <w:tcBorders>
              <w:bottom w:val="single" w:sz="8" w:color="DCDDDE"/>
            </w:tcBorders>
          </w:tcPr>
          <w:p>
            <w:pPr>
              <w:jc w:val="right"/>
              <w:spacing w:after="0"/>
              <w:rPr>
                <w:sz w:val="20"/>
                <w:szCs w:val="20"/>
                <w:color w:val="auto"/>
              </w:rPr>
            </w:pPr>
            <w:r>
              <w:rPr>
                <w:rFonts w:ascii="Arial" w:cs="Arial" w:eastAsia="Arial" w:hAnsi="Arial"/>
                <w:sz w:val="16"/>
                <w:szCs w:val="16"/>
                <w:color w:val="auto"/>
              </w:rPr>
              <w:t>110%</w:t>
            </w:r>
          </w:p>
        </w:tc>
      </w:tr>
      <w:tr>
        <w:trPr>
          <w:trHeight w:val="196"/>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Cash Bonus Paid</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$8,583,175</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$8,583,175</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$4,577,693</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$5,436,010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$2,574,952</w:t>
            </w:r>
          </w:p>
        </w:tc>
      </w:tr>
    </w:tbl>
    <w:p>
      <w:pPr>
        <w:spacing w:after="0" w:line="1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Equity-Based Incentive Compensation</w:t>
      </w:r>
    </w:p>
    <w:p>
      <w:pPr>
        <w:spacing w:after="0" w:line="97" w:lineRule="exact"/>
        <w:rPr>
          <w:sz w:val="20"/>
          <w:szCs w:val="20"/>
          <w:color w:val="auto"/>
        </w:rPr>
      </w:pPr>
    </w:p>
    <w:p>
      <w:pPr>
        <w:jc w:val="both"/>
        <w:ind w:left="320" w:right="599"/>
        <w:spacing w:after="0" w:line="247" w:lineRule="auto"/>
        <w:rPr>
          <w:sz w:val="20"/>
          <w:szCs w:val="20"/>
          <w:color w:val="auto"/>
        </w:rPr>
      </w:pPr>
      <w:r>
        <w:rPr>
          <w:rFonts w:ascii="Arial" w:cs="Arial" w:eastAsia="Arial" w:hAnsi="Arial"/>
          <w:sz w:val="18"/>
          <w:szCs w:val="18"/>
          <w:color w:val="auto"/>
        </w:rPr>
        <w:t>The Compensation Committee believes that the structure of our equity-based compensation program reinforces our performance culture and incents long -term shareholder value creation. Our 2025 equity compensation program for NEOs consisted entirely of PSUs, eliminating the use of stock options after considering feedback from shareholders.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features of our annual long-term incentive awards granted in March 2025 were:</w:t>
      </w:r>
    </w:p>
    <w:p>
      <w:pPr>
        <w:spacing w:after="0" w:line="77" w:lineRule="exact"/>
        <w:rPr>
          <w:sz w:val="20"/>
          <w:szCs w:val="20"/>
          <w:color w:val="auto"/>
        </w:rPr>
      </w:pPr>
    </w:p>
    <w:p>
      <w:pPr>
        <w:ind w:left="520" w:hanging="196"/>
        <w:spacing w:after="0"/>
        <w:tabs>
          <w:tab w:leader="none" w:pos="520" w:val="left"/>
        </w:tabs>
        <w:numPr>
          <w:ilvl w:val="0"/>
          <w:numId w:val="64"/>
        </w:numPr>
        <w:rPr>
          <w:rFonts w:ascii="Times New Roman" w:cs="Times New Roman" w:eastAsia="Times New Roman" w:hAnsi="Times New Roman"/>
          <w:sz w:val="18"/>
          <w:szCs w:val="18"/>
          <w:color w:val="00A0DD"/>
        </w:rPr>
      </w:pPr>
      <w:r>
        <w:rPr>
          <w:rFonts w:ascii="Arial" w:cs="Arial" w:eastAsia="Arial" w:hAnsi="Arial"/>
          <w:sz w:val="18"/>
          <w:szCs w:val="18"/>
          <w:color w:val="auto"/>
        </w:rPr>
        <w:t>Three-year cumulative performance period.</w:t>
      </w:r>
    </w:p>
    <w:p>
      <w:pPr>
        <w:spacing w:after="0" w:line="75" w:lineRule="exact"/>
        <w:rPr>
          <w:rFonts w:ascii="Times New Roman" w:cs="Times New Roman" w:eastAsia="Times New Roman" w:hAnsi="Times New Roman"/>
          <w:sz w:val="18"/>
          <w:szCs w:val="18"/>
          <w:color w:val="00A0DD"/>
        </w:rPr>
      </w:pPr>
    </w:p>
    <w:p>
      <w:pPr>
        <w:ind w:left="520" w:right="419" w:hanging="196"/>
        <w:spacing w:after="0" w:line="270" w:lineRule="auto"/>
        <w:tabs>
          <w:tab w:leader="none" w:pos="520" w:val="left"/>
        </w:tabs>
        <w:numPr>
          <w:ilvl w:val="0"/>
          <w:numId w:val="64"/>
        </w:numPr>
        <w:rPr>
          <w:rFonts w:ascii="Times New Roman" w:cs="Times New Roman" w:eastAsia="Times New Roman" w:hAnsi="Times New Roman"/>
          <w:sz w:val="18"/>
          <w:szCs w:val="18"/>
          <w:color w:val="00A0DD"/>
        </w:rPr>
      </w:pPr>
      <w:r>
        <w:rPr>
          <w:rFonts w:ascii="Arial" w:cs="Arial" w:eastAsia="Arial" w:hAnsi="Arial"/>
          <w:sz w:val="18"/>
          <w:szCs w:val="18"/>
          <w:color w:val="auto"/>
        </w:rPr>
        <w:t>Earned PSUs will cliff-vest on the third anniversary of the date of grant, generally subject to continued employment through such date.</w:t>
      </w:r>
    </w:p>
    <w:p>
      <w:pPr>
        <w:spacing w:after="0" w:line="5" w:lineRule="exact"/>
        <w:rPr>
          <w:rFonts w:ascii="Times New Roman" w:cs="Times New Roman" w:eastAsia="Times New Roman" w:hAnsi="Times New Roman"/>
          <w:sz w:val="18"/>
          <w:szCs w:val="18"/>
          <w:color w:val="00A0DD"/>
        </w:rPr>
      </w:pPr>
    </w:p>
    <w:p>
      <w:pPr>
        <w:ind w:left="520" w:right="399" w:hanging="196"/>
        <w:spacing w:after="0" w:line="270" w:lineRule="auto"/>
        <w:tabs>
          <w:tab w:leader="none" w:pos="520" w:val="left"/>
        </w:tabs>
        <w:numPr>
          <w:ilvl w:val="0"/>
          <w:numId w:val="64"/>
        </w:numPr>
        <w:rPr>
          <w:rFonts w:ascii="Times New Roman" w:cs="Times New Roman" w:eastAsia="Times New Roman" w:hAnsi="Times New Roman"/>
          <w:sz w:val="18"/>
          <w:szCs w:val="18"/>
          <w:color w:val="00A0DD"/>
        </w:rPr>
      </w:pPr>
      <w:r>
        <w:rPr>
          <w:rFonts w:ascii="Arial" w:cs="Arial" w:eastAsia="Arial" w:hAnsi="Arial"/>
          <w:sz w:val="18"/>
          <w:szCs w:val="18"/>
          <w:color w:val="auto"/>
        </w:rPr>
        <w:t>PSUs are earned based on achievement of two primary performance metrics, each weighted 50%: (1) absolute ROIC and (2) relative Adjusted EPS growth compared to the S&amp;P 100.</w:t>
      </w:r>
    </w:p>
    <w:p>
      <w:pPr>
        <w:spacing w:after="0" w:line="19" w:lineRule="exact"/>
        <w:rPr>
          <w:rFonts w:ascii="Times New Roman" w:cs="Times New Roman" w:eastAsia="Times New Roman" w:hAnsi="Times New Roman"/>
          <w:sz w:val="18"/>
          <w:szCs w:val="18"/>
          <w:color w:val="00A0DD"/>
        </w:rPr>
      </w:pPr>
    </w:p>
    <w:p>
      <w:pPr>
        <w:ind w:left="520" w:right="459" w:hanging="196"/>
        <w:spacing w:after="0" w:line="270" w:lineRule="auto"/>
        <w:tabs>
          <w:tab w:leader="none" w:pos="520" w:val="left"/>
        </w:tabs>
        <w:numPr>
          <w:ilvl w:val="0"/>
          <w:numId w:val="64"/>
        </w:numPr>
        <w:rPr>
          <w:rFonts w:ascii="Times New Roman" w:cs="Times New Roman" w:eastAsia="Times New Roman" w:hAnsi="Times New Roman"/>
          <w:sz w:val="18"/>
          <w:szCs w:val="18"/>
          <w:color w:val="00A0DD"/>
        </w:rPr>
      </w:pPr>
      <w:r>
        <w:rPr>
          <w:rFonts w:ascii="Arial" w:cs="Arial" w:eastAsia="Arial" w:hAnsi="Arial"/>
          <w:sz w:val="18"/>
          <w:szCs w:val="18"/>
          <w:color w:val="auto"/>
        </w:rPr>
        <w:t>Attainment of primary performance metrics is subject to a relative TSR modifier compared to the S&amp;P 100, with no positive modifier applied if absolute TSR is negative over the performance period.</w:t>
      </w:r>
    </w:p>
    <w:p>
      <w:pPr>
        <w:spacing w:after="0" w:line="5" w:lineRule="exact"/>
        <w:rPr>
          <w:rFonts w:ascii="Times New Roman" w:cs="Times New Roman" w:eastAsia="Times New Roman" w:hAnsi="Times New Roman"/>
          <w:sz w:val="18"/>
          <w:szCs w:val="18"/>
          <w:color w:val="00A0DD"/>
        </w:rPr>
      </w:pPr>
    </w:p>
    <w:p>
      <w:pPr>
        <w:ind w:left="520" w:right="359" w:hanging="196"/>
        <w:spacing w:after="0" w:line="270" w:lineRule="auto"/>
        <w:tabs>
          <w:tab w:leader="none" w:pos="520" w:val="left"/>
        </w:tabs>
        <w:numPr>
          <w:ilvl w:val="0"/>
          <w:numId w:val="64"/>
        </w:numPr>
        <w:rPr>
          <w:rFonts w:ascii="Times New Roman" w:cs="Times New Roman" w:eastAsia="Times New Roman" w:hAnsi="Times New Roman"/>
          <w:sz w:val="18"/>
          <w:szCs w:val="18"/>
          <w:color w:val="00A0DD"/>
        </w:rPr>
      </w:pPr>
      <w:r>
        <w:rPr>
          <w:rFonts w:ascii="Arial" w:cs="Arial" w:eastAsia="Arial" w:hAnsi="Arial"/>
          <w:sz w:val="18"/>
          <w:szCs w:val="18"/>
          <w:color w:val="auto"/>
        </w:rPr>
        <w:t>Potential payout of up to 250% of target, which rewards for outperformance against rigorous goals and providing significant returns to our investors.</w:t>
      </w:r>
    </w:p>
    <w:p>
      <w:pPr>
        <w:spacing w:after="0" w:line="200" w:lineRule="exact"/>
        <w:rPr>
          <w:sz w:val="20"/>
          <w:szCs w:val="20"/>
          <w:color w:val="auto"/>
        </w:rPr>
      </w:pPr>
    </w:p>
    <w:p>
      <w:pPr>
        <w:spacing w:after="0" w:line="279" w:lineRule="exact"/>
        <w:rPr>
          <w:sz w:val="20"/>
          <w:szCs w:val="20"/>
          <w:color w:val="auto"/>
        </w:rPr>
      </w:pPr>
    </w:p>
    <w:p>
      <w:pPr>
        <w:ind w:left="1000" w:hanging="674"/>
        <w:spacing w:after="0"/>
        <w:tabs>
          <w:tab w:leader="none" w:pos="10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9" w:name="page40"/>
    <w:bookmarkEnd w:id="3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380"/>
        <w:spacing w:after="0" w:line="239" w:lineRule="auto"/>
        <w:rPr>
          <w:sz w:val="20"/>
          <w:szCs w:val="20"/>
          <w:color w:val="auto"/>
        </w:rPr>
      </w:pPr>
      <w:r>
        <w:rPr>
          <w:rFonts w:ascii="Arial" w:cs="Arial" w:eastAsia="Arial" w:hAnsi="Arial"/>
          <w:sz w:val="18"/>
          <w:szCs w:val="18"/>
          <w:color w:val="auto"/>
        </w:rPr>
        <w:t>We believe that our PSU structure ties a meaningful portion of each NEO’s total compensation opportunity to our long-term financial performance and closely aligns the interests of our NEOs with shareholders, with the ROIC and relative Adjusted EPS growth metrics serving as meaningful inputs to value creation and the relative TSR modifier providing an output measure of value creation. The combination of these performance metrics, together with the financial metrics (revenue, Adjusted EBITDA and Free Cash Flow), operational performance goals and the evaluation of stakeholder and sustainability initiatives under our annual cash bonus program, provide company-specific performance goals that are directly linked with our NEOs’ management of our company, while also satisfying shareholder return expectations.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00A0DD"/>
        </w:rPr>
        <w:t>Performance Metrics</w:t>
      </w:r>
    </w:p>
    <w:p>
      <w:pPr>
        <w:spacing w:after="0" w:line="104" w:lineRule="exact"/>
        <w:rPr>
          <w:sz w:val="20"/>
          <w:szCs w:val="20"/>
          <w:color w:val="auto"/>
        </w:rPr>
      </w:pPr>
    </w:p>
    <w:p>
      <w:pPr>
        <w:ind w:left="1180" w:right="1240"/>
        <w:spacing w:after="0" w:line="253" w:lineRule="auto"/>
        <w:rPr>
          <w:sz w:val="20"/>
          <w:szCs w:val="20"/>
          <w:color w:val="auto"/>
        </w:rPr>
      </w:pPr>
      <w:r>
        <w:rPr>
          <w:rFonts w:ascii="Arial" w:cs="Arial" w:eastAsia="Arial" w:hAnsi="Arial"/>
          <w:sz w:val="18"/>
          <w:szCs w:val="18"/>
          <w:color w:val="auto"/>
        </w:rPr>
        <w:t>As described above, the PSUs granted in March 2025 under our annual long-term incentive program have two equally weighted primary performance metrics that are measured over a cumulative three-year performance period beginning January 1 in the year of grant:</w:t>
      </w:r>
    </w:p>
    <w:p>
      <w:pPr>
        <w:spacing w:after="0" w:line="61" w:lineRule="exact"/>
        <w:rPr>
          <w:sz w:val="20"/>
          <w:szCs w:val="20"/>
          <w:color w:val="auto"/>
        </w:rPr>
      </w:pPr>
    </w:p>
    <w:p>
      <w:pPr>
        <w:ind w:left="1380" w:right="1860" w:hanging="196"/>
        <w:spacing w:after="0" w:line="270" w:lineRule="auto"/>
        <w:tabs>
          <w:tab w:leader="none" w:pos="1380" w:val="left"/>
        </w:tabs>
        <w:numPr>
          <w:ilvl w:val="0"/>
          <w:numId w:val="66"/>
        </w:numPr>
        <w:rPr>
          <w:rFonts w:ascii="Times New Roman" w:cs="Times New Roman" w:eastAsia="Times New Roman" w:hAnsi="Times New Roman"/>
          <w:sz w:val="18"/>
          <w:szCs w:val="18"/>
          <w:color w:val="00A0DD"/>
        </w:rPr>
      </w:pPr>
      <w:r>
        <w:rPr>
          <w:rFonts w:ascii="Arial" w:cs="Arial" w:eastAsia="Arial" w:hAnsi="Arial"/>
          <w:sz w:val="18"/>
          <w:szCs w:val="18"/>
          <w:color w:val="00A0DD"/>
        </w:rPr>
        <w:t xml:space="preserve">Average ROIC: </w:t>
      </w:r>
      <w:r>
        <w:rPr>
          <w:rFonts w:ascii="Arial" w:cs="Arial" w:eastAsia="Arial" w:hAnsi="Arial"/>
          <w:sz w:val="18"/>
          <w:szCs w:val="18"/>
          <w:color w:val="000000"/>
        </w:rPr>
        <w:t>measured on an absolute basis for each year during the three-year period and</w:t>
      </w:r>
      <w:r>
        <w:rPr>
          <w:rFonts w:ascii="Arial" w:cs="Arial" w:eastAsia="Arial" w:hAnsi="Arial"/>
          <w:sz w:val="18"/>
          <w:szCs w:val="18"/>
          <w:color w:val="00A0DD"/>
        </w:rPr>
        <w:t xml:space="preserve"> </w:t>
      </w:r>
      <w:r>
        <w:rPr>
          <w:rFonts w:ascii="Arial" w:cs="Arial" w:eastAsia="Arial" w:hAnsi="Arial"/>
          <w:sz w:val="18"/>
          <w:szCs w:val="18"/>
          <w:color w:val="000000"/>
        </w:rPr>
        <w:t>averaged to yield an average ROIC result for the cumulative three-year period.</w:t>
      </w:r>
    </w:p>
    <w:p>
      <w:pPr>
        <w:spacing w:after="0" w:line="19" w:lineRule="exact"/>
        <w:rPr>
          <w:rFonts w:ascii="Times New Roman" w:cs="Times New Roman" w:eastAsia="Times New Roman" w:hAnsi="Times New Roman"/>
          <w:sz w:val="18"/>
          <w:szCs w:val="18"/>
          <w:color w:val="00A0DD"/>
        </w:rPr>
      </w:pPr>
    </w:p>
    <w:p>
      <w:pPr>
        <w:ind w:left="1380" w:right="1220" w:hanging="196"/>
        <w:spacing w:after="0" w:line="252" w:lineRule="auto"/>
        <w:tabs>
          <w:tab w:leader="none" w:pos="1380" w:val="left"/>
        </w:tabs>
        <w:numPr>
          <w:ilvl w:val="0"/>
          <w:numId w:val="66"/>
        </w:numPr>
        <w:rPr>
          <w:rFonts w:ascii="Times New Roman" w:cs="Times New Roman" w:eastAsia="Times New Roman" w:hAnsi="Times New Roman"/>
          <w:sz w:val="18"/>
          <w:szCs w:val="18"/>
          <w:color w:val="00A0DD"/>
        </w:rPr>
      </w:pPr>
      <w:r>
        <w:rPr>
          <w:rFonts w:ascii="Arial" w:cs="Arial" w:eastAsia="Arial" w:hAnsi="Arial"/>
          <w:sz w:val="18"/>
          <w:szCs w:val="18"/>
          <w:color w:val="00A0DD"/>
        </w:rPr>
        <w:t xml:space="preserve">Relative Adjusted EPS Growth: </w:t>
      </w:r>
      <w:r>
        <w:rPr>
          <w:rFonts w:ascii="Arial" w:cs="Arial" w:eastAsia="Arial" w:hAnsi="Arial"/>
          <w:sz w:val="18"/>
          <w:szCs w:val="18"/>
          <w:color w:val="000000"/>
        </w:rPr>
        <w:t>compound annual growth rate measured on a relative basis at the end</w:t>
      </w:r>
      <w:r>
        <w:rPr>
          <w:rFonts w:ascii="Arial" w:cs="Arial" w:eastAsia="Arial" w:hAnsi="Arial"/>
          <w:sz w:val="18"/>
          <w:szCs w:val="18"/>
          <w:color w:val="00A0DD"/>
        </w:rPr>
        <w:t xml:space="preserve"> </w:t>
      </w:r>
      <w:r>
        <w:rPr>
          <w:rFonts w:ascii="Arial" w:cs="Arial" w:eastAsia="Arial" w:hAnsi="Arial"/>
          <w:sz w:val="18"/>
          <w:szCs w:val="18"/>
          <w:color w:val="000000"/>
        </w:rPr>
        <w:t>of the cumulative three-year performance period against the companies comprising the S&amp;P 100 Index.</w:t>
      </w:r>
    </w:p>
    <w:p>
      <w:pPr>
        <w:spacing w:after="0" w:line="63" w:lineRule="exact"/>
        <w:rPr>
          <w:sz w:val="20"/>
          <w:szCs w:val="20"/>
          <w:color w:val="auto"/>
        </w:rPr>
      </w:pPr>
    </w:p>
    <w:p>
      <w:pPr>
        <w:ind w:left="1180" w:right="1240"/>
        <w:spacing w:after="0" w:line="238" w:lineRule="auto"/>
        <w:rPr>
          <w:sz w:val="20"/>
          <w:szCs w:val="20"/>
          <w:color w:val="auto"/>
        </w:rPr>
      </w:pPr>
      <w:r>
        <w:rPr>
          <w:rFonts w:ascii="Arial" w:cs="Arial" w:eastAsia="Arial" w:hAnsi="Arial"/>
          <w:sz w:val="18"/>
          <w:szCs w:val="18"/>
          <w:color w:val="auto"/>
        </w:rPr>
        <w:t>The ultimate payout of the PSUs will then be subject to a relative TSR performance modifier of +/- 25% based on the percentile ranking of our TSR over the three-year performance period relative to that of the companies comprising the S&amp;P 100 Index (“Relative TSR Modifier”). The Relative TSR Modifier is -25% if our TSR ranking is at or below the 25th percentile. The Relative TSR Modifier is +25% if our TSR ranking is at or above the 75th percentile. The Relative TSR Modifier applies on an interpolated basis for performance between the 25th – 75th percentiles. We also apply an “absolute TSR cap” such that no positive modifier will be applied if absolute TSR is negative over the performance period (regardless of our relative TSR performance) to better align our NEOs’ pay outcomes with shareholders’ returns. We believe this modifier more directly links our equity compensation program to shareholder returns by rewarding our executives for sustained market outperformance, as well as regulating payouts for underperformance, even if financial metrics are achieved at or above target.</w:t>
      </w:r>
    </w:p>
    <w:p>
      <w:pPr>
        <w:spacing w:after="0" w:line="78" w:lineRule="exact"/>
        <w:rPr>
          <w:sz w:val="20"/>
          <w:szCs w:val="20"/>
          <w:color w:val="auto"/>
        </w:rPr>
      </w:pPr>
    </w:p>
    <w:p>
      <w:pPr>
        <w:ind w:left="1180" w:right="1200"/>
        <w:spacing w:after="0" w:line="244" w:lineRule="auto"/>
        <w:rPr>
          <w:sz w:val="20"/>
          <w:szCs w:val="20"/>
          <w:color w:val="auto"/>
        </w:rPr>
      </w:pPr>
      <w:r>
        <w:rPr>
          <w:rFonts w:ascii="Arial" w:cs="Arial" w:eastAsia="Arial" w:hAnsi="Arial"/>
          <w:sz w:val="18"/>
          <w:szCs w:val="18"/>
          <w:color w:val="auto"/>
        </w:rPr>
        <w:t>The maximum payout for the 2025 PSU awards is 250% of target (inclusive of the Relative TSR modifier), which provides additional incentive for outperformance and is in recognition of the fact that a significant portion of our NEOs’ compensation is delivered in the form of at-risk PSU awards, the value of which may only be realized by our NEOs upon achievement of financial and shareholder return performance measures over a three-year period.</w:t>
      </w:r>
    </w:p>
    <w:p>
      <w:pPr>
        <w:spacing w:after="0" w:line="68" w:lineRule="exact"/>
        <w:rPr>
          <w:sz w:val="20"/>
          <w:szCs w:val="20"/>
          <w:color w:val="auto"/>
        </w:rPr>
      </w:pPr>
    </w:p>
    <w:p>
      <w:pPr>
        <w:ind w:left="1180" w:right="1200"/>
        <w:spacing w:after="0"/>
        <w:rPr>
          <w:sz w:val="20"/>
          <w:szCs w:val="20"/>
          <w:color w:val="auto"/>
        </w:rPr>
      </w:pPr>
      <w:r>
        <w:rPr>
          <w:rFonts w:ascii="Arial" w:cs="Arial" w:eastAsia="Arial" w:hAnsi="Arial"/>
          <w:sz w:val="18"/>
          <w:szCs w:val="18"/>
          <w:color w:val="auto"/>
        </w:rPr>
        <w:t>In determining the total value of equity-based compensation, the Compensation Committee considers, among other things, the overall performance mix of an NEO’s total direct compensation and the value of awards made to other executives, as well as the value of equity-based compensation awarded to comparable NEOs at our peer companies. Target values that the Compensation Committee approved for PSUs granted in March 2025 under our annual long-term incentive program are set forth below. These values are lower than the accounting values required to be set forth in the Summary Compensation Table as a result of certain assumptions and valuation methodologies required under applicable accounting standards.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37</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40" w:name="page41"/>
    <w:bookmarkEnd w:id="4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4460" w:type="dxa"/>
            <w:vAlign w:val="bottom"/>
          </w:tcPr>
          <w:p>
            <w:pPr>
              <w:jc w:val="right"/>
              <w:ind w:right="59"/>
              <w:spacing w:after="0"/>
              <w:rPr>
                <w:sz w:val="20"/>
                <w:szCs w:val="20"/>
                <w:color w:val="auto"/>
              </w:rPr>
            </w:pPr>
            <w:r>
              <w:rPr>
                <w:rFonts w:ascii="Arial" w:cs="Arial" w:eastAsia="Arial" w:hAnsi="Arial"/>
                <w:sz w:val="16"/>
                <w:szCs w:val="16"/>
                <w:b w:val="1"/>
                <w:bCs w:val="1"/>
                <w:color w:val="auto"/>
              </w:rPr>
              <w:t>APPROVED TARGET</w:t>
            </w:r>
          </w:p>
        </w:tc>
      </w:tr>
      <w:tr>
        <w:trPr>
          <w:trHeight w:val="189"/>
        </w:trPr>
        <w:tc>
          <w:tcPr>
            <w:tcW w:w="3880" w:type="dxa"/>
            <w:vAlign w:val="bottom"/>
          </w:tcPr>
          <w:p>
            <w:pPr>
              <w:spacing w:after="0"/>
              <w:rPr>
                <w:sz w:val="16"/>
                <w:szCs w:val="16"/>
                <w:color w:val="auto"/>
              </w:rPr>
            </w:pPr>
          </w:p>
        </w:tc>
        <w:tc>
          <w:tcPr>
            <w:tcW w:w="4460" w:type="dxa"/>
            <w:vAlign w:val="bottom"/>
          </w:tcPr>
          <w:p>
            <w:pPr>
              <w:jc w:val="right"/>
              <w:ind w:right="19"/>
              <w:spacing w:after="0"/>
              <w:rPr>
                <w:sz w:val="20"/>
                <w:szCs w:val="20"/>
                <w:color w:val="auto"/>
              </w:rPr>
            </w:pPr>
            <w:r>
              <w:rPr>
                <w:rFonts w:ascii="Arial" w:cs="Arial" w:eastAsia="Arial" w:hAnsi="Arial"/>
                <w:sz w:val="16"/>
                <w:szCs w:val="16"/>
                <w:b w:val="1"/>
                <w:bCs w:val="1"/>
                <w:color w:val="auto"/>
              </w:rPr>
              <w:t>PSUS</w:t>
            </w:r>
          </w:p>
        </w:tc>
      </w:tr>
      <w:tr>
        <w:trPr>
          <w:trHeight w:val="217"/>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4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96"/>
        </w:trPr>
        <w:tc>
          <w:tcPr>
            <w:tcW w:w="388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Mr. Roberts</w:t>
            </w:r>
          </w:p>
        </w:tc>
        <w:tc>
          <w:tcPr>
            <w:tcW w:w="446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23,000,000</w:t>
            </w:r>
          </w:p>
        </w:tc>
      </w:tr>
      <w:tr>
        <w:trPr>
          <w:trHeight w:val="183"/>
        </w:trPr>
        <w:tc>
          <w:tcPr>
            <w:tcW w:w="388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Mr. Cavanagh</w:t>
            </w:r>
          </w:p>
        </w:tc>
        <w:tc>
          <w:tcPr>
            <w:tcW w:w="4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20,000,000</w:t>
            </w:r>
          </w:p>
        </w:tc>
      </w:tr>
      <w:tr>
        <w:trPr>
          <w:trHeight w:val="183"/>
        </w:trPr>
        <w:tc>
          <w:tcPr>
            <w:tcW w:w="388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Mr. Armstrong</w:t>
            </w:r>
          </w:p>
        </w:tc>
        <w:tc>
          <w:tcPr>
            <w:tcW w:w="4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9,500,000</w:t>
            </w:r>
          </w:p>
        </w:tc>
      </w:tr>
      <w:tr>
        <w:trPr>
          <w:trHeight w:val="183"/>
        </w:trPr>
        <w:tc>
          <w:tcPr>
            <w:tcW w:w="388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Mr. Reid</w:t>
            </w:r>
          </w:p>
        </w:tc>
        <w:tc>
          <w:tcPr>
            <w:tcW w:w="44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6,850,000</w:t>
            </w:r>
          </w:p>
        </w:tc>
      </w:tr>
      <w:tr>
        <w:trPr>
          <w:trHeight w:val="196"/>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Ms. Khoury</w:t>
            </w:r>
          </w:p>
        </w:tc>
        <w:tc>
          <w:tcPr>
            <w:tcW w:w="4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1,500,000</w:t>
            </w:r>
          </w:p>
        </w:tc>
      </w:tr>
    </w:tbl>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more information, see “Grants of Plan-Based Awards” table below.</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0DD"/>
        </w:rPr>
        <w:t>Promotional PSU Award</w:t>
      </w:r>
    </w:p>
    <w:p>
      <w:pPr>
        <w:spacing w:after="0" w:line="77" w:lineRule="exact"/>
        <w:rPr>
          <w:sz w:val="20"/>
          <w:szCs w:val="20"/>
          <w:color w:val="auto"/>
        </w:rPr>
      </w:pPr>
    </w:p>
    <w:p>
      <w:pPr>
        <w:ind w:left="320" w:right="359"/>
        <w:spacing w:after="0" w:line="237" w:lineRule="auto"/>
        <w:rPr>
          <w:sz w:val="20"/>
          <w:szCs w:val="20"/>
          <w:color w:val="auto"/>
        </w:rPr>
      </w:pPr>
      <w:r>
        <w:rPr>
          <w:rFonts w:ascii="Arial" w:cs="Arial" w:eastAsia="Arial" w:hAnsi="Arial"/>
          <w:sz w:val="18"/>
          <w:szCs w:val="18"/>
          <w:color w:val="auto"/>
        </w:rPr>
        <w:t>In addition to his annual PSU grant in March 2025, in December 2025, Mr. Cavanagh received a PSU award in connection with his promotion to Co-CEO on January 2, 2026. The Compensation Committee, in consultation with its independent compensation consultant, determined that Mr. Cavanagh should receive an award designed to recognize his promotion and strong leadership and further incent and align his compensation with rigorous performance targets to drive long-term shareholder value creation. The PSUs were granted on December 19, 2025, with a target value of approximately $35 million, with the number of units determined by using the 5-day volume-weighted average price of Class A common stock for the period ending December 15, 2025, which was the day before the record date for the Versant spin-off. The PSUs cliff vest in full three years after the date of grant, subject to achievement of two equally-weighted primary performance metrics: absolute ROIC (which will be measured from January 1, 2026 – December 31, 2028) and relative Adjusted EPS growth compared to the S&amp;P 100 (which will be measured from January 1, 2027 – December 31, 2028). Attainment of these primary performance metrics will be subject to a relative TSR modifier compared to the S&amp;P100 (measured over the vesting period), provided no positive adjustment will apply if absolute TSR is negative.</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0A0DD"/>
        </w:rPr>
        <w:t>Prior PSU Award Vestings</w:t>
      </w:r>
    </w:p>
    <w:p>
      <w:pPr>
        <w:spacing w:after="0" w:line="104" w:lineRule="exact"/>
        <w:rPr>
          <w:sz w:val="20"/>
          <w:szCs w:val="20"/>
          <w:color w:val="auto"/>
        </w:rPr>
      </w:pPr>
    </w:p>
    <w:p>
      <w:pPr>
        <w:ind w:left="320" w:right="499"/>
        <w:spacing w:after="0" w:line="271" w:lineRule="auto"/>
        <w:rPr>
          <w:sz w:val="20"/>
          <w:szCs w:val="20"/>
          <w:color w:val="auto"/>
        </w:rPr>
      </w:pPr>
      <w:r>
        <w:rPr>
          <w:rFonts w:ascii="Arial" w:cs="Arial" w:eastAsia="Arial" w:hAnsi="Arial"/>
          <w:sz w:val="18"/>
          <w:szCs w:val="18"/>
          <w:color w:val="auto"/>
        </w:rPr>
        <w:t>The three-year performance period for PSUs granted to our NEOs in 2023 concluded on December 31, 2025. The performance achieved resulted in a total payout of 108% of the target number of PSUs.</w:t>
      </w:r>
    </w:p>
    <w:p>
      <w:pPr>
        <w:spacing w:after="0" w:line="64"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3800" w:type="dxa"/>
            <w:vAlign w:val="bottom"/>
          </w:tcPr>
          <w:p>
            <w:pPr>
              <w:ind w:left="840"/>
              <w:spacing w:after="0"/>
              <w:rPr>
                <w:sz w:val="20"/>
                <w:szCs w:val="20"/>
                <w:color w:val="auto"/>
              </w:rPr>
            </w:pPr>
            <w:r>
              <w:rPr>
                <w:rFonts w:ascii="Arial" w:cs="Arial" w:eastAsia="Arial" w:hAnsi="Arial"/>
                <w:sz w:val="16"/>
                <w:szCs w:val="16"/>
                <w:b w:val="1"/>
                <w:bCs w:val="1"/>
                <w:color w:val="auto"/>
              </w:rPr>
              <w:t>PERFORMANCE METRIC</w:t>
            </w:r>
          </w:p>
        </w:tc>
        <w:tc>
          <w:tcPr>
            <w:tcW w:w="4540" w:type="dxa"/>
            <w:vAlign w:val="bottom"/>
            <w:tcBorders>
              <w:bottom w:val="single" w:sz="8" w:color="auto"/>
            </w:tcBorders>
            <w:gridSpan w:val="2"/>
          </w:tcPr>
          <w:p>
            <w:pPr>
              <w:ind w:left="860"/>
              <w:spacing w:after="0"/>
              <w:rPr>
                <w:sz w:val="20"/>
                <w:szCs w:val="20"/>
                <w:color w:val="auto"/>
              </w:rPr>
            </w:pPr>
            <w:r>
              <w:rPr>
                <w:rFonts w:ascii="Arial" w:cs="Arial" w:eastAsia="Arial" w:hAnsi="Arial"/>
                <w:sz w:val="16"/>
                <w:szCs w:val="16"/>
                <w:b w:val="1"/>
                <w:bCs w:val="1"/>
                <w:color w:val="auto"/>
              </w:rPr>
              <w:t>PERFORMANCE PERIOD: 2023-2025</w:t>
            </w:r>
          </w:p>
        </w:tc>
      </w:tr>
      <w:tr>
        <w:trPr>
          <w:trHeight w:val="209"/>
        </w:trPr>
        <w:tc>
          <w:tcPr>
            <w:tcW w:w="38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Actual Achievement</w:t>
            </w:r>
          </w:p>
        </w:tc>
        <w:tc>
          <w:tcPr>
            <w:tcW w:w="22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Payout (% of Target)</w:t>
            </w:r>
          </w:p>
        </w:tc>
      </w:tr>
      <w:tr>
        <w:trPr>
          <w:trHeight w:val="196"/>
        </w:trPr>
        <w:tc>
          <w:tcPr>
            <w:tcW w:w="3800" w:type="dxa"/>
            <w:vAlign w:val="bottom"/>
            <w:tcBorders>
              <w:bottom w:val="single" w:sz="8" w:color="DCDDDE"/>
            </w:tcBorders>
          </w:tcPr>
          <w:p>
            <w:pPr>
              <w:ind w:left="80"/>
              <w:spacing w:after="0" w:line="196" w:lineRule="exact"/>
              <w:rPr>
                <w:sz w:val="20"/>
                <w:szCs w:val="20"/>
                <w:color w:val="auto"/>
              </w:rPr>
            </w:pPr>
            <w:r>
              <w:rPr>
                <w:rFonts w:ascii="Arial" w:cs="Arial" w:eastAsia="Arial" w:hAnsi="Arial"/>
                <w:sz w:val="16"/>
                <w:szCs w:val="16"/>
                <w:b w:val="1"/>
                <w:bCs w:val="1"/>
                <w:color w:val="auto"/>
              </w:rPr>
              <w:t>ROIC (50%)</w:t>
            </w:r>
            <w:r>
              <w:rPr>
                <w:rFonts w:ascii="Arial" w:cs="Arial" w:eastAsia="Arial" w:hAnsi="Arial"/>
                <w:sz w:val="21"/>
                <w:szCs w:val="21"/>
                <w:b w:val="1"/>
                <w:bCs w:val="1"/>
                <w:color w:val="auto"/>
                <w:vertAlign w:val="superscript"/>
              </w:rPr>
              <w:t>(1)</w:t>
            </w:r>
          </w:p>
        </w:tc>
        <w:tc>
          <w:tcPr>
            <w:tcW w:w="2260" w:type="dxa"/>
            <w:vAlign w:val="bottom"/>
            <w:tcBorders>
              <w:bottom w:val="single" w:sz="8" w:color="DCDDDE"/>
            </w:tcBorders>
          </w:tcPr>
          <w:p>
            <w:pPr>
              <w:jc w:val="center"/>
              <w:spacing w:after="0"/>
              <w:rPr>
                <w:sz w:val="20"/>
                <w:szCs w:val="20"/>
                <w:color w:val="auto"/>
              </w:rPr>
            </w:pPr>
            <w:r>
              <w:rPr>
                <w:rFonts w:ascii="Arial" w:cs="Arial" w:eastAsia="Arial" w:hAnsi="Arial"/>
                <w:sz w:val="16"/>
                <w:szCs w:val="16"/>
                <w:color w:val="auto"/>
              </w:rPr>
              <w:t>11.1%</w:t>
            </w:r>
          </w:p>
        </w:tc>
        <w:tc>
          <w:tcPr>
            <w:tcW w:w="2280" w:type="dxa"/>
            <w:vAlign w:val="bottom"/>
            <w:tcBorders>
              <w:bottom w:val="single" w:sz="8" w:color="DCDDDE"/>
            </w:tcBorders>
          </w:tcPr>
          <w:p>
            <w:pPr>
              <w:jc w:val="right"/>
              <w:ind w:right="819"/>
              <w:spacing w:after="0"/>
              <w:rPr>
                <w:sz w:val="20"/>
                <w:szCs w:val="20"/>
                <w:color w:val="auto"/>
              </w:rPr>
            </w:pPr>
            <w:r>
              <w:rPr>
                <w:rFonts w:ascii="Arial" w:cs="Arial" w:eastAsia="Arial" w:hAnsi="Arial"/>
                <w:sz w:val="16"/>
                <w:szCs w:val="16"/>
                <w:color w:val="auto"/>
              </w:rPr>
              <w:t>200%</w:t>
            </w:r>
          </w:p>
        </w:tc>
      </w:tr>
      <w:tr>
        <w:trPr>
          <w:trHeight w:val="196"/>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Relative Adjusted EPS Growth (50%)</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44th percentile</w:t>
            </w:r>
          </w:p>
        </w:tc>
        <w:tc>
          <w:tcPr>
            <w:tcW w:w="2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88%</w:t>
            </w:r>
          </w:p>
        </w:tc>
      </w:tr>
    </w:tbl>
    <w:p>
      <w:pPr>
        <w:spacing w:after="0" w:line="121" w:lineRule="exact"/>
        <w:rPr>
          <w:sz w:val="20"/>
          <w:szCs w:val="20"/>
          <w:color w:val="auto"/>
        </w:rPr>
      </w:pPr>
    </w:p>
    <w:p>
      <w:pPr>
        <w:ind w:left="320" w:right="639" w:firstLine="4"/>
        <w:spacing w:after="0" w:line="249" w:lineRule="auto"/>
        <w:tabs>
          <w:tab w:leader="none" w:pos="498"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ROIC is calculated as adjusted net income plus after-tax Interest expense, divided by average invested capital (debt plus shareholders’ equity, less cash and cash equivalents); as adjusted to exclude the effects of any extraordinary, unusual and/or nonrecurring items. ROIC targets for threshold achievement exceed our weighted-average cost of capital when set.</w:t>
      </w:r>
    </w:p>
    <w:p>
      <w:pPr>
        <w:spacing w:after="0" w:line="72" w:lineRule="exact"/>
        <w:rPr>
          <w:sz w:val="20"/>
          <w:szCs w:val="20"/>
          <w:color w:val="auto"/>
        </w:rPr>
      </w:pPr>
    </w:p>
    <w:p>
      <w:pPr>
        <w:ind w:left="320" w:right="439"/>
        <w:spacing w:after="0" w:line="242" w:lineRule="auto"/>
        <w:rPr>
          <w:sz w:val="20"/>
          <w:szCs w:val="20"/>
          <w:color w:val="auto"/>
        </w:rPr>
      </w:pPr>
      <w:r>
        <w:rPr>
          <w:rFonts w:ascii="Arial" w:cs="Arial" w:eastAsia="Arial" w:hAnsi="Arial"/>
          <w:sz w:val="18"/>
          <w:szCs w:val="18"/>
          <w:color w:val="auto"/>
        </w:rPr>
        <w:t>The combined PSU payout percentage based on the above levels of ROIC and Relative Adjusted EPS Growth achievement was 144%, which, after applying a Relative TSR Modifier of -25% based on a 14th percentile ranking relative to the S&amp;P 100 Index, resulted in the 108% total payout. Details about the ROIC potential payout ranges are not disclosed due to competitive concerns, particularly in light of our continued competitive bidding for funding under the Broadband Equity, Access and Deployment (BEAD) program.</w:t>
      </w:r>
    </w:p>
    <w:p>
      <w:pPr>
        <w:spacing w:after="0" w:line="200" w:lineRule="exact"/>
        <w:rPr>
          <w:sz w:val="20"/>
          <w:szCs w:val="20"/>
          <w:color w:val="auto"/>
        </w:rPr>
      </w:pPr>
    </w:p>
    <w:p>
      <w:pPr>
        <w:spacing w:after="0" w:line="304" w:lineRule="exact"/>
        <w:rPr>
          <w:sz w:val="20"/>
          <w:szCs w:val="20"/>
          <w:color w:val="auto"/>
        </w:rPr>
      </w:pPr>
    </w:p>
    <w:p>
      <w:pPr>
        <w:ind w:left="1000" w:hanging="674"/>
        <w:spacing w:after="0"/>
        <w:tabs>
          <w:tab w:leader="none" w:pos="100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1" w:name="page42"/>
    <w:bookmarkEnd w:id="41"/>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Procedures for Determining Compensation</w:t>
      </w:r>
    </w:p>
    <w:p>
      <w:pPr>
        <w:spacing w:after="0" w:line="114"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Compensation Committee’s Role, Process and Assessments</w:t>
      </w:r>
    </w:p>
    <w:p>
      <w:pPr>
        <w:spacing w:after="0" w:line="92" w:lineRule="exact"/>
        <w:rPr>
          <w:sz w:val="20"/>
          <w:szCs w:val="20"/>
          <w:color w:val="auto"/>
        </w:rPr>
      </w:pPr>
    </w:p>
    <w:p>
      <w:pPr>
        <w:ind w:left="1180" w:right="1200"/>
        <w:spacing w:after="0" w:line="247" w:lineRule="auto"/>
        <w:rPr>
          <w:sz w:val="20"/>
          <w:szCs w:val="20"/>
          <w:color w:val="auto"/>
        </w:rPr>
      </w:pPr>
      <w:r>
        <w:rPr>
          <w:rFonts w:ascii="Arial" w:cs="Arial" w:eastAsia="Arial" w:hAnsi="Arial"/>
          <w:sz w:val="18"/>
          <w:szCs w:val="18"/>
          <w:color w:val="auto"/>
        </w:rPr>
        <w:t>The Compensation Committee approves the nature and amount of compensation paid to, and the employment and related agreements entered into with, our executive officers, and oversees broad-based cash bonus and equity-based plans, approving guidelines for grants of awards under these plans and determining and overseeing our compensation and benefits policies generally.</w:t>
      </w:r>
    </w:p>
    <w:p>
      <w:pPr>
        <w:spacing w:after="0" w:line="52" w:lineRule="exact"/>
        <w:rPr>
          <w:sz w:val="20"/>
          <w:szCs w:val="20"/>
          <w:color w:val="auto"/>
        </w:rPr>
      </w:pPr>
    </w:p>
    <w:p>
      <w:pPr>
        <w:ind w:left="1180" w:right="1220"/>
        <w:spacing w:after="0" w:line="242" w:lineRule="auto"/>
        <w:rPr>
          <w:sz w:val="20"/>
          <w:szCs w:val="20"/>
          <w:color w:val="auto"/>
        </w:rPr>
      </w:pPr>
      <w:r>
        <w:rPr>
          <w:rFonts w:ascii="Arial" w:cs="Arial" w:eastAsia="Arial" w:hAnsi="Arial"/>
          <w:sz w:val="18"/>
          <w:szCs w:val="18"/>
          <w:color w:val="auto"/>
        </w:rPr>
        <w:t>In 2025, the Compensation Committee reviewed each element of our NEOs’ compensation for internal consistency. It also reviewed various analyses provided by its independent compensation consultant, including assessments of the composition of our peer groups, compensation program design and market trends, as well as competitive pay and financial performance analyses. After taking all of this into account, the Compensation Committee evaluated our financial performance, as compared to our peers over time, as it related to our competitive compensation philosophy.</w:t>
      </w:r>
    </w:p>
    <w:p>
      <w:pPr>
        <w:spacing w:after="0" w:line="44" w:lineRule="exact"/>
        <w:rPr>
          <w:sz w:val="20"/>
          <w:szCs w:val="20"/>
          <w:color w:val="auto"/>
        </w:rPr>
      </w:pPr>
    </w:p>
    <w:p>
      <w:pPr>
        <w:ind w:left="1180" w:right="1500"/>
        <w:spacing w:after="0" w:line="247" w:lineRule="auto"/>
        <w:rPr>
          <w:sz w:val="20"/>
          <w:szCs w:val="20"/>
          <w:color w:val="auto"/>
        </w:rPr>
      </w:pPr>
      <w:r>
        <w:rPr>
          <w:rFonts w:ascii="Arial" w:cs="Arial" w:eastAsia="Arial" w:hAnsi="Arial"/>
          <w:sz w:val="18"/>
          <w:szCs w:val="18"/>
          <w:color w:val="auto"/>
        </w:rPr>
        <w:t>In addition, the Compensation Committee annually reviews the nature and mix of compensation elements, as well as compensation plan design and award terms, to ensure that our compensation program does not include inadvertent incentives for our NEOs to take inappropriate business risks by making decisions that may not be in the best interests of our shareholders.</w:t>
      </w:r>
    </w:p>
    <w:p>
      <w:pPr>
        <w:spacing w:after="0" w:line="52" w:lineRule="exact"/>
        <w:rPr>
          <w:sz w:val="20"/>
          <w:szCs w:val="20"/>
          <w:color w:val="auto"/>
        </w:rPr>
      </w:pPr>
    </w:p>
    <w:p>
      <w:pPr>
        <w:ind w:left="1180" w:right="1300"/>
        <w:spacing w:after="0" w:line="239" w:lineRule="auto"/>
        <w:rPr>
          <w:sz w:val="20"/>
          <w:szCs w:val="20"/>
          <w:color w:val="auto"/>
        </w:rPr>
      </w:pPr>
      <w:r>
        <w:rPr>
          <w:rFonts w:ascii="Arial" w:cs="Arial" w:eastAsia="Arial" w:hAnsi="Arial"/>
          <w:sz w:val="18"/>
          <w:szCs w:val="18"/>
          <w:color w:val="auto"/>
        </w:rPr>
        <w:t>In determining individual compensation, the Compensation Committee evaluated Mr. Roberts’ performance, and Mr. Roberts discussed with the Compensation Committee the performance of our other NEOs. The Compensation Committee, among other things, assesses each NEO’s responsibilities and roles with respect to corporate policy-making, management and contribution to our overall performance, both in terms of financial results and progress on key initiatives, as well as the importance of retaining the NEO. This process helps inform compensation decisions and allows our Compensation Committee to employ a holistic evaluation that may include factors both within and outside of management’s control, balanced with individual and company performance and shareholder outcomes. See “Design and Structure of Our Executive Compensation Program – Compensation Decisions” above for information on NEO performance and decisions made in respect of 2025.</w:t>
      </w:r>
    </w:p>
    <w:p>
      <w:pPr>
        <w:spacing w:after="0" w:line="64"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Role of Compensation Consultants</w:t>
      </w:r>
    </w:p>
    <w:p>
      <w:pPr>
        <w:spacing w:after="0" w:line="92" w:lineRule="exact"/>
        <w:rPr>
          <w:sz w:val="20"/>
          <w:szCs w:val="20"/>
          <w:color w:val="auto"/>
        </w:rPr>
      </w:pPr>
    </w:p>
    <w:p>
      <w:pPr>
        <w:ind w:left="1180" w:right="1240"/>
        <w:spacing w:after="0" w:line="242" w:lineRule="auto"/>
        <w:rPr>
          <w:sz w:val="20"/>
          <w:szCs w:val="20"/>
          <w:color w:val="auto"/>
        </w:rPr>
      </w:pPr>
      <w:r>
        <w:rPr>
          <w:rFonts w:ascii="Arial" w:cs="Arial" w:eastAsia="Arial" w:hAnsi="Arial"/>
          <w:sz w:val="18"/>
          <w:szCs w:val="18"/>
          <w:color w:val="auto"/>
        </w:rPr>
        <w:t>The Compensation Committee has directly engaged Korn Ferry as its own independent compensation consultant. Korn Ferry provides research, analysis and input as to the form and amount of executive and director compensation both to our Compensation Committee and to management. The Compensation Committee collaborated with Korn Ferry to determine and approve the parameters used to conduct the assessment work. Korn Ferry did not determine or recommend the form or amount of compensation of our NEOs for 2025.</w:t>
      </w:r>
    </w:p>
    <w:p>
      <w:pPr>
        <w:spacing w:after="0" w:line="44" w:lineRule="exact"/>
        <w:rPr>
          <w:sz w:val="20"/>
          <w:szCs w:val="20"/>
          <w:color w:val="auto"/>
        </w:rPr>
      </w:pPr>
    </w:p>
    <w:p>
      <w:pPr>
        <w:ind w:left="1180" w:right="1200"/>
        <w:spacing w:after="0" w:line="237" w:lineRule="auto"/>
        <w:rPr>
          <w:sz w:val="20"/>
          <w:szCs w:val="20"/>
          <w:color w:val="auto"/>
        </w:rPr>
      </w:pPr>
      <w:r>
        <w:rPr>
          <w:rFonts w:ascii="Arial" w:cs="Arial" w:eastAsia="Arial" w:hAnsi="Arial"/>
          <w:sz w:val="18"/>
          <w:szCs w:val="18"/>
          <w:color w:val="auto"/>
        </w:rPr>
        <w:t>In 2025, we paid Korn Ferry approximately $446,500 for services related to executive and director compensation and approximately $88,500 for leadership, succession, organizational strategy and talent consulting services and executive search services. 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Committee and are reviewed by the Board, following reviews and discussions held in executive sessions. The Compensation Committee assessed Korn Ferry’s work as required under SEC rules and concluded that its work for the Compensation Committee in 2025 did not raise any conflicts of interest. The Compensation Committee reached this determination by reviewing the fees paid to Korn Ferry and evaluating its work under applicable SEC and Nasdaq rules on conflicts of interest.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39</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42" w:name="page43"/>
    <w:bookmarkEnd w:id="42"/>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Use of Competitive Data</w:t>
      </w:r>
    </w:p>
    <w:p>
      <w:pPr>
        <w:spacing w:after="0" w:line="106" w:lineRule="exact"/>
        <w:rPr>
          <w:sz w:val="20"/>
          <w:szCs w:val="20"/>
          <w:color w:val="auto"/>
        </w:rPr>
      </w:pPr>
    </w:p>
    <w:p>
      <w:pPr>
        <w:ind w:left="320" w:right="479"/>
        <w:spacing w:after="0" w:line="244" w:lineRule="auto"/>
        <w:rPr>
          <w:sz w:val="20"/>
          <w:szCs w:val="20"/>
          <w:color w:val="auto"/>
        </w:rPr>
      </w:pPr>
      <w:r>
        <w:rPr>
          <w:rFonts w:ascii="Arial" w:cs="Arial" w:eastAsia="Arial" w:hAnsi="Arial"/>
          <w:sz w:val="18"/>
          <w:szCs w:val="18"/>
          <w:color w:val="auto"/>
        </w:rPr>
        <w:t>While peer group and various compensation survey analyses are considered important and valuable by the Compensation Committee, the Compensation Committee does not make any determination of, or change to, compensation in reaction to market data alone. Rather, it uses this information as one of several considerations to inform its decisions in determining compensation levels (and when to change compensation levels).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Peer Group</w:t>
      </w:r>
    </w:p>
    <w:p>
      <w:pPr>
        <w:spacing w:after="0" w:line="97" w:lineRule="exact"/>
        <w:rPr>
          <w:sz w:val="20"/>
          <w:szCs w:val="20"/>
          <w:color w:val="auto"/>
        </w:rPr>
      </w:pPr>
    </w:p>
    <w:p>
      <w:pPr>
        <w:ind w:left="320" w:right="359"/>
        <w:spacing w:after="0" w:line="253" w:lineRule="auto"/>
        <w:rPr>
          <w:sz w:val="20"/>
          <w:szCs w:val="20"/>
          <w:color w:val="auto"/>
        </w:rPr>
      </w:pPr>
      <w:r>
        <w:rPr>
          <w:rFonts w:ascii="Arial" w:cs="Arial" w:eastAsia="Arial" w:hAnsi="Arial"/>
          <w:sz w:val="18"/>
          <w:szCs w:val="18"/>
          <w:color w:val="auto"/>
        </w:rPr>
        <w:t>The Compensation Committee, advised by Korn Ferry, reviewed the criteria for selecting members of our peer groups and determined that no changes were warranted to the composition of our core peer group for 2025.</w:t>
      </w:r>
    </w:p>
    <w:p>
      <w:pPr>
        <w:spacing w:after="0" w:line="61" w:lineRule="exact"/>
        <w:rPr>
          <w:sz w:val="20"/>
          <w:szCs w:val="20"/>
          <w:color w:val="auto"/>
        </w:rPr>
      </w:pPr>
    </w:p>
    <w:p>
      <w:pPr>
        <w:ind w:left="320" w:right="439"/>
        <w:spacing w:after="0" w:line="271" w:lineRule="auto"/>
        <w:rPr>
          <w:sz w:val="20"/>
          <w:szCs w:val="20"/>
          <w:color w:val="auto"/>
        </w:rPr>
      </w:pPr>
      <w:r>
        <w:rPr>
          <w:rFonts w:ascii="Arial" w:cs="Arial" w:eastAsia="Arial" w:hAnsi="Arial"/>
          <w:sz w:val="18"/>
          <w:szCs w:val="18"/>
          <w:color w:val="auto"/>
        </w:rPr>
        <w:t>Below are the companies in our core peer group for 2025, which are the same companies considered in our core peer group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49530</wp:posOffset>
            </wp:positionV>
            <wp:extent cx="2657475" cy="10198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57475" cy="1019810"/>
                    </a:xfrm>
                    <a:prstGeom prst="rect">
                      <a:avLst/>
                    </a:prstGeom>
                    <a:noFill/>
                  </pic:spPr>
                </pic:pic>
              </a:graphicData>
            </a:graphic>
          </wp:anchor>
        </w:drawing>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259"/>
        </w:trPr>
        <w:tc>
          <w:tcPr>
            <w:tcW w:w="140" w:type="dxa"/>
            <w:vAlign w:val="bottom"/>
          </w:tcPr>
          <w:p>
            <w:pPr>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Alphabet Inc.</w:t>
            </w:r>
          </w:p>
        </w:tc>
        <w:tc>
          <w:tcPr>
            <w:tcW w:w="320" w:type="dxa"/>
            <w:vAlign w:val="bottom"/>
            <w:tcBorders>
              <w:top w:val="single" w:sz="8" w:color="E0F0FB"/>
            </w:tcBorders>
          </w:tcPr>
          <w:p>
            <w:pPr>
              <w:ind w:left="180"/>
              <w:spacing w:after="0"/>
              <w:rPr>
                <w:sz w:val="20"/>
                <w:szCs w:val="20"/>
                <w:color w:val="auto"/>
              </w:rPr>
            </w:pPr>
            <w:r>
              <w:rPr>
                <w:rFonts w:ascii="Arial" w:cs="Arial" w:eastAsia="Arial" w:hAnsi="Arial"/>
                <w:sz w:val="18"/>
                <w:szCs w:val="18"/>
                <w:color w:val="00A0DD"/>
              </w:rPr>
              <w:t>•</w:t>
            </w:r>
          </w:p>
        </w:tc>
        <w:tc>
          <w:tcPr>
            <w:tcW w:w="3860" w:type="dxa"/>
            <w:vAlign w:val="bottom"/>
            <w:tcBorders>
              <w:top w:val="single" w:sz="8" w:color="E0F0FB"/>
            </w:tcBorders>
          </w:tcPr>
          <w:p>
            <w:pPr>
              <w:ind w:left="80"/>
              <w:spacing w:after="0"/>
              <w:rPr>
                <w:sz w:val="20"/>
                <w:szCs w:val="20"/>
                <w:color w:val="auto"/>
              </w:rPr>
            </w:pPr>
            <w:r>
              <w:rPr>
                <w:rFonts w:ascii="Arial" w:cs="Arial" w:eastAsia="Arial" w:hAnsi="Arial"/>
                <w:sz w:val="18"/>
                <w:szCs w:val="18"/>
                <w:color w:val="auto"/>
              </w:rPr>
              <w:t>Paramount Skydance Corporation</w:t>
            </w:r>
          </w:p>
        </w:tc>
      </w:tr>
      <w:tr>
        <w:trPr>
          <w:trHeight w:val="258"/>
        </w:trPr>
        <w:tc>
          <w:tcPr>
            <w:tcW w:w="140" w:type="dxa"/>
            <w:vAlign w:val="bottom"/>
          </w:tcPr>
          <w:p>
            <w:pPr>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AT&amp;T Inc.</w:t>
            </w:r>
          </w:p>
        </w:tc>
        <w:tc>
          <w:tcPr>
            <w:tcW w:w="320" w:type="dxa"/>
            <w:vAlign w:val="bottom"/>
          </w:tcPr>
          <w:p>
            <w:pPr>
              <w:ind w:left="180"/>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T-Mobile US, Inc.</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Charter Communications, Inc.</w:t>
            </w:r>
          </w:p>
        </w:tc>
        <w:tc>
          <w:tcPr>
            <w:tcW w:w="4180" w:type="dxa"/>
            <w:vAlign w:val="bottom"/>
            <w:gridSpan w:val="2"/>
          </w:tcPr>
          <w:p>
            <w:pPr>
              <w:ind w:left="180"/>
              <w:spacing w:after="0"/>
              <w:rPr>
                <w:sz w:val="20"/>
                <w:szCs w:val="20"/>
                <w:color w:val="auto"/>
              </w:rPr>
            </w:pPr>
            <w:r>
              <w:rPr>
                <w:rFonts w:ascii="Arial" w:cs="Arial" w:eastAsia="Arial" w:hAnsi="Arial"/>
                <w:sz w:val="18"/>
                <w:szCs w:val="18"/>
                <w:color w:val="00A0DD"/>
              </w:rPr>
              <w:t xml:space="preserve">•  </w:t>
            </w:r>
            <w:r>
              <w:rPr>
                <w:rFonts w:ascii="Arial" w:cs="Arial" w:eastAsia="Arial" w:hAnsi="Arial"/>
                <w:sz w:val="18"/>
                <w:szCs w:val="18"/>
                <w:color w:val="000000"/>
              </w:rPr>
              <w:t>The Walt Disney Company</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Fox Corporation</w:t>
            </w:r>
          </w:p>
        </w:tc>
        <w:tc>
          <w:tcPr>
            <w:tcW w:w="320" w:type="dxa"/>
            <w:vAlign w:val="bottom"/>
          </w:tcPr>
          <w:p>
            <w:pPr>
              <w:ind w:left="180"/>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Verizon Communications, Inc.</w:t>
            </w:r>
          </w:p>
        </w:tc>
      </w:tr>
      <w:tr>
        <w:trPr>
          <w:trHeight w:val="283"/>
        </w:trPr>
        <w:tc>
          <w:tcPr>
            <w:tcW w:w="140" w:type="dxa"/>
            <w:vAlign w:val="bottom"/>
          </w:tcPr>
          <w:p>
            <w:pPr>
              <w:spacing w:after="0"/>
              <w:rPr>
                <w:sz w:val="20"/>
                <w:szCs w:val="20"/>
                <w:color w:val="auto"/>
              </w:rPr>
            </w:pPr>
            <w:r>
              <w:rPr>
                <w:rFonts w:ascii="Arial" w:cs="Arial" w:eastAsia="Arial" w:hAnsi="Arial"/>
                <w:sz w:val="18"/>
                <w:szCs w:val="18"/>
                <w:color w:val="00A0DD"/>
              </w:rPr>
              <w:t>•</w:t>
            </w:r>
          </w:p>
        </w:tc>
        <w:tc>
          <w:tcPr>
            <w:tcW w:w="3860" w:type="dxa"/>
            <w:vAlign w:val="bottom"/>
          </w:tcPr>
          <w:p>
            <w:pPr>
              <w:ind w:left="80"/>
              <w:spacing w:after="0"/>
              <w:rPr>
                <w:sz w:val="20"/>
                <w:szCs w:val="20"/>
                <w:color w:val="auto"/>
              </w:rPr>
            </w:pPr>
            <w:r>
              <w:rPr>
                <w:rFonts w:ascii="Arial" w:cs="Arial" w:eastAsia="Arial" w:hAnsi="Arial"/>
                <w:sz w:val="18"/>
                <w:szCs w:val="18"/>
                <w:color w:val="auto"/>
              </w:rPr>
              <w:t>Meta Platforms, Inc.</w:t>
            </w:r>
          </w:p>
        </w:tc>
        <w:tc>
          <w:tcPr>
            <w:tcW w:w="4180" w:type="dxa"/>
            <w:vAlign w:val="bottom"/>
            <w:gridSpan w:val="2"/>
          </w:tcPr>
          <w:p>
            <w:pPr>
              <w:ind w:left="180"/>
              <w:spacing w:after="0"/>
              <w:rPr>
                <w:sz w:val="20"/>
                <w:szCs w:val="20"/>
                <w:color w:val="auto"/>
              </w:rPr>
            </w:pPr>
            <w:r>
              <w:rPr>
                <w:rFonts w:ascii="Arial" w:cs="Arial" w:eastAsia="Arial" w:hAnsi="Arial"/>
                <w:sz w:val="18"/>
                <w:szCs w:val="18"/>
                <w:color w:val="00A0DD"/>
              </w:rPr>
              <w:t xml:space="preserve">•  </w:t>
            </w:r>
            <w:r>
              <w:rPr>
                <w:rFonts w:ascii="Arial" w:cs="Arial" w:eastAsia="Arial" w:hAnsi="Arial"/>
                <w:sz w:val="18"/>
                <w:szCs w:val="18"/>
                <w:color w:val="000000"/>
              </w:rPr>
              <w:t>Warner Bros. Discovery,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-842010</wp:posOffset>
            </wp:positionV>
            <wp:extent cx="2648585" cy="10115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48585" cy="1011555"/>
                    </a:xfrm>
                    <a:prstGeom prst="rect">
                      <a:avLst/>
                    </a:prstGeom>
                    <a:noFill/>
                  </pic:spPr>
                </pic:pic>
              </a:graphicData>
            </a:graphic>
          </wp:anchor>
        </w:drawing>
      </w:r>
    </w:p>
    <w:p>
      <w:pPr>
        <w:spacing w:after="0" w:line="11" w:lineRule="exact"/>
        <w:rPr>
          <w:sz w:val="20"/>
          <w:szCs w:val="20"/>
          <w:color w:val="auto"/>
        </w:rPr>
      </w:pPr>
    </w:p>
    <w:p>
      <w:pPr>
        <w:ind w:left="720" w:hanging="218"/>
        <w:spacing w:after="0"/>
        <w:tabs>
          <w:tab w:leader="none" w:pos="720" w:val="left"/>
        </w:tabs>
        <w:numPr>
          <w:ilvl w:val="0"/>
          <w:numId w:val="69"/>
        </w:numPr>
        <w:rPr>
          <w:rFonts w:ascii="Arial" w:cs="Arial" w:eastAsia="Arial" w:hAnsi="Arial"/>
          <w:sz w:val="18"/>
          <w:szCs w:val="18"/>
          <w:color w:val="00A0DD"/>
        </w:rPr>
      </w:pPr>
      <w:r>
        <w:rPr>
          <w:rFonts w:ascii="Arial" w:cs="Arial" w:eastAsia="Arial" w:hAnsi="Arial"/>
          <w:sz w:val="18"/>
          <w:szCs w:val="18"/>
          <w:color w:val="auto"/>
        </w:rPr>
        <w:t>Netflix, Inc.</w:t>
      </w:r>
    </w:p>
    <w:p>
      <w:pPr>
        <w:spacing w:after="0" w:line="131" w:lineRule="exact"/>
        <w:rPr>
          <w:sz w:val="20"/>
          <w:szCs w:val="20"/>
          <w:color w:val="auto"/>
        </w:rPr>
      </w:pPr>
    </w:p>
    <w:p>
      <w:pPr>
        <w:ind w:left="320" w:right="499"/>
        <w:spacing w:after="0" w:line="271" w:lineRule="auto"/>
        <w:rPr>
          <w:sz w:val="20"/>
          <w:szCs w:val="20"/>
          <w:color w:val="auto"/>
        </w:rPr>
      </w:pPr>
      <w:r>
        <w:rPr>
          <w:rFonts w:ascii="Arial" w:cs="Arial" w:eastAsia="Arial" w:hAnsi="Arial"/>
          <w:sz w:val="18"/>
          <w:szCs w:val="18"/>
          <w:color w:val="auto"/>
        </w:rPr>
        <w:t>Our peer group analyses indicate that overall, our “pay at risk” practices are generally aligned with peer group practices.</w:t>
      </w:r>
    </w:p>
    <w:p>
      <w:pPr>
        <w:spacing w:after="0" w:line="19" w:lineRule="exact"/>
        <w:rPr>
          <w:sz w:val="20"/>
          <w:szCs w:val="20"/>
          <w:color w:val="auto"/>
        </w:rPr>
      </w:pPr>
    </w:p>
    <w:p>
      <w:pPr>
        <w:ind w:left="520" w:right="439" w:hanging="196"/>
        <w:spacing w:after="0" w:line="242" w:lineRule="auto"/>
        <w:tabs>
          <w:tab w:leader="none" w:pos="520" w:val="left"/>
        </w:tabs>
        <w:numPr>
          <w:ilvl w:val="0"/>
          <w:numId w:val="70"/>
        </w:numPr>
        <w:rPr>
          <w:rFonts w:ascii="Times New Roman" w:cs="Times New Roman" w:eastAsia="Times New Roman" w:hAnsi="Times New Roman"/>
          <w:sz w:val="18"/>
          <w:szCs w:val="18"/>
          <w:color w:val="00A0DD"/>
        </w:rPr>
      </w:pPr>
      <w:r>
        <w:rPr>
          <w:rFonts w:ascii="Arial" w:cs="Arial" w:eastAsia="Arial" w:hAnsi="Arial"/>
          <w:sz w:val="18"/>
          <w:szCs w:val="18"/>
          <w:color w:val="auto"/>
        </w:rPr>
        <w:t>Comparisons for (i) Mr. Roberts were made to peer chief executive officers for the peer group, (ii) Mr. Cavanagh’s annual compensation were made by ordinal rank (i.e., the position in the Summary Compensation Table), and for his promotional award, to other supplemental equity grants made to incoming CEOs in the peer group, (iii) Mr. Armstrong were made to peer chief financial officers, (iv) Mr. Reid were made to peer chief legal officers, and (v) Ms. Khoury were made by ordinal rank and to top communications officers based on survey data.</w:t>
      </w:r>
    </w:p>
    <w:p>
      <w:pPr>
        <w:spacing w:after="0" w:line="29" w:lineRule="exact"/>
        <w:rPr>
          <w:rFonts w:ascii="Times New Roman" w:cs="Times New Roman" w:eastAsia="Times New Roman" w:hAnsi="Times New Roman"/>
          <w:sz w:val="18"/>
          <w:szCs w:val="18"/>
          <w:color w:val="00A0DD"/>
        </w:rPr>
      </w:pPr>
    </w:p>
    <w:p>
      <w:pPr>
        <w:ind w:left="520" w:right="379" w:hanging="196"/>
        <w:spacing w:after="0" w:line="252" w:lineRule="auto"/>
        <w:tabs>
          <w:tab w:leader="none" w:pos="520" w:val="left"/>
        </w:tabs>
        <w:numPr>
          <w:ilvl w:val="0"/>
          <w:numId w:val="70"/>
        </w:numPr>
        <w:rPr>
          <w:rFonts w:ascii="Times New Roman" w:cs="Times New Roman" w:eastAsia="Times New Roman" w:hAnsi="Times New Roman"/>
          <w:sz w:val="18"/>
          <w:szCs w:val="18"/>
          <w:color w:val="00A0DD"/>
        </w:rPr>
      </w:pPr>
      <w:r>
        <w:rPr>
          <w:rFonts w:ascii="Arial" w:cs="Arial" w:eastAsia="Arial" w:hAnsi="Arial"/>
          <w:sz w:val="18"/>
          <w:szCs w:val="18"/>
          <w:color w:val="auto"/>
        </w:rPr>
        <w:t>As a supplemental reference point to further inform the Compensation Committee, comparisons were made to general industry peer groups with revenues similar in size to our business as a whole and our business units.</w:t>
      </w:r>
    </w:p>
    <w:p>
      <w:pPr>
        <w:spacing w:after="0" w:line="22" w:lineRule="exact"/>
        <w:rPr>
          <w:rFonts w:ascii="Times New Roman" w:cs="Times New Roman" w:eastAsia="Times New Roman" w:hAnsi="Times New Roman"/>
          <w:sz w:val="18"/>
          <w:szCs w:val="18"/>
          <w:color w:val="00A0DD"/>
        </w:rPr>
      </w:pPr>
    </w:p>
    <w:p>
      <w:pPr>
        <w:ind w:left="520" w:right="499" w:hanging="196"/>
        <w:spacing w:after="0" w:line="243" w:lineRule="auto"/>
        <w:tabs>
          <w:tab w:leader="none" w:pos="520" w:val="left"/>
        </w:tabs>
        <w:numPr>
          <w:ilvl w:val="0"/>
          <w:numId w:val="70"/>
        </w:numPr>
        <w:rPr>
          <w:rFonts w:ascii="Times New Roman" w:cs="Times New Roman" w:eastAsia="Times New Roman" w:hAnsi="Times New Roman"/>
          <w:sz w:val="18"/>
          <w:szCs w:val="18"/>
          <w:color w:val="00A0DD"/>
        </w:rPr>
      </w:pPr>
      <w:r>
        <w:rPr>
          <w:rFonts w:ascii="Arial" w:cs="Arial" w:eastAsia="Arial" w:hAnsi="Arial"/>
          <w:sz w:val="18"/>
          <w:szCs w:val="18"/>
          <w:color w:val="auto"/>
        </w:rPr>
        <w:t>The Compensation Committee does not determine an NEO’s target compensation solely based on a specific reference point within our peer group; instead, it reviews our peer group analyses, as well as the other analyses discussed in “Compensation Committee’s Role, Process and Assessments,” both to validate our compensation program design and to inform its judgment in determining target compensation.</w:t>
      </w:r>
    </w:p>
    <w:p>
      <w:pPr>
        <w:spacing w:after="0" w:line="200" w:lineRule="exact"/>
        <w:rPr>
          <w:sz w:val="20"/>
          <w:szCs w:val="20"/>
          <w:color w:val="auto"/>
        </w:rPr>
      </w:pPr>
    </w:p>
    <w:p>
      <w:pPr>
        <w:spacing w:after="0" w:line="305" w:lineRule="exact"/>
        <w:rPr>
          <w:sz w:val="20"/>
          <w:szCs w:val="20"/>
          <w:color w:val="auto"/>
        </w:rPr>
      </w:pPr>
    </w:p>
    <w:p>
      <w:pPr>
        <w:ind w:left="1000" w:hanging="674"/>
        <w:spacing w:after="0"/>
        <w:tabs>
          <w:tab w:leader="none" w:pos="100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3" w:name="page44"/>
    <w:bookmarkEnd w:id="43"/>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Other Compensation Policies and Considerations</w:t>
      </w:r>
    </w:p>
    <w:p>
      <w:pPr>
        <w:spacing w:after="0" w:line="114"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Executive Stock Ownership Policy</w:t>
      </w:r>
    </w:p>
    <w:p>
      <w:pPr>
        <w:spacing w:after="0" w:line="106" w:lineRule="exact"/>
        <w:rPr>
          <w:sz w:val="20"/>
          <w:szCs w:val="20"/>
          <w:color w:val="auto"/>
        </w:rPr>
      </w:pPr>
    </w:p>
    <w:p>
      <w:pPr>
        <w:ind w:left="1180" w:right="1280"/>
        <w:spacing w:after="0" w:line="253" w:lineRule="auto"/>
        <w:rPr>
          <w:sz w:val="20"/>
          <w:szCs w:val="20"/>
          <w:color w:val="auto"/>
        </w:rPr>
      </w:pPr>
      <w:r>
        <w:rPr>
          <w:rFonts w:ascii="Arial" w:cs="Arial" w:eastAsia="Arial" w:hAnsi="Arial"/>
          <w:sz w:val="18"/>
          <w:szCs w:val="18"/>
          <w:color w:val="auto"/>
        </w:rPr>
        <w:t>We maintain a stock ownership policy for members of our senior management, including our NEOs, that is designed to increase our executives’ ownership stake in our company and align their interests with those of our shareholders. Requisite stock ownership levels for 2025 are set forth below.</w:t>
      </w:r>
    </w:p>
    <w:p>
      <w:pPr>
        <w:spacing w:after="0" w:line="79"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3160" w:type="dxa"/>
            <w:vAlign w:val="bottom"/>
          </w:tcPr>
          <w:p>
            <w:pPr>
              <w:jc w:val="right"/>
              <w:ind w:right="199"/>
              <w:spacing w:after="0"/>
              <w:rPr>
                <w:sz w:val="20"/>
                <w:szCs w:val="20"/>
                <w:color w:val="auto"/>
              </w:rPr>
            </w:pPr>
            <w:r>
              <w:rPr>
                <w:rFonts w:ascii="Arial" w:cs="Arial" w:eastAsia="Arial" w:hAnsi="Arial"/>
                <w:sz w:val="16"/>
                <w:szCs w:val="16"/>
                <w:b w:val="1"/>
                <w:bCs w:val="1"/>
                <w:color w:val="auto"/>
              </w:rPr>
              <w:t>MULTIPLE OF BASE</w:t>
            </w:r>
          </w:p>
        </w:tc>
        <w:tc>
          <w:tcPr>
            <w:tcW w:w="2180" w:type="dxa"/>
            <w:vAlign w:val="bottom"/>
          </w:tcPr>
          <w:p>
            <w:pPr>
              <w:spacing w:after="0"/>
              <w:rPr>
                <w:sz w:val="16"/>
                <w:szCs w:val="16"/>
                <w:color w:val="auto"/>
              </w:rPr>
            </w:pPr>
          </w:p>
        </w:tc>
      </w:tr>
      <w:tr>
        <w:trPr>
          <w:trHeight w:val="217"/>
        </w:trPr>
        <w:tc>
          <w:tcPr>
            <w:tcW w:w="30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SALARY REQUIRED</w:t>
            </w: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COMPLIANCE STATUS</w:t>
            </w:r>
          </w:p>
        </w:tc>
      </w:tr>
      <w:tr>
        <w:trPr>
          <w:trHeight w:val="210"/>
        </w:trPr>
        <w:tc>
          <w:tcPr>
            <w:tcW w:w="300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Brian L. Roberts</w:t>
            </w:r>
          </w:p>
        </w:tc>
        <w:tc>
          <w:tcPr>
            <w:tcW w:w="3160" w:type="dxa"/>
            <w:vAlign w:val="bottom"/>
            <w:tcBorders>
              <w:bottom w:val="single" w:sz="8" w:color="DCDDDE"/>
            </w:tcBorders>
          </w:tcPr>
          <w:p>
            <w:pPr>
              <w:jc w:val="right"/>
              <w:ind w:right="199"/>
              <w:spacing w:after="0"/>
              <w:rPr>
                <w:sz w:val="20"/>
                <w:szCs w:val="20"/>
                <w:color w:val="auto"/>
              </w:rPr>
            </w:pPr>
            <w:r>
              <w:rPr>
                <w:rFonts w:ascii="Arial" w:cs="Arial" w:eastAsia="Arial" w:hAnsi="Arial"/>
                <w:sz w:val="16"/>
                <w:szCs w:val="16"/>
                <w:color w:val="auto"/>
              </w:rPr>
              <w:t>10x</w:t>
            </w:r>
          </w:p>
        </w:tc>
        <w:tc>
          <w:tcPr>
            <w:tcW w:w="218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In compliance</w:t>
            </w:r>
          </w:p>
        </w:tc>
      </w:tr>
      <w:tr>
        <w:trPr>
          <w:trHeight w:val="196"/>
        </w:trPr>
        <w:tc>
          <w:tcPr>
            <w:tcW w:w="300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Michael J. Cavanagh</w:t>
            </w:r>
          </w:p>
        </w:tc>
        <w:tc>
          <w:tcPr>
            <w:tcW w:w="3160" w:type="dxa"/>
            <w:vAlign w:val="bottom"/>
            <w:tcBorders>
              <w:bottom w:val="single" w:sz="8" w:color="DCDDDE"/>
            </w:tcBorders>
          </w:tcPr>
          <w:p>
            <w:pPr>
              <w:jc w:val="right"/>
              <w:ind w:right="199"/>
              <w:spacing w:after="0"/>
              <w:rPr>
                <w:sz w:val="20"/>
                <w:szCs w:val="20"/>
                <w:color w:val="auto"/>
              </w:rPr>
            </w:pPr>
            <w:r>
              <w:rPr>
                <w:rFonts w:ascii="Arial" w:cs="Arial" w:eastAsia="Arial" w:hAnsi="Arial"/>
                <w:sz w:val="16"/>
                <w:szCs w:val="16"/>
                <w:color w:val="auto"/>
              </w:rPr>
              <w:t>5x</w:t>
            </w:r>
          </w:p>
        </w:tc>
        <w:tc>
          <w:tcPr>
            <w:tcW w:w="218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In compliance</w:t>
            </w:r>
          </w:p>
        </w:tc>
      </w:tr>
      <w:tr>
        <w:trPr>
          <w:trHeight w:val="196"/>
        </w:trPr>
        <w:tc>
          <w:tcPr>
            <w:tcW w:w="300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Jason S. Armstrong</w:t>
            </w:r>
          </w:p>
        </w:tc>
        <w:tc>
          <w:tcPr>
            <w:tcW w:w="3160" w:type="dxa"/>
            <w:vAlign w:val="bottom"/>
            <w:tcBorders>
              <w:bottom w:val="single" w:sz="8" w:color="DCDDDE"/>
            </w:tcBorders>
          </w:tcPr>
          <w:p>
            <w:pPr>
              <w:jc w:val="right"/>
              <w:ind w:right="199"/>
              <w:spacing w:after="0"/>
              <w:rPr>
                <w:sz w:val="20"/>
                <w:szCs w:val="20"/>
                <w:color w:val="auto"/>
              </w:rPr>
            </w:pPr>
            <w:r>
              <w:rPr>
                <w:rFonts w:ascii="Arial" w:cs="Arial" w:eastAsia="Arial" w:hAnsi="Arial"/>
                <w:sz w:val="16"/>
                <w:szCs w:val="16"/>
                <w:color w:val="auto"/>
              </w:rPr>
              <w:t>3x</w:t>
            </w:r>
          </w:p>
        </w:tc>
        <w:tc>
          <w:tcPr>
            <w:tcW w:w="218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In compliance</w:t>
            </w:r>
          </w:p>
        </w:tc>
      </w:tr>
      <w:tr>
        <w:trPr>
          <w:trHeight w:val="196"/>
        </w:trPr>
        <w:tc>
          <w:tcPr>
            <w:tcW w:w="300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Thomas J. Reid</w:t>
            </w:r>
          </w:p>
        </w:tc>
        <w:tc>
          <w:tcPr>
            <w:tcW w:w="3160" w:type="dxa"/>
            <w:vAlign w:val="bottom"/>
            <w:tcBorders>
              <w:bottom w:val="single" w:sz="8" w:color="DCDDDE"/>
            </w:tcBorders>
          </w:tcPr>
          <w:p>
            <w:pPr>
              <w:jc w:val="right"/>
              <w:ind w:right="199"/>
              <w:spacing w:after="0"/>
              <w:rPr>
                <w:sz w:val="20"/>
                <w:szCs w:val="20"/>
                <w:color w:val="auto"/>
              </w:rPr>
            </w:pPr>
            <w:r>
              <w:rPr>
                <w:rFonts w:ascii="Arial" w:cs="Arial" w:eastAsia="Arial" w:hAnsi="Arial"/>
                <w:sz w:val="16"/>
                <w:szCs w:val="16"/>
                <w:color w:val="auto"/>
              </w:rPr>
              <w:t>3x</w:t>
            </w:r>
          </w:p>
        </w:tc>
        <w:tc>
          <w:tcPr>
            <w:tcW w:w="218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In compliance</w:t>
            </w:r>
          </w:p>
        </w:tc>
      </w:tr>
      <w:tr>
        <w:trPr>
          <w:trHeight w:val="196"/>
        </w:trPr>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Jennifer Khoury</w:t>
            </w:r>
          </w:p>
        </w:tc>
        <w:tc>
          <w:tcPr>
            <w:tcW w:w="3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3x</w:t>
            </w: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In compliance</w:t>
            </w:r>
          </w:p>
        </w:tc>
      </w:tr>
    </w:tbl>
    <w:p>
      <w:pPr>
        <w:spacing w:after="0" w:line="103" w:lineRule="exact"/>
        <w:rPr>
          <w:sz w:val="20"/>
          <w:szCs w:val="20"/>
          <w:color w:val="auto"/>
        </w:rPr>
      </w:pPr>
    </w:p>
    <w:p>
      <w:pPr>
        <w:ind w:left="1180" w:right="1240"/>
        <w:spacing w:after="0"/>
        <w:rPr>
          <w:sz w:val="20"/>
          <w:szCs w:val="20"/>
          <w:color w:val="auto"/>
        </w:rPr>
      </w:pPr>
      <w:r>
        <w:rPr>
          <w:rFonts w:ascii="Arial" w:cs="Arial" w:eastAsia="Arial" w:hAnsi="Arial"/>
          <w:sz w:val="18"/>
          <w:szCs w:val="18"/>
          <w:color w:val="auto"/>
        </w:rPr>
        <w:t>There is a phase-in period of six years after the year in which an executive first becomes subject to the policy (or to a higher base salary multiple) to allow the executive to meet the full stock ownership requirement. If an executive is subject to a phase-in period, we consider them to be in compliance with the policy if they meet the reduced stock ownership requirements under such phase-in. In determining compliance, the Compensation Committee may consider any noncompliance that occurs solely or primarily from a decline in the market price of our stock. If an executive is not in compliance, he or she is prohibited from selling our stock (unless a hardship exemption is granted).</w:t>
      </w:r>
    </w:p>
    <w:p>
      <w:pPr>
        <w:spacing w:after="0" w:line="69"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Insider Trading Policies and Prohibitions on Hedging and Pledging</w:t>
      </w:r>
    </w:p>
    <w:p>
      <w:pPr>
        <w:spacing w:after="0" w:line="106" w:lineRule="exact"/>
        <w:rPr>
          <w:sz w:val="20"/>
          <w:szCs w:val="20"/>
          <w:color w:val="auto"/>
        </w:rPr>
      </w:pPr>
    </w:p>
    <w:p>
      <w:pPr>
        <w:ind w:left="1180" w:right="1360"/>
        <w:spacing w:after="0" w:line="247" w:lineRule="auto"/>
        <w:rPr>
          <w:sz w:val="20"/>
          <w:szCs w:val="20"/>
          <w:color w:val="auto"/>
        </w:rPr>
      </w:pPr>
      <w:r>
        <w:rPr>
          <w:rFonts w:ascii="Arial" w:cs="Arial" w:eastAsia="Arial" w:hAnsi="Arial"/>
          <w:sz w:val="18"/>
          <w:szCs w:val="18"/>
          <w:color w:val="auto"/>
        </w:rPr>
        <w:t>We have adopted insider trading policies governing the purchase, sale and other dispositions of our securities by directors, officers and employees, as well as by Comcast itself, that we believe are reasonably designed to promote compliance with insider trading laws, rules and regulations, and listing standards applicable to us.</w:t>
      </w:r>
    </w:p>
    <w:p>
      <w:pPr>
        <w:spacing w:after="0" w:line="66" w:lineRule="exact"/>
        <w:rPr>
          <w:sz w:val="20"/>
          <w:szCs w:val="20"/>
          <w:color w:val="auto"/>
        </w:rPr>
      </w:pPr>
    </w:p>
    <w:p>
      <w:pPr>
        <w:ind w:left="1180" w:right="1200"/>
        <w:spacing w:after="0" w:line="244" w:lineRule="auto"/>
        <w:rPr>
          <w:sz w:val="20"/>
          <w:szCs w:val="20"/>
          <w:color w:val="auto"/>
        </w:rPr>
      </w:pPr>
      <w:r>
        <w:rPr>
          <w:rFonts w:ascii="Arial" w:cs="Arial" w:eastAsia="Arial" w:hAnsi="Arial"/>
          <w:sz w:val="18"/>
          <w:szCs w:val="18"/>
          <w:color w:val="auto"/>
        </w:rPr>
        <w:t>Our policies prohibit our executive officers, certain other high-level employees and directors from buying or selling any of our securities during specified blackout periods, and, when outside of those blackout periods, they may only buy or sell our securities with prior approval in accordance with internal procedures. This helps ensure that our executive officers and directors will not trade in our securities at a time when they are aware of material, nonpublic information.</w:t>
      </w:r>
    </w:p>
    <w:p>
      <w:pPr>
        <w:spacing w:after="0" w:line="68" w:lineRule="exact"/>
        <w:rPr>
          <w:sz w:val="20"/>
          <w:szCs w:val="20"/>
          <w:color w:val="auto"/>
        </w:rPr>
      </w:pPr>
    </w:p>
    <w:p>
      <w:pPr>
        <w:ind w:left="1180" w:right="1320"/>
        <w:spacing w:after="0" w:line="247" w:lineRule="auto"/>
        <w:rPr>
          <w:sz w:val="20"/>
          <w:szCs w:val="20"/>
          <w:color w:val="auto"/>
        </w:rPr>
      </w:pPr>
      <w:r>
        <w:rPr>
          <w:rFonts w:ascii="Arial" w:cs="Arial" w:eastAsia="Arial" w:hAnsi="Arial"/>
          <w:sz w:val="18"/>
          <w:szCs w:val="18"/>
          <w:color w:val="auto"/>
        </w:rPr>
        <w:t>Our policies also prohibit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No Automatic Payments in Connection with a Change in Control</w:t>
      </w:r>
    </w:p>
    <w:p>
      <w:pPr>
        <w:spacing w:after="0" w:line="106" w:lineRule="exact"/>
        <w:rPr>
          <w:sz w:val="20"/>
          <w:szCs w:val="20"/>
          <w:color w:val="auto"/>
        </w:rPr>
      </w:pPr>
    </w:p>
    <w:p>
      <w:pPr>
        <w:ind w:left="1180" w:right="1200"/>
        <w:spacing w:after="0"/>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41</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44" w:name="page45"/>
    <w:bookmarkEnd w:id="44"/>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439"/>
        <w:spacing w:after="0" w:line="244"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Mr. Roberts in the event of a change in control.</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Payments in Connection with a Termination of Employment</w:t>
      </w:r>
    </w:p>
    <w:p>
      <w:pPr>
        <w:spacing w:after="0" w:line="106" w:lineRule="exact"/>
        <w:rPr>
          <w:sz w:val="20"/>
          <w:szCs w:val="20"/>
          <w:color w:val="auto"/>
        </w:rPr>
      </w:pPr>
    </w:p>
    <w:p>
      <w:pPr>
        <w:ind w:left="320" w:right="479"/>
        <w:spacing w:after="0" w:line="261" w:lineRule="auto"/>
        <w:rPr>
          <w:sz w:val="20"/>
          <w:szCs w:val="20"/>
          <w:color w:val="auto"/>
        </w:rPr>
      </w:pPr>
      <w:r>
        <w:rPr>
          <w:rFonts w:ascii="Arial" w:cs="Arial" w:eastAsia="Arial" w:hAnsi="Arial"/>
          <w:sz w:val="17"/>
          <w:szCs w:val="17"/>
          <w:color w:val="auto"/>
        </w:rPr>
        <w:t>Payments to our NEOs upon a termination of employment are described under the “Potential Payments upon Termination or Change in Control” table below. These compensation arrangements are contained in each NEO’s employment or other agreements and are not a factor in the Compensation Committee’s determination of annual compensation elements. These arrangements were arrived at as a result of arm’s-length negotiations in connection with entering into each such agreement.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Recoupment (or “Clawback”) Policy</w:t>
      </w:r>
    </w:p>
    <w:p>
      <w:pPr>
        <w:spacing w:after="0" w:line="106" w:lineRule="exact"/>
        <w:rPr>
          <w:sz w:val="20"/>
          <w:szCs w:val="20"/>
          <w:color w:val="auto"/>
        </w:rPr>
      </w:pPr>
    </w:p>
    <w:p>
      <w:pPr>
        <w:ind w:left="320" w:right="459"/>
        <w:spacing w:after="0" w:line="247" w:lineRule="auto"/>
        <w:rPr>
          <w:sz w:val="20"/>
          <w:szCs w:val="20"/>
          <w:color w:val="auto"/>
        </w:rPr>
      </w:pPr>
      <w:r>
        <w:rPr>
          <w:rFonts w:ascii="Arial" w:cs="Arial" w:eastAsia="Arial" w:hAnsi="Arial"/>
          <w:sz w:val="18"/>
          <w:szCs w:val="18"/>
          <w:color w:val="auto"/>
        </w:rPr>
        <w:t>We have an incentive compensation recoupment (or “clawback”) policy that was adopted in accordance with applicable SEC and Nasdaq rules. Under this policy, the Compensation Committee will seek to recover incentive compensation paid to our executive officers in the event of an accounting restatement as defined, and to the extent required, under such rules.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Award Timing</w:t>
      </w:r>
    </w:p>
    <w:p>
      <w:pPr>
        <w:spacing w:after="0" w:line="106" w:lineRule="exact"/>
        <w:rPr>
          <w:sz w:val="20"/>
          <w:szCs w:val="20"/>
          <w:color w:val="auto"/>
        </w:rPr>
      </w:pPr>
    </w:p>
    <w:p>
      <w:pPr>
        <w:ind w:left="320" w:right="399"/>
        <w:spacing w:after="0" w:line="242" w:lineRule="auto"/>
        <w:rPr>
          <w:sz w:val="20"/>
          <w:szCs w:val="20"/>
          <w:color w:val="auto"/>
        </w:rPr>
      </w:pPr>
      <w:r>
        <w:rPr>
          <w:rFonts w:ascii="Arial" w:cs="Arial" w:eastAsia="Arial" w:hAnsi="Arial"/>
          <w:sz w:val="18"/>
          <w:szCs w:val="18"/>
          <w:color w:val="auto"/>
        </w:rPr>
        <w:t>We grant annual equity incentive awards each year on a specified date determined in advance of the grant. In 2025, annual awards were granted on the first business day in March, while in 2026, annual awards were granted on the first business day in February. The value of these annual awards is approved by the Compensation Committee at a meeting prior to the grant date. Our off-cycle awards (for new hires, promotions, etc.) generally are granted in accordance with pre-established grant date schedules. During 2025, we did not grant any stock options to our NEOs.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Tax and Accounting Considerations</w:t>
      </w:r>
    </w:p>
    <w:p>
      <w:pPr>
        <w:spacing w:after="0" w:line="106" w:lineRule="exact"/>
        <w:rPr>
          <w:sz w:val="20"/>
          <w:szCs w:val="20"/>
          <w:color w:val="auto"/>
        </w:rPr>
      </w:pPr>
    </w:p>
    <w:p>
      <w:pPr>
        <w:ind w:left="320" w:right="379"/>
        <w:spacing w:after="0"/>
        <w:rPr>
          <w:sz w:val="20"/>
          <w:szCs w:val="20"/>
          <w:color w:val="auto"/>
        </w:rPr>
      </w:pPr>
      <w:r>
        <w:rPr>
          <w:rFonts w:ascii="Arial" w:cs="Arial" w:eastAsia="Arial" w:hAnsi="Arial"/>
          <w:sz w:val="18"/>
          <w:szCs w:val="18"/>
          <w:color w:val="auto"/>
        </w:rPr>
        <w:t>The Compensation Committee considers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individuals, including our NEOs, to $1 million. In the exercise of its business judgment and in accordance with its compensation philosophy, the Compensation Committee has previously awarded, and continues to have the flexibility to award, compensation that is not tax deductible if it determines that such award is in our shareholders’ best interests.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Other Considerations</w:t>
      </w:r>
    </w:p>
    <w:p>
      <w:pPr>
        <w:spacing w:after="0" w:line="106" w:lineRule="exact"/>
        <w:rPr>
          <w:sz w:val="20"/>
          <w:szCs w:val="20"/>
          <w:color w:val="auto"/>
        </w:rPr>
      </w:pPr>
    </w:p>
    <w:p>
      <w:pPr>
        <w:ind w:left="320" w:right="519"/>
        <w:spacing w:after="0" w:line="247" w:lineRule="auto"/>
        <w:rPr>
          <w:sz w:val="20"/>
          <w:szCs w:val="20"/>
          <w:color w:val="auto"/>
        </w:rPr>
      </w:pPr>
      <w:r>
        <w:rPr>
          <w:rFonts w:ascii="Arial" w:cs="Arial" w:eastAsia="Arial" w:hAnsi="Arial"/>
          <w:sz w:val="18"/>
          <w:szCs w:val="18"/>
          <w:color w:val="auto"/>
        </w:rPr>
        <w:t>The Compensation Committee is aware that Mr. Roberts is our shareholder with the greatest beneficial voting power. The Compensation Committee maintains an objective stance toward Mr. Roberts’ compensation. The Compensation Committee uses the same methods, tools and processes to determine Mr. Roberts’ compensation as it does for our other NEOs.</w:t>
      </w:r>
    </w:p>
    <w:p>
      <w:pPr>
        <w:spacing w:after="0" w:line="200" w:lineRule="exact"/>
        <w:rPr>
          <w:sz w:val="20"/>
          <w:szCs w:val="20"/>
          <w:color w:val="auto"/>
        </w:rPr>
      </w:pPr>
    </w:p>
    <w:p>
      <w:pPr>
        <w:spacing w:after="0" w:line="299" w:lineRule="exact"/>
        <w:rPr>
          <w:sz w:val="20"/>
          <w:szCs w:val="20"/>
          <w:color w:val="auto"/>
        </w:rPr>
      </w:pPr>
    </w:p>
    <w:p>
      <w:pPr>
        <w:ind w:left="1000" w:hanging="674"/>
        <w:spacing w:after="0"/>
        <w:tabs>
          <w:tab w:leader="none" w:pos="100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5" w:name="page46"/>
    <w:bookmarkEnd w:id="45"/>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Compensation and Human Capital Committee Report</w:t>
      </w:r>
    </w:p>
    <w:p>
      <w:pPr>
        <w:spacing w:after="0" w:line="127" w:lineRule="exact"/>
        <w:rPr>
          <w:sz w:val="20"/>
          <w:szCs w:val="20"/>
          <w:color w:val="auto"/>
        </w:rPr>
      </w:pPr>
    </w:p>
    <w:p>
      <w:pPr>
        <w:ind w:left="1180" w:right="1600"/>
        <w:spacing w:after="0" w:line="247"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20"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00A0DD"/>
        </w:rPr>
        <w:t>Members of the Compensation and Human Capital Committee</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Edward D. Breen (Chair)</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Thomas J. Baltimore, Jr.</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Louise F. Brady</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Executive Compensation Tables</w:t>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Summary Compensation Table</w:t>
      </w:r>
    </w:p>
    <w:p>
      <w:pPr>
        <w:spacing w:after="0" w:line="121" w:lineRule="exact"/>
        <w:rPr>
          <w:sz w:val="20"/>
          <w:szCs w:val="20"/>
          <w:color w:val="auto"/>
        </w:rPr>
      </w:pPr>
    </w:p>
    <w:p>
      <w:pPr>
        <w:ind w:left="1180" w:right="1320"/>
        <w:spacing w:after="0" w:line="247" w:lineRule="auto"/>
        <w:rPr>
          <w:sz w:val="20"/>
          <w:szCs w:val="20"/>
          <w:color w:val="auto"/>
        </w:rPr>
      </w:pPr>
      <w:r>
        <w:rPr>
          <w:rFonts w:ascii="Arial" w:cs="Arial" w:eastAsia="Arial" w:hAnsi="Arial"/>
          <w:sz w:val="18"/>
          <w:szCs w:val="18"/>
          <w:color w:val="auto"/>
        </w:rPr>
        <w:t>Our NEOs for 2025 are: Mr. Brian L. Roberts, Chairman of the Board and Chief Executive Officer, Mr. Jason S. Armstrong, our Chief Financial Officer, and our next three most highly compensated executive officers as of December 31, 2025 (Mr. Michael J. Cavanagh, Mr. Thomas J. Reid and Ms. Jennifer Khoury).</w:t>
      </w:r>
    </w:p>
    <w:p>
      <w:pPr>
        <w:spacing w:after="0" w:line="40"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1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b w:val="1"/>
                <w:bCs w:val="1"/>
                <w:color w:val="auto"/>
              </w:rPr>
              <w:t>NON-EQUITY</w:t>
            </w:r>
          </w:p>
        </w:tc>
        <w:tc>
          <w:tcPr>
            <w:tcW w:w="1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17"/>
        </w:trPr>
        <w:tc>
          <w:tcPr>
            <w:tcW w:w="1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jc w:val="right"/>
              <w:ind w:right="86"/>
              <w:spacing w:after="0" w:line="117" w:lineRule="exact"/>
              <w:rPr>
                <w:sz w:val="20"/>
                <w:szCs w:val="20"/>
                <w:color w:val="auto"/>
              </w:rPr>
            </w:pPr>
            <w:r>
              <w:rPr>
                <w:rFonts w:ascii="Arial" w:cs="Arial" w:eastAsia="Arial" w:hAnsi="Arial"/>
                <w:sz w:val="11"/>
                <w:szCs w:val="11"/>
                <w:b w:val="1"/>
                <w:bCs w:val="1"/>
                <w:color w:val="auto"/>
              </w:rPr>
              <w:t>STOCK</w:t>
            </w:r>
          </w:p>
        </w:tc>
        <w:tc>
          <w:tcPr>
            <w:tcW w:w="900" w:type="dxa"/>
            <w:vAlign w:val="bottom"/>
          </w:tcPr>
          <w:p>
            <w:pPr>
              <w:jc w:val="right"/>
              <w:ind w:right="146"/>
              <w:spacing w:after="0" w:line="117" w:lineRule="exact"/>
              <w:rPr>
                <w:sz w:val="20"/>
                <w:szCs w:val="20"/>
                <w:color w:val="auto"/>
              </w:rPr>
            </w:pPr>
            <w:r>
              <w:rPr>
                <w:rFonts w:ascii="Arial" w:cs="Arial" w:eastAsia="Arial" w:hAnsi="Arial"/>
                <w:sz w:val="11"/>
                <w:szCs w:val="11"/>
                <w:b w:val="1"/>
                <w:bCs w:val="1"/>
                <w:color w:val="auto"/>
              </w:rPr>
              <w:t>OPTION</w:t>
            </w:r>
          </w:p>
        </w:tc>
        <w:tc>
          <w:tcPr>
            <w:tcW w:w="1320" w:type="dxa"/>
            <w:vAlign w:val="bottom"/>
          </w:tcPr>
          <w:p>
            <w:pPr>
              <w:jc w:val="right"/>
              <w:ind w:right="126"/>
              <w:spacing w:after="0" w:line="117" w:lineRule="exact"/>
              <w:rPr>
                <w:sz w:val="20"/>
                <w:szCs w:val="20"/>
                <w:color w:val="auto"/>
              </w:rPr>
            </w:pPr>
            <w:r>
              <w:rPr>
                <w:rFonts w:ascii="Arial" w:cs="Arial" w:eastAsia="Arial" w:hAnsi="Arial"/>
                <w:sz w:val="11"/>
                <w:szCs w:val="11"/>
                <w:b w:val="1"/>
                <w:bCs w:val="1"/>
                <w:color w:val="auto"/>
              </w:rPr>
              <w:t>INCENTIVE PLAN</w:t>
            </w:r>
          </w:p>
        </w:tc>
        <w:tc>
          <w:tcPr>
            <w:tcW w:w="1320" w:type="dxa"/>
            <w:vAlign w:val="bottom"/>
          </w:tcPr>
          <w:p>
            <w:pPr>
              <w:jc w:val="right"/>
              <w:ind w:right="126"/>
              <w:spacing w:after="0" w:line="117" w:lineRule="exact"/>
              <w:rPr>
                <w:sz w:val="20"/>
                <w:szCs w:val="20"/>
                <w:color w:val="auto"/>
              </w:rPr>
            </w:pPr>
            <w:r>
              <w:rPr>
                <w:rFonts w:ascii="Arial" w:cs="Arial" w:eastAsia="Arial" w:hAnsi="Arial"/>
                <w:sz w:val="11"/>
                <w:szCs w:val="11"/>
                <w:b w:val="1"/>
                <w:bCs w:val="1"/>
                <w:color w:val="auto"/>
              </w:rPr>
              <w:t>ALL OTHER</w:t>
            </w:r>
          </w:p>
        </w:tc>
        <w:tc>
          <w:tcPr>
            <w:tcW w:w="820" w:type="dxa"/>
            <w:vAlign w:val="bottom"/>
          </w:tcPr>
          <w:p>
            <w:pPr>
              <w:spacing w:after="0"/>
              <w:rPr>
                <w:sz w:val="10"/>
                <w:szCs w:val="10"/>
                <w:color w:val="auto"/>
              </w:rPr>
            </w:pPr>
          </w:p>
        </w:tc>
      </w:tr>
      <w:tr>
        <w:trPr>
          <w:trHeight w:val="126"/>
        </w:trPr>
        <w:tc>
          <w:tcPr>
            <w:tcW w:w="1780" w:type="dxa"/>
            <w:vAlign w:val="bottom"/>
          </w:tcPr>
          <w:p>
            <w:pPr>
              <w:ind w:left="60"/>
              <w:spacing w:after="0"/>
              <w:rPr>
                <w:sz w:val="20"/>
                <w:szCs w:val="20"/>
                <w:color w:val="auto"/>
              </w:rPr>
            </w:pPr>
            <w:r>
              <w:rPr>
                <w:rFonts w:ascii="Arial" w:cs="Arial" w:eastAsia="Arial" w:hAnsi="Arial"/>
                <w:sz w:val="11"/>
                <w:szCs w:val="11"/>
                <w:b w:val="1"/>
                <w:bCs w:val="1"/>
                <w:color w:val="auto"/>
              </w:rPr>
              <w:t>NAME AND</w:t>
            </w:r>
          </w:p>
        </w:tc>
        <w:tc>
          <w:tcPr>
            <w:tcW w:w="540" w:type="dxa"/>
            <w:vAlign w:val="bottom"/>
          </w:tcPr>
          <w:p>
            <w:pPr>
              <w:spacing w:after="0"/>
              <w:rPr>
                <w:sz w:val="10"/>
                <w:szCs w:val="10"/>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b w:val="1"/>
                <w:bCs w:val="1"/>
                <w:color w:val="auto"/>
              </w:rPr>
              <w:t>SALARY</w:t>
            </w:r>
          </w:p>
        </w:tc>
        <w:tc>
          <w:tcPr>
            <w:tcW w:w="880" w:type="dxa"/>
            <w:vAlign w:val="bottom"/>
          </w:tcPr>
          <w:p>
            <w:pPr>
              <w:jc w:val="right"/>
              <w:ind w:right="86"/>
              <w:spacing w:after="0" w:line="126"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4"/>
                <w:szCs w:val="14"/>
                <w:b w:val="1"/>
                <w:bCs w:val="1"/>
                <w:color w:val="auto"/>
                <w:vertAlign w:val="superscript"/>
              </w:rPr>
              <w:t>(2)</w:t>
            </w:r>
          </w:p>
        </w:tc>
        <w:tc>
          <w:tcPr>
            <w:tcW w:w="900" w:type="dxa"/>
            <w:vAlign w:val="bottom"/>
          </w:tcPr>
          <w:p>
            <w:pPr>
              <w:jc w:val="right"/>
              <w:ind w:right="106"/>
              <w:spacing w:after="0" w:line="126"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4"/>
                <w:szCs w:val="14"/>
                <w:b w:val="1"/>
                <w:bCs w:val="1"/>
                <w:color w:val="auto"/>
                <w:vertAlign w:val="superscript"/>
              </w:rPr>
              <w:t>(3)</w:t>
            </w:r>
          </w:p>
        </w:tc>
        <w:tc>
          <w:tcPr>
            <w:tcW w:w="1320" w:type="dxa"/>
            <w:vAlign w:val="bottom"/>
          </w:tcPr>
          <w:p>
            <w:pPr>
              <w:jc w:val="right"/>
              <w:ind w:right="126"/>
              <w:spacing w:after="0" w:line="126"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(4)</w:t>
            </w:r>
          </w:p>
        </w:tc>
        <w:tc>
          <w:tcPr>
            <w:tcW w:w="1320" w:type="dxa"/>
            <w:vAlign w:val="bottom"/>
          </w:tcPr>
          <w:p>
            <w:pPr>
              <w:jc w:val="right"/>
              <w:ind w:right="126"/>
              <w:spacing w:after="0" w:line="126"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(5)</w:t>
            </w:r>
          </w:p>
        </w:tc>
        <w:tc>
          <w:tcPr>
            <w:tcW w:w="820" w:type="dxa"/>
            <w:vAlign w:val="bottom"/>
          </w:tcPr>
          <w:p>
            <w:pPr>
              <w:jc w:val="right"/>
              <w:ind w:right="46"/>
              <w:spacing w:after="0"/>
              <w:rPr>
                <w:sz w:val="20"/>
                <w:szCs w:val="20"/>
                <w:color w:val="auto"/>
              </w:rPr>
            </w:pPr>
            <w:r>
              <w:rPr>
                <w:rFonts w:ascii="Arial" w:cs="Arial" w:eastAsia="Arial" w:hAnsi="Arial"/>
                <w:sz w:val="11"/>
                <w:szCs w:val="11"/>
                <w:b w:val="1"/>
                <w:bCs w:val="1"/>
                <w:color w:val="auto"/>
              </w:rPr>
              <w:t>TOTAL</w:t>
            </w:r>
          </w:p>
        </w:tc>
      </w:tr>
      <w:tr>
        <w:trPr>
          <w:trHeight w:val="148"/>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PRINCIPAL POSITION</w:t>
            </w:r>
          </w:p>
        </w:tc>
        <w:tc>
          <w:tcPr>
            <w:tcW w:w="5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YEAR</w:t>
            </w: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9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r>
      <w:tr>
        <w:trPr>
          <w:trHeight w:val="155"/>
        </w:trPr>
        <w:tc>
          <w:tcPr>
            <w:tcW w:w="1780" w:type="dxa"/>
            <w:vAlign w:val="bottom"/>
          </w:tcPr>
          <w:p>
            <w:pPr>
              <w:ind w:left="60"/>
              <w:spacing w:after="0"/>
              <w:rPr>
                <w:sz w:val="20"/>
                <w:szCs w:val="20"/>
                <w:color w:val="auto"/>
              </w:rPr>
            </w:pPr>
            <w:r>
              <w:rPr>
                <w:rFonts w:ascii="Arial" w:cs="Arial" w:eastAsia="Arial" w:hAnsi="Arial"/>
                <w:sz w:val="11"/>
                <w:szCs w:val="11"/>
                <w:b w:val="1"/>
                <w:bCs w:val="1"/>
                <w:color w:val="auto"/>
              </w:rPr>
              <w:t>Brian L. Roberts</w:t>
            </w:r>
          </w:p>
        </w:tc>
        <w:tc>
          <w:tcPr>
            <w:tcW w:w="540" w:type="dxa"/>
            <w:vAlign w:val="bottom"/>
            <w:tcBorders>
              <w:bottom w:val="single" w:sz="8" w:color="E7E6E6"/>
            </w:tcBorders>
          </w:tcPr>
          <w:p>
            <w:pPr>
              <w:jc w:val="center"/>
              <w:ind w:right="86"/>
              <w:spacing w:after="0"/>
              <w:rPr>
                <w:sz w:val="20"/>
                <w:szCs w:val="20"/>
                <w:color w:val="auto"/>
              </w:rPr>
            </w:pPr>
            <w:r>
              <w:rPr>
                <w:rFonts w:ascii="Arial" w:cs="Arial" w:eastAsia="Arial" w:hAnsi="Arial"/>
                <w:sz w:val="11"/>
                <w:szCs w:val="11"/>
                <w:color w:val="auto"/>
                <w:w w:val="97"/>
              </w:rPr>
              <w:t>2025</w:t>
            </w:r>
          </w:p>
        </w:tc>
        <w:tc>
          <w:tcPr>
            <w:tcW w:w="780" w:type="dxa"/>
            <w:vAlign w:val="bottom"/>
            <w:tcBorders>
              <w:bottom w:val="single" w:sz="8" w:color="E7E6E6"/>
            </w:tcBorders>
          </w:tcPr>
          <w:p>
            <w:pPr>
              <w:jc w:val="right"/>
              <w:ind w:right="126"/>
              <w:spacing w:after="0"/>
              <w:rPr>
                <w:sz w:val="20"/>
                <w:szCs w:val="20"/>
                <w:color w:val="auto"/>
              </w:rPr>
            </w:pPr>
            <w:r>
              <w:rPr>
                <w:rFonts w:ascii="Arial" w:cs="Arial" w:eastAsia="Arial" w:hAnsi="Arial"/>
                <w:sz w:val="11"/>
                <w:szCs w:val="11"/>
                <w:color w:val="auto"/>
              </w:rPr>
              <w:t>2,600,962</w:t>
            </w:r>
          </w:p>
        </w:tc>
        <w:tc>
          <w:tcPr>
            <w:tcW w:w="880" w:type="dxa"/>
            <w:vAlign w:val="bottom"/>
            <w:tcBorders>
              <w:bottom w:val="single" w:sz="8" w:color="E7E6E6"/>
            </w:tcBorders>
          </w:tcPr>
          <w:p>
            <w:pPr>
              <w:jc w:val="right"/>
              <w:ind w:right="86"/>
              <w:spacing w:after="0"/>
              <w:rPr>
                <w:sz w:val="20"/>
                <w:szCs w:val="20"/>
                <w:color w:val="auto"/>
              </w:rPr>
            </w:pPr>
            <w:r>
              <w:rPr>
                <w:rFonts w:ascii="Arial" w:cs="Arial" w:eastAsia="Arial" w:hAnsi="Arial"/>
                <w:sz w:val="11"/>
                <w:szCs w:val="11"/>
                <w:color w:val="auto"/>
              </w:rPr>
              <w:t>23,473,076</w:t>
            </w:r>
          </w:p>
        </w:tc>
        <w:tc>
          <w:tcPr>
            <w:tcW w:w="900" w:type="dxa"/>
            <w:vAlign w:val="bottom"/>
            <w:tcBorders>
              <w:bottom w:val="single" w:sz="8" w:color="E7E6E6"/>
            </w:tcBorders>
          </w:tcPr>
          <w:p>
            <w:pPr>
              <w:jc w:val="right"/>
              <w:ind w:right="10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E7E6E6"/>
            </w:tcBorders>
          </w:tcPr>
          <w:p>
            <w:pPr>
              <w:jc w:val="right"/>
              <w:ind w:right="126"/>
              <w:spacing w:after="0"/>
              <w:rPr>
                <w:sz w:val="20"/>
                <w:szCs w:val="20"/>
                <w:color w:val="auto"/>
              </w:rPr>
            </w:pPr>
            <w:r>
              <w:rPr>
                <w:rFonts w:ascii="Arial" w:cs="Arial" w:eastAsia="Arial" w:hAnsi="Arial"/>
                <w:sz w:val="11"/>
                <w:szCs w:val="11"/>
                <w:color w:val="auto"/>
              </w:rPr>
              <w:t>8,583,175</w:t>
            </w:r>
          </w:p>
        </w:tc>
        <w:tc>
          <w:tcPr>
            <w:tcW w:w="1320" w:type="dxa"/>
            <w:vAlign w:val="bottom"/>
            <w:tcBorders>
              <w:bottom w:val="single" w:sz="8" w:color="E7E6E6"/>
            </w:tcBorders>
          </w:tcPr>
          <w:p>
            <w:pPr>
              <w:jc w:val="right"/>
              <w:ind w:right="126"/>
              <w:spacing w:after="0"/>
              <w:rPr>
                <w:sz w:val="20"/>
                <w:szCs w:val="20"/>
                <w:color w:val="auto"/>
              </w:rPr>
            </w:pPr>
            <w:r>
              <w:rPr>
                <w:rFonts w:ascii="Arial" w:cs="Arial" w:eastAsia="Arial" w:hAnsi="Arial"/>
                <w:sz w:val="11"/>
                <w:szCs w:val="11"/>
                <w:color w:val="auto"/>
              </w:rPr>
              <w:t>491,200</w:t>
            </w:r>
          </w:p>
        </w:tc>
        <w:tc>
          <w:tcPr>
            <w:tcW w:w="820" w:type="dxa"/>
            <w:vAlign w:val="bottom"/>
            <w:tcBorders>
              <w:bottom w:val="single" w:sz="8" w:color="E7E6E6"/>
            </w:tcBorders>
          </w:tcPr>
          <w:p>
            <w:pPr>
              <w:jc w:val="right"/>
              <w:ind w:right="46"/>
              <w:spacing w:after="0"/>
              <w:rPr>
                <w:sz w:val="20"/>
                <w:szCs w:val="20"/>
                <w:color w:val="auto"/>
              </w:rPr>
            </w:pPr>
            <w:r>
              <w:rPr>
                <w:rFonts w:ascii="Arial" w:cs="Arial" w:eastAsia="Arial" w:hAnsi="Arial"/>
                <w:sz w:val="11"/>
                <w:szCs w:val="11"/>
                <w:color w:val="auto"/>
              </w:rPr>
              <w:t>35,148,413</w:t>
            </w:r>
          </w:p>
        </w:tc>
      </w:tr>
      <w:tr>
        <w:trPr>
          <w:trHeight w:val="136"/>
        </w:trPr>
        <w:tc>
          <w:tcPr>
            <w:tcW w:w="1780" w:type="dxa"/>
            <w:vAlign w:val="bottom"/>
          </w:tcPr>
          <w:p>
            <w:pPr>
              <w:ind w:left="60"/>
              <w:spacing w:after="0"/>
              <w:rPr>
                <w:sz w:val="20"/>
                <w:szCs w:val="20"/>
                <w:color w:val="auto"/>
              </w:rPr>
            </w:pPr>
            <w:r>
              <w:rPr>
                <w:rFonts w:ascii="Arial" w:cs="Arial" w:eastAsia="Arial" w:hAnsi="Arial"/>
                <w:sz w:val="11"/>
                <w:szCs w:val="11"/>
                <w:color w:val="auto"/>
              </w:rPr>
              <w:t>Chairman of the Board &amp;</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2024</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2,500,001</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17,911,098</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5,750,038</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7,500,002</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200,483</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33,861,622</w:t>
            </w:r>
          </w:p>
        </w:tc>
      </w:tr>
      <w:tr>
        <w:trPr>
          <w:trHeight w:val="142"/>
        </w:trPr>
        <w:tc>
          <w:tcPr>
            <w:tcW w:w="1780" w:type="dxa"/>
            <w:vAlign w:val="bottom"/>
          </w:tcPr>
          <w:p>
            <w:pPr>
              <w:ind w:left="60"/>
              <w:spacing w:after="0"/>
              <w:rPr>
                <w:sz w:val="20"/>
                <w:szCs w:val="20"/>
                <w:color w:val="auto"/>
              </w:rPr>
            </w:pPr>
            <w:r>
              <w:rPr>
                <w:rFonts w:ascii="Arial" w:cs="Arial" w:eastAsia="Arial" w:hAnsi="Arial"/>
                <w:sz w:val="11"/>
                <w:szCs w:val="11"/>
                <w:color w:val="auto"/>
              </w:rPr>
              <w:t>Chief Executive Officer</w:t>
            </w:r>
          </w:p>
        </w:tc>
        <w:tc>
          <w:tcPr>
            <w:tcW w:w="540" w:type="dxa"/>
            <w:vAlign w:val="bottom"/>
          </w:tcPr>
          <w:p>
            <w:pPr>
              <w:jc w:val="center"/>
              <w:ind w:right="86"/>
              <w:spacing w:after="0"/>
              <w:rPr>
                <w:sz w:val="20"/>
                <w:szCs w:val="20"/>
                <w:color w:val="auto"/>
              </w:rPr>
            </w:pPr>
            <w:r>
              <w:rPr>
                <w:rFonts w:ascii="Arial" w:cs="Arial" w:eastAsia="Arial" w:hAnsi="Arial"/>
                <w:sz w:val="11"/>
                <w:szCs w:val="11"/>
                <w:color w:val="auto"/>
                <w:w w:val="97"/>
              </w:rPr>
              <w:t>2023</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2,500,000</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15,024,591</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9,200,027</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8,550,000</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199,049</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35,473,666</w:t>
            </w:r>
          </w:p>
        </w:tc>
      </w:tr>
      <w:tr>
        <w:trPr>
          <w:trHeight w:val="47"/>
        </w:trPr>
        <w:tc>
          <w:tcPr>
            <w:tcW w:w="17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69"/>
        </w:trPr>
        <w:tc>
          <w:tcPr>
            <w:tcW w:w="1780" w:type="dxa"/>
            <w:vAlign w:val="bottom"/>
          </w:tcPr>
          <w:p>
            <w:pPr>
              <w:ind w:left="60"/>
              <w:spacing w:after="0"/>
              <w:rPr>
                <w:sz w:val="20"/>
                <w:szCs w:val="20"/>
                <w:color w:val="auto"/>
              </w:rPr>
            </w:pPr>
            <w:r>
              <w:rPr>
                <w:rFonts w:ascii="Arial" w:cs="Arial" w:eastAsia="Arial" w:hAnsi="Arial"/>
                <w:sz w:val="11"/>
                <w:szCs w:val="11"/>
                <w:b w:val="1"/>
                <w:bCs w:val="1"/>
                <w:color w:val="auto"/>
              </w:rPr>
              <w:t>Michael J. Cavanagh</w:t>
            </w:r>
            <w:r>
              <w:rPr>
                <w:rFonts w:ascii="Arial" w:cs="Arial" w:eastAsia="Arial" w:hAnsi="Arial"/>
                <w:sz w:val="14"/>
                <w:szCs w:val="14"/>
                <w:b w:val="1"/>
                <w:bCs w:val="1"/>
                <w:color w:val="auto"/>
                <w:vertAlign w:val="superscript"/>
              </w:rPr>
              <w:t>(1)</w:t>
            </w:r>
          </w:p>
        </w:tc>
        <w:tc>
          <w:tcPr>
            <w:tcW w:w="540" w:type="dxa"/>
            <w:vAlign w:val="bottom"/>
            <w:tcBorders>
              <w:bottom w:val="single" w:sz="8" w:color="E7E6E6"/>
            </w:tcBorders>
          </w:tcPr>
          <w:p>
            <w:pPr>
              <w:jc w:val="center"/>
              <w:ind w:right="86"/>
              <w:spacing w:after="0"/>
              <w:rPr>
                <w:sz w:val="20"/>
                <w:szCs w:val="20"/>
                <w:color w:val="auto"/>
              </w:rPr>
            </w:pPr>
            <w:r>
              <w:rPr>
                <w:rFonts w:ascii="Arial" w:cs="Arial" w:eastAsia="Arial" w:hAnsi="Arial"/>
                <w:sz w:val="11"/>
                <w:szCs w:val="11"/>
                <w:color w:val="auto"/>
                <w:w w:val="97"/>
              </w:rPr>
              <w:t>2025</w:t>
            </w:r>
          </w:p>
        </w:tc>
        <w:tc>
          <w:tcPr>
            <w:tcW w:w="780" w:type="dxa"/>
            <w:vAlign w:val="bottom"/>
            <w:tcBorders>
              <w:bottom w:val="single" w:sz="8" w:color="E7E6E6"/>
            </w:tcBorders>
          </w:tcPr>
          <w:p>
            <w:pPr>
              <w:jc w:val="right"/>
              <w:ind w:right="126"/>
              <w:spacing w:after="0"/>
              <w:rPr>
                <w:sz w:val="20"/>
                <w:szCs w:val="20"/>
                <w:color w:val="auto"/>
              </w:rPr>
            </w:pPr>
            <w:r>
              <w:rPr>
                <w:rFonts w:ascii="Arial" w:cs="Arial" w:eastAsia="Arial" w:hAnsi="Arial"/>
                <w:sz w:val="11"/>
                <w:szCs w:val="11"/>
                <w:color w:val="auto"/>
              </w:rPr>
              <w:t>2,600,962</w:t>
            </w:r>
          </w:p>
        </w:tc>
        <w:tc>
          <w:tcPr>
            <w:tcW w:w="880" w:type="dxa"/>
            <w:vAlign w:val="bottom"/>
            <w:tcBorders>
              <w:bottom w:val="single" w:sz="8" w:color="E7E6E6"/>
            </w:tcBorders>
          </w:tcPr>
          <w:p>
            <w:pPr>
              <w:jc w:val="right"/>
              <w:ind w:right="86"/>
              <w:spacing w:after="0"/>
              <w:rPr>
                <w:sz w:val="20"/>
                <w:szCs w:val="20"/>
                <w:color w:val="auto"/>
              </w:rPr>
            </w:pPr>
            <w:r>
              <w:rPr>
                <w:rFonts w:ascii="Arial" w:cs="Arial" w:eastAsia="Arial" w:hAnsi="Arial"/>
                <w:sz w:val="11"/>
                <w:szCs w:val="11"/>
                <w:color w:val="auto"/>
              </w:rPr>
              <w:t>60,341,115</w:t>
            </w:r>
          </w:p>
        </w:tc>
        <w:tc>
          <w:tcPr>
            <w:tcW w:w="900" w:type="dxa"/>
            <w:vAlign w:val="bottom"/>
            <w:tcBorders>
              <w:bottom w:val="single" w:sz="8" w:color="E7E6E6"/>
            </w:tcBorders>
          </w:tcPr>
          <w:p>
            <w:pPr>
              <w:jc w:val="right"/>
              <w:ind w:right="10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E7E6E6"/>
            </w:tcBorders>
          </w:tcPr>
          <w:p>
            <w:pPr>
              <w:jc w:val="right"/>
              <w:ind w:right="126"/>
              <w:spacing w:after="0"/>
              <w:rPr>
                <w:sz w:val="20"/>
                <w:szCs w:val="20"/>
                <w:color w:val="auto"/>
              </w:rPr>
            </w:pPr>
            <w:r>
              <w:rPr>
                <w:rFonts w:ascii="Arial" w:cs="Arial" w:eastAsia="Arial" w:hAnsi="Arial"/>
                <w:sz w:val="11"/>
                <w:szCs w:val="11"/>
                <w:color w:val="auto"/>
              </w:rPr>
              <w:t>8,583,175</w:t>
            </w:r>
          </w:p>
        </w:tc>
        <w:tc>
          <w:tcPr>
            <w:tcW w:w="1320" w:type="dxa"/>
            <w:vAlign w:val="bottom"/>
            <w:tcBorders>
              <w:bottom w:val="single" w:sz="8" w:color="E7E6E6"/>
            </w:tcBorders>
          </w:tcPr>
          <w:p>
            <w:pPr>
              <w:jc w:val="right"/>
              <w:ind w:right="126"/>
              <w:spacing w:after="0"/>
              <w:rPr>
                <w:sz w:val="20"/>
                <w:szCs w:val="20"/>
                <w:color w:val="auto"/>
              </w:rPr>
            </w:pPr>
            <w:r>
              <w:rPr>
                <w:rFonts w:ascii="Arial" w:cs="Arial" w:eastAsia="Arial" w:hAnsi="Arial"/>
                <w:sz w:val="11"/>
                <w:szCs w:val="11"/>
                <w:color w:val="auto"/>
              </w:rPr>
              <w:t>231,392</w:t>
            </w:r>
          </w:p>
        </w:tc>
        <w:tc>
          <w:tcPr>
            <w:tcW w:w="820" w:type="dxa"/>
            <w:vAlign w:val="bottom"/>
            <w:tcBorders>
              <w:bottom w:val="single" w:sz="8" w:color="E7E6E6"/>
            </w:tcBorders>
          </w:tcPr>
          <w:p>
            <w:pPr>
              <w:jc w:val="right"/>
              <w:ind w:right="46"/>
              <w:spacing w:after="0"/>
              <w:rPr>
                <w:sz w:val="20"/>
                <w:szCs w:val="20"/>
                <w:color w:val="auto"/>
              </w:rPr>
            </w:pPr>
            <w:r>
              <w:rPr>
                <w:rFonts w:ascii="Arial" w:cs="Arial" w:eastAsia="Arial" w:hAnsi="Arial"/>
                <w:sz w:val="11"/>
                <w:szCs w:val="11"/>
                <w:color w:val="auto"/>
              </w:rPr>
              <w:t>71,756,644</w:t>
            </w:r>
          </w:p>
        </w:tc>
      </w:tr>
      <w:tr>
        <w:trPr>
          <w:trHeight w:val="139"/>
        </w:trPr>
        <w:tc>
          <w:tcPr>
            <w:tcW w:w="1780" w:type="dxa"/>
            <w:vAlign w:val="bottom"/>
          </w:tcPr>
          <w:p>
            <w:pPr>
              <w:ind w:left="60"/>
              <w:spacing w:after="0"/>
              <w:rPr>
                <w:sz w:val="20"/>
                <w:szCs w:val="20"/>
                <w:color w:val="auto"/>
              </w:rPr>
            </w:pPr>
            <w:r>
              <w:rPr>
                <w:rFonts w:ascii="Arial" w:cs="Arial" w:eastAsia="Arial" w:hAnsi="Arial"/>
                <w:sz w:val="11"/>
                <w:szCs w:val="11"/>
                <w:color w:val="auto"/>
              </w:rPr>
              <w:t>President</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2024</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2,500,001</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13,627,970</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4,375,032</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7,500,002</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255,162</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28,258,168</w:t>
            </w:r>
          </w:p>
        </w:tc>
      </w:tr>
      <w:tr>
        <w:trPr>
          <w:trHeight w:val="142"/>
        </w:trPr>
        <w:tc>
          <w:tcPr>
            <w:tcW w:w="1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color w:val="auto"/>
                <w:w w:val="97"/>
              </w:rPr>
              <w:t>2023</w:t>
            </w: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2,463,846</w:t>
            </w:r>
          </w:p>
        </w:tc>
        <w:tc>
          <w:tcPr>
            <w:tcW w:w="8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11,431,801</w:t>
            </w:r>
          </w:p>
        </w:tc>
        <w:tc>
          <w:tcPr>
            <w:tcW w:w="9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7,000,032</w:t>
            </w: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8,426,353</w:t>
            </w: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258,030</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29,580,063</w:t>
            </w:r>
          </w:p>
        </w:tc>
      </w:tr>
      <w:tr>
        <w:trPr>
          <w:trHeight w:val="158"/>
        </w:trPr>
        <w:tc>
          <w:tcPr>
            <w:tcW w:w="1780" w:type="dxa"/>
            <w:vAlign w:val="bottom"/>
          </w:tcPr>
          <w:p>
            <w:pPr>
              <w:ind w:left="60"/>
              <w:spacing w:after="0"/>
              <w:rPr>
                <w:sz w:val="20"/>
                <w:szCs w:val="20"/>
                <w:color w:val="auto"/>
              </w:rPr>
            </w:pPr>
            <w:r>
              <w:rPr>
                <w:rFonts w:ascii="Arial" w:cs="Arial" w:eastAsia="Arial" w:hAnsi="Arial"/>
                <w:sz w:val="11"/>
                <w:szCs w:val="11"/>
                <w:b w:val="1"/>
                <w:bCs w:val="1"/>
                <w:color w:val="auto"/>
              </w:rPr>
              <w:t>Jason S. Armstrong</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2025</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2,080,769</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9,695,549</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4,577,693</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22,112</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16,376,123</w:t>
            </w:r>
          </w:p>
        </w:tc>
      </w:tr>
      <w:tr>
        <w:trPr>
          <w:trHeight w:val="139"/>
        </w:trPr>
        <w:tc>
          <w:tcPr>
            <w:tcW w:w="1780" w:type="dxa"/>
            <w:vAlign w:val="bottom"/>
          </w:tcPr>
          <w:p>
            <w:pPr>
              <w:ind w:left="60"/>
              <w:spacing w:after="0"/>
              <w:rPr>
                <w:sz w:val="20"/>
                <w:szCs w:val="20"/>
                <w:color w:val="auto"/>
              </w:rPr>
            </w:pPr>
            <w:r>
              <w:rPr>
                <w:rFonts w:ascii="Arial" w:cs="Arial" w:eastAsia="Arial" w:hAnsi="Arial"/>
                <w:sz w:val="11"/>
                <w:szCs w:val="11"/>
                <w:color w:val="auto"/>
              </w:rPr>
              <w:t>Chief Financial Officer</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2024</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1,996,154</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6,619,338</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2,125,001</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4,351,616</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15,102,108</w:t>
            </w:r>
          </w:p>
        </w:tc>
      </w:tr>
      <w:tr>
        <w:trPr>
          <w:trHeight w:val="139"/>
        </w:trPr>
        <w:tc>
          <w:tcPr>
            <w:tcW w:w="1780" w:type="dxa"/>
            <w:vAlign w:val="bottom"/>
          </w:tcPr>
          <w:p>
            <w:pPr>
              <w:spacing w:after="0"/>
              <w:rPr>
                <w:sz w:val="12"/>
                <w:szCs w:val="12"/>
                <w:color w:val="auto"/>
              </w:rPr>
            </w:pPr>
          </w:p>
        </w:tc>
        <w:tc>
          <w:tcPr>
            <w:tcW w:w="540" w:type="dxa"/>
            <w:vAlign w:val="bottom"/>
          </w:tcPr>
          <w:p>
            <w:pPr>
              <w:jc w:val="center"/>
              <w:ind w:right="86"/>
              <w:spacing w:after="0"/>
              <w:rPr>
                <w:sz w:val="20"/>
                <w:szCs w:val="20"/>
                <w:color w:val="auto"/>
              </w:rPr>
            </w:pPr>
            <w:r>
              <w:rPr>
                <w:rFonts w:ascii="Arial" w:cs="Arial" w:eastAsia="Arial" w:hAnsi="Arial"/>
                <w:sz w:val="11"/>
                <w:szCs w:val="11"/>
                <w:color w:val="auto"/>
                <w:w w:val="97"/>
              </w:rPr>
              <w:t>2023</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1,789,615</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3,266,371</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2,000,033</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4,528,767</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11,594,786</w:t>
            </w:r>
          </w:p>
        </w:tc>
      </w:tr>
      <w:tr>
        <w:trPr>
          <w:trHeight w:val="47"/>
        </w:trPr>
        <w:tc>
          <w:tcPr>
            <w:tcW w:w="17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5"/>
        </w:trPr>
        <w:tc>
          <w:tcPr>
            <w:tcW w:w="1780" w:type="dxa"/>
            <w:vAlign w:val="bottom"/>
          </w:tcPr>
          <w:p>
            <w:pPr>
              <w:ind w:left="60"/>
              <w:spacing w:after="0"/>
              <w:rPr>
                <w:sz w:val="20"/>
                <w:szCs w:val="20"/>
                <w:color w:val="auto"/>
              </w:rPr>
            </w:pPr>
            <w:r>
              <w:rPr>
                <w:rFonts w:ascii="Arial" w:cs="Arial" w:eastAsia="Arial" w:hAnsi="Arial"/>
                <w:sz w:val="11"/>
                <w:szCs w:val="11"/>
                <w:b w:val="1"/>
                <w:bCs w:val="1"/>
                <w:color w:val="auto"/>
              </w:rPr>
              <w:t>Thomas J. Reid</w:t>
            </w:r>
          </w:p>
        </w:tc>
        <w:tc>
          <w:tcPr>
            <w:tcW w:w="540" w:type="dxa"/>
            <w:vAlign w:val="bottom"/>
            <w:tcBorders>
              <w:bottom w:val="single" w:sz="8" w:color="E7E6E6"/>
            </w:tcBorders>
          </w:tcPr>
          <w:p>
            <w:pPr>
              <w:jc w:val="center"/>
              <w:ind w:right="86"/>
              <w:spacing w:after="0"/>
              <w:rPr>
                <w:sz w:val="20"/>
                <w:szCs w:val="20"/>
                <w:color w:val="auto"/>
              </w:rPr>
            </w:pPr>
            <w:r>
              <w:rPr>
                <w:rFonts w:ascii="Arial" w:cs="Arial" w:eastAsia="Arial" w:hAnsi="Arial"/>
                <w:sz w:val="11"/>
                <w:szCs w:val="11"/>
                <w:color w:val="auto"/>
                <w:w w:val="97"/>
              </w:rPr>
              <w:t>2025</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1,976,731</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6,990,937</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5,436,010</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14,413,678</w:t>
            </w:r>
          </w:p>
        </w:tc>
      </w:tr>
      <w:tr>
        <w:trPr>
          <w:trHeight w:val="136"/>
        </w:trPr>
        <w:tc>
          <w:tcPr>
            <w:tcW w:w="1780" w:type="dxa"/>
            <w:vAlign w:val="bottom"/>
          </w:tcPr>
          <w:p>
            <w:pPr>
              <w:ind w:left="60"/>
              <w:spacing w:after="0"/>
              <w:rPr>
                <w:sz w:val="20"/>
                <w:szCs w:val="20"/>
                <w:color w:val="auto"/>
              </w:rPr>
            </w:pPr>
            <w:r>
              <w:rPr>
                <w:rFonts w:ascii="Arial" w:cs="Arial" w:eastAsia="Arial" w:hAnsi="Arial"/>
                <w:sz w:val="11"/>
                <w:szCs w:val="11"/>
                <w:color w:val="auto"/>
              </w:rPr>
              <w:t>Chief Legal Officer and</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2024</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1,898,079</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5,334,578</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1,712,518</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5,172,264</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14,127,439</w:t>
            </w:r>
          </w:p>
        </w:tc>
      </w:tr>
      <w:tr>
        <w:trPr>
          <w:trHeight w:val="142"/>
        </w:trPr>
        <w:tc>
          <w:tcPr>
            <w:tcW w:w="1780" w:type="dxa"/>
            <w:vAlign w:val="bottom"/>
          </w:tcPr>
          <w:p>
            <w:pPr>
              <w:ind w:left="60"/>
              <w:spacing w:after="0"/>
              <w:rPr>
                <w:sz w:val="20"/>
                <w:szCs w:val="20"/>
                <w:color w:val="auto"/>
              </w:rPr>
            </w:pPr>
            <w:r>
              <w:rPr>
                <w:rFonts w:ascii="Arial" w:cs="Arial" w:eastAsia="Arial" w:hAnsi="Arial"/>
                <w:sz w:val="11"/>
                <w:szCs w:val="11"/>
                <w:color w:val="auto"/>
              </w:rPr>
              <w:t>Secretary</w:t>
            </w:r>
          </w:p>
        </w:tc>
        <w:tc>
          <w:tcPr>
            <w:tcW w:w="540" w:type="dxa"/>
            <w:vAlign w:val="bottom"/>
          </w:tcPr>
          <w:p>
            <w:pPr>
              <w:jc w:val="center"/>
              <w:ind w:right="86"/>
              <w:spacing w:after="0"/>
              <w:rPr>
                <w:sz w:val="20"/>
                <w:szCs w:val="20"/>
                <w:color w:val="auto"/>
              </w:rPr>
            </w:pPr>
            <w:r>
              <w:rPr>
                <w:rFonts w:ascii="Arial" w:cs="Arial" w:eastAsia="Arial" w:hAnsi="Arial"/>
                <w:sz w:val="11"/>
                <w:szCs w:val="11"/>
                <w:color w:val="auto"/>
                <w:w w:val="97"/>
              </w:rPr>
              <w:t>2023</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1,800,080</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3,266,371</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2,000,033</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4,104,182</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11,180,666</w:t>
            </w:r>
          </w:p>
        </w:tc>
      </w:tr>
      <w:tr>
        <w:trPr>
          <w:trHeight w:val="47"/>
        </w:trPr>
        <w:tc>
          <w:tcPr>
            <w:tcW w:w="17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5"/>
        </w:trPr>
        <w:tc>
          <w:tcPr>
            <w:tcW w:w="1780" w:type="dxa"/>
            <w:vAlign w:val="bottom"/>
          </w:tcPr>
          <w:p>
            <w:pPr>
              <w:ind w:left="60"/>
              <w:spacing w:after="0"/>
              <w:rPr>
                <w:sz w:val="20"/>
                <w:szCs w:val="20"/>
                <w:color w:val="auto"/>
              </w:rPr>
            </w:pPr>
            <w:r>
              <w:rPr>
                <w:rFonts w:ascii="Arial" w:cs="Arial" w:eastAsia="Arial" w:hAnsi="Arial"/>
                <w:sz w:val="11"/>
                <w:szCs w:val="11"/>
                <w:b w:val="1"/>
                <w:bCs w:val="1"/>
                <w:color w:val="auto"/>
              </w:rPr>
              <w:t>Jennifer Khoury</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2025</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1,560,577</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1,530,857</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2,574,952</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5,676,386</w:t>
            </w:r>
          </w:p>
        </w:tc>
      </w:tr>
      <w:tr>
        <w:trPr>
          <w:trHeight w:val="139"/>
        </w:trPr>
        <w:tc>
          <w:tcPr>
            <w:tcW w:w="1780" w:type="dxa"/>
            <w:vAlign w:val="bottom"/>
          </w:tcPr>
          <w:p>
            <w:pPr>
              <w:ind w:left="60"/>
              <w:spacing w:after="0"/>
              <w:rPr>
                <w:sz w:val="20"/>
                <w:szCs w:val="20"/>
                <w:color w:val="auto"/>
              </w:rPr>
            </w:pPr>
            <w:r>
              <w:rPr>
                <w:rFonts w:ascii="Arial" w:cs="Arial" w:eastAsia="Arial" w:hAnsi="Arial"/>
                <w:sz w:val="11"/>
                <w:szCs w:val="11"/>
                <w:color w:val="auto"/>
              </w:rPr>
              <w:t>Chief Communications Officer</w:t>
            </w:r>
          </w:p>
        </w:tc>
        <w:tc>
          <w:tcPr>
            <w:tcW w:w="540" w:type="dxa"/>
            <w:vAlign w:val="bottom"/>
            <w:tcBorders>
              <w:bottom w:val="single" w:sz="8" w:color="DCDDDE"/>
            </w:tcBorders>
          </w:tcPr>
          <w:p>
            <w:pPr>
              <w:jc w:val="center"/>
              <w:ind w:right="86"/>
              <w:spacing w:after="0"/>
              <w:rPr>
                <w:sz w:val="20"/>
                <w:szCs w:val="20"/>
                <w:color w:val="auto"/>
              </w:rPr>
            </w:pPr>
            <w:r>
              <w:rPr>
                <w:rFonts w:ascii="Arial" w:cs="Arial" w:eastAsia="Arial" w:hAnsi="Arial"/>
                <w:sz w:val="11"/>
                <w:szCs w:val="11"/>
                <w:color w:val="auto"/>
                <w:w w:val="97"/>
              </w:rPr>
              <w:t>2024</w:t>
            </w:r>
          </w:p>
        </w:tc>
        <w:tc>
          <w:tcPr>
            <w:tcW w:w="78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1,500,000</w:t>
            </w:r>
          </w:p>
        </w:tc>
        <w:tc>
          <w:tcPr>
            <w:tcW w:w="88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1,168,328</w:t>
            </w:r>
          </w:p>
        </w:tc>
        <w:tc>
          <w:tcPr>
            <w:tcW w:w="90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375,045</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2,452,500</w:t>
            </w:r>
          </w:p>
        </w:tc>
        <w:tc>
          <w:tcPr>
            <w:tcW w:w="1320" w:type="dxa"/>
            <w:vAlign w:val="bottom"/>
            <w:tcBorders>
              <w:bottom w:val="single" w:sz="8" w:color="DCDDDE"/>
            </w:tcBorders>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5,505,873</w:t>
            </w:r>
          </w:p>
        </w:tc>
      </w:tr>
      <w:tr>
        <w:trPr>
          <w:trHeight w:val="139"/>
        </w:trPr>
        <w:tc>
          <w:tcPr>
            <w:tcW w:w="1780" w:type="dxa"/>
            <w:vAlign w:val="bottom"/>
          </w:tcPr>
          <w:p>
            <w:pPr>
              <w:spacing w:after="0"/>
              <w:rPr>
                <w:sz w:val="12"/>
                <w:szCs w:val="12"/>
                <w:color w:val="auto"/>
              </w:rPr>
            </w:pPr>
          </w:p>
        </w:tc>
        <w:tc>
          <w:tcPr>
            <w:tcW w:w="540" w:type="dxa"/>
            <w:vAlign w:val="bottom"/>
          </w:tcPr>
          <w:p>
            <w:pPr>
              <w:jc w:val="center"/>
              <w:ind w:right="86"/>
              <w:spacing w:after="0"/>
              <w:rPr>
                <w:sz w:val="20"/>
                <w:szCs w:val="20"/>
                <w:color w:val="auto"/>
              </w:rPr>
            </w:pPr>
            <w:r>
              <w:rPr>
                <w:rFonts w:ascii="Arial" w:cs="Arial" w:eastAsia="Arial" w:hAnsi="Arial"/>
                <w:sz w:val="11"/>
                <w:szCs w:val="11"/>
                <w:color w:val="auto"/>
                <w:w w:val="97"/>
              </w:rPr>
              <w:t>2023</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1,494,231</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980,051</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600,010</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2,555,135</w:t>
            </w:r>
          </w:p>
        </w:tc>
        <w:tc>
          <w:tcPr>
            <w:tcW w:w="1320" w:type="dxa"/>
            <w:vAlign w:val="bottom"/>
          </w:tcPr>
          <w:p>
            <w:pPr>
              <w:jc w:val="right"/>
              <w:ind w:right="126"/>
              <w:spacing w:after="0"/>
              <w:rPr>
                <w:sz w:val="20"/>
                <w:szCs w:val="20"/>
                <w:color w:val="auto"/>
              </w:rPr>
            </w:pPr>
            <w:r>
              <w:rPr>
                <w:rFonts w:ascii="Arial" w:cs="Arial" w:eastAsia="Arial" w:hAnsi="Arial"/>
                <w:sz w:val="11"/>
                <w:szCs w:val="11"/>
                <w:color w:val="auto"/>
              </w:rPr>
              <w:t>10,000</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5,639,427</w:t>
            </w:r>
          </w:p>
        </w:tc>
      </w:tr>
      <w:tr>
        <w:trPr>
          <w:trHeight w:val="47"/>
        </w:trPr>
        <w:tc>
          <w:tcPr>
            <w:tcW w:w="17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-1700530</wp:posOffset>
            </wp:positionV>
            <wp:extent cx="34290" cy="128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12827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-1700530</wp:posOffset>
            </wp:positionV>
            <wp:extent cx="34290" cy="1282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128270"/>
                    </a:xfrm>
                    <a:prstGeom prst="rect">
                      <a:avLst/>
                    </a:prstGeom>
                    <a:noFill/>
                  </pic:spPr>
                </pic:pic>
              </a:graphicData>
            </a:graphic>
          </wp:anchor>
        </w:drawing>
      </w:r>
    </w:p>
    <w:p>
      <w:pPr>
        <w:spacing w:after="0" w:line="90" w:lineRule="exact"/>
        <w:rPr>
          <w:sz w:val="20"/>
          <w:szCs w:val="20"/>
          <w:color w:val="auto"/>
        </w:rPr>
      </w:pPr>
    </w:p>
    <w:p>
      <w:pPr>
        <w:ind w:left="1380" w:hanging="201"/>
        <w:spacing w:after="0"/>
        <w:tabs>
          <w:tab w:leader="none" w:pos="1380" w:val="left"/>
        </w:tabs>
        <w:numPr>
          <w:ilvl w:val="0"/>
          <w:numId w:val="73"/>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Mr. Cavanagh was promoted to co-CEO effective January 2, 2026.</w:t>
      </w:r>
    </w:p>
    <w:p>
      <w:pPr>
        <w:spacing w:after="0" w:line="57" w:lineRule="exact"/>
        <w:rPr>
          <w:rFonts w:ascii="Times New Roman" w:cs="Times New Roman" w:eastAsia="Times New Roman" w:hAnsi="Times New Roman"/>
          <w:sz w:val="22"/>
          <w:szCs w:val="22"/>
          <w:color w:val="auto"/>
          <w:vertAlign w:val="superscript"/>
        </w:rPr>
      </w:pPr>
    </w:p>
    <w:p>
      <w:pPr>
        <w:ind w:left="1380" w:right="1200" w:hanging="201"/>
        <w:spacing w:after="0"/>
        <w:tabs>
          <w:tab w:leader="none" w:pos="1380" w:val="left"/>
        </w:tabs>
        <w:numPr>
          <w:ilvl w:val="0"/>
          <w:numId w:val="73"/>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Amounts represent the aggregate grant date fair value of PSUs granted to the NEOs in accordance with Financial Accounting Standards Board Accounting Standards Codification Topic 718, Compensation – Stock Compensation (“FASB ASC Topic 718”), which do not correspond to the actual values that may be realized by the NEOs or to the values approved by the Compensation Committee. The grant date values for PSUs were calculated using a Monte Carlo simulation model, determined based on the probable outcome of the performance condition as of the grant date. The valuation assumptions for the PSUs granted in March 2025 were as follows: a term of 2.83 years, an expected volatility of 26.8%, an expected peer median volatility of 26%, a correlation of 0.46, a peer median correlation of 0.51 and an interest rate of 3.9%. The valuation assumptions for the PSUs granted in December 2025 were as follows: a term of 3.03 years, an expected volatility of 25.4%, an expected peer median volatility of 25.8%, a correlation of 0.39, a peer median correlation of 0.47 and an interest rate of 3.5%. Amounts were also discounted to consider that dividend equivalents that accrue during the vesting period are not paid out until the underlying shares vest. The following are the grant date values of PSUs granted in 2025 assuming attainment of the maximum level of</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43</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46" w:name="page47"/>
    <w:bookmarkEnd w:id="46"/>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right="399"/>
        <w:spacing w:after="0" w:line="252" w:lineRule="auto"/>
        <w:rPr>
          <w:sz w:val="20"/>
          <w:szCs w:val="20"/>
          <w:color w:val="auto"/>
        </w:rPr>
      </w:pPr>
      <w:r>
        <w:rPr>
          <w:rFonts w:ascii="Arial" w:cs="Arial" w:eastAsia="Arial" w:hAnsi="Arial"/>
          <w:sz w:val="16"/>
          <w:szCs w:val="16"/>
          <w:color w:val="auto"/>
        </w:rPr>
        <w:t>performance: Mr. Roberts ($58,682,673), Mr. Cavanagh ($51,028,389 for the March grant and $99,824,380 for the December grant), Mr. Armstrong ($24,238,872), Mr. Reid ($17,477,325) and Ms. Khoury ($3,827,142). See also “Compensation Discussion and Analysis – Design and Structure of Our Executive Compensation Program – Compensation Decisions – Equity-Based Incentive Compensation” for the target PSU values that the Compensation Committee approved for 2025, which are lower than the amounts required to be reported in this table. For information on valuation assumptions with respect to grants made before 2025, refer to the footnotes in the “Summary Compensation Table” in our definitive proxy statements filed with the SEC in 2024 and 2025. See the “Grants of Plan-Based Awards” table below for additional information on PSUs granted in 2025.</w:t>
      </w:r>
    </w:p>
    <w:p>
      <w:pPr>
        <w:spacing w:after="0" w:line="21" w:lineRule="exact"/>
        <w:rPr>
          <w:sz w:val="20"/>
          <w:szCs w:val="20"/>
          <w:color w:val="auto"/>
        </w:rPr>
      </w:pPr>
    </w:p>
    <w:p>
      <w:pPr>
        <w:ind w:left="520" w:right="539" w:hanging="201"/>
        <w:spacing w:after="0" w:line="233" w:lineRule="auto"/>
        <w:tabs>
          <w:tab w:leader="none" w:pos="520" w:val="left"/>
        </w:tabs>
        <w:numPr>
          <w:ilvl w:val="0"/>
          <w:numId w:val="74"/>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Amounts represent the aggregate grant date fair value of stock options granted to the NEOs in accordance with FASB ASC Topic 718. Under SEC rules, the amounts shown exclude the impact of estimated forfeitures. For information on valuation assumptions with respect to grants made before 2025, refer to the footnotes in the “Summary Compensation Table” in our definitive proxy statements filed with the SEC in 2024 and 2025.</w:t>
      </w:r>
    </w:p>
    <w:p>
      <w:pPr>
        <w:spacing w:after="0" w:line="55" w:lineRule="exact"/>
        <w:rPr>
          <w:rFonts w:ascii="Times New Roman" w:cs="Times New Roman" w:eastAsia="Times New Roman" w:hAnsi="Times New Roman"/>
          <w:sz w:val="22"/>
          <w:szCs w:val="22"/>
          <w:color w:val="auto"/>
          <w:vertAlign w:val="superscript"/>
        </w:rPr>
      </w:pPr>
    </w:p>
    <w:p>
      <w:pPr>
        <w:ind w:left="520" w:right="379" w:hanging="201"/>
        <w:spacing w:after="0" w:line="233" w:lineRule="auto"/>
        <w:tabs>
          <w:tab w:leader="none" w:pos="520" w:val="left"/>
        </w:tabs>
        <w:numPr>
          <w:ilvl w:val="0"/>
          <w:numId w:val="74"/>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Amounts represent annual performance-based bonuses. See the “Grants of Plan-Based Awards” table below and “Compensation Discussion and Analysis – Design and Structure of Our Executive Compensation Program – Compensation Decisions – Annual Cash Bonus” above for additional information on these bonuses and the achievement of specified metrics in 2025.</w:t>
      </w:r>
    </w:p>
    <w:p>
      <w:pPr>
        <w:spacing w:after="0" w:line="42" w:lineRule="exact"/>
        <w:rPr>
          <w:rFonts w:ascii="Times New Roman" w:cs="Times New Roman" w:eastAsia="Times New Roman" w:hAnsi="Times New Roman"/>
          <w:sz w:val="22"/>
          <w:szCs w:val="22"/>
          <w:color w:val="auto"/>
          <w:vertAlign w:val="superscript"/>
        </w:rPr>
      </w:pPr>
    </w:p>
    <w:p>
      <w:pPr>
        <w:ind w:left="520" w:right="359" w:hanging="201"/>
        <w:spacing w:after="0" w:line="229" w:lineRule="auto"/>
        <w:tabs>
          <w:tab w:leader="none" w:pos="520" w:val="left"/>
        </w:tabs>
        <w:numPr>
          <w:ilvl w:val="0"/>
          <w:numId w:val="74"/>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Amounts for 2025 include: (a) Company contributions to our retirement-investment plan accounts in the amount of $10,000 for each NEO, (b) amounts on account of personal use of Company-provided aircraft (Mr. Roberts, $190,734 and Mr. Cavanagh, $221,392) and (c) security provided to Mr. Roberts ($290,466).</w:t>
      </w:r>
    </w:p>
    <w:p>
      <w:pPr>
        <w:spacing w:after="0" w:line="42" w:lineRule="exact"/>
        <w:rPr>
          <w:rFonts w:ascii="Times New Roman" w:cs="Times New Roman" w:eastAsia="Times New Roman" w:hAnsi="Times New Roman"/>
          <w:sz w:val="22"/>
          <w:szCs w:val="22"/>
          <w:color w:val="auto"/>
          <w:vertAlign w:val="superscript"/>
        </w:rPr>
      </w:pPr>
    </w:p>
    <w:p>
      <w:pPr>
        <w:ind w:left="520" w:right="499"/>
        <w:spacing w:after="0" w:line="256" w:lineRule="auto"/>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For security and business reasons, Company practices and policy strongly encourage, and in some cases may require, Mr. Roberts to use Company-provided aircraft for business and personal travel and to have additional personal and residential security. Our other NEOs also have access to Company-provided aircraft for personal travel, as it affords all of our NEOs greater security, allows travel time to be used productively and enables them to be immediately available to respond to business priorities from any location.</w:t>
      </w:r>
    </w:p>
    <w:p>
      <w:pPr>
        <w:spacing w:after="0" w:line="44" w:lineRule="exact"/>
        <w:rPr>
          <w:rFonts w:ascii="Times New Roman" w:cs="Times New Roman" w:eastAsia="Times New Roman" w:hAnsi="Times New Roman"/>
          <w:sz w:val="22"/>
          <w:szCs w:val="22"/>
          <w:color w:val="auto"/>
          <w:vertAlign w:val="superscript"/>
        </w:rPr>
      </w:pPr>
    </w:p>
    <w:p>
      <w:pPr>
        <w:ind w:left="520" w:right="419"/>
        <w:spacing w:after="0" w:line="256" w:lineRule="auto"/>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w:t>
      </w:r>
    </w:p>
    <w:p>
      <w:pPr>
        <w:spacing w:after="0" w:line="31" w:lineRule="exact"/>
        <w:rPr>
          <w:rFonts w:ascii="Times New Roman" w:cs="Times New Roman" w:eastAsia="Times New Roman" w:hAnsi="Times New Roman"/>
          <w:sz w:val="22"/>
          <w:szCs w:val="22"/>
          <w:color w:val="auto"/>
          <w:vertAlign w:val="superscript"/>
        </w:rPr>
      </w:pPr>
    </w:p>
    <w:p>
      <w:pPr>
        <w:ind w:left="520" w:right="379"/>
        <w:spacing w:after="0" w:line="249" w:lineRule="auto"/>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is based on an allocable portion of variable costs for the year, such as fuel, maintenance and other trip expenses (including for repositioning flights). These methodologies exclude fixed costs, as these costs do not change based on usage. Our NEOs and their guests have access to a Company-provided car for personal travel, but they have fully reimbursed the Company for the incremental costs associated with such use to the extent required by our policy. Our NEOs also have access to IT support services, although there is no additional incremental cost to us. While from time to time guests of our NEOs may accompany them on travel related to business events, and our NEOs and guests may receive tickets for personal use, we have been reimbursed for any incremental costs to the extent required by our policy.</w:t>
      </w:r>
    </w:p>
    <w:p>
      <w:pPr>
        <w:spacing w:after="0" w:line="41" w:lineRule="exact"/>
        <w:rPr>
          <w:rFonts w:ascii="Times New Roman" w:cs="Times New Roman" w:eastAsia="Times New Roman" w:hAnsi="Times New Roman"/>
          <w:sz w:val="22"/>
          <w:szCs w:val="22"/>
          <w:color w:val="auto"/>
          <w:vertAlign w:val="superscript"/>
        </w:rPr>
      </w:pPr>
    </w:p>
    <w:p>
      <w:pPr>
        <w:ind w:left="520" w:right="399"/>
        <w:spacing w:after="0" w:line="286" w:lineRule="auto"/>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For all other benefits that would otherwise be considered perquisites, our NEOs are required to fully reimburse us for such benefits in accordance with our policy.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0" w:hanging="674"/>
        <w:spacing w:after="0"/>
        <w:tabs>
          <w:tab w:leader="none" w:pos="100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7" w:name="page48"/>
    <w:bookmarkEnd w:id="47"/>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Grants of Plan-Based Awards</w:t>
      </w:r>
    </w:p>
    <w:p>
      <w:pPr>
        <w:spacing w:after="0" w:line="121" w:lineRule="exact"/>
        <w:rPr>
          <w:sz w:val="20"/>
          <w:szCs w:val="20"/>
          <w:color w:val="auto"/>
        </w:rPr>
      </w:pPr>
    </w:p>
    <w:p>
      <w:pPr>
        <w:ind w:left="1180" w:right="1340"/>
        <w:spacing w:after="0" w:line="237" w:lineRule="auto"/>
        <w:rPr>
          <w:sz w:val="20"/>
          <w:szCs w:val="20"/>
          <w:color w:val="auto"/>
        </w:rPr>
      </w:pPr>
      <w:r>
        <w:rPr>
          <w:rFonts w:ascii="Arial" w:cs="Arial" w:eastAsia="Arial" w:hAnsi="Arial"/>
          <w:sz w:val="18"/>
          <w:szCs w:val="18"/>
          <w:color w:val="auto"/>
        </w:rPr>
        <w:t>The table below provides information about equity and non-equity awards granted to our NEOs in 2025 as follows: (1) the grant date for equity awards and the date the grant of such awards was approved by the Compensation Committee; (2) the estimated future payouts under non-equity incentive plan awards (columns (a), (b) and (c)); (3) the estimated future payouts under equity incentive plan awards, which consist of PSUs (columns (d), (e) and (f)); and (4) the grant date fair value of each equity award computed in accordance with FASB ASC Topic 718 (column (g)).</w:t>
      </w:r>
    </w:p>
    <w:tbl>
      <w:tblPr>
        <w:tblLayout w:type="fixed"/>
        <w:tblInd w:w="1200" w:type="dxa"/>
        <w:tblCellMar>
          <w:top w:w="0" w:type="dxa"/>
          <w:left w:w="0" w:type="dxa"/>
          <w:bottom w:w="0" w:type="dxa"/>
          <w:right w:w="0" w:type="dxa"/>
        </w:tblCellMar>
      </w:tblPr>
      <w:tr>
        <w:trPr>
          <w:trHeight w:val="116"/>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7"/>
              </w:rPr>
              <w:t>ESTIMATED FUTURE PAYOUTS</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jc w:val="right"/>
              <w:spacing w:after="0" w:line="116" w:lineRule="exact"/>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DATE FAIR</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5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8"/>
              </w:rPr>
              <w:t>UNDER NON-EQUITY INCENTIVE</w:t>
            </w:r>
          </w:p>
        </w:tc>
        <w:tc>
          <w:tcPr>
            <w:tcW w:w="80" w:type="dxa"/>
            <w:vAlign w:val="bottom"/>
          </w:tcPr>
          <w:p>
            <w:pPr>
              <w:spacing w:after="0"/>
              <w:rPr>
                <w:sz w:val="10"/>
                <w:szCs w:val="10"/>
                <w:color w:val="auto"/>
              </w:rPr>
            </w:pPr>
          </w:p>
        </w:tc>
        <w:tc>
          <w:tcPr>
            <w:tcW w:w="24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ESTIMATED FUTURE PAYOUTS</w:t>
            </w:r>
          </w:p>
        </w:tc>
        <w:tc>
          <w:tcPr>
            <w:tcW w:w="9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gridSpan w:val="2"/>
          </w:tcPr>
          <w:p>
            <w:pPr>
              <w:jc w:val="center"/>
              <w:ind w:left="626"/>
              <w:spacing w:after="0" w:line="122" w:lineRule="exact"/>
              <w:rPr>
                <w:sz w:val="20"/>
                <w:szCs w:val="20"/>
                <w:color w:val="auto"/>
              </w:rPr>
            </w:pPr>
            <w:r>
              <w:rPr>
                <w:rFonts w:ascii="Arial" w:cs="Arial" w:eastAsia="Arial" w:hAnsi="Arial"/>
                <w:sz w:val="11"/>
                <w:szCs w:val="11"/>
                <w:b w:val="1"/>
                <w:bCs w:val="1"/>
                <w:color w:val="auto"/>
                <w:w w:val="95"/>
              </w:rPr>
              <w:t>PLAN AWARDS</w:t>
            </w:r>
            <w:r>
              <w:rPr>
                <w:rFonts w:ascii="Arial" w:cs="Arial" w:eastAsia="Arial" w:hAnsi="Arial"/>
                <w:sz w:val="14"/>
                <w:szCs w:val="14"/>
                <w:b w:val="1"/>
                <w:bCs w:val="1"/>
                <w:color w:val="auto"/>
                <w:w w:val="95"/>
                <w:vertAlign w:val="superscript"/>
              </w:rPr>
              <w:t>(1)</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UNDER EQUITY INCENTIVE</w:t>
            </w:r>
          </w:p>
        </w:tc>
        <w:tc>
          <w:tcPr>
            <w:tcW w:w="9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34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bottom w:val="single" w:sz="8" w:color="auto"/>
            </w:tcBorders>
            <w:gridSpan w:val="2"/>
          </w:tcPr>
          <w:p>
            <w:pPr>
              <w:jc w:val="center"/>
              <w:ind w:left="566"/>
              <w:spacing w:after="0" w:line="135" w:lineRule="exact"/>
              <w:rPr>
                <w:sz w:val="20"/>
                <w:szCs w:val="20"/>
                <w:color w:val="auto"/>
              </w:rPr>
            </w:pPr>
            <w:r>
              <w:rPr>
                <w:rFonts w:ascii="Arial" w:cs="Arial" w:eastAsia="Arial" w:hAnsi="Arial"/>
                <w:sz w:val="11"/>
                <w:szCs w:val="11"/>
                <w:b w:val="1"/>
                <w:bCs w:val="1"/>
                <w:color w:val="auto"/>
                <w:w w:val="95"/>
              </w:rPr>
              <w:t>PLAN AWARDS</w:t>
            </w:r>
            <w:r>
              <w:rPr>
                <w:rFonts w:ascii="Arial" w:cs="Arial" w:eastAsia="Arial" w:hAnsi="Arial"/>
                <w:sz w:val="14"/>
                <w:szCs w:val="14"/>
                <w:b w:val="1"/>
                <w:bCs w:val="1"/>
                <w:color w:val="auto"/>
                <w:w w:val="95"/>
                <w:vertAlign w:val="superscript"/>
              </w:rPr>
              <w:t>(2)</w:t>
            </w:r>
          </w:p>
        </w:tc>
        <w:tc>
          <w:tcPr>
            <w:tcW w:w="660" w:type="dxa"/>
            <w:vAlign w:val="bottom"/>
            <w:tcBorders>
              <w:bottom w:val="single" w:sz="8" w:color="auto"/>
            </w:tcBorders>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760" w:type="dxa"/>
            <w:vAlign w:val="bottom"/>
          </w:tcPr>
          <w:p>
            <w:pPr>
              <w:jc w:val="right"/>
              <w:ind w:right="86"/>
              <w:spacing w:after="0" w:line="102" w:lineRule="exact"/>
              <w:rPr>
                <w:sz w:val="20"/>
                <w:szCs w:val="20"/>
                <w:color w:val="auto"/>
              </w:rPr>
            </w:pPr>
            <w:r>
              <w:rPr>
                <w:rFonts w:ascii="Arial" w:cs="Arial" w:eastAsia="Arial" w:hAnsi="Arial"/>
                <w:sz w:val="11"/>
                <w:szCs w:val="11"/>
                <w:b w:val="1"/>
                <w:bCs w:val="1"/>
                <w:color w:val="auto"/>
              </w:rPr>
              <w:t>GRANT</w:t>
            </w:r>
          </w:p>
        </w:tc>
        <w:tc>
          <w:tcPr>
            <w:tcW w:w="7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APPROVAL</w:t>
            </w:r>
          </w:p>
        </w:tc>
        <w:tc>
          <w:tcPr>
            <w:tcW w:w="108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THRESHOLD</w:t>
            </w:r>
          </w:p>
        </w:tc>
        <w:tc>
          <w:tcPr>
            <w:tcW w:w="780" w:type="dxa"/>
            <w:vAlign w:val="bottom"/>
          </w:tcPr>
          <w:p>
            <w:pPr>
              <w:jc w:val="right"/>
              <w:ind w:right="106"/>
              <w:spacing w:after="0" w:line="102" w:lineRule="exact"/>
              <w:rPr>
                <w:sz w:val="20"/>
                <w:szCs w:val="20"/>
                <w:color w:val="auto"/>
              </w:rPr>
            </w:pPr>
            <w:r>
              <w:rPr>
                <w:rFonts w:ascii="Arial" w:cs="Arial" w:eastAsia="Arial" w:hAnsi="Arial"/>
                <w:sz w:val="11"/>
                <w:szCs w:val="11"/>
                <w:b w:val="1"/>
                <w:bCs w:val="1"/>
                <w:color w:val="auto"/>
              </w:rPr>
              <w:t>TARGET</w:t>
            </w:r>
          </w:p>
        </w:tc>
        <w:tc>
          <w:tcPr>
            <w:tcW w:w="7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MAXIMUM</w:t>
            </w:r>
          </w:p>
        </w:tc>
        <w:tc>
          <w:tcPr>
            <w:tcW w:w="80" w:type="dxa"/>
            <w:vAlign w:val="bottom"/>
          </w:tcPr>
          <w:p>
            <w:pPr>
              <w:spacing w:after="0"/>
              <w:rPr>
                <w:sz w:val="8"/>
                <w:szCs w:val="8"/>
                <w:color w:val="auto"/>
              </w:rPr>
            </w:pPr>
          </w:p>
        </w:tc>
        <w:tc>
          <w:tcPr>
            <w:tcW w:w="104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THRESHOLD</w:t>
            </w:r>
          </w:p>
        </w:tc>
        <w:tc>
          <w:tcPr>
            <w:tcW w:w="720" w:type="dxa"/>
            <w:vAlign w:val="bottom"/>
          </w:tcPr>
          <w:p>
            <w:pPr>
              <w:jc w:val="right"/>
              <w:ind w:right="66"/>
              <w:spacing w:after="0" w:line="102" w:lineRule="exact"/>
              <w:rPr>
                <w:sz w:val="20"/>
                <w:szCs w:val="20"/>
                <w:color w:val="auto"/>
              </w:rPr>
            </w:pPr>
            <w:r>
              <w:rPr>
                <w:rFonts w:ascii="Arial" w:cs="Arial" w:eastAsia="Arial" w:hAnsi="Arial"/>
                <w:sz w:val="11"/>
                <w:szCs w:val="11"/>
                <w:b w:val="1"/>
                <w:bCs w:val="1"/>
                <w:color w:val="auto"/>
              </w:rPr>
              <w:t>TARGET</w:t>
            </w:r>
          </w:p>
        </w:tc>
        <w:tc>
          <w:tcPr>
            <w:tcW w:w="6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MAXIMUM</w:t>
            </w:r>
          </w:p>
        </w:tc>
        <w:tc>
          <w:tcPr>
            <w:tcW w:w="9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DATE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DATE</w:t>
            </w: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(a)</w:t>
            </w:r>
          </w:p>
        </w:tc>
        <w:tc>
          <w:tcPr>
            <w:tcW w:w="7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(b)</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w:t>
            </w: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(d)</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w:t>
            </w:r>
          </w:p>
        </w:tc>
        <w:tc>
          <w:tcPr>
            <w:tcW w:w="0" w:type="dxa"/>
            <w:vAlign w:val="bottom"/>
          </w:tcPr>
          <w:p>
            <w:pPr>
              <w:spacing w:after="0"/>
              <w:rPr>
                <w:sz w:val="1"/>
                <w:szCs w:val="1"/>
                <w:color w:val="auto"/>
              </w:rPr>
            </w:pPr>
          </w:p>
        </w:tc>
      </w:tr>
      <w:tr>
        <w:trPr>
          <w:trHeight w:val="129"/>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Brian L.</w:t>
            </w:r>
          </w:p>
        </w:tc>
        <w:tc>
          <w:tcPr>
            <w:tcW w:w="76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spacing w:after="0"/>
              <w:rPr>
                <w:sz w:val="11"/>
                <w:szCs w:val="11"/>
                <w:color w:val="auto"/>
              </w:rPr>
            </w:pPr>
          </w:p>
        </w:tc>
        <w:tc>
          <w:tcPr>
            <w:tcW w:w="108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1,092,404</w:t>
            </w:r>
          </w:p>
        </w:tc>
        <w:tc>
          <w:tcPr>
            <w:tcW w:w="78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7,802,886</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15,020,556</w:t>
            </w:r>
          </w:p>
        </w:tc>
        <w:tc>
          <w:tcPr>
            <w:tcW w:w="80" w:type="dxa"/>
            <w:vAlign w:val="bottom"/>
            <w:tcBorders>
              <w:bottom w:val="single" w:sz="8" w:color="DCDDDE"/>
            </w:tcBorders>
          </w:tcPr>
          <w:p>
            <w:pPr>
              <w:spacing w:after="0"/>
              <w:rPr>
                <w:sz w:val="11"/>
                <w:szCs w:val="11"/>
                <w:color w:val="auto"/>
              </w:rPr>
            </w:pPr>
          </w:p>
        </w:tc>
        <w:tc>
          <w:tcPr>
            <w:tcW w:w="104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660" w:type="dxa"/>
            <w:vAlign w:val="bottom"/>
            <w:tcBorders>
              <w:bottom w:val="single" w:sz="8" w:color="DCDDDE"/>
            </w:tcBorders>
          </w:tcPr>
          <w:p>
            <w:pPr>
              <w:spacing w:after="0"/>
              <w:rPr>
                <w:sz w:val="11"/>
                <w:szCs w:val="11"/>
                <w:color w:val="auto"/>
              </w:rPr>
            </w:pPr>
          </w:p>
        </w:tc>
        <w:tc>
          <w:tcPr>
            <w:tcW w:w="94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Roberts</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3/3/2025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2/25/2025</w:t>
            </w:r>
          </w:p>
        </w:tc>
        <w:tc>
          <w:tcPr>
            <w:tcW w:w="1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119,858</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639,245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1,598,112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23,473,076</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Michael J.</w:t>
            </w:r>
          </w:p>
        </w:tc>
        <w:tc>
          <w:tcPr>
            <w:tcW w:w="76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spacing w:after="0"/>
              <w:rPr>
                <w:sz w:val="11"/>
                <w:szCs w:val="11"/>
                <w:color w:val="auto"/>
              </w:rPr>
            </w:pPr>
          </w:p>
        </w:tc>
        <w:tc>
          <w:tcPr>
            <w:tcW w:w="108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1,092,404</w:t>
            </w:r>
          </w:p>
        </w:tc>
        <w:tc>
          <w:tcPr>
            <w:tcW w:w="78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7,802,886</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15,020,556</w:t>
            </w:r>
          </w:p>
        </w:tc>
        <w:tc>
          <w:tcPr>
            <w:tcW w:w="80" w:type="dxa"/>
            <w:vAlign w:val="bottom"/>
            <w:tcBorders>
              <w:bottom w:val="single" w:sz="8" w:color="DCDDDE"/>
            </w:tcBorders>
          </w:tcPr>
          <w:p>
            <w:pPr>
              <w:spacing w:after="0"/>
              <w:rPr>
                <w:sz w:val="11"/>
                <w:szCs w:val="11"/>
                <w:color w:val="auto"/>
              </w:rPr>
            </w:pPr>
          </w:p>
        </w:tc>
        <w:tc>
          <w:tcPr>
            <w:tcW w:w="104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660" w:type="dxa"/>
            <w:vAlign w:val="bottom"/>
            <w:tcBorders>
              <w:bottom w:val="single" w:sz="8" w:color="DCDDDE"/>
            </w:tcBorders>
          </w:tcPr>
          <w:p>
            <w:pPr>
              <w:spacing w:after="0"/>
              <w:rPr>
                <w:sz w:val="11"/>
                <w:szCs w:val="11"/>
                <w:color w:val="auto"/>
              </w:rPr>
            </w:pPr>
          </w:p>
        </w:tc>
        <w:tc>
          <w:tcPr>
            <w:tcW w:w="94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Cavanagh</w:t>
            </w:r>
          </w:p>
        </w:tc>
        <w:tc>
          <w:tcPr>
            <w:tcW w:w="76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3/3/2025</w:t>
            </w:r>
          </w:p>
        </w:tc>
        <w:tc>
          <w:tcPr>
            <w:tcW w:w="76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2/25/2025</w:t>
            </w:r>
          </w:p>
        </w:tc>
        <w:tc>
          <w:tcPr>
            <w:tcW w:w="1080" w:type="dxa"/>
            <w:vAlign w:val="bottom"/>
            <w:tcBorders>
              <w:bottom w:val="single" w:sz="8" w:color="DCDDDE"/>
            </w:tcBorders>
          </w:tcPr>
          <w:p>
            <w:pPr>
              <w:spacing w:after="0"/>
              <w:rPr>
                <w:sz w:val="12"/>
                <w:szCs w:val="12"/>
                <w:color w:val="auto"/>
              </w:rPr>
            </w:pPr>
          </w:p>
        </w:tc>
        <w:tc>
          <w:tcPr>
            <w:tcW w:w="780" w:type="dxa"/>
            <w:vAlign w:val="bottom"/>
            <w:tcBorders>
              <w:bottom w:val="single" w:sz="8" w:color="DCDDDE"/>
            </w:tcBorders>
          </w:tcPr>
          <w:p>
            <w:pPr>
              <w:spacing w:after="0"/>
              <w:rPr>
                <w:sz w:val="12"/>
                <w:szCs w:val="12"/>
                <w:color w:val="auto"/>
              </w:rPr>
            </w:pPr>
          </w:p>
        </w:tc>
        <w:tc>
          <w:tcPr>
            <w:tcW w:w="700" w:type="dxa"/>
            <w:vAlign w:val="bottom"/>
            <w:tcBorders>
              <w:bottom w:val="single" w:sz="8" w:color="DCDDDE"/>
            </w:tcBorders>
          </w:tcPr>
          <w:p>
            <w:pPr>
              <w:spacing w:after="0"/>
              <w:rPr>
                <w:sz w:val="12"/>
                <w:szCs w:val="12"/>
                <w:color w:val="auto"/>
              </w:rPr>
            </w:pPr>
          </w:p>
        </w:tc>
        <w:tc>
          <w:tcPr>
            <w:tcW w:w="1120" w:type="dxa"/>
            <w:vAlign w:val="bottom"/>
            <w:tcBorders>
              <w:bottom w:val="single" w:sz="8" w:color="DCDDDE"/>
            </w:tcBorders>
            <w:gridSpan w:val="2"/>
          </w:tcPr>
          <w:p>
            <w:pPr>
              <w:jc w:val="right"/>
              <w:ind w:right="66"/>
              <w:spacing w:after="0"/>
              <w:rPr>
                <w:sz w:val="20"/>
                <w:szCs w:val="20"/>
                <w:color w:val="auto"/>
              </w:rPr>
            </w:pPr>
            <w:r>
              <w:rPr>
                <w:rFonts w:ascii="Arial" w:cs="Arial" w:eastAsia="Arial" w:hAnsi="Arial"/>
                <w:sz w:val="11"/>
                <w:szCs w:val="11"/>
                <w:color w:val="auto"/>
              </w:rPr>
              <w:t>104,224</w:t>
            </w:r>
          </w:p>
        </w:tc>
        <w:tc>
          <w:tcPr>
            <w:tcW w:w="72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555,865</w:t>
            </w:r>
          </w:p>
        </w:tc>
        <w:tc>
          <w:tcPr>
            <w:tcW w:w="66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1,389,662</w:t>
            </w:r>
          </w:p>
        </w:tc>
        <w:tc>
          <w:tcPr>
            <w:tcW w:w="94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20,411,363</w:t>
            </w:r>
          </w:p>
        </w:tc>
        <w:tc>
          <w:tcPr>
            <w:tcW w:w="0" w:type="dxa"/>
            <w:vAlign w:val="bottom"/>
          </w:tcPr>
          <w:p>
            <w:pPr>
              <w:spacing w:after="0"/>
              <w:rPr>
                <w:sz w:val="1"/>
                <w:szCs w:val="1"/>
                <w:color w:val="auto"/>
              </w:rPr>
            </w:pPr>
          </w:p>
        </w:tc>
      </w:tr>
      <w:tr>
        <w:trPr>
          <w:trHeight w:val="142"/>
        </w:trPr>
        <w:tc>
          <w:tcPr>
            <w:tcW w:w="8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12/19/2025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12/18/2025</w:t>
            </w:r>
          </w:p>
        </w:tc>
        <w:tc>
          <w:tcPr>
            <w:tcW w:w="1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235,731</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1,257,234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3,143,085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39,929,752</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Jason S.</w:t>
            </w:r>
          </w:p>
        </w:tc>
        <w:tc>
          <w:tcPr>
            <w:tcW w:w="76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spacing w:after="0"/>
              <w:rPr>
                <w:sz w:val="11"/>
                <w:szCs w:val="11"/>
                <w:color w:val="auto"/>
              </w:rPr>
            </w:pPr>
          </w:p>
        </w:tc>
        <w:tc>
          <w:tcPr>
            <w:tcW w:w="108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582,615</w:t>
            </w:r>
          </w:p>
        </w:tc>
        <w:tc>
          <w:tcPr>
            <w:tcW w:w="78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4,161,538</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8,010,961</w:t>
            </w:r>
          </w:p>
        </w:tc>
        <w:tc>
          <w:tcPr>
            <w:tcW w:w="80" w:type="dxa"/>
            <w:vAlign w:val="bottom"/>
            <w:tcBorders>
              <w:bottom w:val="single" w:sz="8" w:color="DCDDDE"/>
            </w:tcBorders>
          </w:tcPr>
          <w:p>
            <w:pPr>
              <w:spacing w:after="0"/>
              <w:rPr>
                <w:sz w:val="11"/>
                <w:szCs w:val="11"/>
                <w:color w:val="auto"/>
              </w:rPr>
            </w:pPr>
          </w:p>
        </w:tc>
        <w:tc>
          <w:tcPr>
            <w:tcW w:w="104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660" w:type="dxa"/>
            <w:vAlign w:val="bottom"/>
            <w:tcBorders>
              <w:bottom w:val="single" w:sz="8" w:color="DCDDDE"/>
            </w:tcBorders>
          </w:tcPr>
          <w:p>
            <w:pPr>
              <w:spacing w:after="0"/>
              <w:rPr>
                <w:sz w:val="11"/>
                <w:szCs w:val="11"/>
                <w:color w:val="auto"/>
              </w:rPr>
            </w:pPr>
          </w:p>
        </w:tc>
        <w:tc>
          <w:tcPr>
            <w:tcW w:w="94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Armstrong</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3/3/2025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2/25/2025</w:t>
            </w:r>
          </w:p>
        </w:tc>
        <w:tc>
          <w:tcPr>
            <w:tcW w:w="1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49,507</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264,040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660,100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9,695,549</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Thomas J.</w:t>
            </w:r>
          </w:p>
        </w:tc>
        <w:tc>
          <w:tcPr>
            <w:tcW w:w="76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spacing w:after="0"/>
              <w:rPr>
                <w:sz w:val="11"/>
                <w:szCs w:val="11"/>
                <w:color w:val="auto"/>
              </w:rPr>
            </w:pPr>
          </w:p>
        </w:tc>
        <w:tc>
          <w:tcPr>
            <w:tcW w:w="108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691,856</w:t>
            </w:r>
          </w:p>
        </w:tc>
        <w:tc>
          <w:tcPr>
            <w:tcW w:w="78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4,941,828</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9,513,018</w:t>
            </w:r>
          </w:p>
        </w:tc>
        <w:tc>
          <w:tcPr>
            <w:tcW w:w="80" w:type="dxa"/>
            <w:vAlign w:val="bottom"/>
            <w:tcBorders>
              <w:bottom w:val="single" w:sz="8" w:color="DCDDDE"/>
            </w:tcBorders>
          </w:tcPr>
          <w:p>
            <w:pPr>
              <w:spacing w:after="0"/>
              <w:rPr>
                <w:sz w:val="11"/>
                <w:szCs w:val="11"/>
                <w:color w:val="auto"/>
              </w:rPr>
            </w:pPr>
          </w:p>
        </w:tc>
        <w:tc>
          <w:tcPr>
            <w:tcW w:w="104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660" w:type="dxa"/>
            <w:vAlign w:val="bottom"/>
            <w:tcBorders>
              <w:bottom w:val="single" w:sz="8" w:color="DCDDDE"/>
            </w:tcBorders>
          </w:tcPr>
          <w:p>
            <w:pPr>
              <w:spacing w:after="0"/>
              <w:rPr>
                <w:sz w:val="11"/>
                <w:szCs w:val="11"/>
                <w:color w:val="auto"/>
              </w:rPr>
            </w:pPr>
          </w:p>
        </w:tc>
        <w:tc>
          <w:tcPr>
            <w:tcW w:w="94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Reid</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3/3/2025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2/25/2025</w:t>
            </w:r>
          </w:p>
        </w:tc>
        <w:tc>
          <w:tcPr>
            <w:tcW w:w="1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35,697</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190,385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475,962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6,990,937</w:t>
            </w:r>
          </w:p>
        </w:tc>
        <w:tc>
          <w:tcPr>
            <w:tcW w:w="0" w:type="dxa"/>
            <w:vAlign w:val="bottom"/>
          </w:tcPr>
          <w:p>
            <w:pPr>
              <w:spacing w:after="0"/>
              <w:rPr>
                <w:sz w:val="1"/>
                <w:szCs w:val="1"/>
                <w:color w:val="auto"/>
              </w:rPr>
            </w:pPr>
          </w:p>
        </w:tc>
      </w:tr>
      <w:tr>
        <w:trPr>
          <w:trHeight w:val="132"/>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Jennifer</w:t>
            </w:r>
          </w:p>
        </w:tc>
        <w:tc>
          <w:tcPr>
            <w:tcW w:w="760" w:type="dxa"/>
            <w:vAlign w:val="bottom"/>
            <w:tcBorders>
              <w:bottom w:val="single" w:sz="8" w:color="DCDDDE"/>
            </w:tcBorders>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spacing w:after="0"/>
              <w:rPr>
                <w:sz w:val="11"/>
                <w:szCs w:val="11"/>
                <w:color w:val="auto"/>
              </w:rPr>
            </w:pPr>
          </w:p>
        </w:tc>
        <w:tc>
          <w:tcPr>
            <w:tcW w:w="108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327,721</w:t>
            </w:r>
          </w:p>
        </w:tc>
        <w:tc>
          <w:tcPr>
            <w:tcW w:w="78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2,340,866</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4,506,166</w:t>
            </w:r>
          </w:p>
        </w:tc>
        <w:tc>
          <w:tcPr>
            <w:tcW w:w="80" w:type="dxa"/>
            <w:vAlign w:val="bottom"/>
            <w:tcBorders>
              <w:bottom w:val="single" w:sz="8" w:color="DCDDDE"/>
            </w:tcBorders>
          </w:tcPr>
          <w:p>
            <w:pPr>
              <w:spacing w:after="0"/>
              <w:rPr>
                <w:sz w:val="11"/>
                <w:szCs w:val="11"/>
                <w:color w:val="auto"/>
              </w:rPr>
            </w:pPr>
          </w:p>
        </w:tc>
        <w:tc>
          <w:tcPr>
            <w:tcW w:w="104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660" w:type="dxa"/>
            <w:vAlign w:val="bottom"/>
            <w:tcBorders>
              <w:bottom w:val="single" w:sz="8" w:color="DCDDDE"/>
            </w:tcBorders>
          </w:tcPr>
          <w:p>
            <w:pPr>
              <w:spacing w:after="0"/>
              <w:rPr>
                <w:sz w:val="11"/>
                <w:szCs w:val="11"/>
                <w:color w:val="auto"/>
              </w:rPr>
            </w:pPr>
          </w:p>
        </w:tc>
        <w:tc>
          <w:tcPr>
            <w:tcW w:w="94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Khoury</w:t>
            </w: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3/3/2025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2/25/2025</w:t>
            </w:r>
          </w:p>
        </w:tc>
        <w:tc>
          <w:tcPr>
            <w:tcW w:w="1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7,816</w:t>
            </w: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41,690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104,225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1,530,857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-920750</wp:posOffset>
            </wp:positionV>
            <wp:extent cx="850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090" cy="42545"/>
                    </a:xfrm>
                    <a:prstGeom prst="rect">
                      <a:avLst/>
                    </a:prstGeom>
                    <a:noFill/>
                  </pic:spPr>
                </pic:pic>
              </a:graphicData>
            </a:graphic>
          </wp:anchor>
        </w:drawing>
      </w:r>
    </w:p>
    <w:p>
      <w:pPr>
        <w:spacing w:after="0" w:line="84" w:lineRule="exact"/>
        <w:rPr>
          <w:sz w:val="20"/>
          <w:szCs w:val="20"/>
          <w:color w:val="auto"/>
        </w:rPr>
      </w:pPr>
    </w:p>
    <w:p>
      <w:pPr>
        <w:ind w:left="1380" w:right="1260" w:hanging="201"/>
        <w:spacing w:after="0" w:line="218" w:lineRule="auto"/>
        <w:tabs>
          <w:tab w:leader="none" w:pos="1380" w:val="left"/>
        </w:tabs>
        <w:numPr>
          <w:ilvl w:val="0"/>
          <w:numId w:val="7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Represents annual performance-based bonus awards granted under our cash bonus plans. The actual amounts earned with respect to these bonuses are included in the “Summary Compensation Table” above under the “Non-Equity Incentive Plan Compensation” column.</w:t>
      </w:r>
    </w:p>
    <w:p>
      <w:pPr>
        <w:spacing w:after="0" w:line="44" w:lineRule="exact"/>
        <w:rPr>
          <w:rFonts w:ascii="Times New Roman" w:cs="Times New Roman" w:eastAsia="Times New Roman" w:hAnsi="Times New Roman"/>
          <w:sz w:val="20"/>
          <w:szCs w:val="20"/>
          <w:color w:val="auto"/>
          <w:vertAlign w:val="superscript"/>
        </w:rPr>
      </w:pPr>
    </w:p>
    <w:p>
      <w:pPr>
        <w:ind w:left="1380" w:right="1200" w:hanging="201"/>
        <w:spacing w:after="0" w:line="223" w:lineRule="auto"/>
        <w:tabs>
          <w:tab w:leader="none" w:pos="1380" w:val="left"/>
        </w:tabs>
        <w:numPr>
          <w:ilvl w:val="0"/>
          <w:numId w:val="7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The amounts in columns (d) through (f) represent shares of Class A common stock underlying PSUs granted under our 2023 Omnibus Equity Incentive Plan. PSUs cliff vest 100% on the third anniversary of the grant date. PSUs will be earned based on achievement of two primary performance metrics over a three-year period beginning in 2025, each weighted 50%: (i) ROIC, calculated based on our ROIC for each year during the three-year performance period and averaged at the end of such period to yield an average ROIC result for the cumulative three-year period; and (ii) Relative Adjusted EPS Growth, calculated at the end of the cumulative three-year performance period (or in the case of the promotional PSU award granted to Mr. Cavanagh, two-year period) based on the percentile ranking of our Adjusted EPS compound average annual growth rate during the performance period relative to that of the companies comprising the S&amp;P 100 Index. The actual number of PSUs earned will be based on (x) the three-year average ROIC measured against a pre-established target approved by the Compensation Committee in February 2025, with achievement level payouts ranging from 50% for threshold performance to 200% for maximum performance (with 100% as the target and linear interpolation between specified achievement levels) and (y) Relative Adjusted EPS Growth over the applicable performance period, with payouts ranging from 50% for performance at the 25th percentile to 200% for performance at or above the 75th percentile, and setting the target payout for performance at the median. For both metrics, payouts are zero for performance below the threshold.</w:t>
      </w:r>
    </w:p>
    <w:p>
      <w:pPr>
        <w:spacing w:after="0" w:line="40" w:lineRule="exact"/>
        <w:rPr>
          <w:rFonts w:ascii="Times New Roman" w:cs="Times New Roman" w:eastAsia="Times New Roman" w:hAnsi="Times New Roman"/>
          <w:sz w:val="20"/>
          <w:szCs w:val="20"/>
          <w:color w:val="auto"/>
          <w:vertAlign w:val="superscript"/>
        </w:rPr>
      </w:pPr>
    </w:p>
    <w:p>
      <w:pPr>
        <w:ind w:left="1380" w:right="1300"/>
        <w:spacing w:after="0" w:line="235" w:lineRule="auto"/>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After calculating the ROIC and Relative Adjusted EPS Growth components, the Relative TSR Modifier is applied, which is based on the percentile ranking of our TSR during such period relative to that of the companies comprising the S&amp;P</w:t>
      </w:r>
    </w:p>
    <w:p>
      <w:pPr>
        <w:ind w:left="1380" w:right="1380" w:hanging="1"/>
        <w:spacing w:after="0" w:line="228" w:lineRule="auto"/>
        <w:tabs>
          <w:tab w:leader="none" w:pos="1678" w:val="left"/>
        </w:tabs>
        <w:numPr>
          <w:ilvl w:val="1"/>
          <w:numId w:val="76"/>
        </w:numPr>
        <w:rPr>
          <w:rFonts w:ascii="Arial" w:cs="Arial" w:eastAsia="Arial" w:hAnsi="Arial"/>
          <w:sz w:val="15"/>
          <w:szCs w:val="15"/>
          <w:color w:val="auto"/>
        </w:rPr>
      </w:pPr>
      <w:r>
        <w:rPr>
          <w:rFonts w:ascii="Arial" w:cs="Arial" w:eastAsia="Arial" w:hAnsi="Arial"/>
          <w:sz w:val="15"/>
          <w:szCs w:val="15"/>
          <w:color w:val="auto"/>
        </w:rPr>
        <w:t>Index, as modified to account for changes in the index companies such as due to merger and acquisition activity. TSR will be determined based on the average stock price of each company for the 20 trading days prior to each of the first and last day of the performance period and will be calculated assuming the reinvestment of dividends. The actual number of PSUs earned will be determined after multiplying the payout levels for the two primary performance metrics by 25% for top quartile TSR performance or (25)% for bottom quartile performance, with performance in between straight-line interpolated. If our absolute TSR over the performance period is negative, then, irrespective of our TSR percentile ranking, no positive adjustment will be made to the payouts under the ROIC and Relative Adjusted EPS Growth components. See “Compensation Discussion and Analysis – Design and Structure of Our Executive Compensation Program – Compensation Decisions – Equity-Based Incentive Compensation” above for additional information. Dividend equivalents accrue on shares underlying PSUs, although the amounts will only be paid (without interest) if and when the shares underlying PSUs vest.</w:t>
      </w:r>
    </w:p>
    <w:p>
      <w:pPr>
        <w:spacing w:after="0" w:line="3" w:lineRule="exact"/>
        <w:rPr>
          <w:rFonts w:ascii="Arial" w:cs="Arial" w:eastAsia="Arial" w:hAnsi="Arial"/>
          <w:sz w:val="15"/>
          <w:szCs w:val="15"/>
          <w:color w:val="auto"/>
        </w:rPr>
      </w:pPr>
    </w:p>
    <w:p>
      <w:pPr>
        <w:ind w:left="1380" w:hanging="201"/>
        <w:spacing w:after="0" w:line="214" w:lineRule="auto"/>
        <w:tabs>
          <w:tab w:leader="none" w:pos="1380" w:val="left"/>
        </w:tabs>
        <w:numPr>
          <w:ilvl w:val="0"/>
          <w:numId w:val="7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The amounts in this column represent the grant date fair value of PSUs computed in accordance with FASB ASC Topic</w:t>
      </w:r>
    </w:p>
    <w:p>
      <w:pPr>
        <w:ind w:left="1380" w:right="1520" w:hanging="1"/>
        <w:spacing w:after="0" w:line="244" w:lineRule="auto"/>
        <w:tabs>
          <w:tab w:leader="none" w:pos="1720"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These amounts do not necessarily correspond to the actual value that may be realized by the NEOs. The grant date fair value of PSUs was determined as described in footnote (2) to the “Summary Compensation Table.”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45</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48" w:name="page49"/>
    <w:bookmarkEnd w:id="4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25"/>
          <w:szCs w:val="25"/>
          <w:color w:val="auto"/>
        </w:rPr>
        <w:t>Outstanding Equity Awards at Fiscal Year-End</w:t>
      </w:r>
    </w:p>
    <w:p>
      <w:pPr>
        <w:spacing w:after="0" w:line="121" w:lineRule="exact"/>
        <w:rPr>
          <w:sz w:val="20"/>
          <w:szCs w:val="20"/>
          <w:color w:val="auto"/>
        </w:rPr>
      </w:pPr>
    </w:p>
    <w:p>
      <w:pPr>
        <w:ind w:left="320" w:right="359"/>
        <w:spacing w:after="0" w:line="227" w:lineRule="auto"/>
        <w:rPr>
          <w:sz w:val="20"/>
          <w:szCs w:val="20"/>
          <w:color w:val="auto"/>
        </w:rPr>
      </w:pPr>
      <w:r>
        <w:rPr>
          <w:rFonts w:ascii="Arial" w:cs="Arial" w:eastAsia="Arial" w:hAnsi="Arial"/>
          <w:sz w:val="18"/>
          <w:szCs w:val="18"/>
          <w:color w:val="auto"/>
        </w:rPr>
        <w:t>The following table provides information on the holdings of stock options and stock awards by our NEOs as of December 31, 2025. This table includes unexercised vested and unvested options to purchase shares of Class A common stock (columns (a), (b), (c) and (d)), unvested RSUs with respect to shares of Class A common stock (columns (e) and (f)) and unvested PSUs with respect to shares of Class A common stock (columns (g) and (h)).</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The vesting schedules for these grants are disclosed in the footnotes to this table.</w:t>
      </w:r>
    </w:p>
    <w:p>
      <w:pPr>
        <w:spacing w:after="0" w:line="2"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7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2"/>
          </w:tcPr>
          <w:p>
            <w:pPr>
              <w:jc w:val="right"/>
              <w:ind w:right="586"/>
              <w:spacing w:after="0"/>
              <w:rPr>
                <w:sz w:val="20"/>
                <w:szCs w:val="20"/>
                <w:color w:val="auto"/>
              </w:rPr>
            </w:pPr>
            <w:r>
              <w:rPr>
                <w:rFonts w:ascii="Arial" w:cs="Arial" w:eastAsia="Arial" w:hAnsi="Arial"/>
                <w:sz w:val="11"/>
                <w:szCs w:val="11"/>
                <w:b w:val="1"/>
                <w:bCs w:val="1"/>
                <w:color w:val="auto"/>
              </w:rPr>
              <w:t>OPTION AWARDS</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2"/>
          </w:tcPr>
          <w:p>
            <w:pPr>
              <w:jc w:val="right"/>
              <w:ind w:right="346"/>
              <w:spacing w:after="0"/>
              <w:rPr>
                <w:sz w:val="20"/>
                <w:szCs w:val="20"/>
                <w:color w:val="auto"/>
              </w:rPr>
            </w:pPr>
            <w:r>
              <w:rPr>
                <w:rFonts w:ascii="Arial" w:cs="Arial" w:eastAsia="Arial" w:hAnsi="Arial"/>
                <w:sz w:val="11"/>
                <w:szCs w:val="11"/>
                <w:b w:val="1"/>
                <w:bCs w:val="1"/>
                <w:color w:val="auto"/>
              </w:rPr>
              <w:t>STOCK AWARDS</w:t>
            </w: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rPr>
              <w:t>EQUITY</w:t>
            </w:r>
          </w:p>
        </w:tc>
        <w:tc>
          <w:tcPr>
            <w:tcW w:w="9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INCENTIVE</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INCENTIVE</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PLAN</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PLAN AWARDS:</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AWARDS:</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NUMBER OF</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OR PAYOUT</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MARKET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UNEARNED</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VALUE OF</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SHARES,</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UNEARNED</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20" w:type="dxa"/>
            <w:vAlign w:val="bottom"/>
            <w:gridSpan w:val="2"/>
          </w:tcPr>
          <w:p>
            <w:pPr>
              <w:jc w:val="right"/>
              <w:ind w:right="84"/>
              <w:spacing w:after="0" w:line="122" w:lineRule="exact"/>
              <w:rPr>
                <w:sz w:val="20"/>
                <w:szCs w:val="20"/>
                <w:color w:val="auto"/>
              </w:rPr>
            </w:pPr>
            <w:r>
              <w:rPr>
                <w:rFonts w:ascii="Arial" w:cs="Arial" w:eastAsia="Arial" w:hAnsi="Arial"/>
                <w:sz w:val="11"/>
                <w:szCs w:val="11"/>
                <w:b w:val="1"/>
                <w:bCs w:val="1"/>
                <w:color w:val="auto"/>
              </w:rPr>
              <w:t>NUMBER OF</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NUMBER OF</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SHARES OR</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UNITS OR</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SHARES,</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20" w:type="dxa"/>
            <w:vAlign w:val="bottom"/>
            <w:gridSpan w:val="2"/>
          </w:tcPr>
          <w:p>
            <w:pPr>
              <w:jc w:val="right"/>
              <w:ind w:right="84"/>
              <w:spacing w:after="0" w:line="122" w:lineRule="exact"/>
              <w:rPr>
                <w:sz w:val="20"/>
                <w:szCs w:val="20"/>
                <w:color w:val="auto"/>
              </w:rPr>
            </w:pPr>
            <w:r>
              <w:rPr>
                <w:rFonts w:ascii="Arial" w:cs="Arial" w:eastAsia="Arial" w:hAnsi="Arial"/>
                <w:sz w:val="11"/>
                <w:szCs w:val="11"/>
                <w:b w:val="1"/>
                <w:bCs w:val="1"/>
                <w:color w:val="auto"/>
              </w:rPr>
              <w:t>SECURITIES</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SHARES OR</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UNITS OF</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OTHER</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UNITS OR</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20" w:type="dxa"/>
            <w:vAlign w:val="bottom"/>
            <w:gridSpan w:val="2"/>
          </w:tcPr>
          <w:p>
            <w:pPr>
              <w:jc w:val="right"/>
              <w:ind w:right="84"/>
              <w:spacing w:after="0" w:line="122" w:lineRule="exact"/>
              <w:rPr>
                <w:sz w:val="20"/>
                <w:szCs w:val="20"/>
                <w:color w:val="auto"/>
              </w:rPr>
            </w:pPr>
            <w:r>
              <w:rPr>
                <w:rFonts w:ascii="Arial" w:cs="Arial" w:eastAsia="Arial" w:hAnsi="Arial"/>
                <w:sz w:val="11"/>
                <w:szCs w:val="11"/>
                <w:b w:val="1"/>
                <w:bCs w:val="1"/>
                <w:color w:val="auto"/>
              </w:rPr>
              <w:t>UNDERLYING</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UNDERLYING</w:t>
            </w: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OPTION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UNITS OF</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STOCK</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RIGHTS</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OTHER RIGHTS</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20" w:type="dxa"/>
            <w:vAlign w:val="bottom"/>
            <w:gridSpan w:val="2"/>
          </w:tcPr>
          <w:p>
            <w:pPr>
              <w:jc w:val="right"/>
              <w:ind w:right="84"/>
              <w:spacing w:after="0" w:line="122" w:lineRule="exact"/>
              <w:rPr>
                <w:sz w:val="20"/>
                <w:szCs w:val="20"/>
                <w:color w:val="auto"/>
              </w:rPr>
            </w:pPr>
            <w:r>
              <w:rPr>
                <w:rFonts w:ascii="Arial" w:cs="Arial" w:eastAsia="Arial" w:hAnsi="Arial"/>
                <w:sz w:val="11"/>
                <w:szCs w:val="11"/>
                <w:b w:val="1"/>
                <w:bCs w:val="1"/>
                <w:color w:val="auto"/>
              </w:rPr>
              <w:t>UNEXERCISED</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UNEXERCISED</w:t>
            </w: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EXERCISE</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OPTION</w:t>
            </w: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STOCK THAT</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THAT HAVE</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THAT HAVE</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THAT HAVE</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1020" w:type="dxa"/>
            <w:vAlign w:val="bottom"/>
            <w:gridSpan w:val="2"/>
          </w:tcPr>
          <w:p>
            <w:pPr>
              <w:jc w:val="right"/>
              <w:ind w:right="84"/>
              <w:spacing w:after="0" w:line="117" w:lineRule="exact"/>
              <w:rPr>
                <w:sz w:val="20"/>
                <w:szCs w:val="20"/>
                <w:color w:val="auto"/>
              </w:rPr>
            </w:pPr>
            <w:r>
              <w:rPr>
                <w:rFonts w:ascii="Arial" w:cs="Arial" w:eastAsia="Arial" w:hAnsi="Arial"/>
                <w:sz w:val="11"/>
                <w:szCs w:val="11"/>
                <w:b w:val="1"/>
                <w:bCs w:val="1"/>
                <w:color w:val="auto"/>
              </w:rPr>
              <w:t>OPTIONS</w:t>
            </w:r>
          </w:p>
        </w:tc>
        <w:tc>
          <w:tcPr>
            <w:tcW w:w="124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OPTIONS</w:t>
            </w:r>
          </w:p>
        </w:tc>
        <w:tc>
          <w:tcPr>
            <w:tcW w:w="76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PRICE</w:t>
            </w:r>
          </w:p>
        </w:tc>
        <w:tc>
          <w:tcPr>
            <w:tcW w:w="80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88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HAVE NOT</w:t>
            </w:r>
          </w:p>
        </w:tc>
        <w:tc>
          <w:tcPr>
            <w:tcW w:w="92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NOT VESTED</w:t>
            </w:r>
          </w:p>
        </w:tc>
        <w:tc>
          <w:tcPr>
            <w:tcW w:w="86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NOT</w:t>
            </w:r>
          </w:p>
        </w:tc>
        <w:tc>
          <w:tcPr>
            <w:tcW w:w="98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NOT VESTED</w:t>
            </w: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1"/>
                <w:szCs w:val="11"/>
                <w:b w:val="1"/>
                <w:bCs w:val="1"/>
                <w:color w:val="auto"/>
              </w:rPr>
              <w:t>EXERCISABLE</w:t>
            </w:r>
          </w:p>
        </w:tc>
        <w:tc>
          <w:tcPr>
            <w:tcW w:w="1240" w:type="dxa"/>
            <w:vAlign w:val="bottom"/>
          </w:tcPr>
          <w:p>
            <w:pPr>
              <w:jc w:val="right"/>
              <w:ind w:right="66"/>
              <w:spacing w:after="0" w:line="126"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4"/>
                <w:szCs w:val="14"/>
                <w:b w:val="1"/>
                <w:bCs w:val="1"/>
                <w:color w:val="auto"/>
                <w:vertAlign w:val="superscript"/>
              </w:rPr>
              <w:t>(3)</w:t>
            </w: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80" w:type="dxa"/>
            <w:vAlign w:val="bottom"/>
          </w:tcPr>
          <w:p>
            <w:pPr>
              <w:jc w:val="right"/>
              <w:ind w:right="46"/>
              <w:spacing w:after="0" w:line="126"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(4)(5)</w:t>
            </w:r>
          </w:p>
        </w:tc>
        <w:tc>
          <w:tcPr>
            <w:tcW w:w="9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46"/>
              <w:spacing w:after="0" w:line="126"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(4)(5)</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(a)</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(b)</w:t>
            </w: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(e)</w:t>
            </w: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(f)</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(h)</w:t>
            </w:r>
          </w:p>
        </w:tc>
        <w:tc>
          <w:tcPr>
            <w:tcW w:w="0" w:type="dxa"/>
            <w:vAlign w:val="bottom"/>
          </w:tcPr>
          <w:p>
            <w:pPr>
              <w:spacing w:after="0"/>
              <w:rPr>
                <w:sz w:val="1"/>
                <w:szCs w:val="1"/>
                <w:color w:val="auto"/>
              </w:rPr>
            </w:pPr>
          </w:p>
        </w:tc>
      </w:tr>
      <w:tr>
        <w:trPr>
          <w:trHeight w:val="116"/>
        </w:trPr>
        <w:tc>
          <w:tcPr>
            <w:tcW w:w="78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Brian L.</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vMerge w:val="restart"/>
          </w:tcPr>
          <w:p>
            <w:pPr>
              <w:jc w:val="right"/>
              <w:ind w:right="46"/>
              <w:spacing w:after="0"/>
              <w:rPr>
                <w:sz w:val="20"/>
                <w:szCs w:val="20"/>
                <w:color w:val="auto"/>
              </w:rPr>
            </w:pPr>
            <w:r>
              <w:rPr>
                <w:rFonts w:ascii="Arial" w:cs="Arial" w:eastAsia="Arial" w:hAnsi="Arial"/>
                <w:sz w:val="11"/>
                <w:szCs w:val="11"/>
                <w:color w:val="auto"/>
              </w:rPr>
              <w:t>3,735,500</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107,320,915</w:t>
            </w:r>
          </w:p>
        </w:tc>
        <w:tc>
          <w:tcPr>
            <w:tcW w:w="0" w:type="dxa"/>
            <w:vAlign w:val="bottom"/>
          </w:tcPr>
          <w:p>
            <w:pPr>
              <w:spacing w:after="0"/>
              <w:rPr>
                <w:sz w:val="1"/>
                <w:szCs w:val="1"/>
                <w:color w:val="auto"/>
              </w:rPr>
            </w:pPr>
          </w:p>
        </w:tc>
      </w:tr>
      <w:tr>
        <w:trPr>
          <w:trHeight w:val="74"/>
        </w:trPr>
        <w:tc>
          <w:tcPr>
            <w:tcW w:w="78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Roberts</w:t>
            </w: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80" w:type="dxa"/>
            <w:vAlign w:val="bottom"/>
            <w:vMerge w:val="continue"/>
          </w:tcPr>
          <w:p>
            <w:pPr>
              <w:spacing w:after="0"/>
              <w:rPr>
                <w:sz w:val="4"/>
                <w:szCs w:val="4"/>
                <w:color w:val="auto"/>
              </w:rPr>
            </w:pPr>
          </w:p>
        </w:tc>
        <w:tc>
          <w:tcPr>
            <w:tcW w:w="680" w:type="dxa"/>
            <w:vAlign w:val="bottom"/>
            <w:tcBorders>
              <w:bottom w:val="single" w:sz="8" w:color="E7E6E6"/>
            </w:tcBorders>
          </w:tcPr>
          <w:p>
            <w:pPr>
              <w:spacing w:after="0"/>
              <w:rPr>
                <w:sz w:val="4"/>
                <w:szCs w:val="4"/>
                <w:color w:val="auto"/>
              </w:rPr>
            </w:pPr>
          </w:p>
        </w:tc>
        <w:tc>
          <w:tcPr>
            <w:tcW w:w="340" w:type="dxa"/>
            <w:vAlign w:val="bottom"/>
            <w:tcBorders>
              <w:bottom w:val="single" w:sz="8" w:color="E7E6E6"/>
            </w:tcBorders>
          </w:tcPr>
          <w:p>
            <w:pPr>
              <w:spacing w:after="0"/>
              <w:rPr>
                <w:sz w:val="4"/>
                <w:szCs w:val="4"/>
                <w:color w:val="auto"/>
              </w:rPr>
            </w:pPr>
          </w:p>
        </w:tc>
        <w:tc>
          <w:tcPr>
            <w:tcW w:w="1240" w:type="dxa"/>
            <w:vAlign w:val="bottom"/>
            <w:tcBorders>
              <w:bottom w:val="single" w:sz="8" w:color="E7E6E6"/>
            </w:tcBorders>
          </w:tcPr>
          <w:p>
            <w:pPr>
              <w:spacing w:after="0"/>
              <w:rPr>
                <w:sz w:val="4"/>
                <w:szCs w:val="4"/>
                <w:color w:val="auto"/>
              </w:rPr>
            </w:pPr>
          </w:p>
        </w:tc>
        <w:tc>
          <w:tcPr>
            <w:tcW w:w="760" w:type="dxa"/>
            <w:vAlign w:val="bottom"/>
            <w:tcBorders>
              <w:bottom w:val="single" w:sz="8" w:color="E7E6E6"/>
            </w:tcBorders>
          </w:tcPr>
          <w:p>
            <w:pPr>
              <w:spacing w:after="0"/>
              <w:rPr>
                <w:sz w:val="4"/>
                <w:szCs w:val="4"/>
                <w:color w:val="auto"/>
              </w:rPr>
            </w:pPr>
          </w:p>
        </w:tc>
        <w:tc>
          <w:tcPr>
            <w:tcW w:w="800" w:type="dxa"/>
            <w:vAlign w:val="bottom"/>
            <w:tcBorders>
              <w:bottom w:val="single" w:sz="8" w:color="E7E6E6"/>
            </w:tcBorders>
          </w:tcPr>
          <w:p>
            <w:pPr>
              <w:spacing w:after="0"/>
              <w:rPr>
                <w:sz w:val="4"/>
                <w:szCs w:val="4"/>
                <w:color w:val="auto"/>
              </w:rPr>
            </w:pPr>
          </w:p>
        </w:tc>
        <w:tc>
          <w:tcPr>
            <w:tcW w:w="100" w:type="dxa"/>
            <w:vAlign w:val="bottom"/>
            <w:tcBorders>
              <w:bottom w:val="single" w:sz="8" w:color="E7E6E6"/>
            </w:tcBorders>
          </w:tcPr>
          <w:p>
            <w:pPr>
              <w:spacing w:after="0"/>
              <w:rPr>
                <w:sz w:val="4"/>
                <w:szCs w:val="4"/>
                <w:color w:val="auto"/>
              </w:rPr>
            </w:pPr>
          </w:p>
        </w:tc>
        <w:tc>
          <w:tcPr>
            <w:tcW w:w="880" w:type="dxa"/>
            <w:vAlign w:val="bottom"/>
            <w:tcBorders>
              <w:bottom w:val="single" w:sz="8" w:color="E7E6E6"/>
            </w:tcBorders>
          </w:tcPr>
          <w:p>
            <w:pPr>
              <w:spacing w:after="0"/>
              <w:rPr>
                <w:sz w:val="4"/>
                <w:szCs w:val="4"/>
                <w:color w:val="auto"/>
              </w:rPr>
            </w:pPr>
          </w:p>
        </w:tc>
        <w:tc>
          <w:tcPr>
            <w:tcW w:w="920" w:type="dxa"/>
            <w:vAlign w:val="bottom"/>
            <w:tcBorders>
              <w:bottom w:val="single" w:sz="8" w:color="E7E6E6"/>
            </w:tcBorders>
          </w:tcPr>
          <w:p>
            <w:pPr>
              <w:spacing w:after="0"/>
              <w:rPr>
                <w:sz w:val="4"/>
                <w:szCs w:val="4"/>
                <w:color w:val="auto"/>
              </w:rPr>
            </w:pPr>
          </w:p>
        </w:tc>
        <w:tc>
          <w:tcPr>
            <w:tcW w:w="860" w:type="dxa"/>
            <w:vAlign w:val="bottom"/>
            <w:tcBorders>
              <w:bottom w:val="single" w:sz="8" w:color="E7E6E6"/>
            </w:tcBorders>
          </w:tcPr>
          <w:p>
            <w:pPr>
              <w:spacing w:after="0"/>
              <w:rPr>
                <w:sz w:val="4"/>
                <w:szCs w:val="4"/>
                <w:color w:val="auto"/>
              </w:rPr>
            </w:pPr>
          </w:p>
        </w:tc>
        <w:tc>
          <w:tcPr>
            <w:tcW w:w="980" w:type="dxa"/>
            <w:vAlign w:val="bottom"/>
            <w:tcBorders>
              <w:bottom w:val="single" w:sz="8" w:color="E7E6E6"/>
            </w:tcBorders>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984,320</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28.380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03/17/2026</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728,569</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80,957</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35.580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03/16/2027</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669,835</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118,210</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34.030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03/15/2028</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569,782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142,449</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38.440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03/14/2029</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1,281,966</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427,326</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40.390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03/01/2030</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740,617</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185,157</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51.720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02/28/2031</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608,118</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405,416</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44.060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02/29/2032</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465,180</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697,771</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34.790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02/28/2033</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127,600</w:t>
            </w:r>
          </w:p>
        </w:tc>
        <w:tc>
          <w:tcPr>
            <w:tcW w:w="34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510,402</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40.650</w:t>
            </w:r>
          </w:p>
        </w:tc>
        <w:tc>
          <w:tcPr>
            <w:tcW w:w="800" w:type="dxa"/>
            <w:vAlign w:val="bottom"/>
          </w:tcPr>
          <w:p>
            <w:pPr>
              <w:jc w:val="right"/>
              <w:spacing w:after="0"/>
              <w:rPr>
                <w:sz w:val="20"/>
                <w:szCs w:val="20"/>
                <w:color w:val="auto"/>
              </w:rPr>
            </w:pPr>
            <w:r>
              <w:rPr>
                <w:rFonts w:ascii="Arial" w:cs="Arial" w:eastAsia="Arial" w:hAnsi="Arial"/>
                <w:sz w:val="11"/>
                <w:szCs w:val="11"/>
                <w:color w:val="auto"/>
              </w:rPr>
              <w:t>02/28/2034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Michael J.</w:t>
            </w:r>
          </w:p>
        </w:tc>
        <w:tc>
          <w:tcPr>
            <w:tcW w:w="680" w:type="dxa"/>
            <w:vAlign w:val="bottom"/>
            <w:tcBorders>
              <w:bottom w:val="single" w:sz="8" w:color="DCDDDE"/>
            </w:tcBorders>
          </w:tcPr>
          <w:p>
            <w:pPr>
              <w:spacing w:after="0"/>
              <w:rPr>
                <w:sz w:val="13"/>
                <w:szCs w:val="13"/>
                <w:color w:val="auto"/>
              </w:rPr>
            </w:pPr>
          </w:p>
        </w:tc>
        <w:tc>
          <w:tcPr>
            <w:tcW w:w="340" w:type="dxa"/>
            <w:vAlign w:val="bottom"/>
            <w:tcBorders>
              <w:bottom w:val="single" w:sz="8" w:color="DCDDDE"/>
            </w:tcBorders>
          </w:tcPr>
          <w:p>
            <w:pPr>
              <w:spacing w:after="0"/>
              <w:rPr>
                <w:sz w:val="13"/>
                <w:szCs w:val="13"/>
                <w:color w:val="auto"/>
              </w:rPr>
            </w:pPr>
          </w:p>
        </w:tc>
        <w:tc>
          <w:tcPr>
            <w:tcW w:w="1240" w:type="dxa"/>
            <w:vAlign w:val="bottom"/>
            <w:tcBorders>
              <w:bottom w:val="single" w:sz="8" w:color="DCDDDE"/>
            </w:tcBorders>
          </w:tcPr>
          <w:p>
            <w:pPr>
              <w:spacing w:after="0"/>
              <w:rPr>
                <w:sz w:val="13"/>
                <w:szCs w:val="13"/>
                <w:color w:val="auto"/>
              </w:rPr>
            </w:pPr>
          </w:p>
        </w:tc>
        <w:tc>
          <w:tcPr>
            <w:tcW w:w="760" w:type="dxa"/>
            <w:vAlign w:val="bottom"/>
            <w:tcBorders>
              <w:bottom w:val="single" w:sz="8" w:color="DCDDDE"/>
            </w:tcBorders>
          </w:tcPr>
          <w:p>
            <w:pPr>
              <w:spacing w:after="0"/>
              <w:rPr>
                <w:sz w:val="13"/>
                <w:szCs w:val="13"/>
                <w:color w:val="auto"/>
              </w:rPr>
            </w:pPr>
          </w:p>
        </w:tc>
        <w:tc>
          <w:tcPr>
            <w:tcW w:w="800" w:type="dxa"/>
            <w:vAlign w:val="bottom"/>
            <w:tcBorders>
              <w:bottom w:val="single" w:sz="8" w:color="DCDDDE"/>
            </w:tcBorders>
          </w:tcPr>
          <w:p>
            <w:pPr>
              <w:spacing w:after="0"/>
              <w:rPr>
                <w:sz w:val="13"/>
                <w:szCs w:val="13"/>
                <w:color w:val="auto"/>
              </w:rPr>
            </w:pPr>
          </w:p>
        </w:tc>
        <w:tc>
          <w:tcPr>
            <w:tcW w:w="100" w:type="dxa"/>
            <w:vAlign w:val="bottom"/>
            <w:tcBorders>
              <w:bottom w:val="single" w:sz="8" w:color="DCDDDE"/>
            </w:tcBorders>
          </w:tcPr>
          <w:p>
            <w:pPr>
              <w:spacing w:after="0"/>
              <w:rPr>
                <w:sz w:val="13"/>
                <w:szCs w:val="13"/>
                <w:color w:val="auto"/>
              </w:rPr>
            </w:pPr>
          </w:p>
        </w:tc>
        <w:tc>
          <w:tcPr>
            <w:tcW w:w="880" w:type="dxa"/>
            <w:vAlign w:val="bottom"/>
            <w:tcBorders>
              <w:bottom w:val="single" w:sz="8" w:color="DCDDDE"/>
            </w:tcBorders>
          </w:tcPr>
          <w:p>
            <w:pPr>
              <w:spacing w:after="0"/>
              <w:rPr>
                <w:sz w:val="13"/>
                <w:szCs w:val="13"/>
                <w:color w:val="auto"/>
              </w:rPr>
            </w:pPr>
          </w:p>
        </w:tc>
        <w:tc>
          <w:tcPr>
            <w:tcW w:w="920" w:type="dxa"/>
            <w:vAlign w:val="bottom"/>
            <w:tcBorders>
              <w:bottom w:val="single" w:sz="8" w:color="DCDDDE"/>
            </w:tcBorders>
          </w:tcPr>
          <w:p>
            <w:pPr>
              <w:spacing w:after="0"/>
              <w:rPr>
                <w:sz w:val="13"/>
                <w:szCs w:val="13"/>
                <w:color w:val="auto"/>
              </w:rPr>
            </w:pPr>
          </w:p>
        </w:tc>
        <w:tc>
          <w:tcPr>
            <w:tcW w:w="86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6,334,724</w:t>
            </w:r>
          </w:p>
        </w:tc>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181,996,621</w:t>
            </w:r>
          </w:p>
        </w:tc>
        <w:tc>
          <w:tcPr>
            <w:tcW w:w="0" w:type="dxa"/>
            <w:vAlign w:val="bottom"/>
          </w:tcPr>
          <w:p>
            <w:pPr>
              <w:spacing w:after="0"/>
              <w:rPr>
                <w:sz w:val="1"/>
                <w:szCs w:val="1"/>
                <w:color w:val="auto"/>
              </w:rPr>
            </w:pPr>
          </w:p>
        </w:tc>
      </w:tr>
      <w:tr>
        <w:trPr>
          <w:trHeight w:val="142"/>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Cavanagh</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736,238</w:t>
            </w:r>
          </w:p>
        </w:tc>
        <w:tc>
          <w:tcPr>
            <w:tcW w:w="340" w:type="dxa"/>
            <w:vAlign w:val="bottom"/>
            <w:tcBorders>
              <w:bottom w:val="single" w:sz="8" w:color="DCDDDE"/>
            </w:tcBorders>
          </w:tcPr>
          <w:p>
            <w:pPr>
              <w:jc w:val="right"/>
              <w:ind w:right="224"/>
              <w:spacing w:after="0"/>
              <w:rPr>
                <w:sz w:val="20"/>
                <w:szCs w:val="20"/>
                <w:color w:val="auto"/>
              </w:rPr>
            </w:pPr>
            <w:r>
              <w:rPr>
                <w:rFonts w:ascii="Arial" w:cs="Arial" w:eastAsia="Arial" w:hAnsi="Arial"/>
                <w:sz w:val="6"/>
                <w:szCs w:val="6"/>
                <w:color w:val="auto"/>
                <w:w w:val="81"/>
              </w:rPr>
              <w:t>(2)</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28.380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03/17/2026</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544,627</w:t>
            </w:r>
          </w:p>
        </w:tc>
        <w:tc>
          <w:tcPr>
            <w:tcW w:w="340" w:type="dxa"/>
            <w:vAlign w:val="bottom"/>
            <w:tcBorders>
              <w:bottom w:val="single" w:sz="8" w:color="DCDDDE"/>
            </w:tcBorders>
          </w:tcPr>
          <w:p>
            <w:pPr>
              <w:jc w:val="right"/>
              <w:ind w:right="224"/>
              <w:spacing w:after="0"/>
              <w:rPr>
                <w:sz w:val="20"/>
                <w:szCs w:val="20"/>
                <w:color w:val="auto"/>
              </w:rPr>
            </w:pPr>
            <w:r>
              <w:rPr>
                <w:rFonts w:ascii="Arial" w:cs="Arial" w:eastAsia="Arial" w:hAnsi="Arial"/>
                <w:sz w:val="6"/>
                <w:szCs w:val="6"/>
                <w:color w:val="auto"/>
                <w:w w:val="81"/>
              </w:rPr>
              <w:t>(2)</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60,516</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35.580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03/16/2027</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500,944</w:t>
            </w:r>
          </w:p>
        </w:tc>
        <w:tc>
          <w:tcPr>
            <w:tcW w:w="340" w:type="dxa"/>
            <w:vAlign w:val="bottom"/>
            <w:tcBorders>
              <w:bottom w:val="single" w:sz="8" w:color="DCDDDE"/>
            </w:tcBorders>
          </w:tcPr>
          <w:p>
            <w:pPr>
              <w:jc w:val="right"/>
              <w:ind w:right="224"/>
              <w:spacing w:after="0"/>
              <w:rPr>
                <w:sz w:val="20"/>
                <w:szCs w:val="20"/>
                <w:color w:val="auto"/>
              </w:rPr>
            </w:pPr>
            <w:r>
              <w:rPr>
                <w:rFonts w:ascii="Arial" w:cs="Arial" w:eastAsia="Arial" w:hAnsi="Arial"/>
                <w:sz w:val="6"/>
                <w:szCs w:val="6"/>
                <w:color w:val="auto"/>
                <w:w w:val="81"/>
              </w:rPr>
              <w:t>(2)</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88,404</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34.030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03/15/2028</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505,848</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126,462</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38.440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03/14/2029</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852,672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284,224</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40.390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03/01/2030</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551,842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137,960</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51.720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02/28/2031</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453,223</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302,148</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44.060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02/29/2032</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4,211,896</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33.220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12/29/2032</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353,942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530,914</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34.790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02/28/2033</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97,087</w:t>
            </w:r>
          </w:p>
        </w:tc>
        <w:tc>
          <w:tcPr>
            <w:tcW w:w="34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388,349</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40.650</w:t>
            </w:r>
          </w:p>
        </w:tc>
        <w:tc>
          <w:tcPr>
            <w:tcW w:w="800" w:type="dxa"/>
            <w:vAlign w:val="bottom"/>
          </w:tcPr>
          <w:p>
            <w:pPr>
              <w:jc w:val="right"/>
              <w:spacing w:after="0"/>
              <w:rPr>
                <w:sz w:val="20"/>
                <w:szCs w:val="20"/>
                <w:color w:val="auto"/>
              </w:rPr>
            </w:pPr>
            <w:r>
              <w:rPr>
                <w:rFonts w:ascii="Arial" w:cs="Arial" w:eastAsia="Arial" w:hAnsi="Arial"/>
                <w:sz w:val="11"/>
                <w:szCs w:val="11"/>
                <w:color w:val="auto"/>
              </w:rPr>
              <w:t>02/28/2034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Jason S.</w:t>
            </w:r>
          </w:p>
        </w:tc>
        <w:tc>
          <w:tcPr>
            <w:tcW w:w="680" w:type="dxa"/>
            <w:vAlign w:val="bottom"/>
            <w:tcBorders>
              <w:bottom w:val="single" w:sz="8" w:color="DCDDDE"/>
            </w:tcBorders>
          </w:tcPr>
          <w:p>
            <w:pPr>
              <w:spacing w:after="0"/>
              <w:rPr>
                <w:sz w:val="13"/>
                <w:szCs w:val="13"/>
                <w:color w:val="auto"/>
              </w:rPr>
            </w:pPr>
          </w:p>
        </w:tc>
        <w:tc>
          <w:tcPr>
            <w:tcW w:w="340" w:type="dxa"/>
            <w:vAlign w:val="bottom"/>
            <w:tcBorders>
              <w:bottom w:val="single" w:sz="8" w:color="DCDDDE"/>
            </w:tcBorders>
          </w:tcPr>
          <w:p>
            <w:pPr>
              <w:spacing w:after="0"/>
              <w:rPr>
                <w:sz w:val="13"/>
                <w:szCs w:val="13"/>
                <w:color w:val="auto"/>
              </w:rPr>
            </w:pPr>
          </w:p>
        </w:tc>
        <w:tc>
          <w:tcPr>
            <w:tcW w:w="1240" w:type="dxa"/>
            <w:vAlign w:val="bottom"/>
            <w:tcBorders>
              <w:bottom w:val="single" w:sz="8" w:color="DCDDDE"/>
            </w:tcBorders>
          </w:tcPr>
          <w:p>
            <w:pPr>
              <w:spacing w:after="0"/>
              <w:rPr>
                <w:sz w:val="13"/>
                <w:szCs w:val="13"/>
                <w:color w:val="auto"/>
              </w:rPr>
            </w:pPr>
          </w:p>
        </w:tc>
        <w:tc>
          <w:tcPr>
            <w:tcW w:w="760" w:type="dxa"/>
            <w:vAlign w:val="bottom"/>
            <w:tcBorders>
              <w:bottom w:val="single" w:sz="8" w:color="DCDDDE"/>
            </w:tcBorders>
          </w:tcPr>
          <w:p>
            <w:pPr>
              <w:spacing w:after="0"/>
              <w:rPr>
                <w:sz w:val="13"/>
                <w:szCs w:val="13"/>
                <w:color w:val="auto"/>
              </w:rPr>
            </w:pPr>
          </w:p>
        </w:tc>
        <w:tc>
          <w:tcPr>
            <w:tcW w:w="800" w:type="dxa"/>
            <w:vAlign w:val="bottom"/>
            <w:tcBorders>
              <w:bottom w:val="single" w:sz="8" w:color="DCDDDE"/>
            </w:tcBorders>
          </w:tcPr>
          <w:p>
            <w:pPr>
              <w:spacing w:after="0"/>
              <w:rPr>
                <w:sz w:val="13"/>
                <w:szCs w:val="13"/>
                <w:color w:val="auto"/>
              </w:rPr>
            </w:pPr>
          </w:p>
        </w:tc>
        <w:tc>
          <w:tcPr>
            <w:tcW w:w="980" w:type="dxa"/>
            <w:vAlign w:val="bottom"/>
            <w:tcBorders>
              <w:bottom w:val="single" w:sz="8" w:color="DCDDDE"/>
            </w:tcBorders>
            <w:gridSpan w:val="2"/>
          </w:tcPr>
          <w:p>
            <w:pPr>
              <w:jc w:val="right"/>
              <w:ind w:right="46"/>
              <w:spacing w:after="0"/>
              <w:rPr>
                <w:sz w:val="20"/>
                <w:szCs w:val="20"/>
                <w:color w:val="auto"/>
              </w:rPr>
            </w:pPr>
            <w:r>
              <w:rPr>
                <w:rFonts w:ascii="Arial" w:cs="Arial" w:eastAsia="Arial" w:hAnsi="Arial"/>
                <w:sz w:val="11"/>
                <w:szCs w:val="11"/>
                <w:color w:val="auto"/>
              </w:rPr>
              <w:t>31,194</w:t>
            </w:r>
          </w:p>
        </w:tc>
        <w:tc>
          <w:tcPr>
            <w:tcW w:w="92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896,204</w:t>
            </w:r>
          </w:p>
        </w:tc>
        <w:tc>
          <w:tcPr>
            <w:tcW w:w="86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1,302,774</w:t>
            </w:r>
          </w:p>
        </w:tc>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37,428,697</w:t>
            </w:r>
          </w:p>
        </w:tc>
        <w:tc>
          <w:tcPr>
            <w:tcW w:w="0" w:type="dxa"/>
            <w:vAlign w:val="bottom"/>
          </w:tcPr>
          <w:p>
            <w:pPr>
              <w:spacing w:after="0"/>
              <w:rPr>
                <w:sz w:val="1"/>
                <w:szCs w:val="1"/>
                <w:color w:val="auto"/>
              </w:rPr>
            </w:pPr>
          </w:p>
        </w:tc>
      </w:tr>
      <w:tr>
        <w:trPr>
          <w:trHeight w:val="142"/>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Armstrong</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73,497</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28.380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03/17/2026</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71,812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35.580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03/16/2027</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73,497</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34.030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03/15/2028</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86,343</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38.440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03/14/2029</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65,452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16,364</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51.720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02/28/2031</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71,712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47,811</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44.060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02/29/2032</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101,126</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151,693</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34.790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02/28/2033</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47,156</w:t>
            </w:r>
          </w:p>
        </w:tc>
        <w:tc>
          <w:tcPr>
            <w:tcW w:w="34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188,625</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40.650</w:t>
            </w:r>
          </w:p>
        </w:tc>
        <w:tc>
          <w:tcPr>
            <w:tcW w:w="800" w:type="dxa"/>
            <w:vAlign w:val="bottom"/>
          </w:tcPr>
          <w:p>
            <w:pPr>
              <w:jc w:val="right"/>
              <w:spacing w:after="0"/>
              <w:rPr>
                <w:sz w:val="20"/>
                <w:szCs w:val="20"/>
                <w:color w:val="auto"/>
              </w:rPr>
            </w:pPr>
            <w:r>
              <w:rPr>
                <w:rFonts w:ascii="Arial" w:cs="Arial" w:eastAsia="Arial" w:hAnsi="Arial"/>
                <w:sz w:val="11"/>
                <w:szCs w:val="11"/>
                <w:color w:val="auto"/>
              </w:rPr>
              <w:t>02/28/2034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Thomas J.</w:t>
            </w:r>
          </w:p>
        </w:tc>
        <w:tc>
          <w:tcPr>
            <w:tcW w:w="680" w:type="dxa"/>
            <w:vAlign w:val="bottom"/>
            <w:tcBorders>
              <w:bottom w:val="single" w:sz="8" w:color="DCDDDE"/>
            </w:tcBorders>
          </w:tcPr>
          <w:p>
            <w:pPr>
              <w:spacing w:after="0"/>
              <w:rPr>
                <w:sz w:val="13"/>
                <w:szCs w:val="13"/>
                <w:color w:val="auto"/>
              </w:rPr>
            </w:pPr>
          </w:p>
        </w:tc>
        <w:tc>
          <w:tcPr>
            <w:tcW w:w="340" w:type="dxa"/>
            <w:vAlign w:val="bottom"/>
            <w:tcBorders>
              <w:bottom w:val="single" w:sz="8" w:color="DCDDDE"/>
            </w:tcBorders>
          </w:tcPr>
          <w:p>
            <w:pPr>
              <w:spacing w:after="0"/>
              <w:rPr>
                <w:sz w:val="13"/>
                <w:szCs w:val="13"/>
                <w:color w:val="auto"/>
              </w:rPr>
            </w:pPr>
          </w:p>
        </w:tc>
        <w:tc>
          <w:tcPr>
            <w:tcW w:w="1240" w:type="dxa"/>
            <w:vAlign w:val="bottom"/>
            <w:tcBorders>
              <w:bottom w:val="single" w:sz="8" w:color="DCDDDE"/>
            </w:tcBorders>
          </w:tcPr>
          <w:p>
            <w:pPr>
              <w:spacing w:after="0"/>
              <w:rPr>
                <w:sz w:val="13"/>
                <w:szCs w:val="13"/>
                <w:color w:val="auto"/>
              </w:rPr>
            </w:pPr>
          </w:p>
        </w:tc>
        <w:tc>
          <w:tcPr>
            <w:tcW w:w="760" w:type="dxa"/>
            <w:vAlign w:val="bottom"/>
            <w:tcBorders>
              <w:bottom w:val="single" w:sz="8" w:color="DCDDDE"/>
            </w:tcBorders>
          </w:tcPr>
          <w:p>
            <w:pPr>
              <w:spacing w:after="0"/>
              <w:rPr>
                <w:sz w:val="13"/>
                <w:szCs w:val="13"/>
                <w:color w:val="auto"/>
              </w:rPr>
            </w:pPr>
          </w:p>
        </w:tc>
        <w:tc>
          <w:tcPr>
            <w:tcW w:w="800" w:type="dxa"/>
            <w:vAlign w:val="bottom"/>
            <w:tcBorders>
              <w:bottom w:val="single" w:sz="8" w:color="DCDDDE"/>
            </w:tcBorders>
          </w:tcPr>
          <w:p>
            <w:pPr>
              <w:spacing w:after="0"/>
              <w:rPr>
                <w:sz w:val="13"/>
                <w:szCs w:val="13"/>
                <w:color w:val="auto"/>
              </w:rPr>
            </w:pPr>
          </w:p>
        </w:tc>
        <w:tc>
          <w:tcPr>
            <w:tcW w:w="100" w:type="dxa"/>
            <w:vAlign w:val="bottom"/>
            <w:tcBorders>
              <w:bottom w:val="single" w:sz="8" w:color="DCDDDE"/>
            </w:tcBorders>
          </w:tcPr>
          <w:p>
            <w:pPr>
              <w:spacing w:after="0"/>
              <w:rPr>
                <w:sz w:val="13"/>
                <w:szCs w:val="13"/>
                <w:color w:val="auto"/>
              </w:rPr>
            </w:pPr>
          </w:p>
        </w:tc>
        <w:tc>
          <w:tcPr>
            <w:tcW w:w="880" w:type="dxa"/>
            <w:vAlign w:val="bottom"/>
            <w:tcBorders>
              <w:bottom w:val="single" w:sz="8" w:color="DCDDDE"/>
            </w:tcBorders>
          </w:tcPr>
          <w:p>
            <w:pPr>
              <w:spacing w:after="0"/>
              <w:rPr>
                <w:sz w:val="13"/>
                <w:szCs w:val="13"/>
                <w:color w:val="auto"/>
              </w:rPr>
            </w:pPr>
          </w:p>
        </w:tc>
        <w:tc>
          <w:tcPr>
            <w:tcW w:w="920" w:type="dxa"/>
            <w:vAlign w:val="bottom"/>
            <w:tcBorders>
              <w:bottom w:val="single" w:sz="8" w:color="DCDDDE"/>
            </w:tcBorders>
          </w:tcPr>
          <w:p>
            <w:pPr>
              <w:spacing w:after="0"/>
              <w:rPr>
                <w:sz w:val="13"/>
                <w:szCs w:val="13"/>
                <w:color w:val="auto"/>
              </w:rPr>
            </w:pPr>
          </w:p>
        </w:tc>
        <w:tc>
          <w:tcPr>
            <w:tcW w:w="86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1,032,777</w:t>
            </w:r>
          </w:p>
        </w:tc>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29,671,683</w:t>
            </w:r>
          </w:p>
        </w:tc>
        <w:tc>
          <w:tcPr>
            <w:tcW w:w="0" w:type="dxa"/>
            <w:vAlign w:val="bottom"/>
          </w:tcPr>
          <w:p>
            <w:pPr>
              <w:spacing w:after="0"/>
              <w:rPr>
                <w:sz w:val="1"/>
                <w:szCs w:val="1"/>
                <w:color w:val="auto"/>
              </w:rPr>
            </w:pPr>
          </w:p>
        </w:tc>
      </w:tr>
      <w:tr>
        <w:trPr>
          <w:trHeight w:val="142"/>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Reid</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272,220</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90,740</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40.390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03/01/2030</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174,792</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43,700</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51.720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02/28/2031</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143,424</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95,616</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44.060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02/29/2032</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101,126</w:t>
            </w:r>
          </w:p>
        </w:tc>
        <w:tc>
          <w:tcPr>
            <w:tcW w:w="340" w:type="dxa"/>
            <w:vAlign w:val="bottom"/>
            <w:tcBorders>
              <w:bottom w:val="single" w:sz="8" w:color="DCDDDE"/>
            </w:tcBorders>
          </w:tcPr>
          <w:p>
            <w:pPr>
              <w:spacing w:after="0"/>
              <w:rPr>
                <w:sz w:val="12"/>
                <w:szCs w:val="12"/>
                <w:color w:val="auto"/>
              </w:rPr>
            </w:pP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151,693</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34.790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02/28/2033</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38,002</w:t>
            </w:r>
          </w:p>
        </w:tc>
        <w:tc>
          <w:tcPr>
            <w:tcW w:w="34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152,012</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40.650</w:t>
            </w:r>
          </w:p>
        </w:tc>
        <w:tc>
          <w:tcPr>
            <w:tcW w:w="800" w:type="dxa"/>
            <w:vAlign w:val="bottom"/>
          </w:tcPr>
          <w:p>
            <w:pPr>
              <w:jc w:val="right"/>
              <w:spacing w:after="0"/>
              <w:rPr>
                <w:sz w:val="20"/>
                <w:szCs w:val="20"/>
                <w:color w:val="auto"/>
              </w:rPr>
            </w:pPr>
            <w:r>
              <w:rPr>
                <w:rFonts w:ascii="Arial" w:cs="Arial" w:eastAsia="Arial" w:hAnsi="Arial"/>
                <w:sz w:val="11"/>
                <w:szCs w:val="11"/>
                <w:color w:val="auto"/>
              </w:rPr>
              <w:t>02/28/2034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 w:hanging="674"/>
        <w:spacing w:after="0"/>
        <w:tabs>
          <w:tab w:leader="none" w:pos="100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9" w:name="page50"/>
    <w:bookmarkEnd w:id="4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00" w:type="dxa"/>
        <w:tblCellMar>
          <w:top w:w="0" w:type="dxa"/>
          <w:left w:w="0" w:type="dxa"/>
          <w:bottom w:w="0" w:type="dxa"/>
          <w:right w:w="0" w:type="dxa"/>
        </w:tblCellMar>
      </w:tblPr>
      <w:tr>
        <w:trPr>
          <w:trHeight w:val="135"/>
        </w:trPr>
        <w:tc>
          <w:tcPr>
            <w:tcW w:w="7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2"/>
          </w:tcPr>
          <w:p>
            <w:pPr>
              <w:jc w:val="right"/>
              <w:ind w:right="586"/>
              <w:spacing w:after="0"/>
              <w:rPr>
                <w:sz w:val="20"/>
                <w:szCs w:val="20"/>
                <w:color w:val="auto"/>
              </w:rPr>
            </w:pPr>
            <w:r>
              <w:rPr>
                <w:rFonts w:ascii="Arial" w:cs="Arial" w:eastAsia="Arial" w:hAnsi="Arial"/>
                <w:sz w:val="11"/>
                <w:szCs w:val="11"/>
                <w:b w:val="1"/>
                <w:bCs w:val="1"/>
                <w:color w:val="auto"/>
              </w:rPr>
              <w:t>OPTION AWARDS</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jc w:val="right"/>
              <w:ind w:right="346"/>
              <w:spacing w:after="0"/>
              <w:rPr>
                <w:sz w:val="20"/>
                <w:szCs w:val="20"/>
                <w:color w:val="auto"/>
              </w:rPr>
            </w:pPr>
            <w:r>
              <w:rPr>
                <w:rFonts w:ascii="Arial" w:cs="Arial" w:eastAsia="Arial" w:hAnsi="Arial"/>
                <w:sz w:val="11"/>
                <w:szCs w:val="11"/>
                <w:b w:val="1"/>
                <w:bCs w:val="1"/>
                <w:color w:val="auto"/>
              </w:rPr>
              <w:t>STOCK AWARDS</w:t>
            </w:r>
          </w:p>
        </w:tc>
        <w:tc>
          <w:tcPr>
            <w:tcW w:w="980" w:type="dxa"/>
            <w:vAlign w:val="bottom"/>
            <w:tcBorders>
              <w:bottom w:val="single" w:sz="8" w:color="auto"/>
            </w:tcBorders>
          </w:tcPr>
          <w:p>
            <w:pPr>
              <w:spacing w:after="0"/>
              <w:rPr>
                <w:sz w:val="11"/>
                <w:szCs w:val="11"/>
                <w:color w:val="auto"/>
              </w:rPr>
            </w:pPr>
          </w:p>
        </w:tc>
      </w:tr>
      <w:tr>
        <w:trPr>
          <w:trHeight w:val="102"/>
        </w:trPr>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jc w:val="right"/>
              <w:ind w:right="46"/>
              <w:spacing w:after="0" w:line="102" w:lineRule="exact"/>
              <w:rPr>
                <w:sz w:val="20"/>
                <w:szCs w:val="20"/>
                <w:color w:val="auto"/>
              </w:rPr>
            </w:pPr>
            <w:r>
              <w:rPr>
                <w:rFonts w:ascii="Arial" w:cs="Arial" w:eastAsia="Arial" w:hAnsi="Arial"/>
                <w:sz w:val="11"/>
                <w:szCs w:val="11"/>
                <w:b w:val="1"/>
                <w:bCs w:val="1"/>
                <w:color w:val="auto"/>
              </w:rPr>
              <w:t>EQUITY</w:t>
            </w:r>
          </w:p>
        </w:tc>
        <w:tc>
          <w:tcPr>
            <w:tcW w:w="9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EQUITY</w:t>
            </w:r>
          </w:p>
        </w:tc>
      </w:tr>
      <w:tr>
        <w:trPr>
          <w:trHeight w:val="122"/>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INCENTIVE</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INCENTIVE</w:t>
            </w:r>
          </w:p>
        </w:tc>
      </w:tr>
      <w:tr>
        <w:trPr>
          <w:trHeight w:val="122"/>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PLAN</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PLAN AWARDS:</w:t>
            </w:r>
          </w:p>
        </w:tc>
      </w:tr>
      <w:tr>
        <w:trPr>
          <w:trHeight w:val="122"/>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AWARDS:</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MARKET VALUE</w:t>
            </w:r>
          </w:p>
        </w:tc>
      </w:tr>
      <w:tr>
        <w:trPr>
          <w:trHeight w:val="121"/>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NUMBER OF</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OR PAYOUT</w:t>
            </w:r>
          </w:p>
        </w:tc>
      </w:tr>
      <w:tr>
        <w:trPr>
          <w:trHeight w:val="122"/>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MARKET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UNEARNED</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VALUE OF</w:t>
            </w:r>
          </w:p>
        </w:tc>
      </w:tr>
      <w:tr>
        <w:trPr>
          <w:trHeight w:val="122"/>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VALUE OF</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SHARES,</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UNEARNED</w:t>
            </w:r>
          </w:p>
        </w:tc>
      </w:tr>
      <w:tr>
        <w:trPr>
          <w:trHeight w:val="122"/>
        </w:trPr>
        <w:tc>
          <w:tcPr>
            <w:tcW w:w="780" w:type="dxa"/>
            <w:vAlign w:val="bottom"/>
          </w:tcPr>
          <w:p>
            <w:pPr>
              <w:spacing w:after="0"/>
              <w:rPr>
                <w:sz w:val="10"/>
                <w:szCs w:val="10"/>
                <w:color w:val="auto"/>
              </w:rPr>
            </w:pP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NUMBER OF</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SHARES OR</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UNITS OR</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SHARES,</w:t>
            </w:r>
          </w:p>
        </w:tc>
      </w:tr>
      <w:tr>
        <w:trPr>
          <w:trHeight w:val="122"/>
        </w:trPr>
        <w:tc>
          <w:tcPr>
            <w:tcW w:w="780" w:type="dxa"/>
            <w:vAlign w:val="bottom"/>
          </w:tcPr>
          <w:p>
            <w:pPr>
              <w:spacing w:after="0"/>
              <w:rPr>
                <w:sz w:val="10"/>
                <w:szCs w:val="10"/>
                <w:color w:val="auto"/>
              </w:rPr>
            </w:pP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SECURITIES</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SHARES OR</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UNITS OF</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OTHER</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UNITS OR</w:t>
            </w:r>
          </w:p>
        </w:tc>
      </w:tr>
      <w:tr>
        <w:trPr>
          <w:trHeight w:val="121"/>
        </w:trPr>
        <w:tc>
          <w:tcPr>
            <w:tcW w:w="780" w:type="dxa"/>
            <w:vAlign w:val="bottom"/>
          </w:tcPr>
          <w:p>
            <w:pPr>
              <w:spacing w:after="0"/>
              <w:rPr>
                <w:sz w:val="10"/>
                <w:szCs w:val="10"/>
                <w:color w:val="auto"/>
              </w:rPr>
            </w:pP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UNDERLYING</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UNDERLYING</w:t>
            </w: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OPTION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UNITS OF</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STOCK</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RIGHTS</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OTHER RIGHTS</w:t>
            </w:r>
          </w:p>
        </w:tc>
      </w:tr>
      <w:tr>
        <w:trPr>
          <w:trHeight w:val="122"/>
        </w:trPr>
        <w:tc>
          <w:tcPr>
            <w:tcW w:w="780" w:type="dxa"/>
            <w:vAlign w:val="bottom"/>
          </w:tcPr>
          <w:p>
            <w:pPr>
              <w:spacing w:after="0"/>
              <w:rPr>
                <w:sz w:val="10"/>
                <w:szCs w:val="10"/>
                <w:color w:val="auto"/>
              </w:rPr>
            </w:pP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UNEXERCISED</w:t>
            </w:r>
          </w:p>
        </w:tc>
        <w:tc>
          <w:tcPr>
            <w:tcW w:w="12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UNEXERCISED</w:t>
            </w: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EXERCISE</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OPTION</w:t>
            </w:r>
          </w:p>
        </w:tc>
        <w:tc>
          <w:tcPr>
            <w:tcW w:w="100" w:type="dxa"/>
            <w:vAlign w:val="bottom"/>
          </w:tcPr>
          <w:p>
            <w:pPr>
              <w:spacing w:after="0"/>
              <w:rPr>
                <w:sz w:val="10"/>
                <w:szCs w:val="10"/>
                <w:color w:val="auto"/>
              </w:rPr>
            </w:pPr>
          </w:p>
        </w:tc>
        <w:tc>
          <w:tcPr>
            <w:tcW w:w="8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STOCK THAT</w:t>
            </w:r>
          </w:p>
        </w:tc>
        <w:tc>
          <w:tcPr>
            <w:tcW w:w="9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THAT HAVE</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THAT HAVE</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THAT HAVE</w:t>
            </w:r>
          </w:p>
        </w:tc>
      </w:tr>
      <w:tr>
        <w:trPr>
          <w:trHeight w:val="117"/>
        </w:trPr>
        <w:tc>
          <w:tcPr>
            <w:tcW w:w="780" w:type="dxa"/>
            <w:vAlign w:val="bottom"/>
          </w:tcPr>
          <w:p>
            <w:pPr>
              <w:spacing w:after="0"/>
              <w:rPr>
                <w:sz w:val="10"/>
                <w:szCs w:val="10"/>
                <w:color w:val="auto"/>
              </w:rPr>
            </w:pPr>
          </w:p>
        </w:tc>
        <w:tc>
          <w:tcPr>
            <w:tcW w:w="102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OPTIONS</w:t>
            </w:r>
          </w:p>
        </w:tc>
        <w:tc>
          <w:tcPr>
            <w:tcW w:w="124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OPTIONS</w:t>
            </w:r>
          </w:p>
        </w:tc>
        <w:tc>
          <w:tcPr>
            <w:tcW w:w="76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PRICE</w:t>
            </w:r>
          </w:p>
        </w:tc>
        <w:tc>
          <w:tcPr>
            <w:tcW w:w="80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88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HAVE NOT</w:t>
            </w:r>
          </w:p>
        </w:tc>
        <w:tc>
          <w:tcPr>
            <w:tcW w:w="92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NOT VESTED</w:t>
            </w:r>
          </w:p>
        </w:tc>
        <w:tc>
          <w:tcPr>
            <w:tcW w:w="86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NOT</w:t>
            </w:r>
          </w:p>
        </w:tc>
        <w:tc>
          <w:tcPr>
            <w:tcW w:w="98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NOT VESTED</w:t>
            </w:r>
          </w:p>
        </w:tc>
      </w:tr>
      <w:tr>
        <w:trPr>
          <w:trHeight w:val="126"/>
        </w:trPr>
        <w:tc>
          <w:tcPr>
            <w:tcW w:w="780" w:type="dxa"/>
            <w:vAlign w:val="bottom"/>
          </w:tcPr>
          <w:p>
            <w:pPr>
              <w:spacing w:after="0"/>
              <w:rPr>
                <w:sz w:val="10"/>
                <w:szCs w:val="1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b w:val="1"/>
                <w:bCs w:val="1"/>
                <w:color w:val="auto"/>
              </w:rPr>
              <w:t>EXERCISABLE</w:t>
            </w:r>
          </w:p>
        </w:tc>
        <w:tc>
          <w:tcPr>
            <w:tcW w:w="1240" w:type="dxa"/>
            <w:vAlign w:val="bottom"/>
          </w:tcPr>
          <w:p>
            <w:pPr>
              <w:jc w:val="right"/>
              <w:ind w:right="66"/>
              <w:spacing w:after="0" w:line="126"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4"/>
                <w:szCs w:val="14"/>
                <w:b w:val="1"/>
                <w:bCs w:val="1"/>
                <w:color w:val="auto"/>
                <w:vertAlign w:val="superscript"/>
              </w:rPr>
              <w:t>(3)</w:t>
            </w: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80" w:type="dxa"/>
            <w:vAlign w:val="bottom"/>
          </w:tcPr>
          <w:p>
            <w:pPr>
              <w:jc w:val="right"/>
              <w:ind w:right="46"/>
              <w:spacing w:after="0" w:line="126"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(4)(5)</w:t>
            </w:r>
          </w:p>
        </w:tc>
        <w:tc>
          <w:tcPr>
            <w:tcW w:w="9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46"/>
              <w:spacing w:after="0" w:line="126"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(4)(5)</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48"/>
        </w:trPr>
        <w:tc>
          <w:tcPr>
            <w:tcW w:w="7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(a)</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(b)</w:t>
            </w: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(e)</w:t>
            </w: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(f)</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(h)</w:t>
            </w:r>
          </w:p>
        </w:tc>
      </w:tr>
      <w:tr>
        <w:trPr>
          <w:trHeight w:val="155"/>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Jennifer</w:t>
            </w:r>
          </w:p>
        </w:tc>
        <w:tc>
          <w:tcPr>
            <w:tcW w:w="1020" w:type="dxa"/>
            <w:vAlign w:val="bottom"/>
            <w:tcBorders>
              <w:bottom w:val="single" w:sz="8" w:color="DCDDDE"/>
            </w:tcBorders>
          </w:tcPr>
          <w:p>
            <w:pPr>
              <w:spacing w:after="0"/>
              <w:rPr>
                <w:sz w:val="13"/>
                <w:szCs w:val="13"/>
                <w:color w:val="auto"/>
              </w:rPr>
            </w:pPr>
          </w:p>
        </w:tc>
        <w:tc>
          <w:tcPr>
            <w:tcW w:w="1240" w:type="dxa"/>
            <w:vAlign w:val="bottom"/>
            <w:tcBorders>
              <w:bottom w:val="single" w:sz="8" w:color="DCDDDE"/>
            </w:tcBorders>
          </w:tcPr>
          <w:p>
            <w:pPr>
              <w:spacing w:after="0"/>
              <w:rPr>
                <w:sz w:val="13"/>
                <w:szCs w:val="13"/>
                <w:color w:val="auto"/>
              </w:rPr>
            </w:pPr>
          </w:p>
        </w:tc>
        <w:tc>
          <w:tcPr>
            <w:tcW w:w="760" w:type="dxa"/>
            <w:vAlign w:val="bottom"/>
            <w:tcBorders>
              <w:bottom w:val="single" w:sz="8" w:color="DCDDDE"/>
            </w:tcBorders>
          </w:tcPr>
          <w:p>
            <w:pPr>
              <w:spacing w:after="0"/>
              <w:rPr>
                <w:sz w:val="13"/>
                <w:szCs w:val="13"/>
                <w:color w:val="auto"/>
              </w:rPr>
            </w:pPr>
          </w:p>
        </w:tc>
        <w:tc>
          <w:tcPr>
            <w:tcW w:w="800" w:type="dxa"/>
            <w:vAlign w:val="bottom"/>
            <w:tcBorders>
              <w:bottom w:val="single" w:sz="8" w:color="DCDDDE"/>
            </w:tcBorders>
          </w:tcPr>
          <w:p>
            <w:pPr>
              <w:spacing w:after="0"/>
              <w:rPr>
                <w:sz w:val="13"/>
                <w:szCs w:val="13"/>
                <w:color w:val="auto"/>
              </w:rPr>
            </w:pPr>
          </w:p>
        </w:tc>
        <w:tc>
          <w:tcPr>
            <w:tcW w:w="980" w:type="dxa"/>
            <w:vAlign w:val="bottom"/>
            <w:tcBorders>
              <w:bottom w:val="single" w:sz="8" w:color="DCDDDE"/>
            </w:tcBorders>
            <w:gridSpan w:val="2"/>
          </w:tcPr>
          <w:p>
            <w:pPr>
              <w:jc w:val="right"/>
              <w:ind w:right="46"/>
              <w:spacing w:after="0"/>
              <w:rPr>
                <w:sz w:val="20"/>
                <w:szCs w:val="20"/>
                <w:color w:val="auto"/>
              </w:rPr>
            </w:pPr>
            <w:r>
              <w:rPr>
                <w:rFonts w:ascii="Arial" w:cs="Arial" w:eastAsia="Arial" w:hAnsi="Arial"/>
                <w:sz w:val="11"/>
                <w:szCs w:val="11"/>
                <w:color w:val="auto"/>
              </w:rPr>
              <w:t>9,702</w:t>
            </w:r>
          </w:p>
        </w:tc>
        <w:tc>
          <w:tcPr>
            <w:tcW w:w="92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278,738</w:t>
            </w:r>
          </w:p>
        </w:tc>
        <w:tc>
          <w:tcPr>
            <w:tcW w:w="86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243,640</w:t>
            </w:r>
          </w:p>
        </w:tc>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6,999,777</w:t>
            </w:r>
          </w:p>
        </w:tc>
      </w:tr>
      <w:tr>
        <w:trPr>
          <w:trHeight w:val="142"/>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Khoury</w:t>
            </w: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10,867</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28.380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03/17/2026</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42,350</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35.580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03/16/2027</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58,755</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34.030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03/15/2028</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60,019</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38.440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03/14/2029</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88,976</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40.390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03/01/2030</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48,097</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12,027</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51.720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02/28/2031</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43,026</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28,686</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44.060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02/29/2032</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1020" w:type="dxa"/>
            <w:vAlign w:val="bottom"/>
            <w:tcBorders>
              <w:bottom w:val="single" w:sz="8" w:color="DCDDDE"/>
            </w:tcBorders>
          </w:tcPr>
          <w:p>
            <w:pPr>
              <w:jc w:val="right"/>
              <w:ind w:right="306"/>
              <w:spacing w:after="0"/>
              <w:rPr>
                <w:sz w:val="20"/>
                <w:szCs w:val="20"/>
                <w:color w:val="auto"/>
              </w:rPr>
            </w:pPr>
            <w:r>
              <w:rPr>
                <w:rFonts w:ascii="Arial" w:cs="Arial" w:eastAsia="Arial" w:hAnsi="Arial"/>
                <w:sz w:val="11"/>
                <w:szCs w:val="11"/>
                <w:color w:val="auto"/>
              </w:rPr>
              <w:t>30,338</w:t>
            </w:r>
          </w:p>
        </w:tc>
        <w:tc>
          <w:tcPr>
            <w:tcW w:w="124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45,507</w:t>
            </w:r>
          </w:p>
        </w:tc>
        <w:tc>
          <w:tcPr>
            <w:tcW w:w="76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34.790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1"/>
                <w:szCs w:val="11"/>
                <w:color w:val="auto"/>
              </w:rPr>
              <w:t>02/28/2033</w:t>
            </w:r>
          </w:p>
        </w:tc>
        <w:tc>
          <w:tcPr>
            <w:tcW w:w="100" w:type="dxa"/>
            <w:vAlign w:val="bottom"/>
            <w:tcBorders>
              <w:bottom w:val="single" w:sz="8" w:color="DCDDDE"/>
            </w:tcBorders>
          </w:tcPr>
          <w:p>
            <w:pPr>
              <w:spacing w:after="0"/>
              <w:rPr>
                <w:sz w:val="12"/>
                <w:szCs w:val="12"/>
                <w:color w:val="auto"/>
              </w:rPr>
            </w:pPr>
          </w:p>
        </w:tc>
        <w:tc>
          <w:tcPr>
            <w:tcW w:w="880" w:type="dxa"/>
            <w:vAlign w:val="bottom"/>
            <w:tcBorders>
              <w:bottom w:val="single" w:sz="8" w:color="DCDDDE"/>
            </w:tcBorders>
          </w:tcPr>
          <w:p>
            <w:pPr>
              <w:spacing w:after="0"/>
              <w:rPr>
                <w:sz w:val="12"/>
                <w:szCs w:val="12"/>
                <w:color w:val="auto"/>
              </w:rPr>
            </w:pPr>
          </w:p>
        </w:tc>
        <w:tc>
          <w:tcPr>
            <w:tcW w:w="920" w:type="dxa"/>
            <w:vAlign w:val="bottom"/>
            <w:tcBorders>
              <w:bottom w:val="single" w:sz="8" w:color="DCDDDE"/>
            </w:tcBorders>
          </w:tcPr>
          <w:p>
            <w:pPr>
              <w:spacing w:after="0"/>
              <w:rPr>
                <w:sz w:val="12"/>
                <w:szCs w:val="12"/>
                <w:color w:val="auto"/>
              </w:rPr>
            </w:pPr>
          </w:p>
        </w:tc>
        <w:tc>
          <w:tcPr>
            <w:tcW w:w="860" w:type="dxa"/>
            <w:vAlign w:val="bottom"/>
            <w:tcBorders>
              <w:bottom w:val="single" w:sz="8" w:color="DCDDDE"/>
            </w:tcBorders>
          </w:tcPr>
          <w:p>
            <w:pPr>
              <w:spacing w:after="0"/>
              <w:rPr>
                <w:sz w:val="12"/>
                <w:szCs w:val="12"/>
                <w:color w:val="auto"/>
              </w:rPr>
            </w:pPr>
          </w:p>
        </w:tc>
        <w:tc>
          <w:tcPr>
            <w:tcW w:w="980" w:type="dxa"/>
            <w:vAlign w:val="bottom"/>
            <w:tcBorders>
              <w:bottom w:val="single" w:sz="8" w:color="DCDDDE"/>
            </w:tcBorders>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1020" w:type="dxa"/>
            <w:vAlign w:val="bottom"/>
          </w:tcPr>
          <w:p>
            <w:pPr>
              <w:jc w:val="right"/>
              <w:ind w:right="306"/>
              <w:spacing w:after="0"/>
              <w:rPr>
                <w:sz w:val="20"/>
                <w:szCs w:val="20"/>
                <w:color w:val="auto"/>
              </w:rPr>
            </w:pPr>
            <w:r>
              <w:rPr>
                <w:rFonts w:ascii="Arial" w:cs="Arial" w:eastAsia="Arial" w:hAnsi="Arial"/>
                <w:sz w:val="11"/>
                <w:szCs w:val="11"/>
                <w:color w:val="auto"/>
              </w:rPr>
              <w:t>8,322</w:t>
            </w: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33,291</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40.650</w:t>
            </w:r>
          </w:p>
        </w:tc>
        <w:tc>
          <w:tcPr>
            <w:tcW w:w="800" w:type="dxa"/>
            <w:vAlign w:val="bottom"/>
          </w:tcPr>
          <w:p>
            <w:pPr>
              <w:jc w:val="right"/>
              <w:spacing w:after="0"/>
              <w:rPr>
                <w:sz w:val="20"/>
                <w:szCs w:val="20"/>
                <w:color w:val="auto"/>
              </w:rPr>
            </w:pPr>
            <w:r>
              <w:rPr>
                <w:rFonts w:ascii="Arial" w:cs="Arial" w:eastAsia="Arial" w:hAnsi="Arial"/>
                <w:sz w:val="11"/>
                <w:szCs w:val="11"/>
                <w:color w:val="auto"/>
              </w:rPr>
              <w:t>02/28/2034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33" w:lineRule="exact"/>
        <w:rPr>
          <w:sz w:val="20"/>
          <w:szCs w:val="20"/>
          <w:color w:val="auto"/>
        </w:rPr>
      </w:pPr>
    </w:p>
    <w:p>
      <w:pPr>
        <w:jc w:val="both"/>
        <w:ind w:left="1380" w:right="1420" w:hanging="201"/>
        <w:spacing w:after="0" w:line="225" w:lineRule="auto"/>
        <w:tabs>
          <w:tab w:leader="none" w:pos="138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number of stock options, RSUs and PSUs shown reflects adjustments related to the Versant spin-off. The market value of stock awards reflects the closing market price of a share of our Class A common stock without the right to the Versant dividend on December 31, 2025.</w:t>
      </w:r>
    </w:p>
    <w:p>
      <w:pPr>
        <w:ind w:left="1380" w:right="1360" w:hanging="201"/>
        <w:spacing w:after="0" w:line="228" w:lineRule="auto"/>
        <w:tabs>
          <w:tab w:leader="none" w:pos="138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Mr. Cavanagh assigned to a family trust a portion of his vested stock options as follows: 441,743 shares from stock options expiring on March 17, 2026; 272,314 shares from stock options expiring on March 16, 2027; 176,804 shares from stock options expiring on March 15, 2028; and 505,848 shares from stock options expiring on March 14, 2029.</w:t>
      </w:r>
    </w:p>
    <w:p>
      <w:pPr>
        <w:spacing w:after="0" w:line="29" w:lineRule="exact"/>
        <w:rPr>
          <w:rFonts w:ascii="Times New Roman" w:cs="Times New Roman" w:eastAsia="Times New Roman" w:hAnsi="Times New Roman"/>
          <w:sz w:val="22"/>
          <w:szCs w:val="22"/>
          <w:color w:val="auto"/>
          <w:vertAlign w:val="superscript"/>
        </w:rPr>
      </w:pPr>
    </w:p>
    <w:p>
      <w:pPr>
        <w:ind w:left="1380" w:right="1200" w:hanging="201"/>
        <w:spacing w:after="0" w:line="239" w:lineRule="auto"/>
        <w:tabs>
          <w:tab w:leader="none" w:pos="138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expiration date occurs one day prior to the tenth anniversary of the grant date. Stock options that expire on or prior to March 1, 2030 have the following vesting schedule: 30%, 15%, 15%, 15%, 5%, 5%, 5%, 5% and 5% on the second, third, fourth, fifth, sixth, seventh, eighth, ninth and nine and a half anniversaries of the grant date, respectively. Stock options that expire on February 28, 2031 have the following vesting schedule: 40%, 20%, 20% and 20% on the second, third, fourth and fifth anniversaries of the grant date, respectively. Stock options that expire on or after February 29, 2032 have the following vesting schedule: 20% on each of the first, second, third, fourth and fifth anniversaries of the grant date. The performance-based stock option granted to Mr. Cavanagh on December 30, 2022 (the “Performance Option”) vests in full on February 1, 2028.</w:t>
      </w:r>
    </w:p>
    <w:p>
      <w:pPr>
        <w:spacing w:after="0" w:line="31" w:lineRule="exact"/>
        <w:rPr>
          <w:rFonts w:ascii="Times New Roman" w:cs="Times New Roman" w:eastAsia="Times New Roman" w:hAnsi="Times New Roman"/>
          <w:sz w:val="22"/>
          <w:szCs w:val="22"/>
          <w:color w:val="auto"/>
          <w:vertAlign w:val="superscript"/>
        </w:rPr>
      </w:pPr>
    </w:p>
    <w:p>
      <w:pPr>
        <w:jc w:val="both"/>
        <w:ind w:left="1380" w:right="1400" w:hanging="201"/>
        <w:spacing w:after="0" w:line="229" w:lineRule="auto"/>
        <w:tabs>
          <w:tab w:leader="none" w:pos="138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Our equity awards contain provisions for continued vesting upon certain employees attaining retirement eligible status. This table does not reflect accelerated vesting resulting from the attainment of retirement eligible status. See “Potential Payments upon Termination or Change in Control” for additional information.</w:t>
      </w:r>
    </w:p>
    <w:p>
      <w:pPr>
        <w:spacing w:after="0" w:line="28" w:lineRule="exact"/>
        <w:rPr>
          <w:rFonts w:ascii="Times New Roman" w:cs="Times New Roman" w:eastAsia="Times New Roman" w:hAnsi="Times New Roman"/>
          <w:sz w:val="22"/>
          <w:szCs w:val="22"/>
          <w:color w:val="auto"/>
          <w:vertAlign w:val="superscript"/>
        </w:rPr>
      </w:pPr>
    </w:p>
    <w:p>
      <w:pPr>
        <w:ind w:left="1380" w:right="1320" w:hanging="201"/>
        <w:spacing w:after="0" w:line="221" w:lineRule="auto"/>
        <w:tabs>
          <w:tab w:leader="none" w:pos="1380" w:val="left"/>
        </w:tabs>
        <w:numPr>
          <w:ilvl w:val="0"/>
          <w:numId w:val="7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number of shares underlying each outstanding stock unit for the NEOs that remain subject to vesting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-2517775</wp:posOffset>
            </wp:positionV>
            <wp:extent cx="53060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82" w:lineRule="exact"/>
        <w:rPr>
          <w:sz w:val="20"/>
          <w:szCs w:val="20"/>
          <w:color w:val="auto"/>
        </w:rPr>
      </w:pPr>
    </w:p>
    <w:tbl>
      <w:tblPr>
        <w:tblLayout w:type="fixed"/>
        <w:tblInd w:w="202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BRIAN L.</w:t>
            </w:r>
          </w:p>
        </w:tc>
        <w:tc>
          <w:tcPr>
            <w:tcW w:w="1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MICHAEL J.</w:t>
            </w:r>
          </w:p>
        </w:tc>
        <w:tc>
          <w:tcPr>
            <w:tcW w:w="12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JASON S.</w:t>
            </w:r>
          </w:p>
        </w:tc>
        <w:tc>
          <w:tcPr>
            <w:tcW w:w="11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THOMAS J.</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JENNIFER</w:t>
            </w:r>
          </w:p>
        </w:tc>
      </w:tr>
      <w:tr>
        <w:trPr>
          <w:trHeight w:val="18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11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ROBERTS</w:t>
            </w:r>
          </w:p>
        </w:tc>
        <w:tc>
          <w:tcPr>
            <w:tcW w:w="11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CAVANAGH</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ARMSTRONG</w:t>
            </w:r>
          </w:p>
        </w:tc>
        <w:tc>
          <w:tcPr>
            <w:tcW w:w="11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REID</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KHOURY</w:t>
            </w:r>
          </w:p>
        </w:tc>
      </w:tr>
      <w:tr>
        <w:trPr>
          <w:trHeight w:val="155"/>
        </w:trPr>
        <w:tc>
          <w:tcPr>
            <w:tcW w:w="1040" w:type="dxa"/>
            <w:vAlign w:val="bottom"/>
          </w:tcPr>
          <w:p>
            <w:pPr>
              <w:spacing w:after="0" w:line="155" w:lineRule="exact"/>
              <w:rPr>
                <w:sz w:val="20"/>
                <w:szCs w:val="20"/>
                <w:color w:val="auto"/>
              </w:rPr>
            </w:pPr>
            <w:r>
              <w:rPr>
                <w:rFonts w:ascii="Arial" w:cs="Arial" w:eastAsia="Arial" w:hAnsi="Arial"/>
                <w:sz w:val="14"/>
                <w:szCs w:val="14"/>
                <w:color w:val="auto"/>
              </w:rPr>
              <w:t>03/01/2021</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5,813</w:t>
            </w:r>
          </w:p>
        </w:tc>
        <w:tc>
          <w:tcPr>
            <w:tcW w:w="400" w:type="dxa"/>
            <w:vAlign w:val="bottom"/>
          </w:tcPr>
          <w:p>
            <w:pPr>
              <w:ind w:left="80"/>
              <w:spacing w:after="0"/>
              <w:rPr>
                <w:sz w:val="20"/>
                <w:szCs w:val="20"/>
                <w:color w:val="auto"/>
              </w:rPr>
            </w:pPr>
            <w:r>
              <w:rPr>
                <w:rFonts w:ascii="Arial" w:cs="Arial" w:eastAsia="Arial" w:hAnsi="Arial"/>
                <w:sz w:val="10"/>
                <w:szCs w:val="10"/>
                <w:color w:val="auto"/>
              </w:rPr>
              <w:t>(a)</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4,254</w:t>
            </w:r>
          </w:p>
        </w:tc>
        <w:tc>
          <w:tcPr>
            <w:tcW w:w="300" w:type="dxa"/>
            <w:vAlign w:val="bottom"/>
          </w:tcPr>
          <w:p>
            <w:pPr>
              <w:ind w:left="80"/>
              <w:spacing w:after="0"/>
              <w:rPr>
                <w:sz w:val="20"/>
                <w:szCs w:val="20"/>
                <w:color w:val="auto"/>
              </w:rPr>
            </w:pPr>
            <w:r>
              <w:rPr>
                <w:rFonts w:ascii="Arial" w:cs="Arial" w:eastAsia="Arial" w:hAnsi="Arial"/>
                <w:sz w:val="10"/>
                <w:szCs w:val="10"/>
                <w:color w:val="auto"/>
              </w:rPr>
              <w:t>(a)</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01/14/2022</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16,300</w:t>
            </w:r>
          </w:p>
        </w:tc>
        <w:tc>
          <w:tcPr>
            <w:tcW w:w="400" w:type="dxa"/>
            <w:vAlign w:val="bottom"/>
          </w:tcPr>
          <w:p>
            <w:pPr>
              <w:ind w:left="80"/>
              <w:spacing w:after="0"/>
              <w:rPr>
                <w:sz w:val="20"/>
                <w:szCs w:val="20"/>
                <w:color w:val="auto"/>
              </w:rPr>
            </w:pPr>
            <w:r>
              <w:rPr>
                <w:rFonts w:ascii="Arial" w:cs="Arial" w:eastAsia="Arial" w:hAnsi="Arial"/>
                <w:sz w:val="10"/>
                <w:szCs w:val="10"/>
                <w:color w:val="auto"/>
              </w:rPr>
              <w:t>(b)</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03/01/2022</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9,081</w:t>
            </w:r>
          </w:p>
        </w:tc>
        <w:tc>
          <w:tcPr>
            <w:tcW w:w="400" w:type="dxa"/>
            <w:vAlign w:val="bottom"/>
          </w:tcPr>
          <w:p>
            <w:pPr>
              <w:ind w:left="80"/>
              <w:spacing w:after="0"/>
              <w:rPr>
                <w:sz w:val="20"/>
                <w:szCs w:val="20"/>
                <w:color w:val="auto"/>
              </w:rPr>
            </w:pPr>
            <w:r>
              <w:rPr>
                <w:rFonts w:ascii="Arial" w:cs="Arial" w:eastAsia="Arial" w:hAnsi="Arial"/>
                <w:sz w:val="10"/>
                <w:szCs w:val="10"/>
                <w:color w:val="auto"/>
              </w:rPr>
              <w:t>(b)</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5,448</w:t>
            </w:r>
          </w:p>
        </w:tc>
        <w:tc>
          <w:tcPr>
            <w:tcW w:w="300" w:type="dxa"/>
            <w:vAlign w:val="bottom"/>
          </w:tcPr>
          <w:p>
            <w:pPr>
              <w:ind w:left="80"/>
              <w:spacing w:after="0"/>
              <w:rPr>
                <w:sz w:val="20"/>
                <w:szCs w:val="20"/>
                <w:color w:val="auto"/>
              </w:rPr>
            </w:pPr>
            <w:r>
              <w:rPr>
                <w:rFonts w:ascii="Arial" w:cs="Arial" w:eastAsia="Arial" w:hAnsi="Arial"/>
                <w:sz w:val="10"/>
                <w:szCs w:val="10"/>
                <w:color w:val="auto"/>
              </w:rPr>
              <w:t>(b)</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03/01/2023</w:t>
            </w:r>
          </w:p>
        </w:tc>
        <w:tc>
          <w:tcPr>
            <w:tcW w:w="800" w:type="dxa"/>
            <w:vAlign w:val="bottom"/>
          </w:tcPr>
          <w:p>
            <w:pPr>
              <w:jc w:val="right"/>
              <w:spacing w:after="0"/>
              <w:rPr>
                <w:sz w:val="20"/>
                <w:szCs w:val="20"/>
                <w:color w:val="auto"/>
              </w:rPr>
            </w:pPr>
            <w:r>
              <w:rPr>
                <w:rFonts w:ascii="Arial" w:cs="Arial" w:eastAsia="Arial" w:hAnsi="Arial"/>
                <w:sz w:val="14"/>
                <w:szCs w:val="14"/>
                <w:color w:val="auto"/>
              </w:rPr>
              <w:t>991,755</w:t>
            </w:r>
          </w:p>
        </w:tc>
        <w:tc>
          <w:tcPr>
            <w:tcW w:w="320" w:type="dxa"/>
            <w:vAlign w:val="bottom"/>
          </w:tcPr>
          <w:p>
            <w:pPr>
              <w:ind w:left="80"/>
              <w:spacing w:after="0"/>
              <w:rPr>
                <w:sz w:val="20"/>
                <w:szCs w:val="20"/>
                <w:color w:val="auto"/>
              </w:rPr>
            </w:pPr>
            <w:r>
              <w:rPr>
                <w:rFonts w:ascii="Arial" w:cs="Arial" w:eastAsia="Arial" w:hAnsi="Arial"/>
                <w:sz w:val="10"/>
                <w:szCs w:val="10"/>
                <w:color w:val="auto"/>
              </w:rPr>
              <w:t>(c)</w:t>
            </w:r>
          </w:p>
        </w:tc>
        <w:tc>
          <w:tcPr>
            <w:tcW w:w="800" w:type="dxa"/>
            <w:vAlign w:val="bottom"/>
          </w:tcPr>
          <w:p>
            <w:pPr>
              <w:jc w:val="right"/>
              <w:spacing w:after="0"/>
              <w:rPr>
                <w:sz w:val="20"/>
                <w:szCs w:val="20"/>
                <w:color w:val="auto"/>
              </w:rPr>
            </w:pPr>
            <w:r>
              <w:rPr>
                <w:rFonts w:ascii="Arial" w:cs="Arial" w:eastAsia="Arial" w:hAnsi="Arial"/>
                <w:sz w:val="14"/>
                <w:szCs w:val="14"/>
                <w:color w:val="auto"/>
              </w:rPr>
              <w:t>754,600</w:t>
            </w:r>
          </w:p>
        </w:tc>
        <w:tc>
          <w:tcPr>
            <w:tcW w:w="320" w:type="dxa"/>
            <w:vAlign w:val="bottom"/>
          </w:tcPr>
          <w:p>
            <w:pPr>
              <w:ind w:left="80"/>
              <w:spacing w:after="0"/>
              <w:rPr>
                <w:sz w:val="20"/>
                <w:szCs w:val="20"/>
                <w:color w:val="auto"/>
              </w:rPr>
            </w:pPr>
            <w:r>
              <w:rPr>
                <w:rFonts w:ascii="Arial" w:cs="Arial" w:eastAsia="Arial" w:hAnsi="Arial"/>
                <w:sz w:val="10"/>
                <w:szCs w:val="10"/>
                <w:color w:val="auto"/>
              </w:rPr>
              <w:t>(c)</w:t>
            </w:r>
          </w:p>
        </w:tc>
        <w:tc>
          <w:tcPr>
            <w:tcW w:w="800" w:type="dxa"/>
            <w:vAlign w:val="bottom"/>
          </w:tcPr>
          <w:p>
            <w:pPr>
              <w:jc w:val="right"/>
              <w:spacing w:after="0"/>
              <w:rPr>
                <w:sz w:val="20"/>
                <w:szCs w:val="20"/>
                <w:color w:val="auto"/>
              </w:rPr>
            </w:pPr>
            <w:r>
              <w:rPr>
                <w:rFonts w:ascii="Arial" w:cs="Arial" w:eastAsia="Arial" w:hAnsi="Arial"/>
                <w:sz w:val="14"/>
                <w:szCs w:val="14"/>
                <w:color w:val="auto"/>
              </w:rPr>
              <w:t>215,607</w:t>
            </w:r>
          </w:p>
        </w:tc>
        <w:tc>
          <w:tcPr>
            <w:tcW w:w="400" w:type="dxa"/>
            <w:vAlign w:val="bottom"/>
          </w:tcPr>
          <w:p>
            <w:pPr>
              <w:ind w:left="80"/>
              <w:spacing w:after="0"/>
              <w:rPr>
                <w:sz w:val="20"/>
                <w:szCs w:val="20"/>
                <w:color w:val="auto"/>
              </w:rPr>
            </w:pPr>
            <w:r>
              <w:rPr>
                <w:rFonts w:ascii="Arial" w:cs="Arial" w:eastAsia="Arial" w:hAnsi="Arial"/>
                <w:sz w:val="10"/>
                <w:szCs w:val="10"/>
                <w:color w:val="auto"/>
              </w:rPr>
              <w:t>(c)</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215,607</w:t>
            </w:r>
          </w:p>
        </w:tc>
        <w:tc>
          <w:tcPr>
            <w:tcW w:w="400" w:type="dxa"/>
            <w:vAlign w:val="bottom"/>
          </w:tcPr>
          <w:p>
            <w:pPr>
              <w:ind w:left="60"/>
              <w:spacing w:after="0"/>
              <w:rPr>
                <w:sz w:val="20"/>
                <w:szCs w:val="20"/>
                <w:color w:val="auto"/>
              </w:rPr>
            </w:pPr>
            <w:r>
              <w:rPr>
                <w:rFonts w:ascii="Arial" w:cs="Arial" w:eastAsia="Arial" w:hAnsi="Arial"/>
                <w:sz w:val="10"/>
                <w:szCs w:val="10"/>
                <w:color w:val="auto"/>
              </w:rPr>
              <w:t>(c)</w:t>
            </w:r>
          </w:p>
        </w:tc>
        <w:tc>
          <w:tcPr>
            <w:tcW w:w="760" w:type="dxa"/>
            <w:vAlign w:val="bottom"/>
          </w:tcPr>
          <w:p>
            <w:pPr>
              <w:jc w:val="right"/>
              <w:spacing w:after="0"/>
              <w:rPr>
                <w:sz w:val="20"/>
                <w:szCs w:val="20"/>
                <w:color w:val="auto"/>
              </w:rPr>
            </w:pPr>
            <w:r>
              <w:rPr>
                <w:rFonts w:ascii="Arial" w:cs="Arial" w:eastAsia="Arial" w:hAnsi="Arial"/>
                <w:sz w:val="14"/>
                <w:szCs w:val="14"/>
                <w:color w:val="auto"/>
              </w:rPr>
              <w:t>64,690</w:t>
            </w:r>
          </w:p>
        </w:tc>
        <w:tc>
          <w:tcPr>
            <w:tcW w:w="300" w:type="dxa"/>
            <w:vAlign w:val="bottom"/>
          </w:tcPr>
          <w:p>
            <w:pPr>
              <w:ind w:left="80"/>
              <w:spacing w:after="0"/>
              <w:rPr>
                <w:sz w:val="20"/>
                <w:szCs w:val="20"/>
                <w:color w:val="auto"/>
              </w:rPr>
            </w:pPr>
            <w:r>
              <w:rPr>
                <w:rFonts w:ascii="Arial" w:cs="Arial" w:eastAsia="Arial" w:hAnsi="Arial"/>
                <w:sz w:val="10"/>
                <w:szCs w:val="10"/>
                <w:color w:val="auto"/>
              </w:rPr>
              <w:t>(c)</w:t>
            </w:r>
          </w:p>
        </w:tc>
      </w:tr>
      <w:tr>
        <w:trPr>
          <w:trHeight w:val="176"/>
        </w:trPr>
        <w:tc>
          <w:tcPr>
            <w:tcW w:w="1040" w:type="dxa"/>
            <w:vAlign w:val="bottom"/>
          </w:tcPr>
          <w:p>
            <w:pPr>
              <w:spacing w:after="0"/>
              <w:rPr>
                <w:sz w:val="20"/>
                <w:szCs w:val="20"/>
                <w:color w:val="auto"/>
              </w:rPr>
            </w:pPr>
            <w:r>
              <w:rPr>
                <w:rFonts w:ascii="Arial" w:cs="Arial" w:eastAsia="Arial" w:hAnsi="Arial"/>
                <w:sz w:val="14"/>
                <w:szCs w:val="14"/>
                <w:color w:val="auto"/>
              </w:rPr>
              <w:t>03/01/2024</w:t>
            </w:r>
          </w:p>
        </w:tc>
        <w:tc>
          <w:tcPr>
            <w:tcW w:w="800" w:type="dxa"/>
            <w:vAlign w:val="bottom"/>
          </w:tcPr>
          <w:p>
            <w:pPr>
              <w:jc w:val="right"/>
              <w:spacing w:after="0"/>
              <w:rPr>
                <w:sz w:val="20"/>
                <w:szCs w:val="20"/>
                <w:color w:val="auto"/>
              </w:rPr>
            </w:pPr>
            <w:r>
              <w:rPr>
                <w:rFonts w:ascii="Arial" w:cs="Arial" w:eastAsia="Arial" w:hAnsi="Arial"/>
                <w:sz w:val="14"/>
                <w:szCs w:val="14"/>
                <w:color w:val="auto"/>
              </w:rPr>
              <w:t>1,060,975</w:t>
            </w:r>
          </w:p>
        </w:tc>
        <w:tc>
          <w:tcPr>
            <w:tcW w:w="320" w:type="dxa"/>
            <w:vAlign w:val="bottom"/>
          </w:tcPr>
          <w:p>
            <w:pPr>
              <w:ind w:left="80"/>
              <w:spacing w:after="0"/>
              <w:rPr>
                <w:sz w:val="20"/>
                <w:szCs w:val="20"/>
                <w:color w:val="auto"/>
              </w:rPr>
            </w:pPr>
            <w:r>
              <w:rPr>
                <w:rFonts w:ascii="Arial" w:cs="Arial" w:eastAsia="Arial" w:hAnsi="Arial"/>
                <w:sz w:val="10"/>
                <w:szCs w:val="10"/>
                <w:color w:val="auto"/>
              </w:rPr>
              <w:t>(d)</w:t>
            </w:r>
          </w:p>
        </w:tc>
        <w:tc>
          <w:tcPr>
            <w:tcW w:w="800" w:type="dxa"/>
            <w:vAlign w:val="bottom"/>
          </w:tcPr>
          <w:p>
            <w:pPr>
              <w:jc w:val="right"/>
              <w:spacing w:after="0"/>
              <w:rPr>
                <w:sz w:val="20"/>
                <w:szCs w:val="20"/>
                <w:color w:val="auto"/>
              </w:rPr>
            </w:pPr>
            <w:r>
              <w:rPr>
                <w:rFonts w:ascii="Arial" w:cs="Arial" w:eastAsia="Arial" w:hAnsi="Arial"/>
                <w:sz w:val="14"/>
                <w:szCs w:val="14"/>
                <w:color w:val="auto"/>
              </w:rPr>
              <w:t>807,262</w:t>
            </w:r>
          </w:p>
        </w:tc>
        <w:tc>
          <w:tcPr>
            <w:tcW w:w="320" w:type="dxa"/>
            <w:vAlign w:val="bottom"/>
          </w:tcPr>
          <w:p>
            <w:pPr>
              <w:ind w:left="80"/>
              <w:spacing w:after="0"/>
              <w:rPr>
                <w:sz w:val="20"/>
                <w:szCs w:val="20"/>
                <w:color w:val="auto"/>
              </w:rPr>
            </w:pPr>
            <w:r>
              <w:rPr>
                <w:rFonts w:ascii="Arial" w:cs="Arial" w:eastAsia="Arial" w:hAnsi="Arial"/>
                <w:sz w:val="10"/>
                <w:szCs w:val="10"/>
                <w:color w:val="auto"/>
              </w:rPr>
              <w:t>(d)</w:t>
            </w:r>
          </w:p>
        </w:tc>
        <w:tc>
          <w:tcPr>
            <w:tcW w:w="800" w:type="dxa"/>
            <w:vAlign w:val="bottom"/>
          </w:tcPr>
          <w:p>
            <w:pPr>
              <w:jc w:val="right"/>
              <w:spacing w:after="0"/>
              <w:rPr>
                <w:sz w:val="20"/>
                <w:szCs w:val="20"/>
                <w:color w:val="auto"/>
              </w:rPr>
            </w:pPr>
            <w:r>
              <w:rPr>
                <w:rFonts w:ascii="Arial" w:cs="Arial" w:eastAsia="Arial" w:hAnsi="Arial"/>
                <w:sz w:val="14"/>
                <w:szCs w:val="14"/>
                <w:color w:val="auto"/>
              </w:rPr>
              <w:t>392,100</w:t>
            </w:r>
          </w:p>
        </w:tc>
        <w:tc>
          <w:tcPr>
            <w:tcW w:w="400" w:type="dxa"/>
            <w:vAlign w:val="bottom"/>
          </w:tcPr>
          <w:p>
            <w:pPr>
              <w:ind w:left="80"/>
              <w:spacing w:after="0"/>
              <w:rPr>
                <w:sz w:val="20"/>
                <w:szCs w:val="20"/>
                <w:color w:val="auto"/>
              </w:rPr>
            </w:pPr>
            <w:r>
              <w:rPr>
                <w:rFonts w:ascii="Arial" w:cs="Arial" w:eastAsia="Arial" w:hAnsi="Arial"/>
                <w:sz w:val="10"/>
                <w:szCs w:val="10"/>
                <w:color w:val="auto"/>
              </w:rPr>
              <w:t>(d)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315,995</w:t>
            </w:r>
          </w:p>
        </w:tc>
        <w:tc>
          <w:tcPr>
            <w:tcW w:w="400" w:type="dxa"/>
            <w:vAlign w:val="bottom"/>
          </w:tcPr>
          <w:p>
            <w:pPr>
              <w:ind w:left="60"/>
              <w:spacing w:after="0"/>
              <w:rPr>
                <w:sz w:val="20"/>
                <w:szCs w:val="20"/>
                <w:color w:val="auto"/>
              </w:rPr>
            </w:pPr>
            <w:r>
              <w:rPr>
                <w:rFonts w:ascii="Arial" w:cs="Arial" w:eastAsia="Arial" w:hAnsi="Arial"/>
                <w:sz w:val="10"/>
                <w:szCs w:val="10"/>
                <w:color w:val="auto"/>
              </w:rPr>
              <w:t>(d)</w:t>
            </w:r>
          </w:p>
        </w:tc>
        <w:tc>
          <w:tcPr>
            <w:tcW w:w="760" w:type="dxa"/>
            <w:vAlign w:val="bottom"/>
          </w:tcPr>
          <w:p>
            <w:pPr>
              <w:jc w:val="right"/>
              <w:spacing w:after="0"/>
              <w:rPr>
                <w:sz w:val="20"/>
                <w:szCs w:val="20"/>
                <w:color w:val="auto"/>
              </w:rPr>
            </w:pPr>
            <w:r>
              <w:rPr>
                <w:rFonts w:ascii="Arial" w:cs="Arial" w:eastAsia="Arial" w:hAnsi="Arial"/>
                <w:sz w:val="14"/>
                <w:szCs w:val="14"/>
                <w:color w:val="auto"/>
              </w:rPr>
              <w:t>69,205</w:t>
            </w:r>
          </w:p>
        </w:tc>
        <w:tc>
          <w:tcPr>
            <w:tcW w:w="300" w:type="dxa"/>
            <w:vAlign w:val="bottom"/>
          </w:tcPr>
          <w:p>
            <w:pPr>
              <w:ind w:left="80"/>
              <w:spacing w:after="0"/>
              <w:rPr>
                <w:sz w:val="20"/>
                <w:szCs w:val="20"/>
                <w:color w:val="auto"/>
              </w:rPr>
            </w:pPr>
            <w:r>
              <w:rPr>
                <w:rFonts w:ascii="Arial" w:cs="Arial" w:eastAsia="Arial" w:hAnsi="Arial"/>
                <w:sz w:val="10"/>
                <w:szCs w:val="10"/>
                <w:color w:val="auto"/>
              </w:rPr>
              <w:t>(d)</w:t>
            </w:r>
          </w:p>
        </w:tc>
      </w:tr>
      <w:tr>
        <w:trPr>
          <w:trHeight w:val="175"/>
        </w:trPr>
        <w:tc>
          <w:tcPr>
            <w:tcW w:w="1040" w:type="dxa"/>
            <w:vAlign w:val="bottom"/>
          </w:tcPr>
          <w:p>
            <w:pPr>
              <w:spacing w:after="0"/>
              <w:rPr>
                <w:sz w:val="20"/>
                <w:szCs w:val="20"/>
                <w:color w:val="auto"/>
              </w:rPr>
            </w:pPr>
            <w:r>
              <w:rPr>
                <w:rFonts w:ascii="Arial" w:cs="Arial" w:eastAsia="Arial" w:hAnsi="Arial"/>
                <w:sz w:val="14"/>
                <w:szCs w:val="14"/>
                <w:color w:val="auto"/>
              </w:rPr>
              <w:t>03/03/2025</w:t>
            </w:r>
          </w:p>
        </w:tc>
        <w:tc>
          <w:tcPr>
            <w:tcW w:w="800" w:type="dxa"/>
            <w:vAlign w:val="bottom"/>
          </w:tcPr>
          <w:p>
            <w:pPr>
              <w:jc w:val="right"/>
              <w:spacing w:after="0"/>
              <w:rPr>
                <w:sz w:val="20"/>
                <w:szCs w:val="20"/>
                <w:color w:val="auto"/>
              </w:rPr>
            </w:pPr>
            <w:r>
              <w:rPr>
                <w:rFonts w:ascii="Arial" w:cs="Arial" w:eastAsia="Arial" w:hAnsi="Arial"/>
                <w:sz w:val="14"/>
                <w:szCs w:val="14"/>
                <w:color w:val="auto"/>
              </w:rPr>
              <w:t>1,682,770</w:t>
            </w:r>
          </w:p>
        </w:tc>
        <w:tc>
          <w:tcPr>
            <w:tcW w:w="320" w:type="dxa"/>
            <w:vAlign w:val="bottom"/>
          </w:tcPr>
          <w:p>
            <w:pPr>
              <w:ind w:left="80"/>
              <w:spacing w:after="0"/>
              <w:rPr>
                <w:sz w:val="20"/>
                <w:szCs w:val="20"/>
                <w:color w:val="auto"/>
              </w:rPr>
            </w:pPr>
            <w:r>
              <w:rPr>
                <w:rFonts w:ascii="Arial" w:cs="Arial" w:eastAsia="Arial" w:hAnsi="Arial"/>
                <w:sz w:val="10"/>
                <w:szCs w:val="10"/>
                <w:color w:val="auto"/>
              </w:rPr>
              <w:t>(e)</w:t>
            </w:r>
          </w:p>
        </w:tc>
        <w:tc>
          <w:tcPr>
            <w:tcW w:w="800" w:type="dxa"/>
            <w:vAlign w:val="bottom"/>
          </w:tcPr>
          <w:p>
            <w:pPr>
              <w:jc w:val="right"/>
              <w:spacing w:after="0"/>
              <w:rPr>
                <w:sz w:val="20"/>
                <w:szCs w:val="20"/>
                <w:color w:val="auto"/>
              </w:rPr>
            </w:pPr>
            <w:r>
              <w:rPr>
                <w:rFonts w:ascii="Arial" w:cs="Arial" w:eastAsia="Arial" w:hAnsi="Arial"/>
                <w:sz w:val="14"/>
                <w:szCs w:val="14"/>
                <w:color w:val="auto"/>
              </w:rPr>
              <w:t>1,463,277</w:t>
            </w:r>
          </w:p>
        </w:tc>
        <w:tc>
          <w:tcPr>
            <w:tcW w:w="320" w:type="dxa"/>
            <w:vAlign w:val="bottom"/>
          </w:tcPr>
          <w:p>
            <w:pPr>
              <w:ind w:left="80"/>
              <w:spacing w:after="0"/>
              <w:rPr>
                <w:sz w:val="20"/>
                <w:szCs w:val="20"/>
                <w:color w:val="auto"/>
              </w:rPr>
            </w:pPr>
            <w:r>
              <w:rPr>
                <w:rFonts w:ascii="Arial" w:cs="Arial" w:eastAsia="Arial" w:hAnsi="Arial"/>
                <w:sz w:val="10"/>
                <w:szCs w:val="10"/>
                <w:color w:val="auto"/>
              </w:rPr>
              <w:t>(e)</w:t>
            </w:r>
          </w:p>
        </w:tc>
        <w:tc>
          <w:tcPr>
            <w:tcW w:w="800" w:type="dxa"/>
            <w:vAlign w:val="bottom"/>
          </w:tcPr>
          <w:p>
            <w:pPr>
              <w:jc w:val="right"/>
              <w:spacing w:after="0"/>
              <w:rPr>
                <w:sz w:val="20"/>
                <w:szCs w:val="20"/>
                <w:color w:val="auto"/>
              </w:rPr>
            </w:pPr>
            <w:r>
              <w:rPr>
                <w:rFonts w:ascii="Arial" w:cs="Arial" w:eastAsia="Arial" w:hAnsi="Arial"/>
                <w:sz w:val="14"/>
                <w:szCs w:val="14"/>
                <w:color w:val="auto"/>
              </w:rPr>
              <w:t>695,067</w:t>
            </w:r>
          </w:p>
        </w:tc>
        <w:tc>
          <w:tcPr>
            <w:tcW w:w="400" w:type="dxa"/>
            <w:vAlign w:val="bottom"/>
          </w:tcPr>
          <w:p>
            <w:pPr>
              <w:ind w:left="80"/>
              <w:spacing w:after="0"/>
              <w:rPr>
                <w:sz w:val="20"/>
                <w:szCs w:val="20"/>
                <w:color w:val="auto"/>
              </w:rPr>
            </w:pPr>
            <w:r>
              <w:rPr>
                <w:rFonts w:ascii="Arial" w:cs="Arial" w:eastAsia="Arial" w:hAnsi="Arial"/>
                <w:sz w:val="10"/>
                <w:szCs w:val="10"/>
                <w:color w:val="auto"/>
              </w:rPr>
              <w:t>(e)</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501,175</w:t>
            </w:r>
          </w:p>
        </w:tc>
        <w:tc>
          <w:tcPr>
            <w:tcW w:w="400" w:type="dxa"/>
            <w:vAlign w:val="bottom"/>
          </w:tcPr>
          <w:p>
            <w:pPr>
              <w:ind w:left="60"/>
              <w:spacing w:after="0"/>
              <w:rPr>
                <w:sz w:val="20"/>
                <w:szCs w:val="20"/>
                <w:color w:val="auto"/>
              </w:rPr>
            </w:pPr>
            <w:r>
              <w:rPr>
                <w:rFonts w:ascii="Arial" w:cs="Arial" w:eastAsia="Arial" w:hAnsi="Arial"/>
                <w:sz w:val="10"/>
                <w:szCs w:val="10"/>
                <w:color w:val="auto"/>
              </w:rPr>
              <w:t>(e)</w:t>
            </w:r>
          </w:p>
        </w:tc>
        <w:tc>
          <w:tcPr>
            <w:tcW w:w="760" w:type="dxa"/>
            <w:vAlign w:val="bottom"/>
          </w:tcPr>
          <w:p>
            <w:pPr>
              <w:jc w:val="right"/>
              <w:spacing w:after="0"/>
              <w:rPr>
                <w:sz w:val="20"/>
                <w:szCs w:val="20"/>
                <w:color w:val="auto"/>
              </w:rPr>
            </w:pPr>
            <w:r>
              <w:rPr>
                <w:rFonts w:ascii="Arial" w:cs="Arial" w:eastAsia="Arial" w:hAnsi="Arial"/>
                <w:sz w:val="14"/>
                <w:szCs w:val="14"/>
                <w:color w:val="auto"/>
              </w:rPr>
              <w:t>109,745</w:t>
            </w:r>
          </w:p>
        </w:tc>
        <w:tc>
          <w:tcPr>
            <w:tcW w:w="300" w:type="dxa"/>
            <w:vAlign w:val="bottom"/>
          </w:tcPr>
          <w:p>
            <w:pPr>
              <w:ind w:left="80"/>
              <w:spacing w:after="0"/>
              <w:rPr>
                <w:sz w:val="20"/>
                <w:szCs w:val="20"/>
                <w:color w:val="auto"/>
              </w:rPr>
            </w:pPr>
            <w:r>
              <w:rPr>
                <w:rFonts w:ascii="Arial" w:cs="Arial" w:eastAsia="Arial" w:hAnsi="Arial"/>
                <w:sz w:val="10"/>
                <w:szCs w:val="10"/>
                <w:color w:val="auto"/>
              </w:rPr>
              <w:t>(e)</w:t>
            </w:r>
          </w:p>
        </w:tc>
      </w:tr>
      <w:tr>
        <w:trPr>
          <w:trHeight w:val="221"/>
        </w:trPr>
        <w:tc>
          <w:tcPr>
            <w:tcW w:w="1040" w:type="dxa"/>
            <w:vAlign w:val="bottom"/>
          </w:tcPr>
          <w:p>
            <w:pPr>
              <w:spacing w:after="0"/>
              <w:rPr>
                <w:sz w:val="20"/>
                <w:szCs w:val="20"/>
                <w:color w:val="auto"/>
              </w:rPr>
            </w:pPr>
            <w:r>
              <w:rPr>
                <w:rFonts w:ascii="Arial" w:cs="Arial" w:eastAsia="Arial" w:hAnsi="Arial"/>
                <w:sz w:val="14"/>
                <w:szCs w:val="14"/>
                <w:color w:val="auto"/>
              </w:rPr>
              <w:t>12/19/2025</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3,309,585</w:t>
            </w:r>
          </w:p>
        </w:tc>
        <w:tc>
          <w:tcPr>
            <w:tcW w:w="320" w:type="dxa"/>
            <w:vAlign w:val="bottom"/>
          </w:tcPr>
          <w:p>
            <w:pPr>
              <w:ind w:left="80"/>
              <w:spacing w:after="0"/>
              <w:rPr>
                <w:sz w:val="20"/>
                <w:szCs w:val="20"/>
                <w:color w:val="auto"/>
              </w:rPr>
            </w:pPr>
            <w:r>
              <w:rPr>
                <w:rFonts w:ascii="Arial" w:cs="Arial" w:eastAsia="Arial" w:hAnsi="Arial"/>
                <w:sz w:val="10"/>
                <w:szCs w:val="10"/>
                <w:color w:val="auto"/>
              </w:rPr>
              <w:t>(f)</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-702310</wp:posOffset>
            </wp:positionV>
            <wp:extent cx="4243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-590550</wp:posOffset>
            </wp:positionV>
            <wp:extent cx="4243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-479425</wp:posOffset>
            </wp:positionV>
            <wp:extent cx="42430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-367665</wp:posOffset>
            </wp:positionV>
            <wp:extent cx="42430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4307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-256540</wp:posOffset>
            </wp:positionV>
            <wp:extent cx="42430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43070" cy="8890"/>
                    </a:xfrm>
                    <a:prstGeom prst="rect">
                      <a:avLst/>
                    </a:prstGeom>
                    <a:noFill/>
                  </pic:spPr>
                </pic:pic>
              </a:graphicData>
            </a:graphic>
          </wp:anchor>
        </w:drawing>
        <w:drawing>
          <wp:anchor simplePos="0" relativeHeight="251657728" behindDoc="1" locked="0" layoutInCell="0" allowOverlap="1">
            <wp:simplePos x="0" y="0"/>
            <wp:positionH relativeFrom="column">
              <wp:posOffset>1288415</wp:posOffset>
            </wp:positionH>
            <wp:positionV relativeFrom="paragraph">
              <wp:posOffset>-144780</wp:posOffset>
            </wp:positionV>
            <wp:extent cx="42430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87" w:lineRule="exact"/>
        <w:rPr>
          <w:sz w:val="20"/>
          <w:szCs w:val="20"/>
          <w:color w:val="auto"/>
        </w:rPr>
      </w:pPr>
    </w:p>
    <w:p>
      <w:pPr>
        <w:ind w:left="1640" w:right="1380" w:hanging="191"/>
        <w:spacing w:after="0" w:line="221" w:lineRule="auto"/>
        <w:tabs>
          <w:tab w:leader="none" w:pos="1640" w:val="left"/>
        </w:tabs>
        <w:numPr>
          <w:ilvl w:val="0"/>
          <w:numId w:val="80"/>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stock units granted as of the respective grant date had the following vesting schedule: 15%, 15%, 15%, 15% and 40% on the 13-month, second, third, fourth and fifth anniversaries of the grant date, respectively.</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47</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50" w:name="page51"/>
    <w:bookmarkEnd w:id="5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80" w:right="599" w:hanging="191"/>
        <w:spacing w:after="0" w:line="221" w:lineRule="auto"/>
        <w:tabs>
          <w:tab w:leader="none" w:pos="780" w:val="left"/>
        </w:tabs>
        <w:numPr>
          <w:ilvl w:val="0"/>
          <w:numId w:val="8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stock units granted as of the respective grant date had the following vesting schedule: 20% on each of the 13-month, second, third, fourth and fifth anniversaries of the grant date.</w:t>
      </w:r>
    </w:p>
    <w:p>
      <w:pPr>
        <w:spacing w:after="0" w:line="29" w:lineRule="exact"/>
        <w:rPr>
          <w:rFonts w:ascii="Times New Roman" w:cs="Times New Roman" w:eastAsia="Times New Roman" w:hAnsi="Times New Roman"/>
          <w:sz w:val="22"/>
          <w:szCs w:val="22"/>
          <w:color w:val="auto"/>
          <w:vertAlign w:val="superscript"/>
        </w:rPr>
      </w:pPr>
    </w:p>
    <w:p>
      <w:pPr>
        <w:ind w:left="780" w:right="399" w:hanging="191"/>
        <w:spacing w:after="0" w:line="235" w:lineRule="auto"/>
        <w:tabs>
          <w:tab w:leader="none" w:pos="780" w:val="left"/>
        </w:tabs>
        <w:numPr>
          <w:ilvl w:val="0"/>
          <w:numId w:val="8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Reflects the number of shares underlying PSUs that, as of December 31, 2025, may be achieved assuming maximum attainment of the performance condition, which would result in 250% vesting of the award. The Compensation Committee certified actual performance achievement of the PSUs on February 24, 2026 which resulted in 108% vesting of the award. The PSUs vested 100% on the three-year anniversary of the date of grant.</w:t>
      </w:r>
    </w:p>
    <w:p>
      <w:pPr>
        <w:spacing w:after="0" w:line="30" w:lineRule="exact"/>
        <w:rPr>
          <w:rFonts w:ascii="Times New Roman" w:cs="Times New Roman" w:eastAsia="Times New Roman" w:hAnsi="Times New Roman"/>
          <w:sz w:val="22"/>
          <w:szCs w:val="22"/>
          <w:color w:val="auto"/>
          <w:vertAlign w:val="superscript"/>
        </w:rPr>
      </w:pPr>
    </w:p>
    <w:p>
      <w:pPr>
        <w:ind w:left="780" w:right="519" w:hanging="191"/>
        <w:spacing w:after="0" w:line="233" w:lineRule="auto"/>
        <w:tabs>
          <w:tab w:leader="none" w:pos="780" w:val="left"/>
        </w:tabs>
        <w:numPr>
          <w:ilvl w:val="0"/>
          <w:numId w:val="8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Reflects the number of shares underlying PSUs that, as of December 31, 2025, may be achieved assuming maximum attainment of the performance condition, which would result in 250% vesting of the award. The Compensation Committee will certify actual performance achievement of the PSUs in early 2027. The PSUs vest 100% on the three-year anniversary of the date of grant.</w:t>
      </w:r>
    </w:p>
    <w:p>
      <w:pPr>
        <w:spacing w:after="0" w:line="28" w:lineRule="exact"/>
        <w:rPr>
          <w:rFonts w:ascii="Times New Roman" w:cs="Times New Roman" w:eastAsia="Times New Roman" w:hAnsi="Times New Roman"/>
          <w:sz w:val="22"/>
          <w:szCs w:val="22"/>
          <w:color w:val="auto"/>
          <w:vertAlign w:val="superscript"/>
        </w:rPr>
      </w:pPr>
    </w:p>
    <w:p>
      <w:pPr>
        <w:ind w:left="780" w:right="519" w:hanging="191"/>
        <w:spacing w:after="0" w:line="233" w:lineRule="auto"/>
        <w:tabs>
          <w:tab w:leader="none" w:pos="780" w:val="left"/>
        </w:tabs>
        <w:numPr>
          <w:ilvl w:val="0"/>
          <w:numId w:val="8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Reflects the number of shares underlying PSUs that, as of December 31, 2025, may be achieved assuming maximum attainment of the performance condition, which would result in 250% vesting of the award. The Compensation Committee will certify actual performance achievement of the PSUs in early 2028. The PSUs vest 100% on the three-year anniversary of the date of grant.</w:t>
      </w:r>
    </w:p>
    <w:p>
      <w:pPr>
        <w:spacing w:after="0" w:line="28" w:lineRule="exact"/>
        <w:rPr>
          <w:rFonts w:ascii="Times New Roman" w:cs="Times New Roman" w:eastAsia="Times New Roman" w:hAnsi="Times New Roman"/>
          <w:sz w:val="22"/>
          <w:szCs w:val="22"/>
          <w:color w:val="auto"/>
          <w:vertAlign w:val="superscript"/>
        </w:rPr>
      </w:pPr>
    </w:p>
    <w:p>
      <w:pPr>
        <w:ind w:left="780" w:right="419" w:hanging="191"/>
        <w:spacing w:after="0" w:line="233" w:lineRule="auto"/>
        <w:tabs>
          <w:tab w:leader="none" w:pos="780" w:val="left"/>
        </w:tabs>
        <w:numPr>
          <w:ilvl w:val="0"/>
          <w:numId w:val="8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Reflects the number of shares underlying PSUs that, as of December 31, 2025, may be achieved assuming the maximum attainment of the performance condition, which would result in 250% vesting of the award. The Compensation Committee will certify actual performance achievement of the PSUs in early 2029. The PSUs vest 100% on December 31, 2028.</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25"/>
          <w:szCs w:val="25"/>
          <w:color w:val="auto"/>
        </w:rPr>
        <w:t>Option Exercises and Stock Vested</w:t>
      </w:r>
    </w:p>
    <w:p>
      <w:pPr>
        <w:spacing w:after="0" w:line="121" w:lineRule="exact"/>
        <w:rPr>
          <w:sz w:val="20"/>
          <w:szCs w:val="20"/>
          <w:color w:val="auto"/>
        </w:rPr>
      </w:pPr>
    </w:p>
    <w:p>
      <w:pPr>
        <w:ind w:left="320" w:right="359"/>
        <w:spacing w:after="0" w:line="247"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2025.</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3200" w:type="dxa"/>
            <w:vAlign w:val="bottom"/>
            <w:tcBorders>
              <w:bottom w:val="single" w:sz="8" w:color="auto"/>
            </w:tcBorders>
            <w:gridSpan w:val="2"/>
          </w:tcPr>
          <w:p>
            <w:pPr>
              <w:jc w:val="right"/>
              <w:ind w:right="879"/>
              <w:spacing w:after="0"/>
              <w:rPr>
                <w:sz w:val="20"/>
                <w:szCs w:val="20"/>
                <w:color w:val="auto"/>
              </w:rPr>
            </w:pPr>
            <w:r>
              <w:rPr>
                <w:rFonts w:ascii="Arial" w:cs="Arial" w:eastAsia="Arial" w:hAnsi="Arial"/>
                <w:sz w:val="16"/>
                <w:szCs w:val="16"/>
                <w:b w:val="1"/>
                <w:bCs w:val="1"/>
                <w:color w:val="auto"/>
              </w:rPr>
              <w:t>OPTION AWARDS</w:t>
            </w:r>
          </w:p>
        </w:tc>
        <w:tc>
          <w:tcPr>
            <w:tcW w:w="100" w:type="dxa"/>
            <w:vAlign w:val="bottom"/>
          </w:tcPr>
          <w:p>
            <w:pPr>
              <w:spacing w:after="0"/>
              <w:rPr>
                <w:sz w:val="17"/>
                <w:szCs w:val="17"/>
                <w:color w:val="auto"/>
              </w:rPr>
            </w:pPr>
          </w:p>
        </w:tc>
        <w:tc>
          <w:tcPr>
            <w:tcW w:w="296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STOCK AWARDS</w:t>
            </w:r>
          </w:p>
        </w:tc>
      </w:tr>
      <w:tr>
        <w:trPr>
          <w:trHeight w:val="168"/>
        </w:trPr>
        <w:tc>
          <w:tcPr>
            <w:tcW w:w="2080" w:type="dxa"/>
            <w:vAlign w:val="bottom"/>
          </w:tcPr>
          <w:p>
            <w:pPr>
              <w:spacing w:after="0"/>
              <w:rPr>
                <w:sz w:val="14"/>
                <w:szCs w:val="14"/>
                <w:color w:val="auto"/>
              </w:rPr>
            </w:pPr>
          </w:p>
        </w:tc>
        <w:tc>
          <w:tcPr>
            <w:tcW w:w="1720" w:type="dxa"/>
            <w:vAlign w:val="bottom"/>
          </w:tcPr>
          <w:p>
            <w:pPr>
              <w:jc w:val="right"/>
              <w:ind w:right="199"/>
              <w:spacing w:after="0" w:line="168" w:lineRule="exact"/>
              <w:rPr>
                <w:sz w:val="20"/>
                <w:szCs w:val="20"/>
                <w:color w:val="auto"/>
              </w:rPr>
            </w:pPr>
            <w:r>
              <w:rPr>
                <w:rFonts w:ascii="Arial" w:cs="Arial" w:eastAsia="Arial" w:hAnsi="Arial"/>
                <w:sz w:val="16"/>
                <w:szCs w:val="16"/>
                <w:b w:val="1"/>
                <w:bCs w:val="1"/>
                <w:color w:val="auto"/>
              </w:rPr>
              <w:t>NUMBER OF</w:t>
            </w:r>
          </w:p>
        </w:tc>
        <w:tc>
          <w:tcPr>
            <w:tcW w:w="148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4"/>
                <w:szCs w:val="14"/>
                <w:color w:val="auto"/>
              </w:rPr>
            </w:pPr>
          </w:p>
        </w:tc>
        <w:tc>
          <w:tcPr>
            <w:tcW w:w="15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NUMBER OF</w:t>
            </w:r>
          </w:p>
        </w:tc>
        <w:tc>
          <w:tcPr>
            <w:tcW w:w="140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VALUE</w:t>
            </w:r>
          </w:p>
        </w:tc>
      </w:tr>
      <w:tr>
        <w:trPr>
          <w:trHeight w:val="189"/>
        </w:trPr>
        <w:tc>
          <w:tcPr>
            <w:tcW w:w="2080" w:type="dxa"/>
            <w:vAlign w:val="bottom"/>
          </w:tcPr>
          <w:p>
            <w:pPr>
              <w:spacing w:after="0"/>
              <w:rPr>
                <w:sz w:val="16"/>
                <w:szCs w:val="16"/>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REALIZED ON</w:t>
            </w:r>
          </w:p>
        </w:tc>
        <w:tc>
          <w:tcPr>
            <w:tcW w:w="10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REALIZED ON</w:t>
            </w:r>
          </w:p>
        </w:tc>
      </w:tr>
      <w:tr>
        <w:trPr>
          <w:trHeight w:val="189"/>
        </w:trPr>
        <w:tc>
          <w:tcPr>
            <w:tcW w:w="2080" w:type="dxa"/>
            <w:vAlign w:val="bottom"/>
          </w:tcPr>
          <w:p>
            <w:pPr>
              <w:spacing w:after="0"/>
              <w:rPr>
                <w:sz w:val="16"/>
                <w:szCs w:val="16"/>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rPr>
              <w:t>ACQUIRED ON</w:t>
            </w: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EXERCISE</w:t>
            </w:r>
          </w:p>
        </w:tc>
        <w:tc>
          <w:tcPr>
            <w:tcW w:w="10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b w:val="1"/>
                <w:bCs w:val="1"/>
                <w:color w:val="auto"/>
              </w:rPr>
              <w:t>ACQUIRED</w:t>
            </w: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VESTING</w:t>
            </w:r>
          </w:p>
        </w:tc>
      </w:tr>
      <w:tr>
        <w:trPr>
          <w:trHeight w:val="163"/>
        </w:trPr>
        <w:tc>
          <w:tcPr>
            <w:tcW w:w="2080" w:type="dxa"/>
            <w:vAlign w:val="bottom"/>
          </w:tcPr>
          <w:p>
            <w:pPr>
              <w:ind w:left="80"/>
              <w:spacing w:after="0" w:line="163" w:lineRule="exact"/>
              <w:rPr>
                <w:sz w:val="20"/>
                <w:szCs w:val="20"/>
                <w:color w:val="auto"/>
              </w:rPr>
            </w:pPr>
            <w:r>
              <w:rPr>
                <w:rFonts w:ascii="Arial" w:cs="Arial" w:eastAsia="Arial" w:hAnsi="Arial"/>
                <w:sz w:val="16"/>
                <w:szCs w:val="16"/>
                <w:b w:val="1"/>
                <w:bCs w:val="1"/>
                <w:color w:val="auto"/>
              </w:rPr>
              <w:t>NAME</w:t>
            </w:r>
          </w:p>
        </w:tc>
        <w:tc>
          <w:tcPr>
            <w:tcW w:w="172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EXERCISE</w:t>
            </w:r>
          </w:p>
        </w:tc>
        <w:tc>
          <w:tcPr>
            <w:tcW w:w="148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56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auto"/>
              </w:rPr>
              <w:t>ON VESTING</w:t>
            </w:r>
          </w:p>
        </w:tc>
        <w:tc>
          <w:tcPr>
            <w:tcW w:w="140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w:t>
            </w:r>
          </w:p>
        </w:tc>
      </w:tr>
      <w:tr>
        <w:trPr>
          <w:trHeight w:val="284"/>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Brian L. Roberts</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907,600</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5,472,828</w:t>
            </w:r>
          </w:p>
        </w:tc>
        <w:tc>
          <w:tcPr>
            <w:tcW w:w="1660" w:type="dxa"/>
            <w:vAlign w:val="bottom"/>
            <w:gridSpan w:val="2"/>
          </w:tcPr>
          <w:p>
            <w:pPr>
              <w:jc w:val="right"/>
              <w:ind w:right="219"/>
              <w:spacing w:after="0"/>
              <w:rPr>
                <w:sz w:val="20"/>
                <w:szCs w:val="20"/>
                <w:color w:val="auto"/>
              </w:rPr>
            </w:pPr>
            <w:r>
              <w:rPr>
                <w:rFonts w:ascii="Arial" w:cs="Arial" w:eastAsia="Arial" w:hAnsi="Arial"/>
                <w:sz w:val="16"/>
                <w:szCs w:val="16"/>
                <w:color w:val="auto"/>
              </w:rPr>
              <w:t xml:space="preserve">516,756 </w:t>
            </w:r>
            <w:r>
              <w:rPr>
                <w:rFonts w:ascii="Arial" w:cs="Arial" w:eastAsia="Arial" w:hAnsi="Arial"/>
                <w:sz w:val="21"/>
                <w:szCs w:val="21"/>
                <w:color w:val="auto"/>
                <w:vertAlign w:val="subscript"/>
              </w:rPr>
              <w:t>(1)</w:t>
            </w:r>
            <w:r>
              <w:rPr>
                <w:rFonts w:ascii="Arial" w:cs="Arial" w:eastAsia="Arial" w:hAnsi="Arial"/>
                <w:sz w:val="21"/>
                <w:szCs w:val="21"/>
                <w:color w:val="auto"/>
                <w:vertAlign w:val="superscript"/>
              </w:rPr>
              <w:t>(1)</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18,541,205</w:t>
            </w:r>
          </w:p>
        </w:tc>
      </w:tr>
      <w:tr>
        <w:trPr>
          <w:trHeight w:val="188"/>
        </w:trPr>
        <w:tc>
          <w:tcPr>
            <w:tcW w:w="208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Michael J. Cavanagh</w:t>
            </w:r>
          </w:p>
        </w:tc>
        <w:tc>
          <w:tcPr>
            <w:tcW w:w="1720" w:type="dxa"/>
            <w:vAlign w:val="bottom"/>
            <w:tcBorders>
              <w:bottom w:val="single" w:sz="8" w:color="DCDDDE"/>
            </w:tcBorders>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DCDDDE"/>
            </w:tcBorders>
            <w:gridSpan w:val="2"/>
          </w:tcPr>
          <w:p>
            <w:pPr>
              <w:jc w:val="right"/>
              <w:ind w:right="439"/>
              <w:spacing w:after="0"/>
              <w:rPr>
                <w:sz w:val="20"/>
                <w:szCs w:val="20"/>
                <w:color w:val="auto"/>
              </w:rPr>
            </w:pPr>
            <w:r>
              <w:rPr>
                <w:rFonts w:ascii="Arial" w:cs="Arial" w:eastAsia="Arial" w:hAnsi="Arial"/>
                <w:sz w:val="16"/>
                <w:szCs w:val="16"/>
                <w:color w:val="auto"/>
              </w:rPr>
              <w:t>375,127</w:t>
            </w:r>
          </w:p>
        </w:tc>
        <w:tc>
          <w:tcPr>
            <w:tcW w:w="140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13,459,557</w:t>
            </w:r>
          </w:p>
        </w:tc>
      </w:tr>
      <w:tr>
        <w:trPr>
          <w:trHeight w:val="183"/>
        </w:trPr>
        <w:tc>
          <w:tcPr>
            <w:tcW w:w="208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Jason S. Armstrong</w:t>
            </w:r>
          </w:p>
        </w:tc>
        <w:tc>
          <w:tcPr>
            <w:tcW w:w="172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DCDDDE"/>
            </w:tcBorders>
            <w:gridSpan w:val="2"/>
          </w:tcPr>
          <w:p>
            <w:pPr>
              <w:jc w:val="right"/>
              <w:ind w:right="439"/>
              <w:spacing w:after="0" w:line="183" w:lineRule="exact"/>
              <w:rPr>
                <w:sz w:val="20"/>
                <w:szCs w:val="20"/>
                <w:color w:val="auto"/>
              </w:rPr>
            </w:pPr>
            <w:r>
              <w:rPr>
                <w:rFonts w:ascii="Arial" w:cs="Arial" w:eastAsia="Arial" w:hAnsi="Arial"/>
                <w:sz w:val="16"/>
                <w:szCs w:val="16"/>
                <w:color w:val="auto"/>
              </w:rPr>
              <w:t>23,626</w:t>
            </w:r>
          </w:p>
        </w:tc>
        <w:tc>
          <w:tcPr>
            <w:tcW w:w="14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835,794</w:t>
            </w:r>
          </w:p>
        </w:tc>
      </w:tr>
      <w:tr>
        <w:trPr>
          <w:trHeight w:val="183"/>
        </w:trPr>
        <w:tc>
          <w:tcPr>
            <w:tcW w:w="208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Thomas J. Reid</w:t>
            </w:r>
          </w:p>
        </w:tc>
        <w:tc>
          <w:tcPr>
            <w:tcW w:w="172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DCDDDE"/>
            </w:tcBorders>
            <w:gridSpan w:val="2"/>
          </w:tcPr>
          <w:p>
            <w:pPr>
              <w:jc w:val="right"/>
              <w:ind w:right="439"/>
              <w:spacing w:after="0" w:line="183" w:lineRule="exact"/>
              <w:rPr>
                <w:sz w:val="20"/>
                <w:szCs w:val="20"/>
                <w:color w:val="auto"/>
              </w:rPr>
            </w:pPr>
            <w:r>
              <w:rPr>
                <w:rFonts w:ascii="Arial" w:cs="Arial" w:eastAsia="Arial" w:hAnsi="Arial"/>
                <w:sz w:val="16"/>
                <w:szCs w:val="16"/>
                <w:color w:val="auto"/>
              </w:rPr>
              <w:t>113,638</w:t>
            </w:r>
          </w:p>
        </w:tc>
        <w:tc>
          <w:tcPr>
            <w:tcW w:w="14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4,077,331</w:t>
            </w:r>
          </w:p>
        </w:tc>
      </w:tr>
      <w:tr>
        <w:trPr>
          <w:trHeight w:val="196"/>
        </w:trPr>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Jennifer Khoury</w:t>
            </w: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24,750</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-668020</wp:posOffset>
            </wp:positionV>
            <wp:extent cx="53060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-530860</wp:posOffset>
            </wp:positionV>
            <wp:extent cx="53060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87" w:lineRule="exact"/>
        <w:rPr>
          <w:sz w:val="20"/>
          <w:szCs w:val="20"/>
          <w:color w:val="auto"/>
        </w:rPr>
      </w:pPr>
    </w:p>
    <w:p>
      <w:pPr>
        <w:ind w:left="520" w:right="399" w:hanging="201"/>
        <w:spacing w:after="0" w:line="238" w:lineRule="auto"/>
        <w:tabs>
          <w:tab w:leader="none" w:pos="520" w:val="left"/>
        </w:tabs>
        <w:numPr>
          <w:ilvl w:val="0"/>
          <w:numId w:val="82"/>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Mr. Roberts deferred the receipt of shares relating to 355,884 PSUs that vested on March 1, 2025 and 118,238 PSUs that vested on March 2, 2025, and Mr. Cavanagh deferred the receipt of shares relating to 260,819 PSUs that vested on March 1, 2025. The value of the stock units realized on vesting is based on the value of a share of Class A common stock on the vesting date, regardless of whether the receipt of the underlying shares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w:t>
      </w:r>
    </w:p>
    <w:p>
      <w:pPr>
        <w:spacing w:after="0" w:line="200" w:lineRule="exact"/>
        <w:rPr>
          <w:sz w:val="20"/>
          <w:szCs w:val="20"/>
          <w:color w:val="auto"/>
        </w:rPr>
      </w:pPr>
    </w:p>
    <w:p>
      <w:pPr>
        <w:spacing w:after="0" w:line="314" w:lineRule="exact"/>
        <w:rPr>
          <w:sz w:val="20"/>
          <w:szCs w:val="20"/>
          <w:color w:val="auto"/>
        </w:rPr>
      </w:pPr>
    </w:p>
    <w:p>
      <w:pPr>
        <w:ind w:left="1000" w:hanging="674"/>
        <w:spacing w:after="0"/>
        <w:tabs>
          <w:tab w:leader="none" w:pos="100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1" w:name="page52"/>
    <w:bookmarkEnd w:id="51"/>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Nonqualified Deferred Compensation in and as of Fiscal Year-End</w:t>
      </w:r>
    </w:p>
    <w:p>
      <w:pPr>
        <w:spacing w:after="0" w:line="94" w:lineRule="exact"/>
        <w:rPr>
          <w:sz w:val="20"/>
          <w:szCs w:val="20"/>
          <w:color w:val="auto"/>
        </w:rPr>
      </w:pPr>
    </w:p>
    <w:p>
      <w:pPr>
        <w:ind w:left="1180" w:right="1320"/>
        <w:spacing w:after="0" w:line="231" w:lineRule="auto"/>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2025.</w:t>
      </w:r>
      <w:r>
        <w:rPr>
          <w:rFonts w:ascii="Arial" w:cs="Arial" w:eastAsia="Arial" w:hAnsi="Arial"/>
          <w:sz w:val="24"/>
          <w:szCs w:val="24"/>
          <w:color w:val="auto"/>
          <w:vertAlign w:val="superscript"/>
        </w:rPr>
        <w:t>(1)</w:t>
      </w:r>
    </w:p>
    <w:tbl>
      <w:tblPr>
        <w:tblLayout w:type="fixed"/>
        <w:tblInd w:w="120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1880" w:type="dxa"/>
            <w:vAlign w:val="bottom"/>
            <w:gridSpan w:val="2"/>
          </w:tcPr>
          <w:p>
            <w:pPr>
              <w:jc w:val="right"/>
              <w:ind w:right="119"/>
              <w:spacing w:after="0" w:line="175" w:lineRule="exact"/>
              <w:rPr>
                <w:sz w:val="20"/>
                <w:szCs w:val="20"/>
                <w:color w:val="auto"/>
              </w:rPr>
            </w:pPr>
            <w:r>
              <w:rPr>
                <w:rFonts w:ascii="Arial" w:cs="Arial" w:eastAsia="Arial" w:hAnsi="Arial"/>
                <w:sz w:val="16"/>
                <w:szCs w:val="16"/>
                <w:b w:val="1"/>
                <w:bCs w:val="1"/>
                <w:color w:val="auto"/>
              </w:rPr>
              <w:t>EXECUTIVE</w:t>
            </w:r>
          </w:p>
        </w:tc>
        <w:tc>
          <w:tcPr>
            <w:tcW w:w="1400" w:type="dxa"/>
            <w:vAlign w:val="bottom"/>
          </w:tcPr>
          <w:p>
            <w:pPr>
              <w:jc w:val="right"/>
              <w:ind w:right="59"/>
              <w:spacing w:after="0" w:line="175" w:lineRule="exact"/>
              <w:rPr>
                <w:sz w:val="20"/>
                <w:szCs w:val="20"/>
                <w:color w:val="auto"/>
              </w:rPr>
            </w:pPr>
            <w:r>
              <w:rPr>
                <w:rFonts w:ascii="Arial" w:cs="Arial" w:eastAsia="Arial" w:hAnsi="Arial"/>
                <w:sz w:val="16"/>
                <w:szCs w:val="16"/>
                <w:b w:val="1"/>
                <w:bCs w:val="1"/>
                <w:color w:val="auto"/>
              </w:rPr>
              <w:t>AGGREGATE</w:t>
            </w:r>
          </w:p>
        </w:tc>
        <w:tc>
          <w:tcPr>
            <w:tcW w:w="168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AGGREGATE</w:t>
            </w:r>
          </w:p>
        </w:tc>
        <w:tc>
          <w:tcPr>
            <w:tcW w:w="136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880" w:type="dxa"/>
            <w:vAlign w:val="bottom"/>
            <w:gridSpan w:val="2"/>
          </w:tcPr>
          <w:p>
            <w:pPr>
              <w:jc w:val="right"/>
              <w:ind w:right="119"/>
              <w:spacing w:after="0" w:line="176" w:lineRule="exact"/>
              <w:rPr>
                <w:sz w:val="20"/>
                <w:szCs w:val="20"/>
                <w:color w:val="auto"/>
              </w:rPr>
            </w:pPr>
            <w:r>
              <w:rPr>
                <w:rFonts w:ascii="Arial" w:cs="Arial" w:eastAsia="Arial" w:hAnsi="Arial"/>
                <w:sz w:val="16"/>
                <w:szCs w:val="16"/>
                <w:b w:val="1"/>
                <w:bCs w:val="1"/>
                <w:color w:val="auto"/>
              </w:rPr>
              <w:t>CONTRIBUTIONS</w:t>
            </w:r>
          </w:p>
        </w:tc>
        <w:tc>
          <w:tcPr>
            <w:tcW w:w="140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EARNINGS IN</w:t>
            </w:r>
          </w:p>
        </w:tc>
        <w:tc>
          <w:tcPr>
            <w:tcW w:w="1680" w:type="dxa"/>
            <w:vAlign w:val="bottom"/>
          </w:tcPr>
          <w:p>
            <w:pPr>
              <w:jc w:val="right"/>
              <w:ind w:right="219"/>
              <w:spacing w:after="0" w:line="176" w:lineRule="exact"/>
              <w:rPr>
                <w:sz w:val="20"/>
                <w:szCs w:val="20"/>
                <w:color w:val="auto"/>
              </w:rPr>
            </w:pPr>
            <w:r>
              <w:rPr>
                <w:rFonts w:ascii="Arial" w:cs="Arial" w:eastAsia="Arial" w:hAnsi="Arial"/>
                <w:sz w:val="16"/>
                <w:szCs w:val="16"/>
                <w:b w:val="1"/>
                <w:bCs w:val="1"/>
                <w:color w:val="auto"/>
              </w:rPr>
              <w:t>WITHDRAWALS/</w:t>
            </w:r>
          </w:p>
        </w:tc>
        <w:tc>
          <w:tcPr>
            <w:tcW w:w="1360" w:type="dxa"/>
            <w:vAlign w:val="bottom"/>
          </w:tcPr>
          <w:p>
            <w:pPr>
              <w:jc w:val="right"/>
              <w:ind w:right="19"/>
              <w:spacing w:after="0" w:line="176" w:lineRule="exact"/>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1880" w:type="dxa"/>
            <w:vAlign w:val="bottom"/>
            <w:gridSpan w:val="2"/>
          </w:tcPr>
          <w:p>
            <w:pPr>
              <w:jc w:val="right"/>
              <w:ind w:right="119"/>
              <w:spacing w:after="0" w:line="202" w:lineRule="exact"/>
              <w:rPr>
                <w:sz w:val="20"/>
                <w:szCs w:val="20"/>
                <w:color w:val="auto"/>
              </w:rPr>
            </w:pPr>
            <w:r>
              <w:rPr>
                <w:rFonts w:ascii="Arial" w:cs="Arial" w:eastAsia="Arial" w:hAnsi="Arial"/>
                <w:sz w:val="16"/>
                <w:szCs w:val="16"/>
                <w:b w:val="1"/>
                <w:bCs w:val="1"/>
                <w:color w:val="auto"/>
              </w:rPr>
              <w:t>IN LAST FY</w:t>
            </w:r>
            <w:r>
              <w:rPr>
                <w:rFonts w:ascii="Arial" w:cs="Arial" w:eastAsia="Arial" w:hAnsi="Arial"/>
                <w:sz w:val="21"/>
                <w:szCs w:val="21"/>
                <w:b w:val="1"/>
                <w:bCs w:val="1"/>
                <w:color w:val="auto"/>
                <w:vertAlign w:val="superscript"/>
              </w:rPr>
              <w:t>(2)</w:t>
            </w: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LAST FY</w:t>
            </w:r>
          </w:p>
        </w:tc>
        <w:tc>
          <w:tcPr>
            <w:tcW w:w="1680" w:type="dxa"/>
            <w:vAlign w:val="bottom"/>
          </w:tcPr>
          <w:p>
            <w:pPr>
              <w:jc w:val="right"/>
              <w:ind w:right="219"/>
              <w:spacing w:after="0"/>
              <w:rPr>
                <w:sz w:val="20"/>
                <w:szCs w:val="20"/>
                <w:color w:val="auto"/>
              </w:rPr>
            </w:pPr>
            <w:r>
              <w:rPr>
                <w:rFonts w:ascii="Arial" w:cs="Arial" w:eastAsia="Arial" w:hAnsi="Arial"/>
                <w:sz w:val="16"/>
                <w:szCs w:val="16"/>
                <w:b w:val="1"/>
                <w:bCs w:val="1"/>
                <w:color w:val="auto"/>
              </w:rPr>
              <w:t>DISTRIBUTIONS</w:t>
            </w:r>
          </w:p>
        </w:tc>
        <w:tc>
          <w:tcPr>
            <w:tcW w:w="1360" w:type="dxa"/>
            <w:vAlign w:val="bottom"/>
          </w:tcPr>
          <w:p>
            <w:pPr>
              <w:jc w:val="right"/>
              <w:ind w:right="19"/>
              <w:spacing w:after="0" w:line="202" w:lineRule="exact"/>
              <w:rPr>
                <w:sz w:val="20"/>
                <w:szCs w:val="20"/>
                <w:color w:val="auto"/>
              </w:rPr>
            </w:pPr>
            <w:r>
              <w:rPr>
                <w:rFonts w:ascii="Arial" w:cs="Arial" w:eastAsia="Arial" w:hAnsi="Arial"/>
                <w:sz w:val="16"/>
                <w:szCs w:val="16"/>
                <w:b w:val="1"/>
                <w:bCs w:val="1"/>
                <w:color w:val="auto"/>
              </w:rPr>
              <w:t>LAST FYE</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63"/>
        </w:trPr>
        <w:tc>
          <w:tcPr>
            <w:tcW w:w="2020" w:type="dxa"/>
            <w:vAlign w:val="bottom"/>
          </w:tcPr>
          <w:p>
            <w:pPr>
              <w:ind w:left="80"/>
              <w:spacing w:after="0" w:line="163" w:lineRule="exact"/>
              <w:rPr>
                <w:sz w:val="20"/>
                <w:szCs w:val="20"/>
                <w:color w:val="auto"/>
              </w:rPr>
            </w:pPr>
            <w:r>
              <w:rPr>
                <w:rFonts w:ascii="Arial" w:cs="Arial" w:eastAsia="Arial" w:hAnsi="Arial"/>
                <w:sz w:val="16"/>
                <w:szCs w:val="16"/>
                <w:b w:val="1"/>
                <w:bCs w:val="1"/>
                <w:color w:val="auto"/>
              </w:rPr>
              <w:t>NAME</w:t>
            </w:r>
          </w:p>
        </w:tc>
        <w:tc>
          <w:tcPr>
            <w:tcW w:w="1460" w:type="dxa"/>
            <w:vAlign w:val="bottom"/>
          </w:tcPr>
          <w:p>
            <w:pPr>
              <w:spacing w:after="0"/>
              <w:rPr>
                <w:sz w:val="14"/>
                <w:szCs w:val="14"/>
                <w:color w:val="auto"/>
              </w:rPr>
            </w:pPr>
          </w:p>
        </w:tc>
        <w:tc>
          <w:tcPr>
            <w:tcW w:w="42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219"/>
              <w:spacing w:after="0" w:line="163"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83"/>
        </w:trPr>
        <w:tc>
          <w:tcPr>
            <w:tcW w:w="2020" w:type="dxa"/>
            <w:vAlign w:val="bottom"/>
          </w:tcPr>
          <w:p>
            <w:pPr>
              <w:ind w:left="80"/>
              <w:spacing w:after="0"/>
              <w:rPr>
                <w:sz w:val="20"/>
                <w:szCs w:val="20"/>
                <w:color w:val="auto"/>
              </w:rPr>
            </w:pPr>
            <w:r>
              <w:rPr>
                <w:rFonts w:ascii="Arial" w:cs="Arial" w:eastAsia="Arial" w:hAnsi="Arial"/>
                <w:sz w:val="16"/>
                <w:szCs w:val="16"/>
                <w:b w:val="1"/>
                <w:bCs w:val="1"/>
                <w:color w:val="auto"/>
              </w:rPr>
              <w:t>Brian L. Roberts</w:t>
            </w:r>
          </w:p>
        </w:tc>
        <w:tc>
          <w:tcPr>
            <w:tcW w:w="1460" w:type="dxa"/>
            <w:vAlign w:val="bottom"/>
          </w:tcPr>
          <w:p>
            <w:pPr>
              <w:jc w:val="right"/>
              <w:spacing w:after="0"/>
              <w:rPr>
                <w:sz w:val="20"/>
                <w:szCs w:val="20"/>
                <w:color w:val="auto"/>
              </w:rPr>
            </w:pPr>
            <w:r>
              <w:rPr>
                <w:rFonts w:ascii="Arial" w:cs="Arial" w:eastAsia="Arial" w:hAnsi="Arial"/>
                <w:sz w:val="16"/>
                <w:szCs w:val="16"/>
                <w:color w:val="auto"/>
              </w:rPr>
              <w:t>17,011,497</w:t>
            </w:r>
          </w:p>
        </w:tc>
        <w:tc>
          <w:tcPr>
            <w:tcW w:w="420" w:type="dxa"/>
            <w:vAlign w:val="bottom"/>
            <w:vMerge w:val="restart"/>
          </w:tcPr>
          <w:p>
            <w:pPr>
              <w:jc w:val="right"/>
              <w:ind w:right="179"/>
              <w:spacing w:after="0"/>
              <w:rPr>
                <w:sz w:val="20"/>
                <w:szCs w:val="20"/>
                <w:color w:val="auto"/>
              </w:rPr>
            </w:pPr>
            <w:r>
              <w:rPr>
                <w:rFonts w:ascii="Arial" w:cs="Arial" w:eastAsia="Arial" w:hAnsi="Arial"/>
                <w:sz w:val="8"/>
                <w:szCs w:val="8"/>
                <w:color w:val="auto"/>
                <w:w w:val="75"/>
              </w:rPr>
              <w:t>(1)</w:t>
            </w:r>
            <w:r>
              <w:rPr>
                <w:rFonts w:ascii="Arial" w:cs="Arial" w:eastAsia="Arial" w:hAnsi="Arial"/>
                <w:sz w:val="14"/>
                <w:szCs w:val="14"/>
                <w:color w:val="auto"/>
                <w:w w:val="75"/>
                <w:vertAlign w:val="superscript"/>
              </w:rPr>
              <w:t>(1)</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6,108,352</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168,177,085</w:t>
            </w:r>
          </w:p>
        </w:tc>
        <w:tc>
          <w:tcPr>
            <w:tcW w:w="0" w:type="dxa"/>
            <w:vAlign w:val="bottom"/>
          </w:tcPr>
          <w:p>
            <w:pPr>
              <w:spacing w:after="0"/>
              <w:rPr>
                <w:sz w:val="1"/>
                <w:szCs w:val="1"/>
                <w:color w:val="auto"/>
              </w:rPr>
            </w:pPr>
          </w:p>
        </w:tc>
      </w:tr>
      <w:tr>
        <w:trPr>
          <w:trHeight w:val="61"/>
        </w:trPr>
        <w:tc>
          <w:tcPr>
            <w:tcW w:w="2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Michael J. Cavanagh</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9,358,186</w:t>
            </w:r>
          </w:p>
        </w:tc>
        <w:tc>
          <w:tcPr>
            <w:tcW w:w="420" w:type="dxa"/>
            <w:vAlign w:val="bottom"/>
            <w:vMerge w:val="continue"/>
          </w:tcPr>
          <w:p>
            <w:pPr>
              <w:spacing w:after="0"/>
              <w:rPr>
                <w:sz w:val="5"/>
                <w:szCs w:val="5"/>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(1,909,423)</w:t>
            </w:r>
          </w:p>
        </w:tc>
        <w:tc>
          <w:tcPr>
            <w:tcW w:w="1680" w:type="dxa"/>
            <w:vAlign w:val="bottom"/>
            <w:vMerge w:val="restart"/>
          </w:tcPr>
          <w:p>
            <w:pPr>
              <w:jc w:val="right"/>
              <w:ind w:right="159"/>
              <w:spacing w:after="0"/>
              <w:rPr>
                <w:sz w:val="20"/>
                <w:szCs w:val="20"/>
                <w:color w:val="auto"/>
              </w:rPr>
            </w:pPr>
            <w:r>
              <w:rPr>
                <w:rFonts w:ascii="Arial" w:cs="Arial" w:eastAsia="Arial" w:hAnsi="Arial"/>
                <w:sz w:val="16"/>
                <w:szCs w:val="16"/>
                <w:color w:val="auto"/>
              </w:rPr>
              <w:t>(5,150,700)</w:t>
            </w: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43,321,897</w:t>
            </w:r>
          </w:p>
        </w:tc>
        <w:tc>
          <w:tcPr>
            <w:tcW w:w="0" w:type="dxa"/>
            <w:vAlign w:val="bottom"/>
          </w:tcPr>
          <w:p>
            <w:pPr>
              <w:spacing w:after="0"/>
              <w:rPr>
                <w:sz w:val="1"/>
                <w:szCs w:val="1"/>
                <w:color w:val="auto"/>
              </w:rPr>
            </w:pPr>
          </w:p>
        </w:tc>
      </w:tr>
      <w:tr>
        <w:trPr>
          <w:trHeight w:val="128"/>
        </w:trPr>
        <w:tc>
          <w:tcPr>
            <w:tcW w:w="2020" w:type="dxa"/>
            <w:vAlign w:val="bottom"/>
            <w:tcBorders>
              <w:bottom w:val="single" w:sz="8" w:color="DCDDDE"/>
            </w:tcBorders>
            <w:vMerge w:val="continue"/>
          </w:tcPr>
          <w:p>
            <w:pPr>
              <w:spacing w:after="0"/>
              <w:rPr>
                <w:sz w:val="11"/>
                <w:szCs w:val="11"/>
                <w:color w:val="auto"/>
              </w:rPr>
            </w:pPr>
          </w:p>
        </w:tc>
        <w:tc>
          <w:tcPr>
            <w:tcW w:w="1460" w:type="dxa"/>
            <w:vAlign w:val="bottom"/>
            <w:tcBorders>
              <w:bottom w:val="single" w:sz="8" w:color="DCDDDE"/>
            </w:tcBorders>
            <w:vMerge w:val="continue"/>
          </w:tcPr>
          <w:p>
            <w:pPr>
              <w:spacing w:after="0"/>
              <w:rPr>
                <w:sz w:val="11"/>
                <w:szCs w:val="11"/>
                <w:color w:val="auto"/>
              </w:rPr>
            </w:pPr>
          </w:p>
        </w:tc>
        <w:tc>
          <w:tcPr>
            <w:tcW w:w="420" w:type="dxa"/>
            <w:vAlign w:val="bottom"/>
            <w:tcBorders>
              <w:bottom w:val="single" w:sz="8" w:color="DCDDDE"/>
            </w:tcBorders>
          </w:tcPr>
          <w:p>
            <w:pPr>
              <w:spacing w:after="0"/>
              <w:rPr>
                <w:sz w:val="11"/>
                <w:szCs w:val="11"/>
                <w:color w:val="auto"/>
              </w:rPr>
            </w:pPr>
          </w:p>
        </w:tc>
        <w:tc>
          <w:tcPr>
            <w:tcW w:w="1400" w:type="dxa"/>
            <w:vAlign w:val="bottom"/>
            <w:tcBorders>
              <w:bottom w:val="single" w:sz="8" w:color="DCDDDE"/>
            </w:tcBorders>
            <w:vMerge w:val="continue"/>
          </w:tcPr>
          <w:p>
            <w:pPr>
              <w:spacing w:after="0"/>
              <w:rPr>
                <w:sz w:val="11"/>
                <w:szCs w:val="11"/>
                <w:color w:val="auto"/>
              </w:rPr>
            </w:pPr>
          </w:p>
        </w:tc>
        <w:tc>
          <w:tcPr>
            <w:tcW w:w="1680" w:type="dxa"/>
            <w:vAlign w:val="bottom"/>
            <w:tcBorders>
              <w:bottom w:val="single" w:sz="8" w:color="DCDDDE"/>
            </w:tcBorders>
            <w:vMerge w:val="continue"/>
          </w:tcPr>
          <w:p>
            <w:pPr>
              <w:spacing w:after="0"/>
              <w:rPr>
                <w:sz w:val="11"/>
                <w:szCs w:val="11"/>
                <w:color w:val="auto"/>
              </w:rPr>
            </w:pPr>
          </w:p>
        </w:tc>
        <w:tc>
          <w:tcPr>
            <w:tcW w:w="1360" w:type="dxa"/>
            <w:vAlign w:val="bottom"/>
            <w:tcBorders>
              <w:bottom w:val="single" w:sz="8" w:color="DCDDDE"/>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Jason S. Armstrong</w:t>
            </w:r>
          </w:p>
        </w:tc>
        <w:tc>
          <w:tcPr>
            <w:tcW w:w="1460" w:type="dxa"/>
            <w:vAlign w:val="bottom"/>
            <w:tcBorders>
              <w:bottom w:val="single" w:sz="8" w:color="DCDDDE"/>
            </w:tcBorders>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DCDDDE"/>
            </w:tcBorders>
          </w:tcPr>
          <w:p>
            <w:pPr>
              <w:spacing w:after="0"/>
              <w:rPr>
                <w:sz w:val="15"/>
                <w:szCs w:val="15"/>
                <w:color w:val="auto"/>
              </w:rPr>
            </w:pPr>
          </w:p>
        </w:tc>
        <w:tc>
          <w:tcPr>
            <w:tcW w:w="1400" w:type="dxa"/>
            <w:vAlign w:val="bottom"/>
            <w:tcBorders>
              <w:bottom w:val="single" w:sz="8" w:color="DCDDDE"/>
            </w:tcBorders>
          </w:tcPr>
          <w:p>
            <w:pPr>
              <w:jc w:val="right"/>
              <w:ind w:right="59"/>
              <w:spacing w:after="0" w:line="183" w:lineRule="exact"/>
              <w:rPr>
                <w:sz w:val="20"/>
                <w:szCs w:val="20"/>
                <w:color w:val="auto"/>
              </w:rPr>
            </w:pPr>
            <w:r>
              <w:rPr>
                <w:rFonts w:ascii="Arial" w:cs="Arial" w:eastAsia="Arial" w:hAnsi="Arial"/>
                <w:sz w:val="16"/>
                <w:szCs w:val="16"/>
                <w:color w:val="auto"/>
              </w:rPr>
              <w:t>1,699,617</w:t>
            </w:r>
          </w:p>
        </w:tc>
        <w:tc>
          <w:tcPr>
            <w:tcW w:w="16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14,379,332</w:t>
            </w:r>
          </w:p>
        </w:tc>
        <w:tc>
          <w:tcPr>
            <w:tcW w:w="0" w:type="dxa"/>
            <w:vAlign w:val="bottom"/>
          </w:tcPr>
          <w:p>
            <w:pPr>
              <w:spacing w:after="0"/>
              <w:rPr>
                <w:sz w:val="1"/>
                <w:szCs w:val="1"/>
                <w:color w:val="auto"/>
              </w:rPr>
            </w:pPr>
          </w:p>
        </w:tc>
      </w:tr>
      <w:tr>
        <w:trPr>
          <w:trHeight w:val="183"/>
        </w:trPr>
        <w:tc>
          <w:tcPr>
            <w:tcW w:w="202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Thomas J. Reid</w:t>
            </w:r>
          </w:p>
        </w:tc>
        <w:tc>
          <w:tcPr>
            <w:tcW w:w="1460" w:type="dxa"/>
            <w:vAlign w:val="bottom"/>
            <w:tcBorders>
              <w:bottom w:val="single" w:sz="8" w:color="DCDDDE"/>
            </w:tcBorders>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DCDDDE"/>
            </w:tcBorders>
          </w:tcPr>
          <w:p>
            <w:pPr>
              <w:spacing w:after="0"/>
              <w:rPr>
                <w:sz w:val="15"/>
                <w:szCs w:val="15"/>
                <w:color w:val="auto"/>
              </w:rPr>
            </w:pPr>
          </w:p>
        </w:tc>
        <w:tc>
          <w:tcPr>
            <w:tcW w:w="1400" w:type="dxa"/>
            <w:vAlign w:val="bottom"/>
            <w:tcBorders>
              <w:bottom w:val="single" w:sz="8" w:color="DCDDDE"/>
            </w:tcBorders>
          </w:tcPr>
          <w:p>
            <w:pPr>
              <w:jc w:val="right"/>
              <w:spacing w:after="0" w:line="183" w:lineRule="exact"/>
              <w:rPr>
                <w:sz w:val="20"/>
                <w:szCs w:val="20"/>
                <w:color w:val="auto"/>
              </w:rPr>
            </w:pPr>
            <w:r>
              <w:rPr>
                <w:rFonts w:ascii="Arial" w:cs="Arial" w:eastAsia="Arial" w:hAnsi="Arial"/>
                <w:sz w:val="16"/>
                <w:szCs w:val="16"/>
                <w:color w:val="auto"/>
              </w:rPr>
              <w:t>(319,243)</w:t>
            </w:r>
          </w:p>
        </w:tc>
        <w:tc>
          <w:tcPr>
            <w:tcW w:w="1680" w:type="dxa"/>
            <w:vAlign w:val="bottom"/>
            <w:tcBorders>
              <w:bottom w:val="single" w:sz="8" w:color="DCDDDE"/>
            </w:tcBorders>
          </w:tcPr>
          <w:p>
            <w:pPr>
              <w:jc w:val="right"/>
              <w:ind w:right="159"/>
              <w:spacing w:after="0" w:line="183" w:lineRule="exact"/>
              <w:rPr>
                <w:sz w:val="20"/>
                <w:szCs w:val="20"/>
                <w:color w:val="auto"/>
              </w:rPr>
            </w:pPr>
            <w:r>
              <w:rPr>
                <w:rFonts w:ascii="Arial" w:cs="Arial" w:eastAsia="Arial" w:hAnsi="Arial"/>
                <w:sz w:val="16"/>
                <w:szCs w:val="16"/>
                <w:color w:val="auto"/>
              </w:rPr>
              <w:t>(501,478)</w:t>
            </w:r>
          </w:p>
        </w:tc>
        <w:tc>
          <w:tcPr>
            <w:tcW w:w="136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1,523,145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Jennifer Khoury</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437,667</w:t>
            </w: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4,306,525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-668020</wp:posOffset>
            </wp:positionV>
            <wp:extent cx="53060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-530860</wp:posOffset>
            </wp:positionV>
            <wp:extent cx="53060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6" w:lineRule="exact"/>
        <w:rPr>
          <w:sz w:val="20"/>
          <w:szCs w:val="20"/>
          <w:color w:val="auto"/>
        </w:rPr>
      </w:pPr>
    </w:p>
    <w:p>
      <w:pPr>
        <w:ind w:left="1380" w:right="1280" w:hanging="201"/>
        <w:spacing w:after="0" w:line="233" w:lineRule="auto"/>
        <w:tabs>
          <w:tab w:leader="none" w:pos="1380" w:val="left"/>
        </w:tabs>
        <w:numPr>
          <w:ilvl w:val="0"/>
          <w:numId w:val="84"/>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Amounts in this table have been deferred under our deferred compensation plans, except for deferrals of stock units with respect to shares of Class A common stock under our restricted stock plan. Eligible employees and directors may participate in these plans. Amounts credited to an NEO’s account are invested notionally in a third-party mutual or exchange fund or our company’s common stock fund.</w:t>
      </w:r>
    </w:p>
    <w:p>
      <w:pPr>
        <w:spacing w:after="0" w:line="15" w:lineRule="exact"/>
        <w:rPr>
          <w:rFonts w:ascii="Times New Roman" w:cs="Times New Roman" w:eastAsia="Times New Roman" w:hAnsi="Times New Roman"/>
          <w:sz w:val="22"/>
          <w:szCs w:val="22"/>
          <w:color w:val="auto"/>
          <w:vertAlign w:val="superscript"/>
        </w:rPr>
      </w:pPr>
    </w:p>
    <w:p>
      <w:pPr>
        <w:ind w:left="1380" w:right="1260"/>
        <w:spacing w:after="0" w:line="251" w:lineRule="auto"/>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Under our applicable benefit plans,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the shares subject to such stock units to have the value of such stock units transferred to our deferred compensation plans. Pursuant to these plans, (i) Mr. Roberts deferred the settlement of 355,884 PSUs that vested on March 1, 2025 and 118,238 PSUs that vested on March 2, 2025 and (ii) Mr. Cavanagh deferred the settlement of 260,819 PSUs that vested on March 1, 2025.</w:t>
      </w:r>
    </w:p>
    <w:p>
      <w:pPr>
        <w:spacing w:after="0" w:line="3" w:lineRule="exact"/>
        <w:rPr>
          <w:rFonts w:ascii="Times New Roman" w:cs="Times New Roman" w:eastAsia="Times New Roman" w:hAnsi="Times New Roman"/>
          <w:sz w:val="22"/>
          <w:szCs w:val="22"/>
          <w:color w:val="auto"/>
          <w:vertAlign w:val="superscript"/>
        </w:rPr>
      </w:pPr>
    </w:p>
    <w:p>
      <w:pPr>
        <w:ind w:left="1380" w:right="1380"/>
        <w:spacing w:after="0" w:line="253" w:lineRule="auto"/>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amounts shown in the “Executive Contributions in Last FY” column reflect the aggregate value of (i) stock units that were deferred in 2025 as of their respective vesting dates and (ii) amounts deemed invested in third-party mutual or exchange funds under our deferred compensation plans; the amounts shown in the “Aggregate Earnings in Last FY” column reflect the value of any aggregate gain or loss in 2025. During 2025, (i) the annual rates of return under the third-party mutual or exchange funds were as follows: 33.0%, 32.8%, 32.4%, 17.9%, 17.9%, 14.9%, 6.1% and 4.2%, and (ii) the annual rate of return under our company stock fund was -17.4%. No amounts represent interest earned in excess of 120% of the long-term applicable federal rate.</w:t>
      </w:r>
    </w:p>
    <w:p>
      <w:pPr>
        <w:spacing w:after="0" w:line="5" w:lineRule="exact"/>
        <w:rPr>
          <w:rFonts w:ascii="Times New Roman" w:cs="Times New Roman" w:eastAsia="Times New Roman" w:hAnsi="Times New Roman"/>
          <w:sz w:val="22"/>
          <w:szCs w:val="22"/>
          <w:color w:val="auto"/>
          <w:vertAlign w:val="superscript"/>
        </w:rPr>
      </w:pPr>
    </w:p>
    <w:p>
      <w:pPr>
        <w:ind w:left="1380" w:right="1340" w:hanging="201"/>
        <w:spacing w:after="0"/>
        <w:tabs>
          <w:tab w:leader="none" w:pos="1380" w:val="left"/>
        </w:tabs>
        <w:numPr>
          <w:ilvl w:val="0"/>
          <w:numId w:val="84"/>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These amounts (other than amounts related to deferrals of stock units) are reported as compensation in the “Summary Compensation Table” above under the columns “Salary” and “Non-Equity Incentive Plan Compensation.” All amounts contributed in prior years under our deferred compensation plans have been reported in the Summary Compensation Table in previously filed proxy statements in the year earned to the extent an individual was an NEO for purposes of the SEC’s executive compensation disclosure. The grant date fair value of stock units that are deferred has been reported in the year granted in the Summary Compensation Table in previously filed proxy statements, to the extent an individual was an NEO for purposes of the SEC’s executive compensation disclosure. Fiscal year-end balances for each fund include net transfers between funds that occurred during the year.</w:t>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Agreements with Our Named Executive Officers</w:t>
      </w:r>
    </w:p>
    <w:p>
      <w:pPr>
        <w:spacing w:after="0" w:line="94" w:lineRule="exact"/>
        <w:rPr>
          <w:sz w:val="20"/>
          <w:szCs w:val="20"/>
          <w:color w:val="auto"/>
        </w:rPr>
      </w:pPr>
    </w:p>
    <w:p>
      <w:pPr>
        <w:ind w:left="1180" w:right="1220"/>
        <w:spacing w:after="0" w:line="239" w:lineRule="auto"/>
        <w:rPr>
          <w:sz w:val="20"/>
          <w:szCs w:val="20"/>
          <w:color w:val="auto"/>
        </w:rPr>
      </w:pPr>
      <w:r>
        <w:rPr>
          <w:rFonts w:ascii="Arial" w:cs="Arial" w:eastAsia="Arial" w:hAnsi="Arial"/>
          <w:sz w:val="18"/>
          <w:szCs w:val="18"/>
          <w:color w:val="auto"/>
        </w:rPr>
        <w:t>Each of our active NEOs has an employment agreement with us.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as of January 1, 2026 and secures his employment through January 1, 2029. Mr. Armstrong’s agreement was entered into as of January 6, 2023 and secures his employment through December 31, 2027. Mr. Reid’s employment agreement was entered into as of January 1, 2024 and secures his employment through December 31, 2028. Ms. Khoury’s agreement was entered into as of January 1, 2023 and secures her employment through December 31, 2027.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49</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52" w:name="page53"/>
    <w:bookmarkEnd w:id="52"/>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379"/>
        <w:spacing w:after="0" w:line="239" w:lineRule="auto"/>
        <w:rPr>
          <w:sz w:val="20"/>
          <w:szCs w:val="20"/>
          <w:color w:val="auto"/>
        </w:rPr>
      </w:pPr>
      <w:r>
        <w:rPr>
          <w:rFonts w:ascii="Arial" w:cs="Arial" w:eastAsia="Arial" w:hAnsi="Arial"/>
          <w:sz w:val="18"/>
          <w:szCs w:val="18"/>
          <w:color w:val="auto"/>
        </w:rPr>
        <w:t>Each of the employment agreements provides for a base salary either as specified in the agreement or otherwise then in effect. An NEO’s salary may not be reduced, except under an overall plan to reduce their salary on a basis consistent with other senior executives at their respective levels. The NEOs also are eligible to receive an annual performance bonus, payable in cash, of a percentage of their respective base salaries for the applicable year. The current target bonus opportunities for Messrs. Roberts and Cavanagh are 300%, for Mr. Reid 250%, for Mr. Armstrong 200% and for Ms. Khoury 150%, in each case of their respective base salaries. Our NEOs are also entitled to receive certain severance benefits under their respective agreements in the event of a qualifying termination of employment as described under the “Potential Payments upon Termination or Change in Control” table below.</w:t>
      </w:r>
    </w:p>
    <w:p>
      <w:pPr>
        <w:spacing w:after="0" w:line="48" w:lineRule="exact"/>
        <w:rPr>
          <w:sz w:val="20"/>
          <w:szCs w:val="20"/>
          <w:color w:val="auto"/>
        </w:rPr>
      </w:pPr>
    </w:p>
    <w:p>
      <w:pPr>
        <w:jc w:val="both"/>
        <w:ind w:left="320" w:right="519"/>
        <w:spacing w:after="0" w:line="253" w:lineRule="auto"/>
        <w:rPr>
          <w:sz w:val="20"/>
          <w:szCs w:val="20"/>
          <w:color w:val="auto"/>
        </w:rPr>
      </w:pPr>
      <w:r>
        <w:rPr>
          <w:rFonts w:ascii="Arial" w:cs="Arial" w:eastAsia="Arial" w:hAnsi="Arial"/>
          <w:sz w:val="18"/>
          <w:szCs w:val="18"/>
          <w:color w:val="auto"/>
        </w:rPr>
        <w:t>Under the agreements, each NEO has agreed not to compete with us during their employment and, in the event their employment terminates other than by us without cause or by them with good reason, for one year after termination of their employment.</w:t>
      </w:r>
    </w:p>
    <w:p>
      <w:pPr>
        <w:spacing w:after="0" w:line="20" w:lineRule="exact"/>
        <w:rPr>
          <w:sz w:val="20"/>
          <w:szCs w:val="20"/>
          <w:color w:val="auto"/>
        </w:rPr>
      </w:pPr>
    </w:p>
    <w:p>
      <w:pPr>
        <w:ind w:left="320" w:right="419"/>
        <w:spacing w:after="0" w:line="247" w:lineRule="auto"/>
        <w:rPr>
          <w:sz w:val="20"/>
          <w:szCs w:val="20"/>
          <w:color w:val="auto"/>
        </w:rPr>
      </w:pPr>
      <w:r>
        <w:rPr>
          <w:rFonts w:ascii="Arial" w:cs="Arial" w:eastAsia="Arial" w:hAnsi="Arial"/>
          <w:sz w:val="18"/>
          <w:szCs w:val="18"/>
          <w:color w:val="auto"/>
        </w:rPr>
        <w:t>Each of our NEOs has agreed not to solicit our employees or customers for one year after termination of their employment and is subject to confidentiality covenants. Each has agreed to maintain the confidentiality of our information and not to use such information, except for our benefit, at all times during and after their employment with us.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25"/>
          <w:szCs w:val="25"/>
          <w:color w:val="auto"/>
        </w:rPr>
        <w:t>Potential Payments upon Termination or Change in Control</w:t>
      </w:r>
    </w:p>
    <w:p>
      <w:pPr>
        <w:spacing w:after="0" w:line="121" w:lineRule="exact"/>
        <w:rPr>
          <w:sz w:val="20"/>
          <w:szCs w:val="20"/>
          <w:color w:val="auto"/>
        </w:rPr>
      </w:pPr>
    </w:p>
    <w:p>
      <w:pPr>
        <w:ind w:left="320" w:right="459"/>
        <w:spacing w:after="0" w:line="239" w:lineRule="auto"/>
        <w:rPr>
          <w:sz w:val="20"/>
          <w:szCs w:val="20"/>
          <w:color w:val="auto"/>
        </w:rPr>
      </w:pPr>
      <w:r>
        <w:rPr>
          <w:rFonts w:ascii="Arial" w:cs="Arial" w:eastAsia="Arial" w:hAnsi="Arial"/>
          <w:sz w:val="18"/>
          <w:szCs w:val="18"/>
          <w:color w:val="auto"/>
        </w:rPr>
        <w:t>The table below describes the payments and benefits to which each of our active NEOs would have been entitled (i) had their employment terminated on December 31, 2025 (a) by us without cause or by them with good reason, (b) because of their death, (c) due to their disability or (d) upon their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b w:val="1"/>
                <w:bCs w:val="1"/>
                <w:color w:val="auto"/>
              </w:rPr>
              <w:t>ACCELERATION/</w:t>
            </w: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CONTINUED</w:t>
            </w: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VESTING &amp;</w:t>
            </w:r>
          </w:p>
        </w:tc>
        <w:tc>
          <w:tcPr>
            <w:tcW w:w="11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ACCELERATION/</w:t>
            </w: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EXERCISABILITY</w:t>
            </w:r>
          </w:p>
        </w:tc>
        <w:tc>
          <w:tcPr>
            <w:tcW w:w="11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CONTINUED</w:t>
            </w: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ANNUAL</w:t>
            </w:r>
          </w:p>
        </w:tc>
        <w:tc>
          <w:tcPr>
            <w:tcW w:w="10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ACCRUED</w:t>
            </w:r>
          </w:p>
        </w:tc>
        <w:tc>
          <w:tcPr>
            <w:tcW w:w="10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OF UNVESTED</w:t>
            </w:r>
          </w:p>
        </w:tc>
        <w:tc>
          <w:tcPr>
            <w:tcW w:w="11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VESTING OF</w:t>
            </w:r>
          </w:p>
        </w:tc>
        <w:tc>
          <w:tcPr>
            <w:tcW w:w="112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HEALTH</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00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rPr>
              <w:t>BASE SALARY</w:t>
            </w:r>
          </w:p>
        </w:tc>
        <w:tc>
          <w:tcPr>
            <w:tcW w:w="1020" w:type="dxa"/>
            <w:vAlign w:val="bottom"/>
          </w:tcPr>
          <w:p>
            <w:pPr>
              <w:jc w:val="right"/>
              <w:ind w:right="26"/>
              <w:spacing w:after="0" w:line="108" w:lineRule="exact"/>
              <w:rPr>
                <w:sz w:val="20"/>
                <w:szCs w:val="20"/>
                <w:color w:val="auto"/>
              </w:rPr>
            </w:pPr>
            <w:r>
              <w:rPr>
                <w:rFonts w:ascii="Arial" w:cs="Arial" w:eastAsia="Arial" w:hAnsi="Arial"/>
                <w:sz w:val="11"/>
                <w:szCs w:val="11"/>
                <w:b w:val="1"/>
                <w:bCs w:val="1"/>
                <w:color w:val="auto"/>
              </w:rPr>
              <w:t>CASH BONUS</w:t>
            </w:r>
          </w:p>
        </w:tc>
        <w:tc>
          <w:tcPr>
            <w:tcW w:w="100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rPr>
              <w:t>ANNUAL CASH</w:t>
            </w:r>
          </w:p>
        </w:tc>
        <w:tc>
          <w:tcPr>
            <w:tcW w:w="108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rPr>
              <w:t>STOCK</w:t>
            </w:r>
          </w:p>
        </w:tc>
        <w:tc>
          <w:tcPr>
            <w:tcW w:w="110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rPr>
              <w:t>UNVESTED</w:t>
            </w:r>
          </w:p>
        </w:tc>
        <w:tc>
          <w:tcPr>
            <w:tcW w:w="1120" w:type="dxa"/>
            <w:vAlign w:val="bottom"/>
          </w:tcPr>
          <w:p>
            <w:pPr>
              <w:jc w:val="right"/>
              <w:ind w:right="106"/>
              <w:spacing w:after="0" w:line="108" w:lineRule="exact"/>
              <w:rPr>
                <w:sz w:val="20"/>
                <w:szCs w:val="20"/>
                <w:color w:val="auto"/>
              </w:rPr>
            </w:pPr>
            <w:r>
              <w:rPr>
                <w:rFonts w:ascii="Arial" w:cs="Arial" w:eastAsia="Arial" w:hAnsi="Arial"/>
                <w:sz w:val="11"/>
                <w:szCs w:val="11"/>
                <w:b w:val="1"/>
                <w:bCs w:val="1"/>
                <w:color w:val="auto"/>
              </w:rPr>
              <w:t>BENEFIT</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CONTINUATION</w:t>
            </w:r>
          </w:p>
        </w:tc>
        <w:tc>
          <w:tcPr>
            <w:tcW w:w="1020" w:type="dxa"/>
            <w:vAlign w:val="bottom"/>
          </w:tcPr>
          <w:p>
            <w:pPr>
              <w:jc w:val="right"/>
              <w:ind w:right="26"/>
              <w:spacing w:after="0"/>
              <w:rPr>
                <w:sz w:val="20"/>
                <w:szCs w:val="20"/>
                <w:color w:val="auto"/>
              </w:rPr>
            </w:pPr>
            <w:r>
              <w:rPr>
                <w:rFonts w:ascii="Arial" w:cs="Arial" w:eastAsia="Arial" w:hAnsi="Arial"/>
                <w:sz w:val="11"/>
                <w:szCs w:val="11"/>
                <w:b w:val="1"/>
                <w:bCs w:val="1"/>
                <w:color w:val="auto"/>
              </w:rPr>
              <w:t>CONTINUATION</w:t>
            </w: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BONUS</w:t>
            </w:r>
          </w:p>
        </w:tc>
        <w:tc>
          <w:tcPr>
            <w:tcW w:w="1080" w:type="dxa"/>
            <w:vAlign w:val="bottom"/>
          </w:tcPr>
          <w:p>
            <w:pPr>
              <w:jc w:val="right"/>
              <w:ind w:right="46"/>
              <w:spacing w:after="0" w:line="135"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4"/>
                <w:szCs w:val="14"/>
                <w:b w:val="1"/>
                <w:bCs w:val="1"/>
                <w:color w:val="auto"/>
                <w:vertAlign w:val="superscript"/>
              </w:rPr>
              <w:t>(1)</w:t>
            </w:r>
          </w:p>
        </w:tc>
        <w:tc>
          <w:tcPr>
            <w:tcW w:w="1100" w:type="dxa"/>
            <w:vAlign w:val="bottom"/>
          </w:tcPr>
          <w:p>
            <w:pPr>
              <w:jc w:val="right"/>
              <w:ind w:right="86"/>
              <w:spacing w:after="0" w:line="135" w:lineRule="exact"/>
              <w:rPr>
                <w:sz w:val="20"/>
                <w:szCs w:val="20"/>
                <w:color w:val="auto"/>
              </w:rPr>
            </w:pPr>
            <w:r>
              <w:rPr>
                <w:rFonts w:ascii="Arial" w:cs="Arial" w:eastAsia="Arial" w:hAnsi="Arial"/>
                <w:sz w:val="11"/>
                <w:szCs w:val="11"/>
                <w:b w:val="1"/>
                <w:bCs w:val="1"/>
                <w:color w:val="auto"/>
              </w:rPr>
              <w:t>STOCK UNITS</w:t>
            </w:r>
            <w:r>
              <w:rPr>
                <w:rFonts w:ascii="Arial" w:cs="Arial" w:eastAsia="Arial" w:hAnsi="Arial"/>
                <w:sz w:val="14"/>
                <w:szCs w:val="14"/>
                <w:b w:val="1"/>
                <w:bCs w:val="1"/>
                <w:color w:val="auto"/>
                <w:vertAlign w:val="superscript"/>
              </w:rPr>
              <w:t>(1)</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CONTINUATION</w:t>
            </w:r>
          </w:p>
        </w:tc>
        <w:tc>
          <w:tcPr>
            <w:tcW w:w="820" w:type="dxa"/>
            <w:vAlign w:val="bottom"/>
          </w:tcPr>
          <w:p>
            <w:pPr>
              <w:jc w:val="right"/>
              <w:ind w:right="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1200" w:type="dxa"/>
            <w:vAlign w:val="bottom"/>
            <w:tcBorders>
              <w:bottom w:val="single" w:sz="8" w:color="DCDDDE"/>
            </w:tcBorders>
          </w:tcPr>
          <w:p>
            <w:pPr>
              <w:ind w:left="60"/>
              <w:spacing w:after="0"/>
              <w:rPr>
                <w:sz w:val="20"/>
                <w:szCs w:val="20"/>
                <w:color w:val="auto"/>
              </w:rPr>
            </w:pPr>
            <w:r>
              <w:rPr>
                <w:rFonts w:ascii="Arial" w:cs="Arial" w:eastAsia="Arial" w:hAnsi="Arial"/>
                <w:sz w:val="11"/>
                <w:szCs w:val="11"/>
                <w:b w:val="1"/>
                <w:bCs w:val="1"/>
                <w:color w:val="auto"/>
              </w:rPr>
              <w:t>Brian L. Roberts</w:t>
            </w:r>
          </w:p>
        </w:tc>
        <w:tc>
          <w:tcPr>
            <w:tcW w:w="1000" w:type="dxa"/>
            <w:vAlign w:val="bottom"/>
            <w:tcBorders>
              <w:bottom w:val="single" w:sz="8" w:color="DCDDDE"/>
            </w:tcBorders>
          </w:tcPr>
          <w:p>
            <w:pPr>
              <w:spacing w:after="0"/>
              <w:rPr>
                <w:sz w:val="14"/>
                <w:szCs w:val="14"/>
                <w:color w:val="auto"/>
              </w:rPr>
            </w:pPr>
          </w:p>
        </w:tc>
        <w:tc>
          <w:tcPr>
            <w:tcW w:w="1020" w:type="dxa"/>
            <w:vAlign w:val="bottom"/>
            <w:tcBorders>
              <w:bottom w:val="single" w:sz="8" w:color="DCDDDE"/>
            </w:tcBorders>
          </w:tcPr>
          <w:p>
            <w:pPr>
              <w:spacing w:after="0"/>
              <w:rPr>
                <w:sz w:val="14"/>
                <w:szCs w:val="14"/>
                <w:color w:val="auto"/>
              </w:rPr>
            </w:pPr>
          </w:p>
        </w:tc>
        <w:tc>
          <w:tcPr>
            <w:tcW w:w="1000" w:type="dxa"/>
            <w:vAlign w:val="bottom"/>
            <w:tcBorders>
              <w:bottom w:val="single" w:sz="8" w:color="DCDDDE"/>
            </w:tcBorders>
          </w:tcPr>
          <w:p>
            <w:pPr>
              <w:spacing w:after="0"/>
              <w:rPr>
                <w:sz w:val="14"/>
                <w:szCs w:val="14"/>
                <w:color w:val="auto"/>
              </w:rPr>
            </w:pPr>
          </w:p>
        </w:tc>
        <w:tc>
          <w:tcPr>
            <w:tcW w:w="1080" w:type="dxa"/>
            <w:vAlign w:val="bottom"/>
            <w:tcBorders>
              <w:bottom w:val="single" w:sz="8" w:color="DCDDDE"/>
            </w:tcBorders>
          </w:tcPr>
          <w:p>
            <w:pPr>
              <w:spacing w:after="0"/>
              <w:rPr>
                <w:sz w:val="14"/>
                <w:szCs w:val="14"/>
                <w:color w:val="auto"/>
              </w:rPr>
            </w:pPr>
          </w:p>
        </w:tc>
        <w:tc>
          <w:tcPr>
            <w:tcW w:w="1100" w:type="dxa"/>
            <w:vAlign w:val="bottom"/>
            <w:tcBorders>
              <w:bottom w:val="single" w:sz="8" w:color="DCDDDE"/>
            </w:tcBorders>
          </w:tcPr>
          <w:p>
            <w:pPr>
              <w:spacing w:after="0"/>
              <w:rPr>
                <w:sz w:val="14"/>
                <w:szCs w:val="14"/>
                <w:color w:val="auto"/>
              </w:rPr>
            </w:pPr>
          </w:p>
        </w:tc>
        <w:tc>
          <w:tcPr>
            <w:tcW w:w="1120" w:type="dxa"/>
            <w:vAlign w:val="bottom"/>
            <w:tcBorders>
              <w:bottom w:val="single" w:sz="8" w:color="DCDDDE"/>
            </w:tcBorders>
          </w:tcPr>
          <w:p>
            <w:pPr>
              <w:spacing w:after="0"/>
              <w:rPr>
                <w:sz w:val="14"/>
                <w:szCs w:val="14"/>
                <w:color w:val="auto"/>
              </w:rPr>
            </w:pPr>
          </w:p>
        </w:tc>
        <w:tc>
          <w:tcPr>
            <w:tcW w:w="820" w:type="dxa"/>
            <w:vAlign w:val="bottom"/>
            <w:tcBorders>
              <w:bottom w:val="single" w:sz="8" w:color="DCDDDE"/>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00" w:type="dxa"/>
            <w:vAlign w:val="bottom"/>
          </w:tcPr>
          <w:p>
            <w:pPr>
              <w:ind w:left="60"/>
              <w:spacing w:after="0" w:line="95" w:lineRule="exact"/>
              <w:rPr>
                <w:sz w:val="20"/>
                <w:szCs w:val="20"/>
                <w:color w:val="auto"/>
              </w:rPr>
            </w:pPr>
            <w:r>
              <w:rPr>
                <w:rFonts w:ascii="Arial" w:cs="Arial" w:eastAsia="Arial" w:hAnsi="Arial"/>
                <w:sz w:val="10"/>
                <w:szCs w:val="10"/>
                <w:color w:val="auto"/>
              </w:rPr>
              <w:t>Without Cause/</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7,875,000</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23,625,000</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7,802,886</w:t>
            </w:r>
          </w:p>
        </w:tc>
        <w:tc>
          <w:tcPr>
            <w:tcW w:w="10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1"/>
                <w:szCs w:val="11"/>
                <w:color w:val="auto"/>
              </w:rPr>
              <w:t>42,414,807</w:t>
            </w:r>
          </w:p>
        </w:tc>
        <w:tc>
          <w:tcPr>
            <w:tcW w:w="1120" w:type="dxa"/>
            <w:vAlign w:val="bottom"/>
            <w:vMerge w:val="restart"/>
          </w:tcPr>
          <w:p>
            <w:pPr>
              <w:jc w:val="right"/>
              <w:ind w:right="106"/>
              <w:spacing w:after="0"/>
              <w:rPr>
                <w:sz w:val="20"/>
                <w:szCs w:val="20"/>
                <w:color w:val="auto"/>
              </w:rPr>
            </w:pPr>
            <w:r>
              <w:rPr>
                <w:rFonts w:ascii="Arial" w:cs="Arial" w:eastAsia="Arial" w:hAnsi="Arial"/>
                <w:sz w:val="11"/>
                <w:szCs w:val="11"/>
                <w:color w:val="auto"/>
              </w:rPr>
              <w:t>37,958</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81,755,650</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DCDDDE"/>
            </w:tcBorders>
          </w:tcPr>
          <w:p>
            <w:pPr>
              <w:ind w:left="60"/>
              <w:spacing w:after="0" w:line="149" w:lineRule="exact"/>
              <w:rPr>
                <w:sz w:val="20"/>
                <w:szCs w:val="20"/>
                <w:color w:val="auto"/>
              </w:rPr>
            </w:pPr>
            <w:r>
              <w:rPr>
                <w:rFonts w:ascii="Arial" w:cs="Arial" w:eastAsia="Arial" w:hAnsi="Arial"/>
                <w:sz w:val="11"/>
                <w:szCs w:val="11"/>
                <w:color w:val="auto"/>
              </w:rPr>
              <w:t>With Good Reason</w:t>
            </w:r>
            <w:r>
              <w:rPr>
                <w:rFonts w:ascii="Arial" w:cs="Arial" w:eastAsia="Arial" w:hAnsi="Arial"/>
                <w:sz w:val="14"/>
                <w:szCs w:val="14"/>
                <w:color w:val="auto"/>
                <w:vertAlign w:val="superscript"/>
              </w:rPr>
              <w:t>(2)</w:t>
            </w:r>
          </w:p>
        </w:tc>
        <w:tc>
          <w:tcPr>
            <w:tcW w:w="1000" w:type="dxa"/>
            <w:vAlign w:val="bottom"/>
            <w:tcBorders>
              <w:bottom w:val="single" w:sz="8" w:color="DCDDDE"/>
            </w:tcBorders>
            <w:vMerge w:val="continue"/>
          </w:tcPr>
          <w:p>
            <w:pPr>
              <w:spacing w:after="0"/>
              <w:rPr>
                <w:sz w:val="12"/>
                <w:szCs w:val="12"/>
                <w:color w:val="auto"/>
              </w:rPr>
            </w:pPr>
          </w:p>
        </w:tc>
        <w:tc>
          <w:tcPr>
            <w:tcW w:w="1020" w:type="dxa"/>
            <w:vAlign w:val="bottom"/>
            <w:tcBorders>
              <w:bottom w:val="single" w:sz="8" w:color="DCDDDE"/>
            </w:tcBorders>
            <w:vMerge w:val="continue"/>
          </w:tcPr>
          <w:p>
            <w:pPr>
              <w:spacing w:after="0"/>
              <w:rPr>
                <w:sz w:val="12"/>
                <w:szCs w:val="12"/>
                <w:color w:val="auto"/>
              </w:rPr>
            </w:pPr>
          </w:p>
        </w:tc>
        <w:tc>
          <w:tcPr>
            <w:tcW w:w="1000" w:type="dxa"/>
            <w:vAlign w:val="bottom"/>
            <w:tcBorders>
              <w:bottom w:val="single" w:sz="8" w:color="DCDDDE"/>
            </w:tcBorders>
            <w:vMerge w:val="continue"/>
          </w:tcPr>
          <w:p>
            <w:pPr>
              <w:spacing w:after="0"/>
              <w:rPr>
                <w:sz w:val="12"/>
                <w:szCs w:val="12"/>
                <w:color w:val="auto"/>
              </w:rPr>
            </w:pPr>
          </w:p>
        </w:tc>
        <w:tc>
          <w:tcPr>
            <w:tcW w:w="1080" w:type="dxa"/>
            <w:vAlign w:val="bottom"/>
            <w:tcBorders>
              <w:bottom w:val="single" w:sz="8" w:color="DCDDDE"/>
            </w:tcBorders>
            <w:vMerge w:val="continue"/>
          </w:tcPr>
          <w:p>
            <w:pPr>
              <w:spacing w:after="0"/>
              <w:rPr>
                <w:sz w:val="12"/>
                <w:szCs w:val="12"/>
                <w:color w:val="auto"/>
              </w:rPr>
            </w:pPr>
          </w:p>
        </w:tc>
        <w:tc>
          <w:tcPr>
            <w:tcW w:w="1100" w:type="dxa"/>
            <w:vAlign w:val="bottom"/>
            <w:tcBorders>
              <w:bottom w:val="single" w:sz="8" w:color="DCDDDE"/>
            </w:tcBorders>
            <w:vMerge w:val="continue"/>
          </w:tcPr>
          <w:p>
            <w:pPr>
              <w:spacing w:after="0"/>
              <w:rPr>
                <w:sz w:val="12"/>
                <w:szCs w:val="12"/>
                <w:color w:val="auto"/>
              </w:rPr>
            </w:pPr>
          </w:p>
        </w:tc>
        <w:tc>
          <w:tcPr>
            <w:tcW w:w="1120" w:type="dxa"/>
            <w:vAlign w:val="bottom"/>
            <w:tcBorders>
              <w:bottom w:val="single" w:sz="8" w:color="DCDDDE"/>
            </w:tcBorders>
            <w:vMerge w:val="continue"/>
          </w:tcPr>
          <w:p>
            <w:pPr>
              <w:spacing w:after="0"/>
              <w:rPr>
                <w:sz w:val="12"/>
                <w:szCs w:val="12"/>
                <w:color w:val="auto"/>
              </w:rPr>
            </w:pPr>
          </w:p>
        </w:tc>
        <w:tc>
          <w:tcPr>
            <w:tcW w:w="820" w:type="dxa"/>
            <w:vAlign w:val="bottom"/>
            <w:tcBorders>
              <w:bottom w:val="single" w:sz="8" w:color="DCDDD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Death</w:t>
            </w:r>
            <w:r>
              <w:rPr>
                <w:rFonts w:ascii="Arial" w:cs="Arial" w:eastAsia="Arial" w:hAnsi="Arial"/>
                <w:sz w:val="14"/>
                <w:szCs w:val="14"/>
                <w:color w:val="auto"/>
                <w:vertAlign w:val="superscript"/>
              </w:rPr>
              <w:t>(3)</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7,802,886</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42,414,807</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189,788</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50,407,481</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Disability</w:t>
            </w:r>
            <w:r>
              <w:rPr>
                <w:rFonts w:ascii="Arial" w:cs="Arial" w:eastAsia="Arial" w:hAnsi="Arial"/>
                <w:sz w:val="14"/>
                <w:szCs w:val="14"/>
                <w:color w:val="auto"/>
                <w:vertAlign w:val="superscript"/>
              </w:rPr>
              <w:t>(4)</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7,875,000</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23,625,000</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7,802,886</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42,414,807</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81,717,693</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Retirement</w:t>
            </w:r>
            <w:r>
              <w:rPr>
                <w:rFonts w:ascii="Arial" w:cs="Arial" w:eastAsia="Arial" w:hAnsi="Arial"/>
                <w:sz w:val="14"/>
                <w:szCs w:val="14"/>
                <w:color w:val="auto"/>
                <w:vertAlign w:val="superscript"/>
              </w:rPr>
              <w:t>(5)</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42,414,807</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42,414,807</w:t>
            </w:r>
          </w:p>
        </w:tc>
        <w:tc>
          <w:tcPr>
            <w:tcW w:w="0" w:type="dxa"/>
            <w:vAlign w:val="bottom"/>
          </w:tcPr>
          <w:p>
            <w:pPr>
              <w:spacing w:after="0"/>
              <w:rPr>
                <w:sz w:val="1"/>
                <w:szCs w:val="1"/>
                <w:color w:val="auto"/>
              </w:rPr>
            </w:pPr>
          </w:p>
        </w:tc>
      </w:tr>
      <w:tr>
        <w:trPr>
          <w:trHeight w:val="169"/>
        </w:trPr>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Change in Control</w:t>
            </w:r>
            <w:r>
              <w:rPr>
                <w:rFonts w:ascii="Arial" w:cs="Arial" w:eastAsia="Arial" w:hAnsi="Arial"/>
                <w:sz w:val="14"/>
                <w:szCs w:val="14"/>
                <w:color w:val="auto"/>
                <w:vertAlign w:val="superscript"/>
              </w:rPr>
              <w:t>(6)</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1200" w:type="dxa"/>
            <w:vAlign w:val="bottom"/>
            <w:tcBorders>
              <w:bottom w:val="single" w:sz="8" w:color="DCDDDE"/>
            </w:tcBorders>
          </w:tcPr>
          <w:p>
            <w:pPr>
              <w:ind w:left="60"/>
              <w:spacing w:after="0"/>
              <w:rPr>
                <w:sz w:val="20"/>
                <w:szCs w:val="20"/>
                <w:color w:val="auto"/>
              </w:rPr>
            </w:pPr>
            <w:r>
              <w:rPr>
                <w:rFonts w:ascii="Arial" w:cs="Arial" w:eastAsia="Arial" w:hAnsi="Arial"/>
                <w:sz w:val="11"/>
                <w:szCs w:val="11"/>
                <w:b w:val="1"/>
                <w:bCs w:val="1"/>
                <w:color w:val="auto"/>
              </w:rPr>
              <w:t>Michael J. Cavanagh</w:t>
            </w:r>
          </w:p>
        </w:tc>
        <w:tc>
          <w:tcPr>
            <w:tcW w:w="1000" w:type="dxa"/>
            <w:vAlign w:val="bottom"/>
            <w:tcBorders>
              <w:bottom w:val="single" w:sz="8" w:color="DCDDDE"/>
            </w:tcBorders>
          </w:tcPr>
          <w:p>
            <w:pPr>
              <w:spacing w:after="0"/>
              <w:rPr>
                <w:sz w:val="14"/>
                <w:szCs w:val="14"/>
                <w:color w:val="auto"/>
              </w:rPr>
            </w:pPr>
          </w:p>
        </w:tc>
        <w:tc>
          <w:tcPr>
            <w:tcW w:w="1020" w:type="dxa"/>
            <w:vAlign w:val="bottom"/>
            <w:tcBorders>
              <w:bottom w:val="single" w:sz="8" w:color="DCDDDE"/>
            </w:tcBorders>
          </w:tcPr>
          <w:p>
            <w:pPr>
              <w:spacing w:after="0"/>
              <w:rPr>
                <w:sz w:val="14"/>
                <w:szCs w:val="14"/>
                <w:color w:val="auto"/>
              </w:rPr>
            </w:pPr>
          </w:p>
        </w:tc>
        <w:tc>
          <w:tcPr>
            <w:tcW w:w="1000" w:type="dxa"/>
            <w:vAlign w:val="bottom"/>
            <w:tcBorders>
              <w:bottom w:val="single" w:sz="8" w:color="DCDDDE"/>
            </w:tcBorders>
          </w:tcPr>
          <w:p>
            <w:pPr>
              <w:spacing w:after="0"/>
              <w:rPr>
                <w:sz w:val="14"/>
                <w:szCs w:val="14"/>
                <w:color w:val="auto"/>
              </w:rPr>
            </w:pPr>
          </w:p>
        </w:tc>
        <w:tc>
          <w:tcPr>
            <w:tcW w:w="1080" w:type="dxa"/>
            <w:vAlign w:val="bottom"/>
            <w:tcBorders>
              <w:bottom w:val="single" w:sz="8" w:color="DCDDDE"/>
            </w:tcBorders>
          </w:tcPr>
          <w:p>
            <w:pPr>
              <w:spacing w:after="0"/>
              <w:rPr>
                <w:sz w:val="14"/>
                <w:szCs w:val="14"/>
                <w:color w:val="auto"/>
              </w:rPr>
            </w:pPr>
          </w:p>
        </w:tc>
        <w:tc>
          <w:tcPr>
            <w:tcW w:w="1100" w:type="dxa"/>
            <w:vAlign w:val="bottom"/>
            <w:tcBorders>
              <w:bottom w:val="single" w:sz="8" w:color="DCDDDE"/>
            </w:tcBorders>
          </w:tcPr>
          <w:p>
            <w:pPr>
              <w:spacing w:after="0"/>
              <w:rPr>
                <w:sz w:val="14"/>
                <w:szCs w:val="14"/>
                <w:color w:val="auto"/>
              </w:rPr>
            </w:pPr>
          </w:p>
        </w:tc>
        <w:tc>
          <w:tcPr>
            <w:tcW w:w="1120" w:type="dxa"/>
            <w:vAlign w:val="bottom"/>
            <w:tcBorders>
              <w:bottom w:val="single" w:sz="8" w:color="DCDDDE"/>
            </w:tcBorders>
          </w:tcPr>
          <w:p>
            <w:pPr>
              <w:spacing w:after="0"/>
              <w:rPr>
                <w:sz w:val="14"/>
                <w:szCs w:val="14"/>
                <w:color w:val="auto"/>
              </w:rPr>
            </w:pPr>
          </w:p>
        </w:tc>
        <w:tc>
          <w:tcPr>
            <w:tcW w:w="820" w:type="dxa"/>
            <w:vAlign w:val="bottom"/>
            <w:tcBorders>
              <w:bottom w:val="single" w:sz="8" w:color="DCDDDE"/>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tcPr>
          <w:p>
            <w:pPr>
              <w:ind w:left="60"/>
              <w:spacing w:after="0" w:line="95" w:lineRule="exact"/>
              <w:rPr>
                <w:sz w:val="20"/>
                <w:szCs w:val="20"/>
                <w:color w:val="auto"/>
              </w:rPr>
            </w:pPr>
            <w:r>
              <w:rPr>
                <w:rFonts w:ascii="Arial" w:cs="Arial" w:eastAsia="Arial" w:hAnsi="Arial"/>
                <w:sz w:val="10"/>
                <w:szCs w:val="10"/>
                <w:color w:val="auto"/>
              </w:rPr>
              <w:t>Without Cause/</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5,250,000</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7,875,000</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7,802,886</w:t>
            </w:r>
          </w:p>
        </w:tc>
        <w:tc>
          <w:tcPr>
            <w:tcW w:w="10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1"/>
                <w:szCs w:val="11"/>
                <w:color w:val="auto"/>
              </w:rPr>
              <w:t>33,620,601</w:t>
            </w:r>
          </w:p>
        </w:tc>
        <w:tc>
          <w:tcPr>
            <w:tcW w:w="1120" w:type="dxa"/>
            <w:vAlign w:val="bottom"/>
            <w:vMerge w:val="restart"/>
          </w:tcPr>
          <w:p>
            <w:pPr>
              <w:jc w:val="right"/>
              <w:ind w:right="106"/>
              <w:spacing w:after="0"/>
              <w:rPr>
                <w:sz w:val="20"/>
                <w:szCs w:val="20"/>
                <w:color w:val="auto"/>
              </w:rPr>
            </w:pPr>
            <w:r>
              <w:rPr>
                <w:rFonts w:ascii="Arial" w:cs="Arial" w:eastAsia="Arial" w:hAnsi="Arial"/>
                <w:sz w:val="11"/>
                <w:szCs w:val="11"/>
                <w:color w:val="auto"/>
              </w:rPr>
              <w:t>24,947</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54,573,434</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DCDDDE"/>
            </w:tcBorders>
          </w:tcPr>
          <w:p>
            <w:pPr>
              <w:ind w:left="60"/>
              <w:spacing w:after="0" w:line="149" w:lineRule="exact"/>
              <w:rPr>
                <w:sz w:val="20"/>
                <w:szCs w:val="20"/>
                <w:color w:val="auto"/>
              </w:rPr>
            </w:pPr>
            <w:r>
              <w:rPr>
                <w:rFonts w:ascii="Arial" w:cs="Arial" w:eastAsia="Arial" w:hAnsi="Arial"/>
                <w:sz w:val="11"/>
                <w:szCs w:val="11"/>
                <w:color w:val="auto"/>
              </w:rPr>
              <w:t>With Good Reason</w:t>
            </w:r>
            <w:r>
              <w:rPr>
                <w:rFonts w:ascii="Arial" w:cs="Arial" w:eastAsia="Arial" w:hAnsi="Arial"/>
                <w:sz w:val="14"/>
                <w:szCs w:val="14"/>
                <w:color w:val="auto"/>
                <w:vertAlign w:val="superscript"/>
              </w:rPr>
              <w:t>(7)</w:t>
            </w:r>
          </w:p>
        </w:tc>
        <w:tc>
          <w:tcPr>
            <w:tcW w:w="1000" w:type="dxa"/>
            <w:vAlign w:val="bottom"/>
            <w:tcBorders>
              <w:bottom w:val="single" w:sz="8" w:color="DCDDDE"/>
            </w:tcBorders>
            <w:vMerge w:val="continue"/>
          </w:tcPr>
          <w:p>
            <w:pPr>
              <w:spacing w:after="0"/>
              <w:rPr>
                <w:sz w:val="12"/>
                <w:szCs w:val="12"/>
                <w:color w:val="auto"/>
              </w:rPr>
            </w:pPr>
          </w:p>
        </w:tc>
        <w:tc>
          <w:tcPr>
            <w:tcW w:w="1020" w:type="dxa"/>
            <w:vAlign w:val="bottom"/>
            <w:tcBorders>
              <w:bottom w:val="single" w:sz="8" w:color="DCDDDE"/>
            </w:tcBorders>
            <w:vMerge w:val="continue"/>
          </w:tcPr>
          <w:p>
            <w:pPr>
              <w:spacing w:after="0"/>
              <w:rPr>
                <w:sz w:val="12"/>
                <w:szCs w:val="12"/>
                <w:color w:val="auto"/>
              </w:rPr>
            </w:pPr>
          </w:p>
        </w:tc>
        <w:tc>
          <w:tcPr>
            <w:tcW w:w="1000" w:type="dxa"/>
            <w:vAlign w:val="bottom"/>
            <w:tcBorders>
              <w:bottom w:val="single" w:sz="8" w:color="DCDDDE"/>
            </w:tcBorders>
            <w:vMerge w:val="continue"/>
          </w:tcPr>
          <w:p>
            <w:pPr>
              <w:spacing w:after="0"/>
              <w:rPr>
                <w:sz w:val="12"/>
                <w:szCs w:val="12"/>
                <w:color w:val="auto"/>
              </w:rPr>
            </w:pPr>
          </w:p>
        </w:tc>
        <w:tc>
          <w:tcPr>
            <w:tcW w:w="1080" w:type="dxa"/>
            <w:vAlign w:val="bottom"/>
            <w:tcBorders>
              <w:bottom w:val="single" w:sz="8" w:color="DCDDDE"/>
            </w:tcBorders>
            <w:vMerge w:val="continue"/>
          </w:tcPr>
          <w:p>
            <w:pPr>
              <w:spacing w:after="0"/>
              <w:rPr>
                <w:sz w:val="12"/>
                <w:szCs w:val="12"/>
                <w:color w:val="auto"/>
              </w:rPr>
            </w:pPr>
          </w:p>
        </w:tc>
        <w:tc>
          <w:tcPr>
            <w:tcW w:w="1100" w:type="dxa"/>
            <w:vAlign w:val="bottom"/>
            <w:tcBorders>
              <w:bottom w:val="single" w:sz="8" w:color="DCDDDE"/>
            </w:tcBorders>
            <w:vMerge w:val="continue"/>
          </w:tcPr>
          <w:p>
            <w:pPr>
              <w:spacing w:after="0"/>
              <w:rPr>
                <w:sz w:val="12"/>
                <w:szCs w:val="12"/>
                <w:color w:val="auto"/>
              </w:rPr>
            </w:pPr>
          </w:p>
        </w:tc>
        <w:tc>
          <w:tcPr>
            <w:tcW w:w="1120" w:type="dxa"/>
            <w:vAlign w:val="bottom"/>
            <w:tcBorders>
              <w:bottom w:val="single" w:sz="8" w:color="DCDDDE"/>
            </w:tcBorders>
            <w:vMerge w:val="continue"/>
          </w:tcPr>
          <w:p>
            <w:pPr>
              <w:spacing w:after="0"/>
              <w:rPr>
                <w:sz w:val="12"/>
                <w:szCs w:val="12"/>
                <w:color w:val="auto"/>
              </w:rPr>
            </w:pPr>
          </w:p>
        </w:tc>
        <w:tc>
          <w:tcPr>
            <w:tcW w:w="820" w:type="dxa"/>
            <w:vAlign w:val="bottom"/>
            <w:tcBorders>
              <w:bottom w:val="single" w:sz="8" w:color="DCDDD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Death/Disability</w:t>
            </w:r>
            <w:r>
              <w:rPr>
                <w:rFonts w:ascii="Arial" w:cs="Arial" w:eastAsia="Arial" w:hAnsi="Arial"/>
                <w:sz w:val="14"/>
                <w:szCs w:val="14"/>
                <w:color w:val="auto"/>
                <w:vertAlign w:val="superscript"/>
              </w:rPr>
              <w:t>(8)</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656,250</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7,802,886</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71,927,714</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80,386,850</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Retirement</w:t>
            </w:r>
            <w:r>
              <w:rPr>
                <w:rFonts w:ascii="Arial" w:cs="Arial" w:eastAsia="Arial" w:hAnsi="Arial"/>
                <w:sz w:val="14"/>
                <w:szCs w:val="14"/>
                <w:color w:val="auto"/>
                <w:vertAlign w:val="superscript"/>
              </w:rPr>
              <w:t>(5)</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Change in Control</w:t>
            </w:r>
            <w:r>
              <w:rPr>
                <w:rFonts w:ascii="Arial" w:cs="Arial" w:eastAsia="Arial" w:hAnsi="Arial"/>
                <w:sz w:val="14"/>
                <w:szCs w:val="14"/>
                <w:color w:val="auto"/>
                <w:vertAlign w:val="superscript"/>
              </w:rPr>
              <w:t>(6)</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1200" w:type="dxa"/>
            <w:vAlign w:val="bottom"/>
            <w:tcBorders>
              <w:bottom w:val="single" w:sz="8" w:color="DCDDDE"/>
            </w:tcBorders>
          </w:tcPr>
          <w:p>
            <w:pPr>
              <w:ind w:left="60"/>
              <w:spacing w:after="0"/>
              <w:rPr>
                <w:sz w:val="20"/>
                <w:szCs w:val="20"/>
                <w:color w:val="auto"/>
              </w:rPr>
            </w:pPr>
            <w:r>
              <w:rPr>
                <w:rFonts w:ascii="Arial" w:cs="Arial" w:eastAsia="Arial" w:hAnsi="Arial"/>
                <w:sz w:val="11"/>
                <w:szCs w:val="11"/>
                <w:b w:val="1"/>
                <w:bCs w:val="1"/>
                <w:color w:val="auto"/>
              </w:rPr>
              <w:t>Jason S. Armstrong</w:t>
            </w:r>
          </w:p>
        </w:tc>
        <w:tc>
          <w:tcPr>
            <w:tcW w:w="1000" w:type="dxa"/>
            <w:vAlign w:val="bottom"/>
            <w:tcBorders>
              <w:bottom w:val="single" w:sz="8" w:color="DCDDDE"/>
            </w:tcBorders>
          </w:tcPr>
          <w:p>
            <w:pPr>
              <w:spacing w:after="0"/>
              <w:rPr>
                <w:sz w:val="14"/>
                <w:szCs w:val="14"/>
                <w:color w:val="auto"/>
              </w:rPr>
            </w:pPr>
          </w:p>
        </w:tc>
        <w:tc>
          <w:tcPr>
            <w:tcW w:w="1020" w:type="dxa"/>
            <w:vAlign w:val="bottom"/>
            <w:tcBorders>
              <w:bottom w:val="single" w:sz="8" w:color="DCDDDE"/>
            </w:tcBorders>
          </w:tcPr>
          <w:p>
            <w:pPr>
              <w:spacing w:after="0"/>
              <w:rPr>
                <w:sz w:val="14"/>
                <w:szCs w:val="14"/>
                <w:color w:val="auto"/>
              </w:rPr>
            </w:pPr>
          </w:p>
        </w:tc>
        <w:tc>
          <w:tcPr>
            <w:tcW w:w="1000" w:type="dxa"/>
            <w:vAlign w:val="bottom"/>
            <w:tcBorders>
              <w:bottom w:val="single" w:sz="8" w:color="DCDDDE"/>
            </w:tcBorders>
          </w:tcPr>
          <w:p>
            <w:pPr>
              <w:spacing w:after="0"/>
              <w:rPr>
                <w:sz w:val="14"/>
                <w:szCs w:val="14"/>
                <w:color w:val="auto"/>
              </w:rPr>
            </w:pPr>
          </w:p>
        </w:tc>
        <w:tc>
          <w:tcPr>
            <w:tcW w:w="1080" w:type="dxa"/>
            <w:vAlign w:val="bottom"/>
            <w:tcBorders>
              <w:bottom w:val="single" w:sz="8" w:color="DCDDDE"/>
            </w:tcBorders>
          </w:tcPr>
          <w:p>
            <w:pPr>
              <w:spacing w:after="0"/>
              <w:rPr>
                <w:sz w:val="14"/>
                <w:szCs w:val="14"/>
                <w:color w:val="auto"/>
              </w:rPr>
            </w:pPr>
          </w:p>
        </w:tc>
        <w:tc>
          <w:tcPr>
            <w:tcW w:w="1100" w:type="dxa"/>
            <w:vAlign w:val="bottom"/>
            <w:tcBorders>
              <w:bottom w:val="single" w:sz="8" w:color="DCDDDE"/>
            </w:tcBorders>
          </w:tcPr>
          <w:p>
            <w:pPr>
              <w:spacing w:after="0"/>
              <w:rPr>
                <w:sz w:val="14"/>
                <w:szCs w:val="14"/>
                <w:color w:val="auto"/>
              </w:rPr>
            </w:pPr>
          </w:p>
        </w:tc>
        <w:tc>
          <w:tcPr>
            <w:tcW w:w="1120" w:type="dxa"/>
            <w:vAlign w:val="bottom"/>
            <w:tcBorders>
              <w:bottom w:val="single" w:sz="8" w:color="DCDDDE"/>
            </w:tcBorders>
          </w:tcPr>
          <w:p>
            <w:pPr>
              <w:spacing w:after="0"/>
              <w:rPr>
                <w:sz w:val="14"/>
                <w:szCs w:val="14"/>
                <w:color w:val="auto"/>
              </w:rPr>
            </w:pPr>
          </w:p>
        </w:tc>
        <w:tc>
          <w:tcPr>
            <w:tcW w:w="820" w:type="dxa"/>
            <w:vAlign w:val="bottom"/>
            <w:tcBorders>
              <w:bottom w:val="single" w:sz="8" w:color="DCDDDE"/>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tcPr>
          <w:p>
            <w:pPr>
              <w:ind w:left="60"/>
              <w:spacing w:after="0" w:line="95" w:lineRule="exact"/>
              <w:rPr>
                <w:sz w:val="20"/>
                <w:szCs w:val="20"/>
                <w:color w:val="auto"/>
              </w:rPr>
            </w:pPr>
            <w:r>
              <w:rPr>
                <w:rFonts w:ascii="Arial" w:cs="Arial" w:eastAsia="Arial" w:hAnsi="Arial"/>
                <w:sz w:val="10"/>
                <w:szCs w:val="10"/>
                <w:color w:val="auto"/>
              </w:rPr>
              <w:t>Without Cause/</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4,200,000</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4,200,000</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4,161,538</w:t>
            </w:r>
          </w:p>
        </w:tc>
        <w:tc>
          <w:tcPr>
            <w:tcW w:w="10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1"/>
                <w:szCs w:val="11"/>
                <w:color w:val="auto"/>
              </w:rPr>
              <w:t>2,973,368</w:t>
            </w:r>
          </w:p>
        </w:tc>
        <w:tc>
          <w:tcPr>
            <w:tcW w:w="1120" w:type="dxa"/>
            <w:vAlign w:val="bottom"/>
            <w:vMerge w:val="restart"/>
          </w:tcPr>
          <w:p>
            <w:pPr>
              <w:jc w:val="right"/>
              <w:ind w:right="106"/>
              <w:spacing w:after="0"/>
              <w:rPr>
                <w:sz w:val="20"/>
                <w:szCs w:val="20"/>
                <w:color w:val="auto"/>
              </w:rPr>
            </w:pPr>
            <w:r>
              <w:rPr>
                <w:rFonts w:ascii="Arial" w:cs="Arial" w:eastAsia="Arial" w:hAnsi="Arial"/>
                <w:sz w:val="11"/>
                <w:szCs w:val="11"/>
                <w:color w:val="auto"/>
              </w:rPr>
              <w:t>24,947</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15,559,852</w:t>
            </w:r>
          </w:p>
        </w:tc>
        <w:tc>
          <w:tcPr>
            <w:tcW w:w="0" w:type="dxa"/>
            <w:vAlign w:val="bottom"/>
          </w:tcPr>
          <w:p>
            <w:pPr>
              <w:spacing w:after="0"/>
              <w:rPr>
                <w:sz w:val="1"/>
                <w:szCs w:val="1"/>
                <w:color w:val="auto"/>
              </w:rPr>
            </w:pPr>
          </w:p>
        </w:tc>
      </w:tr>
      <w:tr>
        <w:trPr>
          <w:trHeight w:val="149"/>
        </w:trPr>
        <w:tc>
          <w:tcPr>
            <w:tcW w:w="1200" w:type="dxa"/>
            <w:vAlign w:val="bottom"/>
            <w:tcBorders>
              <w:bottom w:val="single" w:sz="8" w:color="DCDDDE"/>
            </w:tcBorders>
          </w:tcPr>
          <w:p>
            <w:pPr>
              <w:ind w:left="60"/>
              <w:spacing w:after="0" w:line="149" w:lineRule="exact"/>
              <w:rPr>
                <w:sz w:val="20"/>
                <w:szCs w:val="20"/>
                <w:color w:val="auto"/>
              </w:rPr>
            </w:pPr>
            <w:r>
              <w:rPr>
                <w:rFonts w:ascii="Arial" w:cs="Arial" w:eastAsia="Arial" w:hAnsi="Arial"/>
                <w:sz w:val="11"/>
                <w:szCs w:val="11"/>
                <w:color w:val="auto"/>
              </w:rPr>
              <w:t>With Good Reason</w:t>
            </w:r>
            <w:r>
              <w:rPr>
                <w:rFonts w:ascii="Arial" w:cs="Arial" w:eastAsia="Arial" w:hAnsi="Arial"/>
                <w:sz w:val="14"/>
                <w:szCs w:val="14"/>
                <w:color w:val="auto"/>
                <w:vertAlign w:val="superscript"/>
              </w:rPr>
              <w:t>(7)</w:t>
            </w:r>
          </w:p>
        </w:tc>
        <w:tc>
          <w:tcPr>
            <w:tcW w:w="1000" w:type="dxa"/>
            <w:vAlign w:val="bottom"/>
            <w:tcBorders>
              <w:bottom w:val="single" w:sz="8" w:color="DCDDDE"/>
            </w:tcBorders>
            <w:vMerge w:val="continue"/>
          </w:tcPr>
          <w:p>
            <w:pPr>
              <w:spacing w:after="0"/>
              <w:rPr>
                <w:sz w:val="12"/>
                <w:szCs w:val="12"/>
                <w:color w:val="auto"/>
              </w:rPr>
            </w:pPr>
          </w:p>
        </w:tc>
        <w:tc>
          <w:tcPr>
            <w:tcW w:w="1020" w:type="dxa"/>
            <w:vAlign w:val="bottom"/>
            <w:tcBorders>
              <w:bottom w:val="single" w:sz="8" w:color="DCDDDE"/>
            </w:tcBorders>
            <w:vMerge w:val="continue"/>
          </w:tcPr>
          <w:p>
            <w:pPr>
              <w:spacing w:after="0"/>
              <w:rPr>
                <w:sz w:val="12"/>
                <w:szCs w:val="12"/>
                <w:color w:val="auto"/>
              </w:rPr>
            </w:pPr>
          </w:p>
        </w:tc>
        <w:tc>
          <w:tcPr>
            <w:tcW w:w="1000" w:type="dxa"/>
            <w:vAlign w:val="bottom"/>
            <w:tcBorders>
              <w:bottom w:val="single" w:sz="8" w:color="DCDDDE"/>
            </w:tcBorders>
            <w:vMerge w:val="continue"/>
          </w:tcPr>
          <w:p>
            <w:pPr>
              <w:spacing w:after="0"/>
              <w:rPr>
                <w:sz w:val="12"/>
                <w:szCs w:val="12"/>
                <w:color w:val="auto"/>
              </w:rPr>
            </w:pPr>
          </w:p>
        </w:tc>
        <w:tc>
          <w:tcPr>
            <w:tcW w:w="1080" w:type="dxa"/>
            <w:vAlign w:val="bottom"/>
            <w:tcBorders>
              <w:bottom w:val="single" w:sz="8" w:color="DCDDDE"/>
            </w:tcBorders>
            <w:vMerge w:val="continue"/>
          </w:tcPr>
          <w:p>
            <w:pPr>
              <w:spacing w:after="0"/>
              <w:rPr>
                <w:sz w:val="12"/>
                <w:szCs w:val="12"/>
                <w:color w:val="auto"/>
              </w:rPr>
            </w:pPr>
          </w:p>
        </w:tc>
        <w:tc>
          <w:tcPr>
            <w:tcW w:w="1100" w:type="dxa"/>
            <w:vAlign w:val="bottom"/>
            <w:tcBorders>
              <w:bottom w:val="single" w:sz="8" w:color="DCDDDE"/>
            </w:tcBorders>
            <w:vMerge w:val="continue"/>
          </w:tcPr>
          <w:p>
            <w:pPr>
              <w:spacing w:after="0"/>
              <w:rPr>
                <w:sz w:val="12"/>
                <w:szCs w:val="12"/>
                <w:color w:val="auto"/>
              </w:rPr>
            </w:pPr>
          </w:p>
        </w:tc>
        <w:tc>
          <w:tcPr>
            <w:tcW w:w="1120" w:type="dxa"/>
            <w:vAlign w:val="bottom"/>
            <w:tcBorders>
              <w:bottom w:val="single" w:sz="8" w:color="DCDDDE"/>
            </w:tcBorders>
            <w:vMerge w:val="continue"/>
          </w:tcPr>
          <w:p>
            <w:pPr>
              <w:spacing w:after="0"/>
              <w:rPr>
                <w:sz w:val="12"/>
                <w:szCs w:val="12"/>
                <w:color w:val="auto"/>
              </w:rPr>
            </w:pPr>
          </w:p>
        </w:tc>
        <w:tc>
          <w:tcPr>
            <w:tcW w:w="820" w:type="dxa"/>
            <w:vAlign w:val="bottom"/>
            <w:tcBorders>
              <w:bottom w:val="single" w:sz="8" w:color="DCDDD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Death/Disability</w:t>
            </w:r>
            <w:r>
              <w:rPr>
                <w:rFonts w:ascii="Arial" w:cs="Arial" w:eastAsia="Arial" w:hAnsi="Arial"/>
                <w:sz w:val="14"/>
                <w:szCs w:val="14"/>
                <w:color w:val="auto"/>
                <w:vertAlign w:val="superscript"/>
              </w:rPr>
              <w:t>(8)</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525,000</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4,161,538</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15,677,873</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20,364,411</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Retirement</w:t>
            </w:r>
            <w:r>
              <w:rPr>
                <w:rFonts w:ascii="Arial" w:cs="Arial" w:eastAsia="Arial" w:hAnsi="Arial"/>
                <w:sz w:val="14"/>
                <w:szCs w:val="14"/>
                <w:color w:val="auto"/>
                <w:vertAlign w:val="superscript"/>
              </w:rPr>
              <w:t>(5)</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Change in Control</w:t>
            </w:r>
            <w:r>
              <w:rPr>
                <w:rFonts w:ascii="Arial" w:cs="Arial" w:eastAsia="Arial" w:hAnsi="Arial"/>
                <w:sz w:val="14"/>
                <w:szCs w:val="14"/>
                <w:color w:val="auto"/>
                <w:vertAlign w:val="superscript"/>
              </w:rPr>
              <w:t>(6)</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1000" w:hanging="674"/>
        <w:spacing w:after="0"/>
        <w:tabs>
          <w:tab w:leader="none" w:pos="100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3" w:name="page54"/>
    <w:bookmarkEnd w:id="53"/>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b w:val="1"/>
                <w:bCs w:val="1"/>
                <w:color w:val="auto"/>
              </w:rPr>
              <w:t>ACCELERATION/</w:t>
            </w: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CONTINUED</w:t>
            </w: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VESTING &amp;</w:t>
            </w:r>
          </w:p>
        </w:tc>
        <w:tc>
          <w:tcPr>
            <w:tcW w:w="11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ACCELERATION/</w:t>
            </w: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EXERCISABILITY</w:t>
            </w:r>
          </w:p>
        </w:tc>
        <w:tc>
          <w:tcPr>
            <w:tcW w:w="11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CONTINUED</w:t>
            </w: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ANNUAL</w:t>
            </w:r>
          </w:p>
        </w:tc>
        <w:tc>
          <w:tcPr>
            <w:tcW w:w="10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ACCRUED</w:t>
            </w:r>
          </w:p>
        </w:tc>
        <w:tc>
          <w:tcPr>
            <w:tcW w:w="10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OF UNVESTED</w:t>
            </w:r>
          </w:p>
        </w:tc>
        <w:tc>
          <w:tcPr>
            <w:tcW w:w="11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VESTING OF</w:t>
            </w:r>
          </w:p>
        </w:tc>
        <w:tc>
          <w:tcPr>
            <w:tcW w:w="112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HEALTH</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104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BASE SALARY</w:t>
            </w:r>
          </w:p>
        </w:tc>
        <w:tc>
          <w:tcPr>
            <w:tcW w:w="1020" w:type="dxa"/>
            <w:vAlign w:val="bottom"/>
          </w:tcPr>
          <w:p>
            <w:pPr>
              <w:jc w:val="right"/>
              <w:ind w:right="26"/>
              <w:spacing w:after="0" w:line="117" w:lineRule="exact"/>
              <w:rPr>
                <w:sz w:val="20"/>
                <w:szCs w:val="20"/>
                <w:color w:val="auto"/>
              </w:rPr>
            </w:pPr>
            <w:r>
              <w:rPr>
                <w:rFonts w:ascii="Arial" w:cs="Arial" w:eastAsia="Arial" w:hAnsi="Arial"/>
                <w:sz w:val="11"/>
                <w:szCs w:val="11"/>
                <w:b w:val="1"/>
                <w:bCs w:val="1"/>
                <w:color w:val="auto"/>
              </w:rPr>
              <w:t>CASH BONUS</w:t>
            </w:r>
          </w:p>
        </w:tc>
        <w:tc>
          <w:tcPr>
            <w:tcW w:w="100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ANNUAL CASH</w:t>
            </w:r>
          </w:p>
        </w:tc>
        <w:tc>
          <w:tcPr>
            <w:tcW w:w="1080" w:type="dxa"/>
            <w:vAlign w:val="bottom"/>
          </w:tcPr>
          <w:p>
            <w:pPr>
              <w:jc w:val="right"/>
              <w:ind w:right="46"/>
              <w:spacing w:after="0" w:line="117" w:lineRule="exact"/>
              <w:rPr>
                <w:sz w:val="20"/>
                <w:szCs w:val="20"/>
                <w:color w:val="auto"/>
              </w:rPr>
            </w:pPr>
            <w:r>
              <w:rPr>
                <w:rFonts w:ascii="Arial" w:cs="Arial" w:eastAsia="Arial" w:hAnsi="Arial"/>
                <w:sz w:val="11"/>
                <w:szCs w:val="11"/>
                <w:b w:val="1"/>
                <w:bCs w:val="1"/>
                <w:color w:val="auto"/>
              </w:rPr>
              <w:t>STOCK</w:t>
            </w:r>
          </w:p>
        </w:tc>
        <w:tc>
          <w:tcPr>
            <w:tcW w:w="1100" w:type="dxa"/>
            <w:vAlign w:val="bottom"/>
          </w:tcPr>
          <w:p>
            <w:pPr>
              <w:jc w:val="right"/>
              <w:ind w:right="66"/>
              <w:spacing w:after="0" w:line="117" w:lineRule="exact"/>
              <w:rPr>
                <w:sz w:val="20"/>
                <w:szCs w:val="20"/>
                <w:color w:val="auto"/>
              </w:rPr>
            </w:pPr>
            <w:r>
              <w:rPr>
                <w:rFonts w:ascii="Arial" w:cs="Arial" w:eastAsia="Arial" w:hAnsi="Arial"/>
                <w:sz w:val="11"/>
                <w:szCs w:val="11"/>
                <w:b w:val="1"/>
                <w:bCs w:val="1"/>
                <w:color w:val="auto"/>
              </w:rPr>
              <w:t>UNVESTED</w:t>
            </w:r>
          </w:p>
        </w:tc>
        <w:tc>
          <w:tcPr>
            <w:tcW w:w="1120" w:type="dxa"/>
            <w:vAlign w:val="bottom"/>
          </w:tcPr>
          <w:p>
            <w:pPr>
              <w:jc w:val="right"/>
              <w:ind w:right="106"/>
              <w:spacing w:after="0" w:line="117" w:lineRule="exact"/>
              <w:rPr>
                <w:sz w:val="20"/>
                <w:szCs w:val="20"/>
                <w:color w:val="auto"/>
              </w:rPr>
            </w:pPr>
            <w:r>
              <w:rPr>
                <w:rFonts w:ascii="Arial" w:cs="Arial" w:eastAsia="Arial" w:hAnsi="Arial"/>
                <w:sz w:val="11"/>
                <w:szCs w:val="11"/>
                <w:b w:val="1"/>
                <w:bCs w:val="1"/>
                <w:color w:val="auto"/>
              </w:rPr>
              <w:t>BENEFIT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b w:val="1"/>
                <w:bCs w:val="1"/>
                <w:color w:val="auto"/>
              </w:rPr>
              <w:t>CONTINUATION</w:t>
            </w:r>
          </w:p>
        </w:tc>
        <w:tc>
          <w:tcPr>
            <w:tcW w:w="1020" w:type="dxa"/>
            <w:vAlign w:val="bottom"/>
          </w:tcPr>
          <w:p>
            <w:pPr>
              <w:jc w:val="right"/>
              <w:ind w:right="26"/>
              <w:spacing w:after="0"/>
              <w:rPr>
                <w:sz w:val="20"/>
                <w:szCs w:val="20"/>
                <w:color w:val="auto"/>
              </w:rPr>
            </w:pPr>
            <w:r>
              <w:rPr>
                <w:rFonts w:ascii="Arial" w:cs="Arial" w:eastAsia="Arial" w:hAnsi="Arial"/>
                <w:sz w:val="11"/>
                <w:szCs w:val="11"/>
                <w:b w:val="1"/>
                <w:bCs w:val="1"/>
                <w:color w:val="auto"/>
              </w:rPr>
              <w:t>CONTINUATION</w:t>
            </w: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BONUS</w:t>
            </w:r>
          </w:p>
        </w:tc>
        <w:tc>
          <w:tcPr>
            <w:tcW w:w="1080" w:type="dxa"/>
            <w:vAlign w:val="bottom"/>
          </w:tcPr>
          <w:p>
            <w:pPr>
              <w:jc w:val="right"/>
              <w:ind w:right="46"/>
              <w:spacing w:after="0" w:line="126"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4"/>
                <w:szCs w:val="14"/>
                <w:b w:val="1"/>
                <w:bCs w:val="1"/>
                <w:color w:val="auto"/>
                <w:vertAlign w:val="superscript"/>
              </w:rPr>
              <w:t>(1)</w:t>
            </w:r>
          </w:p>
        </w:tc>
        <w:tc>
          <w:tcPr>
            <w:tcW w:w="1100" w:type="dxa"/>
            <w:vAlign w:val="bottom"/>
          </w:tcPr>
          <w:p>
            <w:pPr>
              <w:jc w:val="right"/>
              <w:ind w:right="86"/>
              <w:spacing w:after="0" w:line="126" w:lineRule="exact"/>
              <w:rPr>
                <w:sz w:val="20"/>
                <w:szCs w:val="20"/>
                <w:color w:val="auto"/>
              </w:rPr>
            </w:pPr>
            <w:r>
              <w:rPr>
                <w:rFonts w:ascii="Arial" w:cs="Arial" w:eastAsia="Arial" w:hAnsi="Arial"/>
                <w:sz w:val="11"/>
                <w:szCs w:val="11"/>
                <w:b w:val="1"/>
                <w:bCs w:val="1"/>
                <w:color w:val="auto"/>
              </w:rPr>
              <w:t>STOCK UNITS</w:t>
            </w:r>
            <w:r>
              <w:rPr>
                <w:rFonts w:ascii="Arial" w:cs="Arial" w:eastAsia="Arial" w:hAnsi="Arial"/>
                <w:sz w:val="14"/>
                <w:szCs w:val="14"/>
                <w:b w:val="1"/>
                <w:bCs w:val="1"/>
                <w:color w:val="auto"/>
                <w:vertAlign w:val="superscript"/>
              </w:rPr>
              <w:t>(1)</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CONTINUATION</w:t>
            </w:r>
          </w:p>
        </w:tc>
        <w:tc>
          <w:tcPr>
            <w:tcW w:w="820" w:type="dxa"/>
            <w:vAlign w:val="bottom"/>
          </w:tcPr>
          <w:p>
            <w:pPr>
              <w:jc w:val="right"/>
              <w:ind w:right="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3"/>
        </w:trPr>
        <w:tc>
          <w:tcPr>
            <w:tcW w:w="1160" w:type="dxa"/>
            <w:vAlign w:val="bottom"/>
            <w:tcBorders>
              <w:bottom w:val="single" w:sz="8" w:color="DCDDDE"/>
            </w:tcBorders>
          </w:tcPr>
          <w:p>
            <w:pPr>
              <w:ind w:left="60"/>
              <w:spacing w:after="0"/>
              <w:rPr>
                <w:sz w:val="20"/>
                <w:szCs w:val="20"/>
                <w:color w:val="auto"/>
              </w:rPr>
            </w:pPr>
            <w:r>
              <w:rPr>
                <w:rFonts w:ascii="Arial" w:cs="Arial" w:eastAsia="Arial" w:hAnsi="Arial"/>
                <w:sz w:val="11"/>
                <w:szCs w:val="11"/>
                <w:b w:val="1"/>
                <w:bCs w:val="1"/>
                <w:color w:val="auto"/>
              </w:rPr>
              <w:t>Thomas J. Reid</w:t>
            </w:r>
          </w:p>
        </w:tc>
        <w:tc>
          <w:tcPr>
            <w:tcW w:w="1040" w:type="dxa"/>
            <w:vAlign w:val="bottom"/>
            <w:tcBorders>
              <w:bottom w:val="single" w:sz="8" w:color="DCDDDE"/>
            </w:tcBorders>
          </w:tcPr>
          <w:p>
            <w:pPr>
              <w:spacing w:after="0"/>
              <w:rPr>
                <w:sz w:val="14"/>
                <w:szCs w:val="14"/>
                <w:color w:val="auto"/>
              </w:rPr>
            </w:pPr>
          </w:p>
        </w:tc>
        <w:tc>
          <w:tcPr>
            <w:tcW w:w="1020" w:type="dxa"/>
            <w:vAlign w:val="bottom"/>
            <w:tcBorders>
              <w:bottom w:val="single" w:sz="8" w:color="DCDDDE"/>
            </w:tcBorders>
          </w:tcPr>
          <w:p>
            <w:pPr>
              <w:spacing w:after="0"/>
              <w:rPr>
                <w:sz w:val="14"/>
                <w:szCs w:val="14"/>
                <w:color w:val="auto"/>
              </w:rPr>
            </w:pPr>
          </w:p>
        </w:tc>
        <w:tc>
          <w:tcPr>
            <w:tcW w:w="1000" w:type="dxa"/>
            <w:vAlign w:val="bottom"/>
            <w:tcBorders>
              <w:bottom w:val="single" w:sz="8" w:color="DCDDDE"/>
            </w:tcBorders>
          </w:tcPr>
          <w:p>
            <w:pPr>
              <w:spacing w:after="0"/>
              <w:rPr>
                <w:sz w:val="14"/>
                <w:szCs w:val="14"/>
                <w:color w:val="auto"/>
              </w:rPr>
            </w:pPr>
          </w:p>
        </w:tc>
        <w:tc>
          <w:tcPr>
            <w:tcW w:w="1080" w:type="dxa"/>
            <w:vAlign w:val="bottom"/>
            <w:tcBorders>
              <w:bottom w:val="single" w:sz="8" w:color="DCDDDE"/>
            </w:tcBorders>
          </w:tcPr>
          <w:p>
            <w:pPr>
              <w:spacing w:after="0"/>
              <w:rPr>
                <w:sz w:val="14"/>
                <w:szCs w:val="14"/>
                <w:color w:val="auto"/>
              </w:rPr>
            </w:pPr>
          </w:p>
        </w:tc>
        <w:tc>
          <w:tcPr>
            <w:tcW w:w="1100" w:type="dxa"/>
            <w:vAlign w:val="bottom"/>
            <w:tcBorders>
              <w:bottom w:val="single" w:sz="8" w:color="DCDDDE"/>
            </w:tcBorders>
          </w:tcPr>
          <w:p>
            <w:pPr>
              <w:spacing w:after="0"/>
              <w:rPr>
                <w:sz w:val="14"/>
                <w:szCs w:val="14"/>
                <w:color w:val="auto"/>
              </w:rPr>
            </w:pPr>
          </w:p>
        </w:tc>
        <w:tc>
          <w:tcPr>
            <w:tcW w:w="1120" w:type="dxa"/>
            <w:vAlign w:val="bottom"/>
            <w:tcBorders>
              <w:bottom w:val="single" w:sz="8" w:color="DCDDDE"/>
            </w:tcBorders>
          </w:tcPr>
          <w:p>
            <w:pPr>
              <w:spacing w:after="0"/>
              <w:rPr>
                <w:sz w:val="14"/>
                <w:szCs w:val="14"/>
                <w:color w:val="auto"/>
              </w:rPr>
            </w:pPr>
          </w:p>
        </w:tc>
        <w:tc>
          <w:tcPr>
            <w:tcW w:w="820" w:type="dxa"/>
            <w:vAlign w:val="bottom"/>
            <w:tcBorders>
              <w:bottom w:val="single" w:sz="8" w:color="DCDDDE"/>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160" w:type="dxa"/>
            <w:vAlign w:val="bottom"/>
          </w:tcPr>
          <w:p>
            <w:pPr>
              <w:ind w:left="60"/>
              <w:spacing w:after="0" w:line="104" w:lineRule="exact"/>
              <w:rPr>
                <w:sz w:val="20"/>
                <w:szCs w:val="20"/>
                <w:color w:val="auto"/>
              </w:rPr>
            </w:pPr>
            <w:r>
              <w:rPr>
                <w:rFonts w:ascii="Arial" w:cs="Arial" w:eastAsia="Arial" w:hAnsi="Arial"/>
                <w:sz w:val="11"/>
                <w:szCs w:val="11"/>
                <w:color w:val="auto"/>
              </w:rPr>
              <w:t>Without Cause/</w:t>
            </w:r>
          </w:p>
        </w:tc>
        <w:tc>
          <w:tcPr>
            <w:tcW w:w="1040" w:type="dxa"/>
            <w:vAlign w:val="bottom"/>
            <w:vMerge w:val="restart"/>
          </w:tcPr>
          <w:p>
            <w:pPr>
              <w:jc w:val="right"/>
              <w:ind w:right="46"/>
              <w:spacing w:after="0"/>
              <w:rPr>
                <w:sz w:val="20"/>
                <w:szCs w:val="20"/>
                <w:color w:val="auto"/>
              </w:rPr>
            </w:pPr>
            <w:r>
              <w:rPr>
                <w:rFonts w:ascii="Arial" w:cs="Arial" w:eastAsia="Arial" w:hAnsi="Arial"/>
                <w:sz w:val="11"/>
                <w:szCs w:val="11"/>
                <w:color w:val="auto"/>
              </w:rPr>
              <w:t>3,990,000</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4,987,500</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4,941,828</w:t>
            </w:r>
          </w:p>
        </w:tc>
        <w:tc>
          <w:tcPr>
            <w:tcW w:w="10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1"/>
                <w:szCs w:val="11"/>
                <w:color w:val="auto"/>
              </w:rPr>
              <w:t>2,448,140</w:t>
            </w:r>
          </w:p>
        </w:tc>
        <w:tc>
          <w:tcPr>
            <w:tcW w:w="1120" w:type="dxa"/>
            <w:vAlign w:val="bottom"/>
            <w:vMerge w:val="restart"/>
          </w:tcPr>
          <w:p>
            <w:pPr>
              <w:jc w:val="right"/>
              <w:ind w:right="106"/>
              <w:spacing w:after="0"/>
              <w:rPr>
                <w:sz w:val="20"/>
                <w:szCs w:val="20"/>
                <w:color w:val="auto"/>
              </w:rPr>
            </w:pPr>
            <w:r>
              <w:rPr>
                <w:rFonts w:ascii="Arial" w:cs="Arial" w:eastAsia="Arial" w:hAnsi="Arial"/>
                <w:sz w:val="11"/>
                <w:szCs w:val="11"/>
                <w:color w:val="auto"/>
              </w:rPr>
              <w:t>19,318</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16,386,786</w:t>
            </w:r>
          </w:p>
        </w:tc>
        <w:tc>
          <w:tcPr>
            <w:tcW w:w="0" w:type="dxa"/>
            <w:vAlign w:val="bottom"/>
          </w:tcPr>
          <w:p>
            <w:pPr>
              <w:spacing w:after="0"/>
              <w:rPr>
                <w:sz w:val="1"/>
                <w:szCs w:val="1"/>
                <w:color w:val="auto"/>
              </w:rPr>
            </w:pPr>
          </w:p>
        </w:tc>
      </w:tr>
      <w:tr>
        <w:trPr>
          <w:trHeight w:val="139"/>
        </w:trPr>
        <w:tc>
          <w:tcPr>
            <w:tcW w:w="1160" w:type="dxa"/>
            <w:vAlign w:val="bottom"/>
            <w:tcBorders>
              <w:bottom w:val="single" w:sz="8" w:color="DCDDDE"/>
            </w:tcBorders>
          </w:tcPr>
          <w:p>
            <w:pPr>
              <w:ind w:left="60"/>
              <w:spacing w:after="0" w:line="139" w:lineRule="exact"/>
              <w:rPr>
                <w:sz w:val="20"/>
                <w:szCs w:val="20"/>
                <w:color w:val="auto"/>
              </w:rPr>
            </w:pPr>
            <w:r>
              <w:rPr>
                <w:rFonts w:ascii="Arial" w:cs="Arial" w:eastAsia="Arial" w:hAnsi="Arial"/>
                <w:sz w:val="11"/>
                <w:szCs w:val="11"/>
                <w:color w:val="auto"/>
              </w:rPr>
              <w:t>With Good Reason</w:t>
            </w:r>
            <w:r>
              <w:rPr>
                <w:rFonts w:ascii="Arial" w:cs="Arial" w:eastAsia="Arial" w:hAnsi="Arial"/>
                <w:sz w:val="14"/>
                <w:szCs w:val="14"/>
                <w:color w:val="auto"/>
                <w:vertAlign w:val="superscript"/>
              </w:rPr>
              <w:t>(7)</w:t>
            </w:r>
          </w:p>
        </w:tc>
        <w:tc>
          <w:tcPr>
            <w:tcW w:w="1040" w:type="dxa"/>
            <w:vAlign w:val="bottom"/>
            <w:tcBorders>
              <w:bottom w:val="single" w:sz="8" w:color="DCDDDE"/>
            </w:tcBorders>
            <w:vMerge w:val="continue"/>
          </w:tcPr>
          <w:p>
            <w:pPr>
              <w:spacing w:after="0"/>
              <w:rPr>
                <w:sz w:val="12"/>
                <w:szCs w:val="12"/>
                <w:color w:val="auto"/>
              </w:rPr>
            </w:pPr>
          </w:p>
        </w:tc>
        <w:tc>
          <w:tcPr>
            <w:tcW w:w="1020" w:type="dxa"/>
            <w:vAlign w:val="bottom"/>
            <w:tcBorders>
              <w:bottom w:val="single" w:sz="8" w:color="DCDDDE"/>
            </w:tcBorders>
            <w:vMerge w:val="continue"/>
          </w:tcPr>
          <w:p>
            <w:pPr>
              <w:spacing w:after="0"/>
              <w:rPr>
                <w:sz w:val="12"/>
                <w:szCs w:val="12"/>
                <w:color w:val="auto"/>
              </w:rPr>
            </w:pPr>
          </w:p>
        </w:tc>
        <w:tc>
          <w:tcPr>
            <w:tcW w:w="1000" w:type="dxa"/>
            <w:vAlign w:val="bottom"/>
            <w:tcBorders>
              <w:bottom w:val="single" w:sz="8" w:color="DCDDDE"/>
            </w:tcBorders>
            <w:vMerge w:val="continue"/>
          </w:tcPr>
          <w:p>
            <w:pPr>
              <w:spacing w:after="0"/>
              <w:rPr>
                <w:sz w:val="12"/>
                <w:szCs w:val="12"/>
                <w:color w:val="auto"/>
              </w:rPr>
            </w:pPr>
          </w:p>
        </w:tc>
        <w:tc>
          <w:tcPr>
            <w:tcW w:w="1080" w:type="dxa"/>
            <w:vAlign w:val="bottom"/>
            <w:tcBorders>
              <w:bottom w:val="single" w:sz="8" w:color="DCDDDE"/>
            </w:tcBorders>
            <w:vMerge w:val="continue"/>
          </w:tcPr>
          <w:p>
            <w:pPr>
              <w:spacing w:after="0"/>
              <w:rPr>
                <w:sz w:val="12"/>
                <w:szCs w:val="12"/>
                <w:color w:val="auto"/>
              </w:rPr>
            </w:pPr>
          </w:p>
        </w:tc>
        <w:tc>
          <w:tcPr>
            <w:tcW w:w="1100" w:type="dxa"/>
            <w:vAlign w:val="bottom"/>
            <w:tcBorders>
              <w:bottom w:val="single" w:sz="8" w:color="DCDDDE"/>
            </w:tcBorders>
            <w:vMerge w:val="continue"/>
          </w:tcPr>
          <w:p>
            <w:pPr>
              <w:spacing w:after="0"/>
              <w:rPr>
                <w:sz w:val="12"/>
                <w:szCs w:val="12"/>
                <w:color w:val="auto"/>
              </w:rPr>
            </w:pPr>
          </w:p>
        </w:tc>
        <w:tc>
          <w:tcPr>
            <w:tcW w:w="1120" w:type="dxa"/>
            <w:vAlign w:val="bottom"/>
            <w:tcBorders>
              <w:bottom w:val="single" w:sz="8" w:color="DCDDDE"/>
            </w:tcBorders>
            <w:vMerge w:val="continue"/>
          </w:tcPr>
          <w:p>
            <w:pPr>
              <w:spacing w:after="0"/>
              <w:rPr>
                <w:sz w:val="12"/>
                <w:szCs w:val="12"/>
                <w:color w:val="auto"/>
              </w:rPr>
            </w:pPr>
          </w:p>
        </w:tc>
        <w:tc>
          <w:tcPr>
            <w:tcW w:w="820" w:type="dxa"/>
            <w:vAlign w:val="bottom"/>
            <w:tcBorders>
              <w:bottom w:val="single" w:sz="8" w:color="DCDDD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Death/Disability</w:t>
            </w:r>
            <w:r>
              <w:rPr>
                <w:rFonts w:ascii="Arial" w:cs="Arial" w:eastAsia="Arial" w:hAnsi="Arial"/>
                <w:sz w:val="14"/>
                <w:szCs w:val="14"/>
                <w:color w:val="auto"/>
                <w:vertAlign w:val="superscript"/>
              </w:rPr>
              <w:t>(8)</w:t>
            </w:r>
          </w:p>
        </w:tc>
        <w:tc>
          <w:tcPr>
            <w:tcW w:w="104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498,750</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4,941,828</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11,726,744</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17,167,321</w:t>
            </w:r>
          </w:p>
        </w:tc>
        <w:tc>
          <w:tcPr>
            <w:tcW w:w="0" w:type="dxa"/>
            <w:vAlign w:val="bottom"/>
          </w:tcPr>
          <w:p>
            <w:pPr>
              <w:spacing w:after="0"/>
              <w:rPr>
                <w:sz w:val="1"/>
                <w:szCs w:val="1"/>
                <w:color w:val="auto"/>
              </w:rPr>
            </w:pPr>
          </w:p>
        </w:tc>
      </w:tr>
      <w:tr>
        <w:trPr>
          <w:trHeight w:val="155"/>
        </w:trPr>
        <w:tc>
          <w:tcPr>
            <w:tcW w:w="116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Retirement</w:t>
            </w:r>
            <w:r>
              <w:rPr>
                <w:rFonts w:ascii="Arial" w:cs="Arial" w:eastAsia="Arial" w:hAnsi="Arial"/>
                <w:sz w:val="14"/>
                <w:szCs w:val="14"/>
                <w:color w:val="auto"/>
                <w:vertAlign w:val="superscript"/>
              </w:rPr>
              <w:t>(5)</w:t>
            </w:r>
          </w:p>
        </w:tc>
        <w:tc>
          <w:tcPr>
            <w:tcW w:w="104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Change in Control</w:t>
            </w:r>
            <w:r>
              <w:rPr>
                <w:rFonts w:ascii="Arial" w:cs="Arial" w:eastAsia="Arial" w:hAnsi="Arial"/>
                <w:sz w:val="14"/>
                <w:szCs w:val="14"/>
                <w:color w:val="auto"/>
                <w:vertAlign w:val="superscript"/>
              </w:rPr>
              <w:t>(6)</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1160" w:type="dxa"/>
            <w:vAlign w:val="bottom"/>
            <w:tcBorders>
              <w:bottom w:val="single" w:sz="8" w:color="DCDDDE"/>
            </w:tcBorders>
          </w:tcPr>
          <w:p>
            <w:pPr>
              <w:ind w:left="60"/>
              <w:spacing w:after="0"/>
              <w:rPr>
                <w:sz w:val="20"/>
                <w:szCs w:val="20"/>
                <w:color w:val="auto"/>
              </w:rPr>
            </w:pPr>
            <w:r>
              <w:rPr>
                <w:rFonts w:ascii="Arial" w:cs="Arial" w:eastAsia="Arial" w:hAnsi="Arial"/>
                <w:sz w:val="11"/>
                <w:szCs w:val="11"/>
                <w:b w:val="1"/>
                <w:bCs w:val="1"/>
                <w:color w:val="auto"/>
              </w:rPr>
              <w:t>Jennifer Khoury</w:t>
            </w:r>
          </w:p>
        </w:tc>
        <w:tc>
          <w:tcPr>
            <w:tcW w:w="1040" w:type="dxa"/>
            <w:vAlign w:val="bottom"/>
            <w:tcBorders>
              <w:bottom w:val="single" w:sz="8" w:color="DCDDDE"/>
            </w:tcBorders>
          </w:tcPr>
          <w:p>
            <w:pPr>
              <w:spacing w:after="0"/>
              <w:rPr>
                <w:sz w:val="14"/>
                <w:szCs w:val="14"/>
                <w:color w:val="auto"/>
              </w:rPr>
            </w:pPr>
          </w:p>
        </w:tc>
        <w:tc>
          <w:tcPr>
            <w:tcW w:w="1020" w:type="dxa"/>
            <w:vAlign w:val="bottom"/>
            <w:tcBorders>
              <w:bottom w:val="single" w:sz="8" w:color="DCDDDE"/>
            </w:tcBorders>
          </w:tcPr>
          <w:p>
            <w:pPr>
              <w:spacing w:after="0"/>
              <w:rPr>
                <w:sz w:val="14"/>
                <w:szCs w:val="14"/>
                <w:color w:val="auto"/>
              </w:rPr>
            </w:pPr>
          </w:p>
        </w:tc>
        <w:tc>
          <w:tcPr>
            <w:tcW w:w="1000" w:type="dxa"/>
            <w:vAlign w:val="bottom"/>
            <w:tcBorders>
              <w:bottom w:val="single" w:sz="8" w:color="DCDDDE"/>
            </w:tcBorders>
          </w:tcPr>
          <w:p>
            <w:pPr>
              <w:spacing w:after="0"/>
              <w:rPr>
                <w:sz w:val="14"/>
                <w:szCs w:val="14"/>
                <w:color w:val="auto"/>
              </w:rPr>
            </w:pPr>
          </w:p>
        </w:tc>
        <w:tc>
          <w:tcPr>
            <w:tcW w:w="1080" w:type="dxa"/>
            <w:vAlign w:val="bottom"/>
            <w:tcBorders>
              <w:bottom w:val="single" w:sz="8" w:color="DCDDDE"/>
            </w:tcBorders>
          </w:tcPr>
          <w:p>
            <w:pPr>
              <w:spacing w:after="0"/>
              <w:rPr>
                <w:sz w:val="14"/>
                <w:szCs w:val="14"/>
                <w:color w:val="auto"/>
              </w:rPr>
            </w:pPr>
          </w:p>
        </w:tc>
        <w:tc>
          <w:tcPr>
            <w:tcW w:w="1100" w:type="dxa"/>
            <w:vAlign w:val="bottom"/>
            <w:tcBorders>
              <w:bottom w:val="single" w:sz="8" w:color="DCDDDE"/>
            </w:tcBorders>
          </w:tcPr>
          <w:p>
            <w:pPr>
              <w:spacing w:after="0"/>
              <w:rPr>
                <w:sz w:val="14"/>
                <w:szCs w:val="14"/>
                <w:color w:val="auto"/>
              </w:rPr>
            </w:pPr>
          </w:p>
        </w:tc>
        <w:tc>
          <w:tcPr>
            <w:tcW w:w="1120" w:type="dxa"/>
            <w:vAlign w:val="bottom"/>
            <w:tcBorders>
              <w:bottom w:val="single" w:sz="8" w:color="DCDDDE"/>
            </w:tcBorders>
          </w:tcPr>
          <w:p>
            <w:pPr>
              <w:spacing w:after="0"/>
              <w:rPr>
                <w:sz w:val="14"/>
                <w:szCs w:val="14"/>
                <w:color w:val="auto"/>
              </w:rPr>
            </w:pPr>
          </w:p>
        </w:tc>
        <w:tc>
          <w:tcPr>
            <w:tcW w:w="820" w:type="dxa"/>
            <w:vAlign w:val="bottom"/>
            <w:tcBorders>
              <w:bottom w:val="single" w:sz="8" w:color="DCDDDE"/>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160" w:type="dxa"/>
            <w:vAlign w:val="bottom"/>
          </w:tcPr>
          <w:p>
            <w:pPr>
              <w:ind w:left="60"/>
              <w:spacing w:after="0" w:line="104" w:lineRule="exact"/>
              <w:rPr>
                <w:sz w:val="20"/>
                <w:szCs w:val="20"/>
                <w:color w:val="auto"/>
              </w:rPr>
            </w:pPr>
            <w:r>
              <w:rPr>
                <w:rFonts w:ascii="Arial" w:cs="Arial" w:eastAsia="Arial" w:hAnsi="Arial"/>
                <w:sz w:val="11"/>
                <w:szCs w:val="11"/>
                <w:color w:val="auto"/>
              </w:rPr>
              <w:t>Without Cause/</w:t>
            </w:r>
          </w:p>
        </w:tc>
        <w:tc>
          <w:tcPr>
            <w:tcW w:w="1040" w:type="dxa"/>
            <w:vAlign w:val="bottom"/>
            <w:vMerge w:val="restart"/>
          </w:tcPr>
          <w:p>
            <w:pPr>
              <w:jc w:val="right"/>
              <w:ind w:right="46"/>
              <w:spacing w:after="0"/>
              <w:rPr>
                <w:sz w:val="20"/>
                <w:szCs w:val="20"/>
                <w:color w:val="auto"/>
              </w:rPr>
            </w:pPr>
            <w:r>
              <w:rPr>
                <w:rFonts w:ascii="Arial" w:cs="Arial" w:eastAsia="Arial" w:hAnsi="Arial"/>
                <w:sz w:val="11"/>
                <w:szCs w:val="11"/>
                <w:color w:val="auto"/>
              </w:rPr>
              <w:t>3,150,000</w:t>
            </w:r>
          </w:p>
        </w:tc>
        <w:tc>
          <w:tcPr>
            <w:tcW w:w="1020" w:type="dxa"/>
            <w:vAlign w:val="bottom"/>
            <w:vMerge w:val="restart"/>
          </w:tcPr>
          <w:p>
            <w:pPr>
              <w:jc w:val="right"/>
              <w:ind w:right="26"/>
              <w:spacing w:after="0"/>
              <w:rPr>
                <w:sz w:val="20"/>
                <w:szCs w:val="20"/>
                <w:color w:val="auto"/>
              </w:rPr>
            </w:pPr>
            <w:r>
              <w:rPr>
                <w:rFonts w:ascii="Arial" w:cs="Arial" w:eastAsia="Arial" w:hAnsi="Arial"/>
                <w:sz w:val="11"/>
                <w:szCs w:val="11"/>
                <w:color w:val="auto"/>
              </w:rPr>
              <w:t>2,362,500</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color w:val="auto"/>
              </w:rPr>
              <w:t>2,340,866</w:t>
            </w:r>
          </w:p>
        </w:tc>
        <w:tc>
          <w:tcPr>
            <w:tcW w:w="10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1"/>
                <w:szCs w:val="11"/>
                <w:color w:val="auto"/>
              </w:rPr>
              <w:t>932,628</w:t>
            </w:r>
          </w:p>
        </w:tc>
        <w:tc>
          <w:tcPr>
            <w:tcW w:w="1120" w:type="dxa"/>
            <w:vAlign w:val="bottom"/>
            <w:vMerge w:val="restart"/>
          </w:tcPr>
          <w:p>
            <w:pPr>
              <w:jc w:val="right"/>
              <w:ind w:right="106"/>
              <w:spacing w:after="0"/>
              <w:rPr>
                <w:sz w:val="20"/>
                <w:szCs w:val="20"/>
                <w:color w:val="auto"/>
              </w:rPr>
            </w:pPr>
            <w:r>
              <w:rPr>
                <w:rFonts w:ascii="Arial" w:cs="Arial" w:eastAsia="Arial" w:hAnsi="Arial"/>
                <w:sz w:val="11"/>
                <w:szCs w:val="11"/>
                <w:color w:val="auto"/>
              </w:rPr>
              <w:t>24,947</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8,810,940</w:t>
            </w:r>
          </w:p>
        </w:tc>
        <w:tc>
          <w:tcPr>
            <w:tcW w:w="0" w:type="dxa"/>
            <w:vAlign w:val="bottom"/>
          </w:tcPr>
          <w:p>
            <w:pPr>
              <w:spacing w:after="0"/>
              <w:rPr>
                <w:sz w:val="1"/>
                <w:szCs w:val="1"/>
                <w:color w:val="auto"/>
              </w:rPr>
            </w:pPr>
          </w:p>
        </w:tc>
      </w:tr>
      <w:tr>
        <w:trPr>
          <w:trHeight w:val="139"/>
        </w:trPr>
        <w:tc>
          <w:tcPr>
            <w:tcW w:w="1160" w:type="dxa"/>
            <w:vAlign w:val="bottom"/>
            <w:tcBorders>
              <w:bottom w:val="single" w:sz="8" w:color="DCDDDE"/>
            </w:tcBorders>
          </w:tcPr>
          <w:p>
            <w:pPr>
              <w:ind w:left="60"/>
              <w:spacing w:after="0" w:line="139" w:lineRule="exact"/>
              <w:rPr>
                <w:sz w:val="20"/>
                <w:szCs w:val="20"/>
                <w:color w:val="auto"/>
              </w:rPr>
            </w:pPr>
            <w:r>
              <w:rPr>
                <w:rFonts w:ascii="Arial" w:cs="Arial" w:eastAsia="Arial" w:hAnsi="Arial"/>
                <w:sz w:val="11"/>
                <w:szCs w:val="11"/>
                <w:color w:val="auto"/>
              </w:rPr>
              <w:t>With Good Reason</w:t>
            </w:r>
            <w:r>
              <w:rPr>
                <w:rFonts w:ascii="Arial" w:cs="Arial" w:eastAsia="Arial" w:hAnsi="Arial"/>
                <w:sz w:val="14"/>
                <w:szCs w:val="14"/>
                <w:color w:val="auto"/>
                <w:vertAlign w:val="superscript"/>
              </w:rPr>
              <w:t>(7)</w:t>
            </w:r>
          </w:p>
        </w:tc>
        <w:tc>
          <w:tcPr>
            <w:tcW w:w="1040" w:type="dxa"/>
            <w:vAlign w:val="bottom"/>
            <w:tcBorders>
              <w:bottom w:val="single" w:sz="8" w:color="DCDDDE"/>
            </w:tcBorders>
            <w:vMerge w:val="continue"/>
          </w:tcPr>
          <w:p>
            <w:pPr>
              <w:spacing w:after="0"/>
              <w:rPr>
                <w:sz w:val="12"/>
                <w:szCs w:val="12"/>
                <w:color w:val="auto"/>
              </w:rPr>
            </w:pPr>
          </w:p>
        </w:tc>
        <w:tc>
          <w:tcPr>
            <w:tcW w:w="1020" w:type="dxa"/>
            <w:vAlign w:val="bottom"/>
            <w:tcBorders>
              <w:bottom w:val="single" w:sz="8" w:color="DCDDDE"/>
            </w:tcBorders>
            <w:vMerge w:val="continue"/>
          </w:tcPr>
          <w:p>
            <w:pPr>
              <w:spacing w:after="0"/>
              <w:rPr>
                <w:sz w:val="12"/>
                <w:szCs w:val="12"/>
                <w:color w:val="auto"/>
              </w:rPr>
            </w:pPr>
          </w:p>
        </w:tc>
        <w:tc>
          <w:tcPr>
            <w:tcW w:w="1000" w:type="dxa"/>
            <w:vAlign w:val="bottom"/>
            <w:tcBorders>
              <w:bottom w:val="single" w:sz="8" w:color="DCDDDE"/>
            </w:tcBorders>
            <w:vMerge w:val="continue"/>
          </w:tcPr>
          <w:p>
            <w:pPr>
              <w:spacing w:after="0"/>
              <w:rPr>
                <w:sz w:val="12"/>
                <w:szCs w:val="12"/>
                <w:color w:val="auto"/>
              </w:rPr>
            </w:pPr>
          </w:p>
        </w:tc>
        <w:tc>
          <w:tcPr>
            <w:tcW w:w="1080" w:type="dxa"/>
            <w:vAlign w:val="bottom"/>
            <w:tcBorders>
              <w:bottom w:val="single" w:sz="8" w:color="DCDDDE"/>
            </w:tcBorders>
            <w:vMerge w:val="continue"/>
          </w:tcPr>
          <w:p>
            <w:pPr>
              <w:spacing w:after="0"/>
              <w:rPr>
                <w:sz w:val="12"/>
                <w:szCs w:val="12"/>
                <w:color w:val="auto"/>
              </w:rPr>
            </w:pPr>
          </w:p>
        </w:tc>
        <w:tc>
          <w:tcPr>
            <w:tcW w:w="1100" w:type="dxa"/>
            <w:vAlign w:val="bottom"/>
            <w:tcBorders>
              <w:bottom w:val="single" w:sz="8" w:color="DCDDDE"/>
            </w:tcBorders>
            <w:vMerge w:val="continue"/>
          </w:tcPr>
          <w:p>
            <w:pPr>
              <w:spacing w:after="0"/>
              <w:rPr>
                <w:sz w:val="12"/>
                <w:szCs w:val="12"/>
                <w:color w:val="auto"/>
              </w:rPr>
            </w:pPr>
          </w:p>
        </w:tc>
        <w:tc>
          <w:tcPr>
            <w:tcW w:w="1120" w:type="dxa"/>
            <w:vAlign w:val="bottom"/>
            <w:tcBorders>
              <w:bottom w:val="single" w:sz="8" w:color="DCDDDE"/>
            </w:tcBorders>
            <w:vMerge w:val="continue"/>
          </w:tcPr>
          <w:p>
            <w:pPr>
              <w:spacing w:after="0"/>
              <w:rPr>
                <w:sz w:val="12"/>
                <w:szCs w:val="12"/>
                <w:color w:val="auto"/>
              </w:rPr>
            </w:pPr>
          </w:p>
        </w:tc>
        <w:tc>
          <w:tcPr>
            <w:tcW w:w="820" w:type="dxa"/>
            <w:vAlign w:val="bottom"/>
            <w:tcBorders>
              <w:bottom w:val="single" w:sz="8" w:color="DCDDD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Death/Disability</w:t>
            </w:r>
            <w:r>
              <w:rPr>
                <w:rFonts w:ascii="Arial" w:cs="Arial" w:eastAsia="Arial" w:hAnsi="Arial"/>
                <w:sz w:val="14"/>
                <w:szCs w:val="14"/>
                <w:color w:val="auto"/>
                <w:vertAlign w:val="superscript"/>
              </w:rPr>
              <w:t>(8)</w:t>
            </w:r>
          </w:p>
        </w:tc>
        <w:tc>
          <w:tcPr>
            <w:tcW w:w="104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393,750</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2,340,866</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3,041,875</w:t>
            </w:r>
          </w:p>
        </w:tc>
        <w:tc>
          <w:tcPr>
            <w:tcW w:w="1120" w:type="dxa"/>
            <w:vAlign w:val="bottom"/>
            <w:tcBorders>
              <w:bottom w:val="single" w:sz="8" w:color="DCDDDE"/>
            </w:tcBorders>
          </w:tcPr>
          <w:p>
            <w:pPr>
              <w:spacing w:after="0"/>
              <w:rPr>
                <w:sz w:val="13"/>
                <w:szCs w:val="13"/>
                <w:color w:val="auto"/>
              </w:rPr>
            </w:pP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5,776,491</w:t>
            </w:r>
          </w:p>
        </w:tc>
        <w:tc>
          <w:tcPr>
            <w:tcW w:w="0" w:type="dxa"/>
            <w:vAlign w:val="bottom"/>
          </w:tcPr>
          <w:p>
            <w:pPr>
              <w:spacing w:after="0"/>
              <w:rPr>
                <w:sz w:val="1"/>
                <w:szCs w:val="1"/>
                <w:color w:val="auto"/>
              </w:rPr>
            </w:pPr>
          </w:p>
        </w:tc>
      </w:tr>
      <w:tr>
        <w:trPr>
          <w:trHeight w:val="156"/>
        </w:trPr>
        <w:tc>
          <w:tcPr>
            <w:tcW w:w="1160" w:type="dxa"/>
            <w:vAlign w:val="bottom"/>
            <w:tcBorders>
              <w:bottom w:val="single" w:sz="8" w:color="DCDDDE"/>
            </w:tcBorders>
          </w:tcPr>
          <w:p>
            <w:pPr>
              <w:ind w:left="60"/>
              <w:spacing w:after="0" w:line="155" w:lineRule="exact"/>
              <w:rPr>
                <w:sz w:val="20"/>
                <w:szCs w:val="20"/>
                <w:color w:val="auto"/>
              </w:rPr>
            </w:pPr>
            <w:r>
              <w:rPr>
                <w:rFonts w:ascii="Arial" w:cs="Arial" w:eastAsia="Arial" w:hAnsi="Arial"/>
                <w:sz w:val="11"/>
                <w:szCs w:val="11"/>
                <w:color w:val="auto"/>
              </w:rPr>
              <w:t>Retirement</w:t>
            </w:r>
            <w:r>
              <w:rPr>
                <w:rFonts w:ascii="Arial" w:cs="Arial" w:eastAsia="Arial" w:hAnsi="Arial"/>
                <w:sz w:val="14"/>
                <w:szCs w:val="14"/>
                <w:color w:val="auto"/>
                <w:vertAlign w:val="superscript"/>
              </w:rPr>
              <w:t>(5)</w:t>
            </w:r>
          </w:p>
        </w:tc>
        <w:tc>
          <w:tcPr>
            <w:tcW w:w="104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CDDDE"/>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CDDDE"/>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DCDDDE"/>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DCDDDE"/>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Change in Control</w:t>
            </w:r>
            <w:r>
              <w:rPr>
                <w:rFonts w:ascii="Arial" w:cs="Arial" w:eastAsia="Arial" w:hAnsi="Arial"/>
                <w:sz w:val="14"/>
                <w:szCs w:val="14"/>
                <w:color w:val="auto"/>
                <w:vertAlign w:val="superscript"/>
              </w:rPr>
              <w:t>(6)</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1380" w:right="1220" w:hanging="201"/>
        <w:spacing w:after="0" w:line="218" w:lineRule="auto"/>
        <w:tabs>
          <w:tab w:leader="none" w:pos="1380" w:val="left"/>
        </w:tabs>
        <w:numPr>
          <w:ilvl w:val="0"/>
          <w:numId w:val="8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Based on the closing market price of a share of our Class A common stock as of December 31, 2025 ($29.89), minus, in the case of stock options, the exercise price. PSUs and the Performance Option granted to Mr. Cavanagh are based on the target vesting.</w:t>
      </w:r>
    </w:p>
    <w:p>
      <w:pPr>
        <w:spacing w:after="0" w:line="17" w:lineRule="exact"/>
        <w:rPr>
          <w:rFonts w:ascii="Times New Roman" w:cs="Times New Roman" w:eastAsia="Times New Roman" w:hAnsi="Times New Roman"/>
          <w:sz w:val="20"/>
          <w:szCs w:val="20"/>
          <w:color w:val="auto"/>
          <w:vertAlign w:val="superscript"/>
        </w:rPr>
      </w:pPr>
    </w:p>
    <w:p>
      <w:pPr>
        <w:ind w:left="1380" w:right="1200" w:hanging="201"/>
        <w:spacing w:after="0" w:line="222" w:lineRule="auto"/>
        <w:tabs>
          <w:tab w:leader="none" w:pos="1380" w:val="left"/>
        </w:tabs>
        <w:numPr>
          <w:ilvl w:val="0"/>
          <w:numId w:val="8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Mr. Roberts’ termination without cause or with good reason would entitle him to (i) payment of his base salary on a monthly basis for three years after the termination date, (ii) payment of his annual cash bonus (appropriately prorated for partial calendar years), assuming full (i.e., 100%) achievement of performance goals, on an annual basis for three years and (iii) vesting of his unvested stock options and stock units in accordance with their terms as if his employment had continued. Mr. Roberts’ receipt of the payments and benefits is subject to his execution of our standard agreement containing certain mutual releases. Mr. Roberts is also entitled to receive a prorated annual cash bonus for the year of his termination, assuming full (i.e., 100%) achievement of the performance goals, and to continued health and welfare benefits for three years after the termination date.</w:t>
      </w:r>
    </w:p>
    <w:p>
      <w:pPr>
        <w:spacing w:after="0" w:line="20" w:lineRule="exact"/>
        <w:rPr>
          <w:rFonts w:ascii="Times New Roman" w:cs="Times New Roman" w:eastAsia="Times New Roman" w:hAnsi="Times New Roman"/>
          <w:sz w:val="20"/>
          <w:szCs w:val="20"/>
          <w:color w:val="auto"/>
          <w:vertAlign w:val="superscript"/>
        </w:rPr>
      </w:pPr>
    </w:p>
    <w:p>
      <w:pPr>
        <w:ind w:left="1380" w:right="1360" w:hanging="201"/>
        <w:spacing w:after="0" w:line="220" w:lineRule="auto"/>
        <w:tabs>
          <w:tab w:leader="none" w:pos="1380" w:val="left"/>
        </w:tabs>
        <w:numPr>
          <w:ilvl w:val="0"/>
          <w:numId w:val="8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Upon Mr. Roberts’ death, his unvested stock options and stock units will vest in full and his options will remain exercisable for the remainder of their terms. His spouse or his or her estate will receive payment of his annual cash bonus, prorated to reflect the number of days he was employed during the year of his death (assuming full (i.e., 100%) achievement of the performance goals), and his spouse will receive health and welfare benefits during her lifetime.</w:t>
      </w:r>
    </w:p>
    <w:p>
      <w:pPr>
        <w:spacing w:after="0" w:line="16" w:lineRule="exact"/>
        <w:rPr>
          <w:rFonts w:ascii="Times New Roman" w:cs="Times New Roman" w:eastAsia="Times New Roman" w:hAnsi="Times New Roman"/>
          <w:sz w:val="20"/>
          <w:szCs w:val="20"/>
          <w:color w:val="auto"/>
          <w:vertAlign w:val="superscript"/>
        </w:rPr>
      </w:pPr>
    </w:p>
    <w:p>
      <w:pPr>
        <w:ind w:left="1380" w:right="1300" w:hanging="201"/>
        <w:spacing w:after="0" w:line="222" w:lineRule="auto"/>
        <w:tabs>
          <w:tab w:leader="none" w:pos="1380" w:val="left"/>
        </w:tabs>
        <w:numPr>
          <w:ilvl w:val="0"/>
          <w:numId w:val="8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If Mr. Roberts’ employment is terminated by reason of his disability, we must continue to pay his base salary on a monthly basis for three years, his annual cash bonus (appropriately prorated for partial calendar years), assuming full (i.e., 100%) achievement of performance goals, on an annual basis for three years, and his unvested stock options and stock units will vest in full and his options will remain exercisable for the remainder of their term. In the event of Mr. Roberts’ death prior to the end of such three-year period, no remaining payments will be made. Mr. Roberts is also entitled to receive a prorated annual cash bonus for the year of his termination, assuming full (i.e., 100%) achievement of the performance goals.</w:t>
      </w:r>
    </w:p>
    <w:p>
      <w:pPr>
        <w:spacing w:after="0" w:line="17" w:lineRule="exact"/>
        <w:rPr>
          <w:rFonts w:ascii="Times New Roman" w:cs="Times New Roman" w:eastAsia="Times New Roman" w:hAnsi="Times New Roman"/>
          <w:sz w:val="20"/>
          <w:szCs w:val="20"/>
          <w:color w:val="auto"/>
          <w:vertAlign w:val="superscript"/>
        </w:rPr>
      </w:pPr>
    </w:p>
    <w:p>
      <w:pPr>
        <w:ind w:left="1380" w:right="1180" w:hanging="201"/>
        <w:spacing w:after="0" w:line="223" w:lineRule="auto"/>
        <w:tabs>
          <w:tab w:leader="none" w:pos="1380" w:val="left"/>
        </w:tabs>
        <w:numPr>
          <w:ilvl w:val="0"/>
          <w:numId w:val="8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Certain senior executives, including our NEOs, are entitled to continued vesting on retirement. For stock options granted before 2021 to Messrs. Roberts, Cavanagh and Reid, and before 2023 to Mr. Armstrong and Ms. Khoury, NEOs who reach the age of 62 are entitled to the continued vesting and exercisability of options following termination for (a) 36 and 39 months, respectively, with 10 years of service, (b) 60 and 63 months, respectively, with 15 years of service and (c) 114 and 117 months, respectively, with 20 years of service, provided that no option will be exercisable after the 10th anniversary of the date of grant. For stock units granted before 2023 to Mr. Armstrong and Ms. Khoury, NEOs who reach the age of 62 are entitled to the continued vesting of stock units following termination for (x) 36 months with 10 years of service, (y) 48 months with 15 years of service and (z) 60 months with 20 years of service. For stock option and stock unit awards granted in 2021 and subsequent years to Messrs. Roberts, Cavanagh and Reid and in 2023 and subsequent years to Mr. Armstrong and Ms. Khoury, NEOs qualify for continued vesting on retirement when the sum of the NEO’s age and completed years of service equals or exceeds 70 (provided that the NEO has reached age 62 and completed 5 years of service).</w:t>
      </w:r>
    </w:p>
    <w:p>
      <w:pPr>
        <w:spacing w:after="0" w:line="21" w:lineRule="exact"/>
        <w:rPr>
          <w:rFonts w:ascii="Times New Roman" w:cs="Times New Roman" w:eastAsia="Times New Roman" w:hAnsi="Times New Roman"/>
          <w:sz w:val="20"/>
          <w:szCs w:val="20"/>
          <w:color w:val="auto"/>
          <w:vertAlign w:val="superscript"/>
        </w:rPr>
      </w:pPr>
    </w:p>
    <w:p>
      <w:pPr>
        <w:ind w:left="1380" w:right="1220" w:hanging="201"/>
        <w:spacing w:after="0"/>
        <w:tabs>
          <w:tab w:leader="none" w:pos="1380" w:val="left"/>
        </w:tabs>
        <w:numPr>
          <w:ilvl w:val="0"/>
          <w:numId w:val="86"/>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51</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54" w:name="page55"/>
    <w:bookmarkEnd w:id="54"/>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right="399"/>
        <w:spacing w:after="0" w:line="253" w:lineRule="auto"/>
        <w:rPr>
          <w:sz w:val="20"/>
          <w:szCs w:val="20"/>
          <w:color w:val="auto"/>
        </w:rPr>
      </w:pPr>
      <w:r>
        <w:rPr>
          <w:rFonts w:ascii="Arial" w:cs="Arial" w:eastAsia="Arial" w:hAnsi="Arial"/>
          <w:sz w:val="15"/>
          <w:szCs w:val="15"/>
          <w:color w:val="auto"/>
        </w:rPr>
        <w:t>as a termination without cause and he would be entitled to the same amounts set forth in the “Without Cause/With Good Reason” category, as described in footnote (2) to this table.</w:t>
      </w:r>
    </w:p>
    <w:p>
      <w:pPr>
        <w:spacing w:after="0" w:line="1" w:lineRule="exact"/>
        <w:rPr>
          <w:sz w:val="20"/>
          <w:szCs w:val="20"/>
          <w:color w:val="auto"/>
        </w:rPr>
      </w:pPr>
    </w:p>
    <w:p>
      <w:pPr>
        <w:ind w:left="520" w:right="359" w:hanging="201"/>
        <w:spacing w:after="0" w:line="223" w:lineRule="auto"/>
        <w:tabs>
          <w:tab w:leader="none" w:pos="520" w:val="left"/>
        </w:tabs>
        <w:numPr>
          <w:ilvl w:val="0"/>
          <w:numId w:val="87"/>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If we terminate such executive’s employment without cause or the executive terminates with good reason, they will receive their then-current base salary for a period of 24 months, and they are entitled to receive continued health benefits for a period of 18 months. If the executive becomes reemployed, these payments will be reduced by the amount of any compensation earned or received by the executive in respect of such period and we will stop providing health and welfare benefits. Such executive will receive the full (non-prorated) amount of the current year’s annual cash bonus (based on actual company performance and assuming full (i.e., 100%) achievement of personal performance goals) and the following year’s target annual cash bonus (prorated for time employed during the year of termination, based on actual company performance and assuming full (i.e., 100%) achievement of personal performance goals). Stock options and stock units will continue to vest in accordance with their respective terms for 12 months following termination, and vested stock options will remain exercisable for a period equal to the lesser of 15 months or the end of the stock options’ term. Mr. Roberts, who is over the age of 62, is entitled to receive retirement-related compensation as set forth in footnote (5) to this table. The executives’ receipt of the payments and benefits described above are subject to execution of our standard agreement containing certain mutual releases.</w:t>
      </w:r>
    </w:p>
    <w:p>
      <w:pPr>
        <w:spacing w:after="0" w:line="9" w:lineRule="exact"/>
        <w:rPr>
          <w:rFonts w:ascii="Times New Roman" w:cs="Times New Roman" w:eastAsia="Times New Roman" w:hAnsi="Times New Roman"/>
          <w:sz w:val="20"/>
          <w:szCs w:val="20"/>
          <w:color w:val="auto"/>
          <w:vertAlign w:val="superscript"/>
        </w:rPr>
      </w:pPr>
    </w:p>
    <w:p>
      <w:pPr>
        <w:ind w:left="520" w:right="359" w:hanging="201"/>
        <w:spacing w:after="0" w:line="220" w:lineRule="auto"/>
        <w:tabs>
          <w:tab w:leader="none" w:pos="520" w:val="left"/>
        </w:tabs>
        <w:numPr>
          <w:ilvl w:val="0"/>
          <w:numId w:val="87"/>
        </w:numPr>
        <w:rPr>
          <w:rFonts w:ascii="Times New Roman" w:cs="Times New Roman" w:eastAsia="Times New Roman" w:hAnsi="Times New Roman"/>
          <w:sz w:val="20"/>
          <w:szCs w:val="20"/>
          <w:color w:val="auto"/>
          <w:vertAlign w:val="superscript"/>
        </w:rPr>
      </w:pPr>
      <w:r>
        <w:rPr>
          <w:rFonts w:ascii="Arial" w:cs="Arial" w:eastAsia="Arial" w:hAnsi="Arial"/>
          <w:sz w:val="15"/>
          <w:szCs w:val="15"/>
          <w:color w:val="auto"/>
        </w:rPr>
        <w:t>If such executive’s employment terminates due to his or her death or disability, the executive or his or her estate will receive three months of base salary and payment of annual cash bonus, prorated for time employed during the year of such termination (assuming full achievement of performance goals), and stock options and stock units will fully vest, with stock options remaining exercisable for the remainder of their terms.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25"/>
          <w:szCs w:val="25"/>
          <w:color w:val="auto"/>
        </w:rPr>
        <w:t>Equity Compensation Plan Information</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equity plan information as of December 31, 2025.</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FOR FUTURE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ISSUANCE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 TO</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AVERAGE</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UNDER EQUITY</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BE ISSUED UPON</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EXERCISE PRICE</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EXERCISE OF</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OF OUTSTANDING</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OPTIONS,</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EXCLUDING</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196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auto"/>
              </w:rPr>
              <w:t>OPTIONS,</w:t>
            </w:r>
          </w:p>
        </w:tc>
        <w:tc>
          <w:tcPr>
            <w:tcW w:w="184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auto"/>
              </w:rPr>
              <w:t>WARRANTS</w:t>
            </w:r>
          </w:p>
        </w:tc>
        <w:tc>
          <w:tcPr>
            <w:tcW w:w="164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WARRANTS</w:t>
            </w:r>
          </w:p>
        </w:tc>
        <w:tc>
          <w:tcPr>
            <w:tcW w:w="1840" w:type="dxa"/>
            <w:vAlign w:val="bottom"/>
          </w:tcPr>
          <w:p>
            <w:pPr>
              <w:jc w:val="right"/>
              <w:ind w:right="159"/>
              <w:spacing w:after="0" w:line="189" w:lineRule="exact"/>
              <w:rPr>
                <w:sz w:val="20"/>
                <w:szCs w:val="20"/>
                <w:color w:val="auto"/>
              </w:rPr>
            </w:pPr>
            <w:r>
              <w:rPr>
                <w:rFonts w:ascii="Arial" w:cs="Arial" w:eastAsia="Arial" w:hAnsi="Arial"/>
                <w:sz w:val="16"/>
                <w:szCs w:val="16"/>
                <w:b w:val="1"/>
                <w:bCs w:val="1"/>
                <w:color w:val="auto"/>
              </w:rPr>
              <w:t>AND RIGHTS</w:t>
            </w:r>
            <w:r>
              <w:rPr>
                <w:rFonts w:ascii="Arial" w:cs="Arial" w:eastAsia="Arial" w:hAnsi="Arial"/>
                <w:sz w:val="21"/>
                <w:szCs w:val="21"/>
                <w:b w:val="1"/>
                <w:bCs w:val="1"/>
                <w:color w:val="auto"/>
                <w:vertAlign w:val="superscript"/>
              </w:rPr>
              <w:t>(2)</w:t>
            </w: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rPr>
              <w:t>REFLECTED IN</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960" w:type="dxa"/>
            <w:vAlign w:val="bottom"/>
          </w:tcPr>
          <w:p>
            <w:pPr>
              <w:jc w:val="right"/>
              <w:ind w:right="79"/>
              <w:spacing w:after="0" w:line="216" w:lineRule="exact"/>
              <w:rPr>
                <w:sz w:val="20"/>
                <w:szCs w:val="20"/>
                <w:color w:val="auto"/>
              </w:rPr>
            </w:pPr>
            <w:r>
              <w:rPr>
                <w:rFonts w:ascii="Arial" w:cs="Arial" w:eastAsia="Arial" w:hAnsi="Arial"/>
                <w:sz w:val="16"/>
                <w:szCs w:val="16"/>
                <w:b w:val="1"/>
                <w:bCs w:val="1"/>
                <w:color w:val="auto"/>
              </w:rPr>
              <w:t>AND RIGHTS</w:t>
            </w:r>
            <w:r>
              <w:rPr>
                <w:rFonts w:ascii="Arial" w:cs="Arial" w:eastAsia="Arial" w:hAnsi="Arial"/>
                <w:sz w:val="21"/>
                <w:szCs w:val="21"/>
                <w:b w:val="1"/>
                <w:bCs w:val="1"/>
                <w:color w:val="auto"/>
                <w:vertAlign w:val="superscript"/>
              </w:rPr>
              <w:t>(1)</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9"/>
              <w:spacing w:after="0" w:line="216" w:lineRule="exact"/>
              <w:rPr>
                <w:sz w:val="20"/>
                <w:szCs w:val="20"/>
                <w:color w:val="auto"/>
              </w:rPr>
            </w:pPr>
            <w:r>
              <w:rPr>
                <w:rFonts w:ascii="Arial" w:cs="Arial" w:eastAsia="Arial" w:hAnsi="Arial"/>
                <w:sz w:val="16"/>
                <w:szCs w:val="16"/>
                <w:b w:val="1"/>
                <w:bCs w:val="1"/>
                <w:color w:val="auto"/>
              </w:rPr>
              <w:t>COLUMN (A)</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PLAN CATEGORY</w:t>
            </w:r>
          </w:p>
        </w:tc>
        <w:tc>
          <w:tcPr>
            <w:tcW w:w="1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w:t>
            </w:r>
          </w:p>
        </w:tc>
        <w:tc>
          <w:tcPr>
            <w:tcW w:w="1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(b)</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182"/>
        </w:trPr>
        <w:tc>
          <w:tcPr>
            <w:tcW w:w="2900" w:type="dxa"/>
            <w:vAlign w:val="bottom"/>
          </w:tcPr>
          <w:p>
            <w:pPr>
              <w:ind w:left="80"/>
              <w:spacing w:after="0" w:line="182" w:lineRule="exact"/>
              <w:rPr>
                <w:sz w:val="20"/>
                <w:szCs w:val="20"/>
                <w:color w:val="auto"/>
              </w:rPr>
            </w:pPr>
            <w:r>
              <w:rPr>
                <w:rFonts w:ascii="Arial" w:cs="Arial" w:eastAsia="Arial" w:hAnsi="Arial"/>
                <w:sz w:val="16"/>
                <w:szCs w:val="16"/>
                <w:b w:val="1"/>
                <w:bCs w:val="1"/>
                <w:color w:val="auto"/>
              </w:rPr>
              <w:t>Equity compensation plans</w:t>
            </w:r>
          </w:p>
        </w:tc>
        <w:tc>
          <w:tcPr>
            <w:tcW w:w="1960" w:type="dxa"/>
            <w:vAlign w:val="bottom"/>
            <w:vMerge w:val="restart"/>
          </w:tcPr>
          <w:p>
            <w:pPr>
              <w:jc w:val="right"/>
              <w:ind w:right="79"/>
              <w:spacing w:after="0"/>
              <w:rPr>
                <w:sz w:val="20"/>
                <w:szCs w:val="20"/>
                <w:color w:val="auto"/>
              </w:rPr>
            </w:pPr>
            <w:r>
              <w:rPr>
                <w:rFonts w:ascii="Arial" w:cs="Arial" w:eastAsia="Arial" w:hAnsi="Arial"/>
                <w:sz w:val="16"/>
                <w:szCs w:val="16"/>
                <w:color w:val="auto"/>
              </w:rPr>
              <w:t>290,792,855</w:t>
            </w:r>
          </w:p>
        </w:tc>
        <w:tc>
          <w:tcPr>
            <w:tcW w:w="1840" w:type="dxa"/>
            <w:vAlign w:val="bottom"/>
            <w:vMerge w:val="restart"/>
          </w:tcPr>
          <w:p>
            <w:pPr>
              <w:jc w:val="right"/>
              <w:ind w:right="159"/>
              <w:spacing w:after="0"/>
              <w:rPr>
                <w:sz w:val="20"/>
                <w:szCs w:val="20"/>
                <w:color w:val="auto"/>
              </w:rPr>
            </w:pPr>
            <w:r>
              <w:rPr>
                <w:rFonts w:ascii="Arial" w:cs="Arial" w:eastAsia="Arial" w:hAnsi="Arial"/>
                <w:sz w:val="16"/>
                <w:szCs w:val="16"/>
                <w:color w:val="auto"/>
              </w:rPr>
              <w:t>42.15</w:t>
            </w:r>
          </w:p>
        </w:tc>
        <w:tc>
          <w:tcPr>
            <w:tcW w:w="1640" w:type="dxa"/>
            <w:vAlign w:val="bottom"/>
            <w:vMerge w:val="restart"/>
          </w:tcPr>
          <w:p>
            <w:pPr>
              <w:jc w:val="right"/>
              <w:ind w:right="19"/>
              <w:spacing w:after="0"/>
              <w:rPr>
                <w:sz w:val="20"/>
                <w:szCs w:val="20"/>
                <w:color w:val="auto"/>
              </w:rPr>
            </w:pPr>
            <w:r>
              <w:rPr>
                <w:rFonts w:ascii="Arial" w:cs="Arial" w:eastAsia="Arial" w:hAnsi="Arial"/>
                <w:sz w:val="16"/>
                <w:szCs w:val="16"/>
                <w:color w:val="auto"/>
              </w:rPr>
              <w:t>298,774,577</w:t>
            </w:r>
          </w:p>
        </w:tc>
        <w:tc>
          <w:tcPr>
            <w:tcW w:w="0" w:type="dxa"/>
            <w:vAlign w:val="bottom"/>
          </w:tcPr>
          <w:p>
            <w:pPr>
              <w:spacing w:after="0"/>
              <w:rPr>
                <w:sz w:val="1"/>
                <w:szCs w:val="1"/>
                <w:color w:val="auto"/>
              </w:rPr>
            </w:pPr>
          </w:p>
        </w:tc>
      </w:tr>
      <w:tr>
        <w:trPr>
          <w:trHeight w:val="120"/>
        </w:trPr>
        <w:tc>
          <w:tcPr>
            <w:tcW w:w="29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approved by security holders</w:t>
            </w:r>
          </w:p>
        </w:tc>
        <w:tc>
          <w:tcPr>
            <w:tcW w:w="19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900" w:type="dxa"/>
            <w:vAlign w:val="bottom"/>
            <w:tcBorders>
              <w:bottom w:val="single" w:sz="8" w:color="DCDDDE"/>
            </w:tcBorders>
            <w:vMerge w:val="continue"/>
          </w:tcPr>
          <w:p>
            <w:pPr>
              <w:spacing w:after="0"/>
              <w:rPr>
                <w:sz w:val="7"/>
                <w:szCs w:val="7"/>
                <w:color w:val="auto"/>
              </w:rPr>
            </w:pPr>
          </w:p>
        </w:tc>
        <w:tc>
          <w:tcPr>
            <w:tcW w:w="1960" w:type="dxa"/>
            <w:vAlign w:val="bottom"/>
            <w:tcBorders>
              <w:bottom w:val="single" w:sz="8" w:color="DCDDDE"/>
            </w:tcBorders>
          </w:tcPr>
          <w:p>
            <w:pPr>
              <w:spacing w:after="0"/>
              <w:rPr>
                <w:sz w:val="7"/>
                <w:szCs w:val="7"/>
                <w:color w:val="auto"/>
              </w:rPr>
            </w:pPr>
          </w:p>
        </w:tc>
        <w:tc>
          <w:tcPr>
            <w:tcW w:w="1840" w:type="dxa"/>
            <w:vAlign w:val="bottom"/>
            <w:tcBorders>
              <w:bottom w:val="single" w:sz="8" w:color="DCDDDE"/>
            </w:tcBorders>
          </w:tcPr>
          <w:p>
            <w:pPr>
              <w:spacing w:after="0"/>
              <w:rPr>
                <w:sz w:val="7"/>
                <w:szCs w:val="7"/>
                <w:color w:val="auto"/>
              </w:rPr>
            </w:pPr>
          </w:p>
        </w:tc>
        <w:tc>
          <w:tcPr>
            <w:tcW w:w="1640" w:type="dxa"/>
            <w:vAlign w:val="bottom"/>
            <w:tcBorders>
              <w:bottom w:val="single" w:sz="8" w:color="DCDDDE"/>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Equity compensation plans not</w:t>
            </w:r>
          </w:p>
        </w:tc>
        <w:tc>
          <w:tcPr>
            <w:tcW w:w="19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Pr>
          <w:p>
            <w:pPr>
              <w:spacing w:after="0"/>
              <w:rPr>
                <w:sz w:val="14"/>
                <w:szCs w:val="14"/>
                <w:color w:val="auto"/>
              </w:rPr>
            </w:pPr>
          </w:p>
        </w:tc>
        <w:tc>
          <w:tcPr>
            <w:tcW w:w="1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29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approved by security holders</w:t>
            </w:r>
          </w:p>
        </w:tc>
        <w:tc>
          <w:tcPr>
            <w:tcW w:w="196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900" w:type="dxa"/>
            <w:vAlign w:val="bottom"/>
            <w:tcBorders>
              <w:bottom w:val="single" w:sz="8" w:color="DCDDDE"/>
            </w:tcBorders>
            <w:vMerge w:val="continue"/>
          </w:tcPr>
          <w:p>
            <w:pPr>
              <w:spacing w:after="0"/>
              <w:rPr>
                <w:sz w:val="7"/>
                <w:szCs w:val="7"/>
                <w:color w:val="auto"/>
              </w:rPr>
            </w:pPr>
          </w:p>
        </w:tc>
        <w:tc>
          <w:tcPr>
            <w:tcW w:w="1960" w:type="dxa"/>
            <w:vAlign w:val="bottom"/>
            <w:tcBorders>
              <w:bottom w:val="single" w:sz="8" w:color="DCDDDE"/>
            </w:tcBorders>
          </w:tcPr>
          <w:p>
            <w:pPr>
              <w:spacing w:after="0"/>
              <w:rPr>
                <w:sz w:val="7"/>
                <w:szCs w:val="7"/>
                <w:color w:val="auto"/>
              </w:rPr>
            </w:pPr>
          </w:p>
        </w:tc>
        <w:tc>
          <w:tcPr>
            <w:tcW w:w="1840" w:type="dxa"/>
            <w:vAlign w:val="bottom"/>
            <w:tcBorders>
              <w:bottom w:val="single" w:sz="8" w:color="DCDDDE"/>
            </w:tcBorders>
          </w:tcPr>
          <w:p>
            <w:pPr>
              <w:spacing w:after="0"/>
              <w:rPr>
                <w:sz w:val="7"/>
                <w:szCs w:val="7"/>
                <w:color w:val="auto"/>
              </w:rPr>
            </w:pPr>
          </w:p>
        </w:tc>
        <w:tc>
          <w:tcPr>
            <w:tcW w:w="1640" w:type="dxa"/>
            <w:vAlign w:val="bottom"/>
            <w:tcBorders>
              <w:bottom w:val="single" w:sz="8" w:color="DCDDDE"/>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1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290,792,855</w:t>
            </w:r>
          </w:p>
        </w:tc>
        <w:tc>
          <w:tcPr>
            <w:tcW w:w="1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298,774,577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20" w:right="339" w:hanging="201"/>
        <w:spacing w:after="0" w:line="219" w:lineRule="auto"/>
        <w:tabs>
          <w:tab w:leader="none" w:pos="520" w:val="left"/>
        </w:tabs>
        <w:numPr>
          <w:ilvl w:val="0"/>
          <w:numId w:val="88"/>
        </w:numPr>
        <w:rPr>
          <w:rFonts w:ascii="Arial" w:cs="Arial" w:eastAsia="Arial" w:hAnsi="Arial"/>
          <w:sz w:val="20"/>
          <w:szCs w:val="20"/>
          <w:color w:val="auto"/>
          <w:vertAlign w:val="superscript"/>
        </w:rPr>
      </w:pPr>
      <w:r>
        <w:rPr>
          <w:rFonts w:ascii="Arial" w:cs="Arial" w:eastAsia="Arial" w:hAnsi="Arial"/>
          <w:sz w:val="15"/>
          <w:szCs w:val="15"/>
          <w:color w:val="auto"/>
        </w:rPr>
        <w:t>Includes shares of Class A common stock under the following plans: Comcast Corporation 2003 Stock Option Plan, Comcast Corporation 2002 Restricted Stock Plan (under which RSUs and PSUs have been granted), 2023 Omnibus Equity Incentive Plan (“2023 Omnibus Plan”), Comcast Corporation 2002 Employee Stock Purchase Plan (“2002 ESPP”), Comcast-NBCUniversal 2011 Employee Stock Purchase Plan (“2011 ESPP”) and Comcast Corporation 2019 Omnibus Sharesave Plan (“Sharesave Plan”), and reflects adjustment of outstanding awards as a result of the spin-off of Versant. Also includes our 2002 and 2005 Deferred Compensation Plans (under which shares of Class A common stock have been credited to participants’ accounts). After the 2023 Omnibus Plan was approved by shareholders at our 2023 annual meeting, the 2003 Stock Option Plan and 2002 Restricted Stock Plan were frozen and no new awards were granted under such plans.</w:t>
      </w:r>
    </w:p>
    <w:p>
      <w:pPr>
        <w:spacing w:after="0" w:line="3" w:lineRule="exact"/>
        <w:rPr>
          <w:rFonts w:ascii="Arial" w:cs="Arial" w:eastAsia="Arial" w:hAnsi="Arial"/>
          <w:sz w:val="20"/>
          <w:szCs w:val="20"/>
          <w:color w:val="auto"/>
          <w:vertAlign w:val="superscript"/>
        </w:rPr>
      </w:pPr>
    </w:p>
    <w:p>
      <w:pPr>
        <w:ind w:left="520" w:right="579" w:hanging="201"/>
        <w:spacing w:after="0" w:line="193" w:lineRule="auto"/>
        <w:tabs>
          <w:tab w:leader="none" w:pos="520" w:val="left"/>
        </w:tabs>
        <w:numPr>
          <w:ilvl w:val="0"/>
          <w:numId w:val="88"/>
        </w:numPr>
        <w:rPr>
          <w:rFonts w:ascii="Arial" w:cs="Arial" w:eastAsia="Arial" w:hAnsi="Arial"/>
          <w:sz w:val="20"/>
          <w:szCs w:val="20"/>
          <w:color w:val="auto"/>
          <w:vertAlign w:val="superscript"/>
        </w:rPr>
      </w:pPr>
      <w:r>
        <w:rPr>
          <w:rFonts w:ascii="Arial" w:cs="Arial" w:eastAsia="Arial" w:hAnsi="Arial"/>
          <w:sz w:val="15"/>
          <w:szCs w:val="15"/>
          <w:color w:val="auto"/>
        </w:rPr>
        <w:t>The weighted-average exercise price reflects stock options under our 2003 Stock Option Plan and the 2023 Omnibus Plan.</w:t>
      </w:r>
    </w:p>
    <w:p>
      <w:pPr>
        <w:ind w:left="520" w:right="379" w:hanging="201"/>
        <w:spacing w:after="0"/>
        <w:tabs>
          <w:tab w:leader="none" w:pos="520" w:val="left"/>
        </w:tabs>
        <w:numPr>
          <w:ilvl w:val="0"/>
          <w:numId w:val="88"/>
        </w:numPr>
        <w:rPr>
          <w:rFonts w:ascii="Arial" w:cs="Arial" w:eastAsia="Arial" w:hAnsi="Arial"/>
          <w:sz w:val="20"/>
          <w:szCs w:val="20"/>
          <w:color w:val="auto"/>
          <w:vertAlign w:val="superscript"/>
        </w:rPr>
      </w:pPr>
      <w:r>
        <w:rPr>
          <w:rFonts w:ascii="Arial" w:cs="Arial" w:eastAsia="Arial" w:hAnsi="Arial"/>
          <w:sz w:val="15"/>
          <w:szCs w:val="15"/>
          <w:color w:val="auto"/>
        </w:rPr>
        <w:t>The number of shares available for issuance includes the following number of shares of Class A common stock and reflects adjustment of available share pools as a result of the spin-off of Versant: 188,574,542 shares available for issuance under the 2023 Omnibus Plan; 4,601,161 shares available for issuance under the Sharesave Plan; 92,800,157 shares available for issuance under the 2002 ESPP; and 12,798,717 shares available for issuance under the 2011 ESPP.</w:t>
      </w:r>
    </w:p>
    <w:p>
      <w:pPr>
        <w:spacing w:after="0" w:line="200" w:lineRule="exact"/>
        <w:rPr>
          <w:sz w:val="20"/>
          <w:szCs w:val="20"/>
          <w:color w:val="auto"/>
        </w:rPr>
      </w:pPr>
    </w:p>
    <w:p>
      <w:pPr>
        <w:spacing w:after="0" w:line="388" w:lineRule="exact"/>
        <w:rPr>
          <w:sz w:val="20"/>
          <w:szCs w:val="20"/>
          <w:color w:val="auto"/>
        </w:rPr>
      </w:pPr>
    </w:p>
    <w:p>
      <w:pPr>
        <w:ind w:left="1000" w:hanging="674"/>
        <w:spacing w:after="0"/>
        <w:tabs>
          <w:tab w:leader="none" w:pos="100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5" w:name="page56"/>
    <w:bookmarkEnd w:id="55"/>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CEO Pay Ratio</w:t>
      </w:r>
    </w:p>
    <w:p>
      <w:pPr>
        <w:spacing w:after="0" w:line="94" w:lineRule="exact"/>
        <w:rPr>
          <w:sz w:val="20"/>
          <w:szCs w:val="20"/>
          <w:color w:val="auto"/>
        </w:rPr>
      </w:pPr>
    </w:p>
    <w:p>
      <w:pPr>
        <w:ind w:left="1180" w:right="1200"/>
        <w:spacing w:after="0" w:line="244" w:lineRule="auto"/>
        <w:rPr>
          <w:sz w:val="20"/>
          <w:szCs w:val="20"/>
          <w:color w:val="auto"/>
        </w:rPr>
      </w:pPr>
      <w:r>
        <w:rPr>
          <w:rFonts w:ascii="Arial" w:cs="Arial" w:eastAsia="Arial" w:hAnsi="Arial"/>
          <w:sz w:val="18"/>
          <w:szCs w:val="18"/>
          <w:color w:val="auto"/>
        </w:rPr>
        <w:t>We are required under SEC rules to provide a pay ratio comparing Mr. Roberts’ 2025 compensation to our median employee’s 2025 compensation (excluding Mr. Roberts). To identify the median employee, we engaged an unaffiliated third-party advisory services firm to conduct a statistical sampling of approximately 197,828 full-time, part-time, seasonal and temporary employees as of December 31, 2025 (which included approximately 64,083 non-U.S. employees) based on comparisons of base wages.</w:t>
      </w:r>
    </w:p>
    <w:p>
      <w:pPr>
        <w:spacing w:after="0" w:line="28" w:lineRule="exact"/>
        <w:rPr>
          <w:sz w:val="20"/>
          <w:szCs w:val="20"/>
          <w:color w:val="auto"/>
        </w:rPr>
      </w:pPr>
    </w:p>
    <w:p>
      <w:pPr>
        <w:ind w:left="1180" w:right="1180"/>
        <w:spacing w:after="0" w:line="238" w:lineRule="auto"/>
        <w:rPr>
          <w:sz w:val="20"/>
          <w:szCs w:val="20"/>
          <w:color w:val="auto"/>
        </w:rPr>
      </w:pPr>
      <w:r>
        <w:rPr>
          <w:rFonts w:ascii="Arial" w:cs="Arial" w:eastAsia="Arial" w:hAnsi="Arial"/>
          <w:sz w:val="18"/>
          <w:szCs w:val="18"/>
          <w:color w:val="auto"/>
        </w:rPr>
        <w:t>All of our part-time, seasonal and temporary employees as of December 31, 2025,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spacing w:after="0" w:line="37" w:lineRule="exact"/>
        <w:rPr>
          <w:sz w:val="20"/>
          <w:szCs w:val="20"/>
          <w:color w:val="auto"/>
        </w:rPr>
      </w:pPr>
    </w:p>
    <w:p>
      <w:pPr>
        <w:ind w:left="1180" w:right="1260"/>
        <w:spacing w:after="0"/>
        <w:rPr>
          <w:sz w:val="20"/>
          <w:szCs w:val="20"/>
          <w:color w:val="auto"/>
        </w:rPr>
      </w:pPr>
      <w:r>
        <w:rPr>
          <w:rFonts w:ascii="Arial" w:cs="Arial" w:eastAsia="Arial" w:hAnsi="Arial"/>
          <w:sz w:val="18"/>
          <w:szCs w:val="18"/>
          <w:color w:val="auto"/>
        </w:rPr>
        <w:t>We have estimated that our pay ratio for 2025 is 381 to 1, calculated by dividing Mr. Roberts’ 2025 total compensation set forth in the Summary Compensation Table, adjusted as described below, by $92,390,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Comcast of specified employee benefits provided on a non-discriminatory basis.</w:t>
      </w:r>
    </w:p>
    <w:p>
      <w:pPr>
        <w:spacing w:after="0" w:line="50" w:lineRule="exact"/>
        <w:rPr>
          <w:sz w:val="20"/>
          <w:szCs w:val="20"/>
          <w:color w:val="auto"/>
        </w:rPr>
      </w:pPr>
    </w:p>
    <w:p>
      <w:pPr>
        <w:jc w:val="both"/>
        <w:ind w:left="1180" w:right="1260"/>
        <w:spacing w:after="0" w:line="253" w:lineRule="auto"/>
        <w:rPr>
          <w:sz w:val="20"/>
          <w:szCs w:val="20"/>
          <w:color w:val="auto"/>
        </w:rPr>
      </w:pPr>
      <w:r>
        <w:rPr>
          <w:rFonts w:ascii="Arial" w:cs="Arial" w:eastAsia="Arial" w:hAnsi="Arial"/>
          <w:sz w:val="18"/>
          <w:szCs w:val="18"/>
          <w:color w:val="auto"/>
        </w:rPr>
        <w:t>As permitted under SEC rules, we adjusted our total employee population for purposes of identifying our median employee by excluding approximately 4.2% of our employee population as follows (all amounts are approximate): 7,340 in India; 643 in Ireland; 244 in Mexico; 86 in Canada; and 54 in Brazil.</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25"/>
          <w:szCs w:val="25"/>
          <w:color w:val="auto"/>
        </w:rPr>
        <w:t>Pay Versus Performance</w:t>
      </w:r>
    </w:p>
    <w:p>
      <w:pPr>
        <w:spacing w:after="0" w:line="81" w:lineRule="exact"/>
        <w:rPr>
          <w:sz w:val="20"/>
          <w:szCs w:val="20"/>
          <w:color w:val="auto"/>
        </w:rPr>
      </w:pPr>
    </w:p>
    <w:p>
      <w:pPr>
        <w:ind w:left="1180" w:right="1260"/>
        <w:spacing w:after="0" w:line="244" w:lineRule="auto"/>
        <w:rPr>
          <w:sz w:val="20"/>
          <w:szCs w:val="20"/>
          <w:color w:val="auto"/>
        </w:rPr>
      </w:pPr>
      <w:r>
        <w:rPr>
          <w:rFonts w:ascii="Arial" w:cs="Arial" w:eastAsia="Arial" w:hAnsi="Arial"/>
          <w:sz w:val="18"/>
          <w:szCs w:val="18"/>
          <w:color w:val="auto"/>
        </w:rPr>
        <w:t>The table below provides information on the compensation for our CEO and the average compensation for our other NEOs, both as reported in the Summary Compensation Table and with certain adjustments to reflect the compensation “actually paid” to such individuals, as defined under SEC rules, for each of 2025, 2024, 2023, 2022 and 2021. The table also provides information on our cumulative TSR, the cumulative TSR of our peer group, Net Income and Adjusted EBITDA.</w:t>
      </w:r>
    </w:p>
    <w:p>
      <w:pPr>
        <w:spacing w:after="0" w:line="82"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AVERAGE</w:t>
            </w:r>
          </w:p>
        </w:tc>
        <w:tc>
          <w:tcPr>
            <w:tcW w:w="960" w:type="dxa"/>
            <w:vAlign w:val="bottom"/>
          </w:tcPr>
          <w:p>
            <w:pPr>
              <w:spacing w:after="0"/>
              <w:rPr>
                <w:sz w:val="10"/>
                <w:szCs w:val="10"/>
                <w:color w:val="auto"/>
              </w:rPr>
            </w:pPr>
          </w:p>
        </w:tc>
        <w:tc>
          <w:tcPr>
            <w:tcW w:w="190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VALUE OF INITIAL FIXED $100</w:t>
            </w: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5"/>
        </w:trPr>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SUMMARY</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AVERAGE</w:t>
            </w:r>
          </w:p>
        </w:tc>
        <w:tc>
          <w:tcPr>
            <w:tcW w:w="1900" w:type="dxa"/>
            <w:vAlign w:val="bottom"/>
            <w:tcBorders>
              <w:bottom w:val="single" w:sz="8" w:color="auto"/>
            </w:tcBorders>
            <w:gridSpan w:val="2"/>
          </w:tcPr>
          <w:p>
            <w:pPr>
              <w:jc w:val="right"/>
              <w:ind w:right="246"/>
              <w:spacing w:after="0"/>
              <w:rPr>
                <w:sz w:val="20"/>
                <w:szCs w:val="20"/>
                <w:color w:val="auto"/>
              </w:rPr>
            </w:pPr>
            <w:r>
              <w:rPr>
                <w:rFonts w:ascii="Arial" w:cs="Arial" w:eastAsia="Arial" w:hAnsi="Arial"/>
                <w:sz w:val="11"/>
                <w:szCs w:val="11"/>
                <w:b w:val="1"/>
                <w:bCs w:val="1"/>
                <w:color w:val="auto"/>
              </w:rPr>
              <w:t>INVESTMENT BASED ON:</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02"/>
        </w:trPr>
        <w:tc>
          <w:tcPr>
            <w:tcW w:w="520" w:type="dxa"/>
            <w:vAlign w:val="bottom"/>
          </w:tcPr>
          <w:p>
            <w:pPr>
              <w:spacing w:after="0"/>
              <w:rPr>
                <w:sz w:val="8"/>
                <w:szCs w:val="8"/>
                <w:color w:val="auto"/>
              </w:rPr>
            </w:pPr>
          </w:p>
        </w:tc>
        <w:tc>
          <w:tcPr>
            <w:tcW w:w="110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rPr>
              <w:t>SUMMARY</w:t>
            </w:r>
          </w:p>
        </w:tc>
        <w:tc>
          <w:tcPr>
            <w:tcW w:w="1000" w:type="dxa"/>
            <w:vAlign w:val="bottom"/>
          </w:tcPr>
          <w:p>
            <w:pPr>
              <w:spacing w:after="0"/>
              <w:rPr>
                <w:sz w:val="8"/>
                <w:szCs w:val="8"/>
                <w:color w:val="auto"/>
              </w:rPr>
            </w:pPr>
          </w:p>
        </w:tc>
        <w:tc>
          <w:tcPr>
            <w:tcW w:w="9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COMPENSATION</w:t>
            </w:r>
          </w:p>
        </w:tc>
        <w:tc>
          <w:tcPr>
            <w:tcW w:w="9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COMPENSATION</w:t>
            </w:r>
          </w:p>
        </w:tc>
        <w:tc>
          <w:tcPr>
            <w:tcW w:w="980" w:type="dxa"/>
            <w:vAlign w:val="bottom"/>
          </w:tcPr>
          <w:p>
            <w:pPr>
              <w:spacing w:after="0"/>
              <w:rPr>
                <w:sz w:val="8"/>
                <w:szCs w:val="8"/>
                <w:color w:val="auto"/>
              </w:rPr>
            </w:pPr>
          </w:p>
        </w:tc>
        <w:tc>
          <w:tcPr>
            <w:tcW w:w="9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PEER</w:t>
            </w: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22"/>
        </w:trPr>
        <w:tc>
          <w:tcPr>
            <w:tcW w:w="520" w:type="dxa"/>
            <w:vAlign w:val="bottom"/>
          </w:tcPr>
          <w:p>
            <w:pPr>
              <w:spacing w:after="0"/>
              <w:rPr>
                <w:sz w:val="10"/>
                <w:szCs w:val="10"/>
                <w:color w:val="auto"/>
              </w:rPr>
            </w:pPr>
          </w:p>
        </w:tc>
        <w:tc>
          <w:tcPr>
            <w:tcW w:w="11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COMPENSATION</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COMPENSATION</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TABLE TOTAL</w:t>
            </w:r>
          </w:p>
        </w:tc>
        <w:tc>
          <w:tcPr>
            <w:tcW w:w="9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ACTUALLY PAID</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TOTAL</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GROUP TOTAL</w:t>
            </w:r>
          </w:p>
        </w:tc>
        <w:tc>
          <w:tcPr>
            <w:tcW w:w="104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ADJUSTED</w:t>
            </w:r>
          </w:p>
        </w:tc>
      </w:tr>
      <w:tr>
        <w:trPr>
          <w:trHeight w:val="108"/>
        </w:trPr>
        <w:tc>
          <w:tcPr>
            <w:tcW w:w="520" w:type="dxa"/>
            <w:vAlign w:val="bottom"/>
          </w:tcPr>
          <w:p>
            <w:pPr>
              <w:spacing w:after="0"/>
              <w:rPr>
                <w:sz w:val="9"/>
                <w:szCs w:val="9"/>
                <w:color w:val="auto"/>
              </w:rPr>
            </w:pPr>
          </w:p>
        </w:tc>
        <w:tc>
          <w:tcPr>
            <w:tcW w:w="1100" w:type="dxa"/>
            <w:vAlign w:val="bottom"/>
          </w:tcPr>
          <w:p>
            <w:pPr>
              <w:jc w:val="right"/>
              <w:ind w:right="6"/>
              <w:spacing w:after="0" w:line="108" w:lineRule="exact"/>
              <w:rPr>
                <w:sz w:val="20"/>
                <w:szCs w:val="20"/>
                <w:color w:val="auto"/>
              </w:rPr>
            </w:pPr>
            <w:r>
              <w:rPr>
                <w:rFonts w:ascii="Arial" w:cs="Arial" w:eastAsia="Arial" w:hAnsi="Arial"/>
                <w:sz w:val="11"/>
                <w:szCs w:val="11"/>
                <w:b w:val="1"/>
                <w:bCs w:val="1"/>
                <w:color w:val="auto"/>
              </w:rPr>
              <w:t>TABLE TOTAL</w:t>
            </w:r>
          </w:p>
        </w:tc>
        <w:tc>
          <w:tcPr>
            <w:tcW w:w="1000" w:type="dxa"/>
            <w:vAlign w:val="bottom"/>
          </w:tcPr>
          <w:p>
            <w:pPr>
              <w:jc w:val="right"/>
              <w:ind w:right="6"/>
              <w:spacing w:after="0" w:line="108" w:lineRule="exact"/>
              <w:rPr>
                <w:sz w:val="20"/>
                <w:szCs w:val="20"/>
                <w:color w:val="auto"/>
              </w:rPr>
            </w:pPr>
            <w:r>
              <w:rPr>
                <w:rFonts w:ascii="Arial" w:cs="Arial" w:eastAsia="Arial" w:hAnsi="Arial"/>
                <w:sz w:val="11"/>
                <w:szCs w:val="11"/>
                <w:b w:val="1"/>
                <w:bCs w:val="1"/>
                <w:color w:val="auto"/>
              </w:rPr>
              <w:t>ACTUALLY PAID</w:t>
            </w:r>
          </w:p>
        </w:tc>
        <w:tc>
          <w:tcPr>
            <w:tcW w:w="98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FOR NON-PEO</w:t>
            </w:r>
          </w:p>
        </w:tc>
        <w:tc>
          <w:tcPr>
            <w:tcW w:w="9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TO NON-PEO</w:t>
            </w:r>
          </w:p>
        </w:tc>
        <w:tc>
          <w:tcPr>
            <w:tcW w:w="98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SHAREHOLDER</w:t>
            </w:r>
          </w:p>
        </w:tc>
        <w:tc>
          <w:tcPr>
            <w:tcW w:w="92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SHAREHOLDER</w:t>
            </w:r>
          </w:p>
        </w:tc>
        <w:tc>
          <w:tcPr>
            <w:tcW w:w="1040" w:type="dxa"/>
            <w:vAlign w:val="bottom"/>
          </w:tcPr>
          <w:p>
            <w:pPr>
              <w:jc w:val="right"/>
              <w:ind w:right="86"/>
              <w:spacing w:after="0" w:line="108" w:lineRule="exact"/>
              <w:rPr>
                <w:sz w:val="20"/>
                <w:szCs w:val="20"/>
                <w:color w:val="auto"/>
              </w:rPr>
            </w:pPr>
            <w:r>
              <w:rPr>
                <w:rFonts w:ascii="Arial" w:cs="Arial" w:eastAsia="Arial" w:hAnsi="Arial"/>
                <w:sz w:val="11"/>
                <w:szCs w:val="11"/>
                <w:b w:val="1"/>
                <w:bCs w:val="1"/>
                <w:color w:val="auto"/>
              </w:rPr>
              <w:t>NET INCOME</w:t>
            </w:r>
          </w:p>
        </w:tc>
        <w:tc>
          <w:tcPr>
            <w:tcW w:w="84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EBITDA*</w:t>
            </w:r>
          </w:p>
        </w:tc>
      </w:tr>
      <w:tr>
        <w:trPr>
          <w:trHeight w:val="122"/>
        </w:trPr>
        <w:tc>
          <w:tcPr>
            <w:tcW w:w="520" w:type="dxa"/>
            <w:vAlign w:val="bottom"/>
          </w:tcPr>
          <w:p>
            <w:pPr>
              <w:spacing w:after="0"/>
              <w:rPr>
                <w:sz w:val="10"/>
                <w:szCs w:val="10"/>
                <w:color w:val="auto"/>
              </w:rPr>
            </w:pPr>
          </w:p>
        </w:tc>
        <w:tc>
          <w:tcPr>
            <w:tcW w:w="11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FOR PEO</w:t>
            </w:r>
            <w:r>
              <w:rPr>
                <w:rFonts w:ascii="Arial" w:cs="Arial" w:eastAsia="Arial" w:hAnsi="Arial"/>
                <w:sz w:val="14"/>
                <w:szCs w:val="14"/>
                <w:b w:val="1"/>
                <w:bCs w:val="1"/>
                <w:color w:val="auto"/>
                <w:vertAlign w:val="superscript"/>
              </w:rPr>
              <w:t>(1)</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TO PEO</w:t>
            </w:r>
            <w:r>
              <w:rPr>
                <w:rFonts w:ascii="Arial" w:cs="Arial" w:eastAsia="Arial" w:hAnsi="Arial"/>
                <w:sz w:val="14"/>
                <w:szCs w:val="14"/>
                <w:b w:val="1"/>
                <w:bCs w:val="1"/>
                <w:color w:val="auto"/>
                <w:vertAlign w:val="superscript"/>
              </w:rPr>
              <w:t>(2)</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NEOs</w:t>
            </w:r>
            <w:r>
              <w:rPr>
                <w:rFonts w:ascii="Arial" w:cs="Arial" w:eastAsia="Arial" w:hAnsi="Arial"/>
                <w:sz w:val="14"/>
                <w:szCs w:val="14"/>
                <w:b w:val="1"/>
                <w:bCs w:val="1"/>
                <w:color w:val="auto"/>
                <w:vertAlign w:val="superscript"/>
              </w:rPr>
              <w:t>(1)</w:t>
            </w:r>
          </w:p>
        </w:tc>
        <w:tc>
          <w:tcPr>
            <w:tcW w:w="9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NEOs</w:t>
            </w:r>
            <w:r>
              <w:rPr>
                <w:rFonts w:ascii="Arial" w:cs="Arial" w:eastAsia="Arial" w:hAnsi="Arial"/>
                <w:sz w:val="14"/>
                <w:szCs w:val="14"/>
                <w:b w:val="1"/>
                <w:bCs w:val="1"/>
                <w:color w:val="auto"/>
                <w:vertAlign w:val="superscript"/>
              </w:rPr>
              <w:t>(2)</w:t>
            </w:r>
          </w:p>
        </w:tc>
        <w:tc>
          <w:tcPr>
            <w:tcW w:w="9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4"/>
                <w:szCs w:val="14"/>
                <w:b w:val="1"/>
                <w:bCs w:val="1"/>
                <w:color w:val="auto"/>
                <w:vertAlign w:val="superscript"/>
              </w:rPr>
              <w:t>(3)(5)</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4"/>
                <w:szCs w:val="14"/>
                <w:b w:val="1"/>
                <w:bCs w:val="1"/>
                <w:color w:val="auto"/>
                <w:vertAlign w:val="superscript"/>
              </w:rPr>
              <w:t>(3)(5)</w:t>
            </w:r>
          </w:p>
        </w:tc>
        <w:tc>
          <w:tcPr>
            <w:tcW w:w="10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 IN</w:t>
            </w: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 IN</w:t>
            </w:r>
          </w:p>
        </w:tc>
      </w:tr>
      <w:tr>
        <w:trPr>
          <w:trHeight w:val="135"/>
        </w:trPr>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YEAR</w:t>
            </w:r>
          </w:p>
        </w:tc>
        <w:tc>
          <w:tcPr>
            <w:tcW w:w="110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66"/>
              <w:spacing w:after="0" w:line="135" w:lineRule="exact"/>
              <w:rPr>
                <w:sz w:val="20"/>
                <w:szCs w:val="20"/>
                <w:color w:val="auto"/>
              </w:rPr>
            </w:pPr>
            <w:r>
              <w:rPr>
                <w:rFonts w:ascii="Arial" w:cs="Arial" w:eastAsia="Arial" w:hAnsi="Arial"/>
                <w:sz w:val="11"/>
                <w:szCs w:val="11"/>
                <w:b w:val="1"/>
                <w:bCs w:val="1"/>
                <w:color w:val="auto"/>
              </w:rPr>
              <w:t>BILLIONS)</w:t>
            </w:r>
            <w:r>
              <w:rPr>
                <w:rFonts w:ascii="Arial" w:cs="Arial" w:eastAsia="Arial" w:hAnsi="Arial"/>
                <w:sz w:val="14"/>
                <w:szCs w:val="14"/>
                <w:b w:val="1"/>
                <w:bCs w:val="1"/>
                <w:color w:val="auto"/>
                <w:vertAlign w:val="superscript"/>
              </w:rPr>
              <w:t>(4)(5)</w:t>
            </w:r>
          </w:p>
        </w:tc>
        <w:tc>
          <w:tcPr>
            <w:tcW w:w="840" w:type="dxa"/>
            <w:vAlign w:val="bottom"/>
          </w:tcPr>
          <w:p>
            <w:pPr>
              <w:jc w:val="right"/>
              <w:spacing w:after="0" w:line="135" w:lineRule="exact"/>
              <w:rPr>
                <w:sz w:val="20"/>
                <w:szCs w:val="20"/>
                <w:color w:val="auto"/>
              </w:rPr>
            </w:pPr>
            <w:r>
              <w:rPr>
                <w:rFonts w:ascii="Arial" w:cs="Arial" w:eastAsia="Arial" w:hAnsi="Arial"/>
                <w:sz w:val="11"/>
                <w:szCs w:val="11"/>
                <w:b w:val="1"/>
                <w:bCs w:val="1"/>
                <w:color w:val="auto"/>
              </w:rPr>
              <w:t>BILLIONS)</w:t>
            </w:r>
            <w:r>
              <w:rPr>
                <w:rFonts w:ascii="Arial" w:cs="Arial" w:eastAsia="Arial" w:hAnsi="Arial"/>
                <w:sz w:val="14"/>
                <w:szCs w:val="14"/>
                <w:b w:val="1"/>
                <w:bCs w:val="1"/>
                <w:color w:val="auto"/>
                <w:vertAlign w:val="superscript"/>
              </w:rPr>
              <w:t>(5)(6)</w:t>
            </w:r>
          </w:p>
        </w:tc>
      </w:tr>
      <w:tr>
        <w:trPr>
          <w:trHeight w:val="148"/>
        </w:trPr>
        <w:tc>
          <w:tcPr>
            <w:tcW w:w="5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(b)</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w:t>
            </w: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(h)</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w:t>
            </w:r>
          </w:p>
        </w:tc>
      </w:tr>
      <w:tr>
        <w:trPr>
          <w:trHeight w:val="129"/>
        </w:trPr>
        <w:tc>
          <w:tcPr>
            <w:tcW w:w="520" w:type="dxa"/>
            <w:vAlign w:val="bottom"/>
            <w:tcBorders>
              <w:bottom w:val="single" w:sz="8" w:color="E7E6E6"/>
            </w:tcBorders>
          </w:tcPr>
          <w:p>
            <w:pPr>
              <w:ind w:left="60"/>
              <w:spacing w:after="0"/>
              <w:rPr>
                <w:sz w:val="20"/>
                <w:szCs w:val="20"/>
                <w:color w:val="auto"/>
              </w:rPr>
            </w:pPr>
            <w:r>
              <w:rPr>
                <w:rFonts w:ascii="Arial" w:cs="Arial" w:eastAsia="Arial" w:hAnsi="Arial"/>
                <w:sz w:val="11"/>
                <w:szCs w:val="11"/>
                <w:b w:val="1"/>
                <w:bCs w:val="1"/>
                <w:color w:val="auto"/>
              </w:rPr>
              <w:t>2025</w:t>
            </w:r>
          </w:p>
        </w:tc>
        <w:tc>
          <w:tcPr>
            <w:tcW w:w="1100" w:type="dxa"/>
            <w:vAlign w:val="bottom"/>
            <w:tcBorders>
              <w:bottom w:val="single" w:sz="8" w:color="E7E6E6"/>
            </w:tcBorders>
          </w:tcPr>
          <w:p>
            <w:pPr>
              <w:jc w:val="right"/>
              <w:ind w:right="6"/>
              <w:spacing w:after="0"/>
              <w:rPr>
                <w:sz w:val="20"/>
                <w:szCs w:val="20"/>
                <w:color w:val="auto"/>
              </w:rPr>
            </w:pPr>
            <w:r>
              <w:rPr>
                <w:rFonts w:ascii="Arial" w:cs="Arial" w:eastAsia="Arial" w:hAnsi="Arial"/>
                <w:sz w:val="11"/>
                <w:szCs w:val="11"/>
                <w:color w:val="auto"/>
              </w:rPr>
              <w:t>35,148,413</w:t>
            </w:r>
          </w:p>
        </w:tc>
        <w:tc>
          <w:tcPr>
            <w:tcW w:w="1000" w:type="dxa"/>
            <w:vAlign w:val="bottom"/>
            <w:tcBorders>
              <w:bottom w:val="single" w:sz="8" w:color="E7E6E6"/>
            </w:tcBorders>
          </w:tcPr>
          <w:p>
            <w:pPr>
              <w:jc w:val="right"/>
              <w:ind w:right="6"/>
              <w:spacing w:after="0"/>
              <w:rPr>
                <w:sz w:val="20"/>
                <w:szCs w:val="20"/>
                <w:color w:val="auto"/>
              </w:rPr>
            </w:pPr>
            <w:r>
              <w:rPr>
                <w:rFonts w:ascii="Arial" w:cs="Arial" w:eastAsia="Arial" w:hAnsi="Arial"/>
                <w:sz w:val="11"/>
                <w:szCs w:val="11"/>
                <w:color w:val="auto"/>
              </w:rPr>
              <w:t>13,692,402</w:t>
            </w:r>
          </w:p>
        </w:tc>
        <w:tc>
          <w:tcPr>
            <w:tcW w:w="980" w:type="dxa"/>
            <w:vAlign w:val="bottom"/>
            <w:tcBorders>
              <w:bottom w:val="single" w:sz="8" w:color="E7E6E6"/>
            </w:tcBorders>
          </w:tcPr>
          <w:p>
            <w:pPr>
              <w:jc w:val="right"/>
              <w:spacing w:after="0"/>
              <w:rPr>
                <w:sz w:val="20"/>
                <w:szCs w:val="20"/>
                <w:color w:val="auto"/>
              </w:rPr>
            </w:pPr>
            <w:r>
              <w:rPr>
                <w:rFonts w:ascii="Arial" w:cs="Arial" w:eastAsia="Arial" w:hAnsi="Arial"/>
                <w:sz w:val="11"/>
                <w:szCs w:val="11"/>
                <w:color w:val="auto"/>
              </w:rPr>
              <w:t>27,055,708</w:t>
            </w:r>
          </w:p>
        </w:tc>
        <w:tc>
          <w:tcPr>
            <w:tcW w:w="960" w:type="dxa"/>
            <w:vAlign w:val="bottom"/>
            <w:tcBorders>
              <w:bottom w:val="single" w:sz="8" w:color="E7E6E6"/>
            </w:tcBorders>
          </w:tcPr>
          <w:p>
            <w:pPr>
              <w:jc w:val="right"/>
              <w:spacing w:after="0"/>
              <w:rPr>
                <w:sz w:val="20"/>
                <w:szCs w:val="20"/>
                <w:color w:val="auto"/>
              </w:rPr>
            </w:pPr>
            <w:r>
              <w:rPr>
                <w:rFonts w:ascii="Arial" w:cs="Arial" w:eastAsia="Arial" w:hAnsi="Arial"/>
                <w:sz w:val="11"/>
                <w:szCs w:val="11"/>
                <w:color w:val="auto"/>
              </w:rPr>
              <w:t>18,130,063</w:t>
            </w:r>
          </w:p>
        </w:tc>
        <w:tc>
          <w:tcPr>
            <w:tcW w:w="980" w:type="dxa"/>
            <w:vAlign w:val="bottom"/>
            <w:tcBorders>
              <w:bottom w:val="single" w:sz="8" w:color="E7E6E6"/>
            </w:tcBorders>
          </w:tcPr>
          <w:p>
            <w:pPr>
              <w:jc w:val="right"/>
              <w:spacing w:after="0"/>
              <w:rPr>
                <w:sz w:val="20"/>
                <w:szCs w:val="20"/>
                <w:color w:val="auto"/>
              </w:rPr>
            </w:pPr>
            <w:r>
              <w:rPr>
                <w:rFonts w:ascii="Arial" w:cs="Arial" w:eastAsia="Arial" w:hAnsi="Arial"/>
                <w:sz w:val="11"/>
                <w:szCs w:val="11"/>
                <w:color w:val="auto"/>
              </w:rPr>
              <w:t>65.57</w:t>
            </w:r>
          </w:p>
        </w:tc>
        <w:tc>
          <w:tcPr>
            <w:tcW w:w="920" w:type="dxa"/>
            <w:vAlign w:val="bottom"/>
            <w:tcBorders>
              <w:bottom w:val="single" w:sz="8" w:color="E7E6E6"/>
            </w:tcBorders>
          </w:tcPr>
          <w:p>
            <w:pPr>
              <w:jc w:val="right"/>
              <w:spacing w:after="0"/>
              <w:rPr>
                <w:sz w:val="20"/>
                <w:szCs w:val="20"/>
                <w:color w:val="auto"/>
              </w:rPr>
            </w:pPr>
            <w:r>
              <w:rPr>
                <w:rFonts w:ascii="Arial" w:cs="Arial" w:eastAsia="Arial" w:hAnsi="Arial"/>
                <w:sz w:val="11"/>
                <w:szCs w:val="11"/>
                <w:color w:val="auto"/>
              </w:rPr>
              <w:t>96.29</w:t>
            </w:r>
          </w:p>
        </w:tc>
        <w:tc>
          <w:tcPr>
            <w:tcW w:w="1040" w:type="dxa"/>
            <w:vAlign w:val="bottom"/>
            <w:tcBorders>
              <w:bottom w:val="single" w:sz="8" w:color="E7E6E6"/>
            </w:tcBorders>
          </w:tcPr>
          <w:p>
            <w:pPr>
              <w:jc w:val="right"/>
              <w:ind w:right="66"/>
              <w:spacing w:after="0"/>
              <w:rPr>
                <w:sz w:val="20"/>
                <w:szCs w:val="20"/>
                <w:color w:val="auto"/>
              </w:rPr>
            </w:pPr>
            <w:r>
              <w:rPr>
                <w:rFonts w:ascii="Arial" w:cs="Arial" w:eastAsia="Arial" w:hAnsi="Arial"/>
                <w:sz w:val="11"/>
                <w:szCs w:val="11"/>
                <w:color w:val="auto"/>
              </w:rPr>
              <w:t>19.7</w:t>
            </w:r>
          </w:p>
        </w:tc>
        <w:tc>
          <w:tcPr>
            <w:tcW w:w="840" w:type="dxa"/>
            <w:vAlign w:val="bottom"/>
            <w:tcBorders>
              <w:bottom w:val="single" w:sz="8" w:color="E7E6E6"/>
            </w:tcBorders>
          </w:tcPr>
          <w:p>
            <w:pPr>
              <w:jc w:val="right"/>
              <w:spacing w:after="0"/>
              <w:rPr>
                <w:sz w:val="20"/>
                <w:szCs w:val="20"/>
                <w:color w:val="auto"/>
              </w:rPr>
            </w:pPr>
            <w:r>
              <w:rPr>
                <w:rFonts w:ascii="Arial" w:cs="Arial" w:eastAsia="Arial" w:hAnsi="Arial"/>
                <w:sz w:val="11"/>
                <w:szCs w:val="11"/>
                <w:color w:val="auto"/>
              </w:rPr>
              <w:t>37.4</w:t>
            </w:r>
          </w:p>
        </w:tc>
      </w:tr>
      <w:tr>
        <w:trPr>
          <w:trHeight w:val="115"/>
        </w:trPr>
        <w:tc>
          <w:tcPr>
            <w:tcW w:w="520" w:type="dxa"/>
            <w:vAlign w:val="bottom"/>
            <w:tcBorders>
              <w:bottom w:val="single" w:sz="8" w:color="DCDDDE"/>
            </w:tcBorders>
          </w:tcPr>
          <w:p>
            <w:pPr>
              <w:ind w:left="60"/>
              <w:spacing w:after="0" w:line="115" w:lineRule="exact"/>
              <w:rPr>
                <w:sz w:val="20"/>
                <w:szCs w:val="20"/>
                <w:color w:val="auto"/>
              </w:rPr>
            </w:pPr>
            <w:r>
              <w:rPr>
                <w:rFonts w:ascii="Arial" w:cs="Arial" w:eastAsia="Arial" w:hAnsi="Arial"/>
                <w:sz w:val="11"/>
                <w:szCs w:val="11"/>
                <w:b w:val="1"/>
                <w:bCs w:val="1"/>
                <w:color w:val="auto"/>
              </w:rPr>
              <w:t>2024</w:t>
            </w:r>
          </w:p>
        </w:tc>
        <w:tc>
          <w:tcPr>
            <w:tcW w:w="1100" w:type="dxa"/>
            <w:vAlign w:val="bottom"/>
            <w:tcBorders>
              <w:bottom w:val="single" w:sz="8" w:color="DCDDDE"/>
            </w:tcBorders>
          </w:tcPr>
          <w:p>
            <w:pPr>
              <w:jc w:val="right"/>
              <w:ind w:right="6"/>
              <w:spacing w:after="0" w:line="115" w:lineRule="exact"/>
              <w:rPr>
                <w:sz w:val="20"/>
                <w:szCs w:val="20"/>
                <w:color w:val="auto"/>
              </w:rPr>
            </w:pPr>
            <w:r>
              <w:rPr>
                <w:rFonts w:ascii="Arial" w:cs="Arial" w:eastAsia="Arial" w:hAnsi="Arial"/>
                <w:sz w:val="11"/>
                <w:szCs w:val="11"/>
                <w:color w:val="auto"/>
              </w:rPr>
              <w:t>33,861,622</w:t>
            </w:r>
          </w:p>
        </w:tc>
        <w:tc>
          <w:tcPr>
            <w:tcW w:w="1000" w:type="dxa"/>
            <w:vAlign w:val="bottom"/>
            <w:tcBorders>
              <w:bottom w:val="single" w:sz="8" w:color="DCDDDE"/>
            </w:tcBorders>
          </w:tcPr>
          <w:p>
            <w:pPr>
              <w:jc w:val="right"/>
              <w:ind w:right="6"/>
              <w:spacing w:after="0" w:line="115" w:lineRule="exact"/>
              <w:rPr>
                <w:sz w:val="20"/>
                <w:szCs w:val="20"/>
                <w:color w:val="auto"/>
              </w:rPr>
            </w:pPr>
            <w:r>
              <w:rPr>
                <w:rFonts w:ascii="Arial" w:cs="Arial" w:eastAsia="Arial" w:hAnsi="Arial"/>
                <w:sz w:val="11"/>
                <w:szCs w:val="11"/>
                <w:color w:val="auto"/>
              </w:rPr>
              <w:t>(1,594,783)</w:t>
            </w:r>
          </w:p>
        </w:tc>
        <w:tc>
          <w:tcPr>
            <w:tcW w:w="98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15,748,397</w:t>
            </w:r>
          </w:p>
        </w:tc>
        <w:tc>
          <w:tcPr>
            <w:tcW w:w="96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3,810,943</w:t>
            </w:r>
          </w:p>
        </w:tc>
        <w:tc>
          <w:tcPr>
            <w:tcW w:w="98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79.33</w:t>
            </w:r>
          </w:p>
        </w:tc>
        <w:tc>
          <w:tcPr>
            <w:tcW w:w="92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92.14</w:t>
            </w:r>
          </w:p>
        </w:tc>
        <w:tc>
          <w:tcPr>
            <w:tcW w:w="1040" w:type="dxa"/>
            <w:vAlign w:val="bottom"/>
            <w:tcBorders>
              <w:bottom w:val="single" w:sz="8" w:color="DCDDDE"/>
            </w:tcBorders>
          </w:tcPr>
          <w:p>
            <w:pPr>
              <w:jc w:val="right"/>
              <w:ind w:right="66"/>
              <w:spacing w:after="0" w:line="115" w:lineRule="exact"/>
              <w:rPr>
                <w:sz w:val="20"/>
                <w:szCs w:val="20"/>
                <w:color w:val="auto"/>
              </w:rPr>
            </w:pPr>
            <w:r>
              <w:rPr>
                <w:rFonts w:ascii="Arial" w:cs="Arial" w:eastAsia="Arial" w:hAnsi="Arial"/>
                <w:sz w:val="11"/>
                <w:szCs w:val="11"/>
                <w:color w:val="auto"/>
              </w:rPr>
              <w:t>15.9</w:t>
            </w:r>
          </w:p>
        </w:tc>
        <w:tc>
          <w:tcPr>
            <w:tcW w:w="84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38.1</w:t>
            </w:r>
          </w:p>
        </w:tc>
      </w:tr>
      <w:tr>
        <w:trPr>
          <w:trHeight w:val="115"/>
        </w:trPr>
        <w:tc>
          <w:tcPr>
            <w:tcW w:w="520" w:type="dxa"/>
            <w:vAlign w:val="bottom"/>
            <w:tcBorders>
              <w:bottom w:val="single" w:sz="8" w:color="DCDDDE"/>
            </w:tcBorders>
          </w:tcPr>
          <w:p>
            <w:pPr>
              <w:ind w:left="60"/>
              <w:spacing w:after="0" w:line="115" w:lineRule="exact"/>
              <w:rPr>
                <w:sz w:val="20"/>
                <w:szCs w:val="20"/>
                <w:color w:val="auto"/>
              </w:rPr>
            </w:pPr>
            <w:r>
              <w:rPr>
                <w:rFonts w:ascii="Arial" w:cs="Arial" w:eastAsia="Arial" w:hAnsi="Arial"/>
                <w:sz w:val="11"/>
                <w:szCs w:val="11"/>
                <w:b w:val="1"/>
                <w:bCs w:val="1"/>
                <w:color w:val="auto"/>
              </w:rPr>
              <w:t>2023</w:t>
            </w:r>
          </w:p>
        </w:tc>
        <w:tc>
          <w:tcPr>
            <w:tcW w:w="1100" w:type="dxa"/>
            <w:vAlign w:val="bottom"/>
            <w:tcBorders>
              <w:bottom w:val="single" w:sz="8" w:color="DCDDDE"/>
            </w:tcBorders>
          </w:tcPr>
          <w:p>
            <w:pPr>
              <w:jc w:val="right"/>
              <w:ind w:right="6"/>
              <w:spacing w:after="0" w:line="115" w:lineRule="exact"/>
              <w:rPr>
                <w:sz w:val="20"/>
                <w:szCs w:val="20"/>
                <w:color w:val="auto"/>
              </w:rPr>
            </w:pPr>
            <w:r>
              <w:rPr>
                <w:rFonts w:ascii="Arial" w:cs="Arial" w:eastAsia="Arial" w:hAnsi="Arial"/>
                <w:sz w:val="11"/>
                <w:szCs w:val="11"/>
                <w:color w:val="auto"/>
              </w:rPr>
              <w:t>35,473,666</w:t>
            </w:r>
          </w:p>
        </w:tc>
        <w:tc>
          <w:tcPr>
            <w:tcW w:w="1000" w:type="dxa"/>
            <w:vAlign w:val="bottom"/>
            <w:tcBorders>
              <w:bottom w:val="single" w:sz="8" w:color="DCDDDE"/>
            </w:tcBorders>
          </w:tcPr>
          <w:p>
            <w:pPr>
              <w:jc w:val="right"/>
              <w:ind w:right="6"/>
              <w:spacing w:after="0" w:line="115" w:lineRule="exact"/>
              <w:rPr>
                <w:sz w:val="20"/>
                <w:szCs w:val="20"/>
                <w:color w:val="auto"/>
              </w:rPr>
            </w:pPr>
            <w:r>
              <w:rPr>
                <w:rFonts w:ascii="Arial" w:cs="Arial" w:eastAsia="Arial" w:hAnsi="Arial"/>
                <w:sz w:val="11"/>
                <w:szCs w:val="11"/>
                <w:color w:val="auto"/>
              </w:rPr>
              <w:t>71,202,103</w:t>
            </w:r>
          </w:p>
        </w:tc>
        <w:tc>
          <w:tcPr>
            <w:tcW w:w="98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14,498,736</w:t>
            </w:r>
          </w:p>
        </w:tc>
        <w:tc>
          <w:tcPr>
            <w:tcW w:w="96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27,073,830</w:t>
            </w:r>
          </w:p>
        </w:tc>
        <w:tc>
          <w:tcPr>
            <w:tcW w:w="98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89.99</w:t>
            </w:r>
          </w:p>
        </w:tc>
        <w:tc>
          <w:tcPr>
            <w:tcW w:w="92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77.65</w:t>
            </w:r>
          </w:p>
        </w:tc>
        <w:tc>
          <w:tcPr>
            <w:tcW w:w="1040" w:type="dxa"/>
            <w:vAlign w:val="bottom"/>
            <w:tcBorders>
              <w:bottom w:val="single" w:sz="8" w:color="DCDDDE"/>
            </w:tcBorders>
          </w:tcPr>
          <w:p>
            <w:pPr>
              <w:jc w:val="right"/>
              <w:ind w:right="66"/>
              <w:spacing w:after="0" w:line="115" w:lineRule="exact"/>
              <w:rPr>
                <w:sz w:val="20"/>
                <w:szCs w:val="20"/>
                <w:color w:val="auto"/>
              </w:rPr>
            </w:pPr>
            <w:r>
              <w:rPr>
                <w:rFonts w:ascii="Arial" w:cs="Arial" w:eastAsia="Arial" w:hAnsi="Arial"/>
                <w:sz w:val="11"/>
                <w:szCs w:val="11"/>
                <w:color w:val="auto"/>
              </w:rPr>
              <w:t>15.1</w:t>
            </w:r>
          </w:p>
        </w:tc>
        <w:tc>
          <w:tcPr>
            <w:tcW w:w="84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37.6</w:t>
            </w:r>
          </w:p>
        </w:tc>
      </w:tr>
      <w:tr>
        <w:trPr>
          <w:trHeight w:val="115"/>
        </w:trPr>
        <w:tc>
          <w:tcPr>
            <w:tcW w:w="520" w:type="dxa"/>
            <w:vAlign w:val="bottom"/>
            <w:tcBorders>
              <w:bottom w:val="single" w:sz="8" w:color="DCDDDE"/>
            </w:tcBorders>
          </w:tcPr>
          <w:p>
            <w:pPr>
              <w:ind w:left="60"/>
              <w:spacing w:after="0" w:line="115" w:lineRule="exact"/>
              <w:rPr>
                <w:sz w:val="20"/>
                <w:szCs w:val="20"/>
                <w:color w:val="auto"/>
              </w:rPr>
            </w:pPr>
            <w:r>
              <w:rPr>
                <w:rFonts w:ascii="Arial" w:cs="Arial" w:eastAsia="Arial" w:hAnsi="Arial"/>
                <w:sz w:val="11"/>
                <w:szCs w:val="11"/>
                <w:b w:val="1"/>
                <w:bCs w:val="1"/>
                <w:color w:val="auto"/>
              </w:rPr>
              <w:t>2022</w:t>
            </w:r>
          </w:p>
        </w:tc>
        <w:tc>
          <w:tcPr>
            <w:tcW w:w="1100" w:type="dxa"/>
            <w:vAlign w:val="bottom"/>
            <w:tcBorders>
              <w:bottom w:val="single" w:sz="8" w:color="DCDDDE"/>
            </w:tcBorders>
          </w:tcPr>
          <w:p>
            <w:pPr>
              <w:jc w:val="right"/>
              <w:ind w:right="6"/>
              <w:spacing w:after="0" w:line="115" w:lineRule="exact"/>
              <w:rPr>
                <w:sz w:val="20"/>
                <w:szCs w:val="20"/>
                <w:color w:val="auto"/>
              </w:rPr>
            </w:pPr>
            <w:r>
              <w:rPr>
                <w:rFonts w:ascii="Arial" w:cs="Arial" w:eastAsia="Arial" w:hAnsi="Arial"/>
                <w:sz w:val="11"/>
                <w:szCs w:val="11"/>
                <w:color w:val="auto"/>
              </w:rPr>
              <w:t>32,069,850</w:t>
            </w:r>
          </w:p>
        </w:tc>
        <w:tc>
          <w:tcPr>
            <w:tcW w:w="1000" w:type="dxa"/>
            <w:vAlign w:val="bottom"/>
            <w:tcBorders>
              <w:bottom w:val="single" w:sz="8" w:color="DCDDDE"/>
            </w:tcBorders>
          </w:tcPr>
          <w:p>
            <w:pPr>
              <w:jc w:val="right"/>
              <w:ind w:right="6"/>
              <w:spacing w:after="0" w:line="115" w:lineRule="exact"/>
              <w:rPr>
                <w:sz w:val="20"/>
                <w:szCs w:val="20"/>
                <w:color w:val="auto"/>
              </w:rPr>
            </w:pPr>
            <w:r>
              <w:rPr>
                <w:rFonts w:ascii="Arial" w:cs="Arial" w:eastAsia="Arial" w:hAnsi="Arial"/>
                <w:sz w:val="11"/>
                <w:szCs w:val="11"/>
                <w:color w:val="auto"/>
              </w:rPr>
              <w:t>(4,091,854)</w:t>
            </w:r>
          </w:p>
        </w:tc>
        <w:tc>
          <w:tcPr>
            <w:tcW w:w="98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24,672,250</w:t>
            </w:r>
          </w:p>
        </w:tc>
        <w:tc>
          <w:tcPr>
            <w:tcW w:w="96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10,501,980</w:t>
            </w:r>
          </w:p>
        </w:tc>
        <w:tc>
          <w:tcPr>
            <w:tcW w:w="98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69.73</w:t>
            </w:r>
          </w:p>
        </w:tc>
        <w:tc>
          <w:tcPr>
            <w:tcW w:w="92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70.97</w:t>
            </w:r>
          </w:p>
        </w:tc>
        <w:tc>
          <w:tcPr>
            <w:tcW w:w="1040" w:type="dxa"/>
            <w:vAlign w:val="bottom"/>
            <w:tcBorders>
              <w:bottom w:val="single" w:sz="8" w:color="DCDDDE"/>
            </w:tcBorders>
          </w:tcPr>
          <w:p>
            <w:pPr>
              <w:jc w:val="right"/>
              <w:ind w:right="66"/>
              <w:spacing w:after="0" w:line="115" w:lineRule="exact"/>
              <w:rPr>
                <w:sz w:val="20"/>
                <w:szCs w:val="20"/>
                <w:color w:val="auto"/>
              </w:rPr>
            </w:pPr>
            <w:r>
              <w:rPr>
                <w:rFonts w:ascii="Arial" w:cs="Arial" w:eastAsia="Arial" w:hAnsi="Arial"/>
                <w:sz w:val="11"/>
                <w:szCs w:val="11"/>
                <w:color w:val="auto"/>
              </w:rPr>
              <w:t>4.9</w:t>
            </w:r>
          </w:p>
        </w:tc>
        <w:tc>
          <w:tcPr>
            <w:tcW w:w="840" w:type="dxa"/>
            <w:vAlign w:val="bottom"/>
            <w:tcBorders>
              <w:bottom w:val="single" w:sz="8" w:color="DCDDDE"/>
            </w:tcBorders>
          </w:tcPr>
          <w:p>
            <w:pPr>
              <w:jc w:val="right"/>
              <w:spacing w:after="0" w:line="115" w:lineRule="exact"/>
              <w:rPr>
                <w:sz w:val="20"/>
                <w:szCs w:val="20"/>
                <w:color w:val="auto"/>
              </w:rPr>
            </w:pPr>
            <w:r>
              <w:rPr>
                <w:rFonts w:ascii="Arial" w:cs="Arial" w:eastAsia="Arial" w:hAnsi="Arial"/>
                <w:sz w:val="11"/>
                <w:szCs w:val="11"/>
                <w:color w:val="auto"/>
              </w:rPr>
              <w:t>36.5</w:t>
            </w:r>
          </w:p>
        </w:tc>
      </w:tr>
      <w:tr>
        <w:trPr>
          <w:trHeight w:val="115"/>
        </w:trPr>
        <w:tc>
          <w:tcPr>
            <w:tcW w:w="52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rPr>
              <w:t>2021</w:t>
            </w:r>
          </w:p>
        </w:tc>
        <w:tc>
          <w:tcPr>
            <w:tcW w:w="110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33,978,581</w:t>
            </w:r>
          </w:p>
        </w:tc>
        <w:tc>
          <w:tcPr>
            <w:tcW w:w="100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31,854,876</w:t>
            </w:r>
          </w:p>
        </w:tc>
        <w:tc>
          <w:tcPr>
            <w:tcW w:w="9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21,905,224</w:t>
            </w:r>
          </w:p>
        </w:tc>
        <w:tc>
          <w:tcPr>
            <w:tcW w:w="9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20,790,358</w:t>
            </w:r>
          </w:p>
        </w:tc>
        <w:tc>
          <w:tcPr>
            <w:tcW w:w="9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97.78</w:t>
            </w: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91.76</w:t>
            </w:r>
          </w:p>
        </w:tc>
        <w:tc>
          <w:tcPr>
            <w:tcW w:w="104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color w:val="auto"/>
              </w:rPr>
              <w:t>13.8</w:t>
            </w: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34.7</w:t>
            </w:r>
          </w:p>
        </w:tc>
      </w:tr>
    </w:tbl>
    <w:p>
      <w:pPr>
        <w:spacing w:after="0" w:line="67" w:lineRule="exact"/>
        <w:rPr>
          <w:sz w:val="20"/>
          <w:szCs w:val="20"/>
          <w:color w:val="auto"/>
        </w:rPr>
      </w:pPr>
    </w:p>
    <w:p>
      <w:pPr>
        <w:ind w:left="1540" w:hanging="356"/>
        <w:spacing w:after="0"/>
        <w:tabs>
          <w:tab w:leader="none" w:pos="1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Reconciliations of non-GAAP financial metrics to GAAP are set forth in Appendix A.</w:t>
      </w:r>
    </w:p>
    <w:p>
      <w:pPr>
        <w:spacing w:after="0" w:line="73" w:lineRule="exact"/>
        <w:rPr>
          <w:sz w:val="20"/>
          <w:szCs w:val="20"/>
          <w:color w:val="auto"/>
        </w:rPr>
      </w:pPr>
    </w:p>
    <w:p>
      <w:pPr>
        <w:ind w:left="1380" w:right="1200" w:hanging="201"/>
        <w:spacing w:after="0" w:line="233" w:lineRule="auto"/>
        <w:tabs>
          <w:tab w:leader="none" w:pos="1380" w:val="left"/>
        </w:tabs>
        <w:numPr>
          <w:ilvl w:val="0"/>
          <w:numId w:val="9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Compensation for our PEO, Mr. Roberts, reflects the amounts reported in the “Summary Compensation Table” for the respective years. Average compensation for non-PEO NEOs in 2023 through 2025 is for Messrs. Cavanagh, Armstrong, Reid and Ms. Khoury, and in 2022 and 2021 is for Messrs. Cavanagh, Jeffrey Shell and David N. Watson and Ms. Dana Strong.</w:t>
      </w:r>
    </w:p>
    <w:p>
      <w:pPr>
        <w:spacing w:after="0" w:line="28" w:lineRule="exact"/>
        <w:rPr>
          <w:rFonts w:ascii="Times New Roman" w:cs="Times New Roman" w:eastAsia="Times New Roman" w:hAnsi="Times New Roman"/>
          <w:sz w:val="22"/>
          <w:szCs w:val="22"/>
          <w:color w:val="auto"/>
          <w:vertAlign w:val="superscript"/>
        </w:rPr>
      </w:pPr>
    </w:p>
    <w:p>
      <w:pPr>
        <w:jc w:val="both"/>
        <w:ind w:left="1380" w:right="1420" w:hanging="201"/>
        <w:spacing w:after="0" w:line="229" w:lineRule="auto"/>
        <w:tabs>
          <w:tab w:leader="none" w:pos="1380" w:val="left"/>
        </w:tabs>
        <w:numPr>
          <w:ilvl w:val="0"/>
          <w:numId w:val="91"/>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Compensation “actually paid” for the PEO and average compensation “actually paid” for our non-PEO NEOs in 2025, 2024, 2023, 2022 and 2021 reflects the respective amounts set forth in columns (b) and (d) in the above table,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53</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56" w:name="page57"/>
    <w:bookmarkEnd w:id="56"/>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right="439"/>
        <w:spacing w:after="0" w:line="258" w:lineRule="auto"/>
        <w:rPr>
          <w:sz w:val="20"/>
          <w:szCs w:val="20"/>
          <w:color w:val="auto"/>
        </w:rPr>
      </w:pPr>
      <w:r>
        <w:rPr>
          <w:rFonts w:ascii="Arial" w:cs="Arial" w:eastAsia="Arial" w:hAnsi="Arial"/>
          <w:sz w:val="16"/>
          <w:szCs w:val="16"/>
          <w:color w:val="auto"/>
        </w:rPr>
        <w:t>adjusted in the table below, as determined in accordance with SEC rules. For awards that remain unvested or unexercised as of the end of the year, the ultimate value that will be realized upon vesting or upon exercise may be more or less than the current fair value below. See the “Option Exercises and Stock Vested” table on page 48 for the value of any such amounts received in 2025.</w:t>
      </w:r>
    </w:p>
    <w:tbl>
      <w:tblPr>
        <w:tblLayout w:type="fixed"/>
        <w:tblInd w:w="580" w:type="dxa"/>
        <w:tblCellMar>
          <w:top w:w="0" w:type="dxa"/>
          <w:left w:w="0" w:type="dxa"/>
          <w:bottom w:w="0" w:type="dxa"/>
          <w:right w:w="0" w:type="dxa"/>
        </w:tblCellMar>
      </w:tblPr>
      <w:tr>
        <w:trPr>
          <w:trHeight w:val="136"/>
        </w:trPr>
        <w:tc>
          <w:tcPr>
            <w:tcW w:w="1520" w:type="dxa"/>
            <w:vAlign w:val="bottom"/>
          </w:tcPr>
          <w:p>
            <w:pPr>
              <w:spacing w:after="0"/>
              <w:rPr>
                <w:sz w:val="11"/>
                <w:szCs w:val="11"/>
                <w:color w:val="auto"/>
              </w:rPr>
            </w:pPr>
          </w:p>
        </w:tc>
        <w:tc>
          <w:tcPr>
            <w:tcW w:w="1360" w:type="dxa"/>
            <w:vAlign w:val="bottom"/>
          </w:tcPr>
          <w:p>
            <w:pPr>
              <w:jc w:val="right"/>
              <w:ind w:right="117"/>
              <w:spacing w:after="0" w:line="137" w:lineRule="exact"/>
              <w:rPr>
                <w:sz w:val="20"/>
                <w:szCs w:val="20"/>
                <w:color w:val="auto"/>
              </w:rPr>
            </w:pPr>
            <w:r>
              <w:rPr>
                <w:rFonts w:ascii="Arial" w:cs="Arial" w:eastAsia="Arial" w:hAnsi="Arial"/>
                <w:sz w:val="13"/>
                <w:szCs w:val="13"/>
                <w:b w:val="1"/>
                <w:bCs w:val="1"/>
                <w:i w:val="1"/>
                <w:iCs w:val="1"/>
                <w:color w:val="auto"/>
              </w:rPr>
              <w:t xml:space="preserve">LESS </w:t>
            </w:r>
            <w:r>
              <w:rPr>
                <w:rFonts w:ascii="Arial" w:cs="Arial" w:eastAsia="Arial" w:hAnsi="Arial"/>
                <w:sz w:val="13"/>
                <w:szCs w:val="13"/>
                <w:b w:val="1"/>
                <w:bCs w:val="1"/>
                <w:color w:val="auto"/>
              </w:rPr>
              <w:t>STOCK/</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b w:val="1"/>
                <w:bCs w:val="1"/>
                <w:i w:val="1"/>
                <w:iCs w:val="1"/>
                <w:color w:val="auto"/>
              </w:rPr>
              <w:t xml:space="preserve">PLUS </w:t>
            </w:r>
            <w:r>
              <w:rPr>
                <w:rFonts w:ascii="Arial" w:cs="Arial" w:eastAsia="Arial" w:hAnsi="Arial"/>
                <w:sz w:val="13"/>
                <w:szCs w:val="13"/>
                <w:b w:val="1"/>
                <w:bCs w:val="1"/>
                <w:color w:val="auto"/>
              </w:rPr>
              <w:t>FAIR</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CHANGE IN</w:t>
            </w:r>
          </w:p>
        </w:tc>
        <w:tc>
          <w:tcPr>
            <w:tcW w:w="1060" w:type="dxa"/>
            <w:vAlign w:val="bottom"/>
          </w:tcPr>
          <w:p>
            <w:pPr>
              <w:jc w:val="right"/>
              <w:ind w:right="117"/>
              <w:spacing w:after="0" w:line="137" w:lineRule="exact"/>
              <w:rPr>
                <w:sz w:val="20"/>
                <w:szCs w:val="20"/>
                <w:color w:val="auto"/>
              </w:rPr>
            </w:pPr>
            <w:r>
              <w:rPr>
                <w:rFonts w:ascii="Arial" w:cs="Arial" w:eastAsia="Arial" w:hAnsi="Arial"/>
                <w:sz w:val="13"/>
                <w:szCs w:val="13"/>
                <w:b w:val="1"/>
                <w:bCs w:val="1"/>
                <w:color w:val="auto"/>
              </w:rPr>
              <w:t>CHANGE IN</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OPTION AWARD</w:t>
            </w:r>
          </w:p>
        </w:tc>
        <w:tc>
          <w:tcPr>
            <w:tcW w:w="9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FAIR VALUE</w:t>
            </w: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b w:val="1"/>
                <w:bCs w:val="1"/>
                <w:i w:val="1"/>
                <w:iCs w:val="1"/>
                <w:color w:val="auto"/>
              </w:rPr>
              <w:t xml:space="preserve">LESS </w:t>
            </w:r>
            <w:r>
              <w:rPr>
                <w:rFonts w:ascii="Arial" w:cs="Arial" w:eastAsia="Arial" w:hAnsi="Arial"/>
                <w:sz w:val="13"/>
                <w:szCs w:val="13"/>
                <w:b w:val="1"/>
                <w:bCs w:val="1"/>
                <w:color w:val="auto"/>
              </w:rPr>
              <w:t>FAIR</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VALUE</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VALUE FOR</w:t>
            </w:r>
          </w:p>
        </w:tc>
        <w:tc>
          <w:tcPr>
            <w:tcW w:w="11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FAIR VALUE</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OF AWARDS</w:t>
            </w:r>
          </w:p>
        </w:tc>
        <w:tc>
          <w:tcPr>
            <w:tcW w:w="10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REPORTED</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UNVESTED</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OF</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FROM PRIOR</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VALUE OF</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IN SUMMARY</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AWARDS</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OUTSTANDING</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YEARS THAT</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AWARDS</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COMPENSATIO</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GRANTED</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UNVESTED</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VESTED IN</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FORFEITED</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N TABLE FOR</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IN THE</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AWARDS</w:t>
            </w:r>
          </w:p>
        </w:tc>
        <w:tc>
          <w:tcPr>
            <w:tcW w:w="10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THE</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DURING THE</w:t>
            </w: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THE COVERED</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COVERED</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FROM PRIOR</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COVERED</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COVERED</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3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YEAR</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YEAR</w:t>
            </w:r>
          </w:p>
        </w:tc>
        <w:tc>
          <w:tcPr>
            <w:tcW w:w="11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YEARS</w:t>
            </w:r>
          </w:p>
        </w:tc>
        <w:tc>
          <w:tcPr>
            <w:tcW w:w="10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YEAR</w:t>
            </w:r>
          </w:p>
        </w:tc>
        <w:tc>
          <w:tcPr>
            <w:tcW w:w="10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YEAR</w:t>
            </w:r>
          </w:p>
        </w:tc>
        <w:tc>
          <w:tcPr>
            <w:tcW w:w="10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ADJUSTMENT</w:t>
            </w:r>
          </w:p>
        </w:tc>
        <w:tc>
          <w:tcPr>
            <w:tcW w:w="0" w:type="dxa"/>
            <w:vAlign w:val="bottom"/>
          </w:tcPr>
          <w:p>
            <w:pPr>
              <w:spacing w:after="0"/>
              <w:rPr>
                <w:sz w:val="1"/>
                <w:szCs w:val="1"/>
                <w:color w:val="auto"/>
              </w:rPr>
            </w:pPr>
          </w:p>
        </w:tc>
      </w:tr>
      <w:tr>
        <w:trPr>
          <w:trHeight w:val="166"/>
        </w:trPr>
        <w:tc>
          <w:tcPr>
            <w:tcW w:w="15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1520" w:type="dxa"/>
            <w:vAlign w:val="bottom"/>
            <w:tcBorders>
              <w:bottom w:val="single" w:sz="8" w:color="E7E6E6"/>
            </w:tcBorders>
          </w:tcPr>
          <w:p>
            <w:pPr>
              <w:ind w:left="100"/>
              <w:spacing w:after="0" w:line="142" w:lineRule="exact"/>
              <w:rPr>
                <w:sz w:val="20"/>
                <w:szCs w:val="20"/>
                <w:color w:val="auto"/>
              </w:rPr>
            </w:pPr>
            <w:r>
              <w:rPr>
                <w:rFonts w:ascii="Arial" w:cs="Arial" w:eastAsia="Arial" w:hAnsi="Arial"/>
                <w:sz w:val="13"/>
                <w:szCs w:val="13"/>
                <w:b w:val="1"/>
                <w:bCs w:val="1"/>
                <w:color w:val="auto"/>
              </w:rPr>
              <w:t>PEO 2025</w:t>
            </w:r>
          </w:p>
        </w:tc>
        <w:tc>
          <w:tcPr>
            <w:tcW w:w="1360" w:type="dxa"/>
            <w:vAlign w:val="bottom"/>
            <w:tcBorders>
              <w:bottom w:val="single" w:sz="8" w:color="E7E6E6"/>
            </w:tcBorders>
          </w:tcPr>
          <w:p>
            <w:pPr>
              <w:jc w:val="right"/>
              <w:ind w:right="57"/>
              <w:spacing w:after="0" w:line="142" w:lineRule="exact"/>
              <w:rPr>
                <w:sz w:val="20"/>
                <w:szCs w:val="20"/>
                <w:color w:val="auto"/>
              </w:rPr>
            </w:pPr>
            <w:r>
              <w:rPr>
                <w:rFonts w:ascii="Arial" w:cs="Arial" w:eastAsia="Arial" w:hAnsi="Arial"/>
                <w:sz w:val="13"/>
                <w:szCs w:val="13"/>
                <w:color w:val="auto"/>
              </w:rPr>
              <w:t>(23,473,076)</w:t>
            </w:r>
          </w:p>
        </w:tc>
        <w:tc>
          <w:tcPr>
            <w:tcW w:w="940" w:type="dxa"/>
            <w:vAlign w:val="bottom"/>
            <w:tcBorders>
              <w:bottom w:val="single" w:sz="8" w:color="E7E6E6"/>
            </w:tcBorders>
          </w:tcPr>
          <w:p>
            <w:pPr>
              <w:jc w:val="right"/>
              <w:ind w:right="37"/>
              <w:spacing w:after="0" w:line="142" w:lineRule="exact"/>
              <w:rPr>
                <w:sz w:val="20"/>
                <w:szCs w:val="20"/>
                <w:color w:val="auto"/>
              </w:rPr>
            </w:pPr>
            <w:r>
              <w:rPr>
                <w:rFonts w:ascii="Arial" w:cs="Arial" w:eastAsia="Arial" w:hAnsi="Arial"/>
                <w:sz w:val="13"/>
                <w:szCs w:val="13"/>
                <w:color w:val="auto"/>
              </w:rPr>
              <w:t>17,547,275</w:t>
            </w:r>
          </w:p>
        </w:tc>
        <w:tc>
          <w:tcPr>
            <w:tcW w:w="1140" w:type="dxa"/>
            <w:vAlign w:val="bottom"/>
            <w:tcBorders>
              <w:bottom w:val="single" w:sz="8" w:color="E7E6E6"/>
            </w:tcBorders>
          </w:tcPr>
          <w:p>
            <w:pPr>
              <w:jc w:val="right"/>
              <w:spacing w:after="0" w:line="142" w:lineRule="exact"/>
              <w:rPr>
                <w:sz w:val="20"/>
                <w:szCs w:val="20"/>
                <w:color w:val="auto"/>
              </w:rPr>
            </w:pPr>
            <w:r>
              <w:rPr>
                <w:rFonts w:ascii="Arial" w:cs="Arial" w:eastAsia="Arial" w:hAnsi="Arial"/>
                <w:sz w:val="13"/>
                <w:szCs w:val="13"/>
                <w:color w:val="auto"/>
              </w:rPr>
              <w:t>(14,451,031)</w:t>
            </w:r>
          </w:p>
        </w:tc>
        <w:tc>
          <w:tcPr>
            <w:tcW w:w="1060" w:type="dxa"/>
            <w:vAlign w:val="bottom"/>
            <w:tcBorders>
              <w:bottom w:val="single" w:sz="8" w:color="E7E6E6"/>
            </w:tcBorders>
          </w:tcPr>
          <w:p>
            <w:pPr>
              <w:jc w:val="right"/>
              <w:ind w:right="57"/>
              <w:spacing w:after="0" w:line="142" w:lineRule="exact"/>
              <w:rPr>
                <w:sz w:val="20"/>
                <w:szCs w:val="20"/>
                <w:color w:val="auto"/>
              </w:rPr>
            </w:pPr>
            <w:r>
              <w:rPr>
                <w:rFonts w:ascii="Arial" w:cs="Arial" w:eastAsia="Arial" w:hAnsi="Arial"/>
                <w:sz w:val="13"/>
                <w:szCs w:val="13"/>
                <w:color w:val="auto"/>
              </w:rPr>
              <w:t>(1,079,179)</w:t>
            </w:r>
          </w:p>
        </w:tc>
        <w:tc>
          <w:tcPr>
            <w:tcW w:w="1020" w:type="dxa"/>
            <w:vAlign w:val="bottom"/>
            <w:tcBorders>
              <w:bottom w:val="single" w:sz="8" w:color="E7E6E6"/>
            </w:tcBorders>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E7E6E6"/>
            </w:tcBorders>
          </w:tcPr>
          <w:p>
            <w:pPr>
              <w:jc w:val="right"/>
              <w:spacing w:after="0" w:line="142" w:lineRule="exact"/>
              <w:rPr>
                <w:sz w:val="20"/>
                <w:szCs w:val="20"/>
                <w:color w:val="auto"/>
              </w:rPr>
            </w:pPr>
            <w:r>
              <w:rPr>
                <w:rFonts w:ascii="Arial" w:cs="Arial" w:eastAsia="Arial" w:hAnsi="Arial"/>
                <w:sz w:val="13"/>
                <w:szCs w:val="13"/>
                <w:color w:val="auto"/>
              </w:rPr>
              <w:t>(21,456,011)</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PEO 2024</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(23,661,136)</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20,370,845</w:t>
            </w:r>
          </w:p>
        </w:tc>
        <w:tc>
          <w:tcPr>
            <w:tcW w:w="114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(31,470,573)</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(695,540)</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(35,456,405)</w:t>
            </w:r>
          </w:p>
        </w:tc>
        <w:tc>
          <w:tcPr>
            <w:tcW w:w="0" w:type="dxa"/>
            <w:vAlign w:val="bottom"/>
          </w:tcPr>
          <w:p>
            <w:pPr>
              <w:spacing w:after="0"/>
              <w:rPr>
                <w:sz w:val="1"/>
                <w:szCs w:val="1"/>
                <w:color w:val="auto"/>
              </w:rPr>
            </w:pPr>
          </w:p>
        </w:tc>
      </w:tr>
      <w:tr>
        <w:trPr>
          <w:trHeight w:val="129"/>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PEO 2023</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(24,224,618)</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42,115,795</w:t>
            </w:r>
          </w:p>
        </w:tc>
        <w:tc>
          <w:tcPr>
            <w:tcW w:w="114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18,326,999</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(489,739)</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35,728,437</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PEO 2022</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(21,863,723)</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22,285,379</w:t>
            </w:r>
          </w:p>
        </w:tc>
        <w:tc>
          <w:tcPr>
            <w:tcW w:w="114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(31,633,629)</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(4,949,732)</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(36,161,704)</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PEO 2021</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(21,988,022)</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21,524,528</w:t>
            </w:r>
          </w:p>
        </w:tc>
        <w:tc>
          <w:tcPr>
            <w:tcW w:w="114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(5,141,104)</w:t>
            </w:r>
          </w:p>
        </w:tc>
        <w:tc>
          <w:tcPr>
            <w:tcW w:w="1060" w:type="dxa"/>
            <w:vAlign w:val="bottom"/>
            <w:tcBorders>
              <w:bottom w:val="single" w:sz="8" w:color="DCDDDE"/>
            </w:tcBorders>
          </w:tcPr>
          <w:p>
            <w:pPr>
              <w:jc w:val="right"/>
              <w:ind w:right="117"/>
              <w:spacing w:after="0" w:line="129" w:lineRule="exact"/>
              <w:rPr>
                <w:sz w:val="20"/>
                <w:szCs w:val="20"/>
                <w:color w:val="auto"/>
              </w:rPr>
            </w:pPr>
            <w:r>
              <w:rPr>
                <w:rFonts w:ascii="Arial" w:cs="Arial" w:eastAsia="Arial" w:hAnsi="Arial"/>
                <w:sz w:val="13"/>
                <w:szCs w:val="13"/>
                <w:color w:val="auto"/>
              </w:rPr>
              <w:t>3,480,893</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(2,123,705)</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Non-PEO NEOs 2025</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(19,639,615)</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17,295,943</w:t>
            </w:r>
          </w:p>
        </w:tc>
        <w:tc>
          <w:tcPr>
            <w:tcW w:w="114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(6,307,148)</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(274,825)</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(8,925,645)</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Non-PEO NEOs 2024</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(8,834,453)</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7,605,951</w:t>
            </w:r>
          </w:p>
        </w:tc>
        <w:tc>
          <w:tcPr>
            <w:tcW w:w="114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(10,468,514)</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(240,438)</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(11,937,454)</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Non-PEO NEOs 2023</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(7,636,176)</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13,275,920</w:t>
            </w:r>
          </w:p>
        </w:tc>
        <w:tc>
          <w:tcPr>
            <w:tcW w:w="114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6,995,673</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(60,324)</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12,575,094</w:t>
            </w:r>
          </w:p>
        </w:tc>
        <w:tc>
          <w:tcPr>
            <w:tcW w:w="0" w:type="dxa"/>
            <w:vAlign w:val="bottom"/>
          </w:tcPr>
          <w:p>
            <w:pPr>
              <w:spacing w:after="0"/>
              <w:rPr>
                <w:sz w:val="1"/>
                <w:szCs w:val="1"/>
                <w:color w:val="auto"/>
              </w:rPr>
            </w:pPr>
          </w:p>
        </w:tc>
      </w:tr>
      <w:tr>
        <w:trPr>
          <w:trHeight w:val="129"/>
        </w:trPr>
        <w:tc>
          <w:tcPr>
            <w:tcW w:w="1520" w:type="dxa"/>
            <w:vAlign w:val="bottom"/>
            <w:tcBorders>
              <w:bottom w:val="single" w:sz="8" w:color="DCDDDE"/>
            </w:tcBorders>
          </w:tcPr>
          <w:p>
            <w:pPr>
              <w:ind w:left="100"/>
              <w:spacing w:after="0" w:line="129" w:lineRule="exact"/>
              <w:rPr>
                <w:sz w:val="20"/>
                <w:szCs w:val="20"/>
                <w:color w:val="auto"/>
              </w:rPr>
            </w:pPr>
            <w:r>
              <w:rPr>
                <w:rFonts w:ascii="Arial" w:cs="Arial" w:eastAsia="Arial" w:hAnsi="Arial"/>
                <w:sz w:val="13"/>
                <w:szCs w:val="13"/>
                <w:b w:val="1"/>
                <w:bCs w:val="1"/>
                <w:color w:val="auto"/>
              </w:rPr>
              <w:t>Non-PEO NEOs 2022</w:t>
            </w:r>
          </w:p>
        </w:tc>
        <w:tc>
          <w:tcPr>
            <w:tcW w:w="13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(15,386,069)</w:t>
            </w:r>
          </w:p>
        </w:tc>
        <w:tc>
          <w:tcPr>
            <w:tcW w:w="940" w:type="dxa"/>
            <w:vAlign w:val="bottom"/>
            <w:tcBorders>
              <w:bottom w:val="single" w:sz="8" w:color="DCDDDE"/>
            </w:tcBorders>
          </w:tcPr>
          <w:p>
            <w:pPr>
              <w:jc w:val="right"/>
              <w:ind w:right="37"/>
              <w:spacing w:after="0" w:line="129" w:lineRule="exact"/>
              <w:rPr>
                <w:sz w:val="20"/>
                <w:szCs w:val="20"/>
                <w:color w:val="auto"/>
              </w:rPr>
            </w:pPr>
            <w:r>
              <w:rPr>
                <w:rFonts w:ascii="Arial" w:cs="Arial" w:eastAsia="Arial" w:hAnsi="Arial"/>
                <w:sz w:val="13"/>
                <w:szCs w:val="13"/>
                <w:color w:val="auto"/>
              </w:rPr>
              <w:t>15,604,969</w:t>
            </w:r>
          </w:p>
        </w:tc>
        <w:tc>
          <w:tcPr>
            <w:tcW w:w="114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(12,701,844)</w:t>
            </w:r>
          </w:p>
        </w:tc>
        <w:tc>
          <w:tcPr>
            <w:tcW w:w="106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(1,687,326)</w:t>
            </w:r>
          </w:p>
        </w:tc>
        <w:tc>
          <w:tcPr>
            <w:tcW w:w="1020" w:type="dxa"/>
            <w:vAlign w:val="bottom"/>
            <w:tcBorders>
              <w:bottom w:val="single" w:sz="8" w:color="DCDDDE"/>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DCDDDE"/>
            </w:tcBorders>
          </w:tcPr>
          <w:p>
            <w:pPr>
              <w:jc w:val="right"/>
              <w:spacing w:after="0" w:line="129" w:lineRule="exact"/>
              <w:rPr>
                <w:sz w:val="20"/>
                <w:szCs w:val="20"/>
                <w:color w:val="auto"/>
              </w:rPr>
            </w:pPr>
            <w:r>
              <w:rPr>
                <w:rFonts w:ascii="Arial" w:cs="Arial" w:eastAsia="Arial" w:hAnsi="Arial"/>
                <w:sz w:val="13"/>
                <w:szCs w:val="13"/>
                <w:color w:val="auto"/>
              </w:rPr>
              <w:t>(14,170,270)</w:t>
            </w:r>
          </w:p>
        </w:tc>
        <w:tc>
          <w:tcPr>
            <w:tcW w:w="0" w:type="dxa"/>
            <w:vAlign w:val="bottom"/>
          </w:tcPr>
          <w:p>
            <w:pPr>
              <w:spacing w:after="0"/>
              <w:rPr>
                <w:sz w:val="1"/>
                <w:szCs w:val="1"/>
                <w:color w:val="auto"/>
              </w:rPr>
            </w:pPr>
          </w:p>
        </w:tc>
      </w:tr>
      <w:tr>
        <w:trPr>
          <w:trHeight w:val="128"/>
        </w:trPr>
        <w:tc>
          <w:tcPr>
            <w:tcW w:w="15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Non-PEO NEOs 2021</w:t>
            </w:r>
          </w:p>
        </w:tc>
        <w:tc>
          <w:tcPr>
            <w:tcW w:w="136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(10,410,915)</w:t>
            </w:r>
          </w:p>
        </w:tc>
        <w:tc>
          <w:tcPr>
            <w:tcW w:w="9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10,191,675</w:t>
            </w: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(1,844,037)</w:t>
            </w:r>
          </w:p>
        </w:tc>
        <w:tc>
          <w:tcPr>
            <w:tcW w:w="10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948,410</w:t>
            </w:r>
          </w:p>
        </w:tc>
        <w:tc>
          <w:tcPr>
            <w:tcW w:w="10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(1,114,866)</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right="339"/>
        <w:spacing w:after="0" w:line="252" w:lineRule="auto"/>
        <w:rPr>
          <w:sz w:val="20"/>
          <w:szCs w:val="20"/>
          <w:color w:val="auto"/>
        </w:rPr>
      </w:pPr>
      <w:r>
        <w:rPr>
          <w:rFonts w:ascii="Arial" w:cs="Arial" w:eastAsia="Arial" w:hAnsi="Arial"/>
          <w:sz w:val="16"/>
          <w:szCs w:val="16"/>
          <w:color w:val="auto"/>
        </w:rPr>
        <w:t>Fair values are calculated in accordance with FASB ASC Topic 718 as of the end of the respective fiscal year, other than awards that vest in the covered year, which are valued as of the applicable vesting dates. Stock option fair values were calculated using the Black-Scholes option pricing model, determined based on the same methodology as used to determine grant date fair values but using the common stock closing price on the applicable revaluation date, and in all cases based on volatility, term to exercise, dividend yields and interest rates determined as of the revaluation date. For PSUs, fair values were calculated using a Monte Carlo simulation model, determined based on the probable outcome of the performance condition as of the applicable year-end revaluation date(s).</w:t>
      </w:r>
    </w:p>
    <w:p>
      <w:pPr>
        <w:spacing w:after="0" w:line="21" w:lineRule="exact"/>
        <w:rPr>
          <w:sz w:val="20"/>
          <w:szCs w:val="20"/>
          <w:color w:val="auto"/>
        </w:rPr>
      </w:pPr>
    </w:p>
    <w:p>
      <w:pPr>
        <w:ind w:left="520" w:right="819"/>
        <w:spacing w:after="0" w:line="281" w:lineRule="auto"/>
        <w:rPr>
          <w:sz w:val="20"/>
          <w:szCs w:val="20"/>
          <w:color w:val="auto"/>
        </w:rPr>
      </w:pPr>
      <w:r>
        <w:rPr>
          <w:rFonts w:ascii="Arial" w:cs="Arial" w:eastAsia="Arial" w:hAnsi="Arial"/>
          <w:sz w:val="16"/>
          <w:szCs w:val="16"/>
          <w:color w:val="auto"/>
        </w:rPr>
        <w:t>No awards were granted and vested within the same year in any period covered by the table above, and no dividends, dividend equivalents or other earnings are paid on equity awards prior to their vesting dates.</w:t>
      </w:r>
    </w:p>
    <w:p>
      <w:pPr>
        <w:spacing w:after="0" w:line="1" w:lineRule="exact"/>
        <w:rPr>
          <w:sz w:val="20"/>
          <w:szCs w:val="20"/>
          <w:color w:val="auto"/>
        </w:rPr>
      </w:pPr>
    </w:p>
    <w:p>
      <w:pPr>
        <w:ind w:left="520" w:right="459" w:hanging="201"/>
        <w:spacing w:after="0" w:line="233" w:lineRule="auto"/>
        <w:tabs>
          <w:tab w:leader="none" w:pos="520" w:val="left"/>
        </w:tabs>
        <w:numPr>
          <w:ilvl w:val="0"/>
          <w:numId w:val="92"/>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TSR is cumulative for the measurement period beginning on December 31, 2020 and ending on December 31 of each of 2025, 2024, 2023, 2022 and 2021, respectively, calculated in accordance with Item 201(e) of Regulation S-K. The composition of the peer group (the “TSR Peer Group”) is the “Peer Group Index” set forth in the Stock Performance Graph of our Annual Report on Form 10-K for the year ended December 31, 2025.</w:t>
      </w:r>
    </w:p>
    <w:p>
      <w:pPr>
        <w:spacing w:after="0" w:line="28" w:lineRule="exact"/>
        <w:rPr>
          <w:rFonts w:ascii="Times New Roman" w:cs="Times New Roman" w:eastAsia="Times New Roman" w:hAnsi="Times New Roman"/>
          <w:sz w:val="22"/>
          <w:szCs w:val="22"/>
          <w:color w:val="auto"/>
          <w:vertAlign w:val="superscript"/>
        </w:rPr>
      </w:pPr>
    </w:p>
    <w:p>
      <w:pPr>
        <w:ind w:left="520" w:right="419" w:hanging="201"/>
        <w:spacing w:after="0" w:line="221" w:lineRule="auto"/>
        <w:tabs>
          <w:tab w:leader="none" w:pos="520" w:val="left"/>
        </w:tabs>
        <w:numPr>
          <w:ilvl w:val="0"/>
          <w:numId w:val="92"/>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Reflects “Net Income” in our Consolidated Statement of Income included in our Annual Reports on Form 10-K for each of the years ended December 31, 2025, 2024, 2023, 2022 and 2021.</w:t>
      </w:r>
    </w:p>
    <w:p>
      <w:pPr>
        <w:spacing w:after="0" w:line="29" w:lineRule="exact"/>
        <w:rPr>
          <w:rFonts w:ascii="Times New Roman" w:cs="Times New Roman" w:eastAsia="Times New Roman" w:hAnsi="Times New Roman"/>
          <w:sz w:val="22"/>
          <w:szCs w:val="22"/>
          <w:color w:val="auto"/>
          <w:vertAlign w:val="superscript"/>
        </w:rPr>
      </w:pPr>
    </w:p>
    <w:p>
      <w:pPr>
        <w:ind w:left="520" w:right="459" w:hanging="201"/>
        <w:spacing w:after="0" w:line="225" w:lineRule="auto"/>
        <w:tabs>
          <w:tab w:leader="none" w:pos="520" w:val="left"/>
        </w:tabs>
        <w:numPr>
          <w:ilvl w:val="0"/>
          <w:numId w:val="92"/>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following table describes the relationship between company financial performance measures included in the Pay Versus Performance Table and the compensation “actually paid” to our NEOs, as reported in that table for the covered period, and the relationship between our cumulative TSR and the cumulative TSR of the TSR Peer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Group over the covered period.</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PERFORMANCE</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2025</w:t>
            </w:r>
          </w:p>
        </w:tc>
        <w:tc>
          <w:tcPr>
            <w:tcW w:w="900" w:type="dxa"/>
            <w:vAlign w:val="bottom"/>
          </w:tcPr>
          <w:p>
            <w:pPr>
              <w:jc w:val="right"/>
              <w:ind w:right="66"/>
              <w:spacing w:after="0"/>
              <w:rPr>
                <w:sz w:val="20"/>
                <w:szCs w:val="20"/>
                <w:color w:val="auto"/>
              </w:rPr>
            </w:pPr>
            <w:r>
              <w:rPr>
                <w:rFonts w:ascii="Arial" w:cs="Arial" w:eastAsia="Arial" w:hAnsi="Arial"/>
                <w:sz w:val="11"/>
                <w:szCs w:val="11"/>
                <w:b w:val="1"/>
                <w:bCs w:val="1"/>
                <w:color w:val="auto"/>
              </w:rPr>
              <w:t>2024</w:t>
            </w:r>
          </w:p>
        </w:tc>
        <w:tc>
          <w:tcPr>
            <w:tcW w:w="780" w:type="dxa"/>
            <w:vAlign w:val="bottom"/>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800" w:type="dxa"/>
            <w:vAlign w:val="bottom"/>
          </w:tcPr>
          <w:p>
            <w:pPr>
              <w:jc w:val="right"/>
              <w:ind w:right="86"/>
              <w:spacing w:after="0"/>
              <w:rPr>
                <w:sz w:val="20"/>
                <w:szCs w:val="20"/>
                <w:color w:val="auto"/>
              </w:rPr>
            </w:pPr>
            <w:r>
              <w:rPr>
                <w:rFonts w:ascii="Arial" w:cs="Arial" w:eastAsia="Arial" w:hAnsi="Arial"/>
                <w:sz w:val="11"/>
                <w:szCs w:val="11"/>
                <w:b w:val="1"/>
                <w:bCs w:val="1"/>
                <w:color w:val="auto"/>
              </w:rPr>
              <w:t>2022</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2021</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rPr>
              <w:t>2024-25 YOY</w:t>
            </w:r>
          </w:p>
        </w:tc>
        <w:tc>
          <w:tcPr>
            <w:tcW w:w="760" w:type="dxa"/>
            <w:vAlign w:val="bottom"/>
          </w:tcPr>
          <w:p>
            <w:pPr>
              <w:jc w:val="right"/>
              <w:ind w:right="6"/>
              <w:spacing w:after="0"/>
              <w:rPr>
                <w:sz w:val="20"/>
                <w:szCs w:val="20"/>
                <w:color w:val="auto"/>
              </w:rPr>
            </w:pPr>
            <w:r>
              <w:rPr>
                <w:rFonts w:ascii="Arial" w:cs="Arial" w:eastAsia="Arial" w:hAnsi="Arial"/>
                <w:sz w:val="11"/>
                <w:szCs w:val="11"/>
                <w:b w:val="1"/>
                <w:bCs w:val="1"/>
                <w:color w:val="auto"/>
              </w:rPr>
              <w:t>2023-24 YOY</w:t>
            </w: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2022-23 YOY</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2021-22 YOY</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MEASURE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CHANGE</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29"/>
        </w:trPr>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Compensation</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“Actually Paid” to</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13,692,402</w:t>
            </w:r>
          </w:p>
        </w:tc>
        <w:tc>
          <w:tcPr>
            <w:tcW w:w="9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(1,594,783)</w:t>
            </w:r>
          </w:p>
        </w:tc>
        <w:tc>
          <w:tcPr>
            <w:tcW w:w="7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71,202,103</w:t>
            </w:r>
          </w:p>
        </w:tc>
        <w:tc>
          <w:tcPr>
            <w:tcW w:w="8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(4,091,854)</w:t>
            </w:r>
          </w:p>
        </w:tc>
        <w:tc>
          <w:tcPr>
            <w:tcW w:w="720" w:type="dxa"/>
            <w:vAlign w:val="bottom"/>
          </w:tcPr>
          <w:p>
            <w:pPr>
              <w:jc w:val="right"/>
              <w:ind w:right="6"/>
              <w:spacing w:after="0" w:line="122" w:lineRule="exact"/>
              <w:rPr>
                <w:sz w:val="20"/>
                <w:szCs w:val="20"/>
                <w:color w:val="auto"/>
              </w:rPr>
            </w:pPr>
            <w:r>
              <w:rPr>
                <w:rFonts w:ascii="Arial" w:cs="Arial" w:eastAsia="Arial" w:hAnsi="Arial"/>
                <w:sz w:val="11"/>
                <w:szCs w:val="11"/>
                <w:color w:val="auto"/>
              </w:rPr>
              <w:t>31,854,876</w:t>
            </w:r>
          </w:p>
        </w:tc>
        <w:tc>
          <w:tcPr>
            <w:tcW w:w="780" w:type="dxa"/>
            <w:vAlign w:val="bottom"/>
          </w:tcPr>
          <w:p>
            <w:pPr>
              <w:jc w:val="right"/>
              <w:ind w:right="6"/>
              <w:spacing w:after="0" w:line="122" w:lineRule="exact"/>
              <w:rPr>
                <w:sz w:val="20"/>
                <w:szCs w:val="20"/>
                <w:color w:val="auto"/>
              </w:rPr>
            </w:pPr>
            <w:r>
              <w:rPr>
                <w:rFonts w:ascii="Arial" w:cs="Arial" w:eastAsia="Arial" w:hAnsi="Arial"/>
                <w:sz w:val="11"/>
                <w:szCs w:val="11"/>
                <w:color w:val="auto"/>
              </w:rPr>
              <w:t>959%</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(102%)</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1,840%**</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35"/>
        </w:trPr>
        <w:tc>
          <w:tcPr>
            <w:tcW w:w="1120" w:type="dxa"/>
            <w:vAlign w:val="bottom"/>
            <w:tcBorders>
              <w:bottom w:val="single" w:sz="8" w:color="DCDDDE"/>
            </w:tcBorders>
          </w:tcPr>
          <w:p>
            <w:pPr>
              <w:ind w:left="80"/>
              <w:spacing w:after="0"/>
              <w:rPr>
                <w:sz w:val="20"/>
                <w:szCs w:val="20"/>
                <w:color w:val="auto"/>
              </w:rPr>
            </w:pPr>
            <w:r>
              <w:rPr>
                <w:rFonts w:ascii="Arial" w:cs="Arial" w:eastAsia="Arial" w:hAnsi="Arial"/>
                <w:sz w:val="11"/>
                <w:szCs w:val="11"/>
                <w:b w:val="1"/>
                <w:bCs w:val="1"/>
                <w:color w:val="auto"/>
              </w:rPr>
              <w:t>PEO</w:t>
            </w:r>
          </w:p>
        </w:tc>
        <w:tc>
          <w:tcPr>
            <w:tcW w:w="720" w:type="dxa"/>
            <w:vAlign w:val="bottom"/>
            <w:tcBorders>
              <w:bottom w:val="single" w:sz="8" w:color="E7E6E6"/>
            </w:tcBorders>
          </w:tcPr>
          <w:p>
            <w:pPr>
              <w:spacing w:after="0"/>
              <w:rPr>
                <w:sz w:val="11"/>
                <w:szCs w:val="11"/>
                <w:color w:val="auto"/>
              </w:rPr>
            </w:pPr>
          </w:p>
        </w:tc>
        <w:tc>
          <w:tcPr>
            <w:tcW w:w="900" w:type="dxa"/>
            <w:vAlign w:val="bottom"/>
            <w:tcBorders>
              <w:bottom w:val="single" w:sz="8" w:color="DCDDDE"/>
            </w:tcBorders>
          </w:tcPr>
          <w:p>
            <w:pPr>
              <w:spacing w:after="0"/>
              <w:rPr>
                <w:sz w:val="11"/>
                <w:szCs w:val="11"/>
                <w:color w:val="auto"/>
              </w:rPr>
            </w:pPr>
          </w:p>
        </w:tc>
        <w:tc>
          <w:tcPr>
            <w:tcW w:w="780" w:type="dxa"/>
            <w:vAlign w:val="bottom"/>
            <w:tcBorders>
              <w:bottom w:val="single" w:sz="8" w:color="DCDDDE"/>
            </w:tcBorders>
          </w:tcPr>
          <w:p>
            <w:pPr>
              <w:spacing w:after="0"/>
              <w:rPr>
                <w:sz w:val="11"/>
                <w:szCs w:val="11"/>
                <w:color w:val="auto"/>
              </w:rPr>
            </w:pPr>
          </w:p>
        </w:tc>
        <w:tc>
          <w:tcPr>
            <w:tcW w:w="80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780" w:type="dxa"/>
            <w:vAlign w:val="bottom"/>
            <w:tcBorders>
              <w:bottom w:val="single" w:sz="8" w:color="DCDDDE"/>
            </w:tcBorders>
          </w:tcPr>
          <w:p>
            <w:pPr>
              <w:spacing w:after="0"/>
              <w:rPr>
                <w:sz w:val="11"/>
                <w:szCs w:val="11"/>
                <w:color w:val="auto"/>
              </w:rPr>
            </w:pPr>
          </w:p>
        </w:tc>
        <w:tc>
          <w:tcPr>
            <w:tcW w:w="760" w:type="dxa"/>
            <w:vAlign w:val="bottom"/>
            <w:tcBorders>
              <w:bottom w:val="single" w:sz="8" w:color="DCDDDE"/>
            </w:tcBorders>
          </w:tcPr>
          <w:p>
            <w:pPr>
              <w:spacing w:after="0"/>
              <w:rPr>
                <w:sz w:val="11"/>
                <w:szCs w:val="11"/>
                <w:color w:val="auto"/>
              </w:rPr>
            </w:pPr>
          </w:p>
        </w:tc>
        <w:tc>
          <w:tcPr>
            <w:tcW w:w="80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Average</w:t>
            </w: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Compensation</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18,130,063</w:t>
            </w:r>
          </w:p>
        </w:tc>
        <w:tc>
          <w:tcPr>
            <w:tcW w:w="900" w:type="dxa"/>
            <w:vAlign w:val="bottom"/>
            <w:vMerge w:val="restart"/>
          </w:tcPr>
          <w:p>
            <w:pPr>
              <w:jc w:val="right"/>
              <w:ind w:right="66"/>
              <w:spacing w:after="0"/>
              <w:rPr>
                <w:sz w:val="20"/>
                <w:szCs w:val="20"/>
                <w:color w:val="auto"/>
              </w:rPr>
            </w:pPr>
            <w:r>
              <w:rPr>
                <w:rFonts w:ascii="Arial" w:cs="Arial" w:eastAsia="Arial" w:hAnsi="Arial"/>
                <w:sz w:val="11"/>
                <w:szCs w:val="11"/>
                <w:color w:val="auto"/>
              </w:rPr>
              <w:t>3,810,943</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27,073,830</w:t>
            </w:r>
          </w:p>
        </w:tc>
        <w:tc>
          <w:tcPr>
            <w:tcW w:w="800" w:type="dxa"/>
            <w:vAlign w:val="bottom"/>
            <w:vMerge w:val="restart"/>
          </w:tcPr>
          <w:p>
            <w:pPr>
              <w:jc w:val="right"/>
              <w:ind w:right="86"/>
              <w:spacing w:after="0"/>
              <w:rPr>
                <w:sz w:val="20"/>
                <w:szCs w:val="20"/>
                <w:color w:val="auto"/>
              </w:rPr>
            </w:pPr>
            <w:r>
              <w:rPr>
                <w:rFonts w:ascii="Arial" w:cs="Arial" w:eastAsia="Arial" w:hAnsi="Arial"/>
                <w:sz w:val="11"/>
                <w:szCs w:val="11"/>
                <w:color w:val="auto"/>
              </w:rPr>
              <w:t>10,501,980</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20,790,358</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376%</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(86%)</w:t>
            </w: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158%</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74"/>
        </w:trPr>
        <w:tc>
          <w:tcPr>
            <w:tcW w:w="1120" w:type="dxa"/>
            <w:vAlign w:val="bottom"/>
            <w:vMerge w:val="restart"/>
          </w:tcPr>
          <w:p>
            <w:pPr>
              <w:ind w:left="80"/>
              <w:spacing w:after="0" w:line="122" w:lineRule="exact"/>
              <w:rPr>
                <w:sz w:val="20"/>
                <w:szCs w:val="20"/>
                <w:color w:val="auto"/>
              </w:rPr>
            </w:pPr>
            <w:r>
              <w:rPr>
                <w:rFonts w:ascii="Arial" w:cs="Arial" w:eastAsia="Arial" w:hAnsi="Arial"/>
                <w:sz w:val="11"/>
                <w:szCs w:val="11"/>
                <w:b w:val="1"/>
                <w:bCs w:val="1"/>
                <w:color w:val="auto"/>
              </w:rPr>
              <w:t>“Actually Paid” to</w:t>
            </w: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20" w:type="dxa"/>
            <w:vAlign w:val="bottom"/>
            <w:tcBorders>
              <w:bottom w:val="single" w:sz="8" w:color="DCDDDE"/>
            </w:tcBorders>
          </w:tcPr>
          <w:p>
            <w:pPr>
              <w:ind w:left="80"/>
              <w:spacing w:after="0"/>
              <w:rPr>
                <w:sz w:val="20"/>
                <w:szCs w:val="20"/>
                <w:color w:val="auto"/>
              </w:rPr>
            </w:pPr>
            <w:r>
              <w:rPr>
                <w:rFonts w:ascii="Arial" w:cs="Arial" w:eastAsia="Arial" w:hAnsi="Arial"/>
                <w:sz w:val="11"/>
                <w:szCs w:val="11"/>
                <w:b w:val="1"/>
                <w:bCs w:val="1"/>
                <w:color w:val="auto"/>
              </w:rPr>
              <w:t>non-PEOs</w:t>
            </w:r>
          </w:p>
        </w:tc>
        <w:tc>
          <w:tcPr>
            <w:tcW w:w="720" w:type="dxa"/>
            <w:vAlign w:val="bottom"/>
            <w:tcBorders>
              <w:bottom w:val="single" w:sz="8" w:color="DCDDDE"/>
            </w:tcBorders>
          </w:tcPr>
          <w:p>
            <w:pPr>
              <w:spacing w:after="0"/>
              <w:rPr>
                <w:sz w:val="11"/>
                <w:szCs w:val="11"/>
                <w:color w:val="auto"/>
              </w:rPr>
            </w:pPr>
          </w:p>
        </w:tc>
        <w:tc>
          <w:tcPr>
            <w:tcW w:w="900" w:type="dxa"/>
            <w:vAlign w:val="bottom"/>
            <w:tcBorders>
              <w:bottom w:val="single" w:sz="8" w:color="DCDDDE"/>
            </w:tcBorders>
          </w:tcPr>
          <w:p>
            <w:pPr>
              <w:spacing w:after="0"/>
              <w:rPr>
                <w:sz w:val="11"/>
                <w:szCs w:val="11"/>
                <w:color w:val="auto"/>
              </w:rPr>
            </w:pPr>
          </w:p>
        </w:tc>
        <w:tc>
          <w:tcPr>
            <w:tcW w:w="780" w:type="dxa"/>
            <w:vAlign w:val="bottom"/>
            <w:tcBorders>
              <w:bottom w:val="single" w:sz="8" w:color="DCDDDE"/>
            </w:tcBorders>
          </w:tcPr>
          <w:p>
            <w:pPr>
              <w:spacing w:after="0"/>
              <w:rPr>
                <w:sz w:val="11"/>
                <w:szCs w:val="11"/>
                <w:color w:val="auto"/>
              </w:rPr>
            </w:pPr>
          </w:p>
        </w:tc>
        <w:tc>
          <w:tcPr>
            <w:tcW w:w="80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780" w:type="dxa"/>
            <w:vAlign w:val="bottom"/>
            <w:tcBorders>
              <w:bottom w:val="single" w:sz="8" w:color="DCDDDE"/>
            </w:tcBorders>
          </w:tcPr>
          <w:p>
            <w:pPr>
              <w:spacing w:after="0"/>
              <w:rPr>
                <w:sz w:val="11"/>
                <w:szCs w:val="11"/>
                <w:color w:val="auto"/>
              </w:rPr>
            </w:pPr>
          </w:p>
        </w:tc>
        <w:tc>
          <w:tcPr>
            <w:tcW w:w="760" w:type="dxa"/>
            <w:vAlign w:val="bottom"/>
            <w:tcBorders>
              <w:bottom w:val="single" w:sz="8" w:color="DCDDDE"/>
            </w:tcBorders>
          </w:tcPr>
          <w:p>
            <w:pPr>
              <w:spacing w:after="0"/>
              <w:rPr>
                <w:sz w:val="11"/>
                <w:szCs w:val="11"/>
                <w:color w:val="auto"/>
              </w:rPr>
            </w:pPr>
          </w:p>
        </w:tc>
        <w:tc>
          <w:tcPr>
            <w:tcW w:w="80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Adjusted EBITDA*</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37.4</w:t>
            </w:r>
          </w:p>
        </w:tc>
        <w:tc>
          <w:tcPr>
            <w:tcW w:w="900" w:type="dxa"/>
            <w:vAlign w:val="bottom"/>
            <w:vMerge w:val="restart"/>
          </w:tcPr>
          <w:p>
            <w:pPr>
              <w:jc w:val="right"/>
              <w:ind w:right="66"/>
              <w:spacing w:after="0"/>
              <w:rPr>
                <w:sz w:val="20"/>
                <w:szCs w:val="20"/>
                <w:color w:val="auto"/>
              </w:rPr>
            </w:pPr>
            <w:r>
              <w:rPr>
                <w:rFonts w:ascii="Arial" w:cs="Arial" w:eastAsia="Arial" w:hAnsi="Arial"/>
                <w:sz w:val="11"/>
                <w:szCs w:val="11"/>
                <w:color w:val="auto"/>
              </w:rPr>
              <w:t>38.1</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37.6</w:t>
            </w:r>
          </w:p>
        </w:tc>
        <w:tc>
          <w:tcPr>
            <w:tcW w:w="800" w:type="dxa"/>
            <w:vAlign w:val="bottom"/>
            <w:vMerge w:val="restart"/>
          </w:tcPr>
          <w:p>
            <w:pPr>
              <w:jc w:val="right"/>
              <w:ind w:right="86"/>
              <w:spacing w:after="0"/>
              <w:rPr>
                <w:sz w:val="20"/>
                <w:szCs w:val="20"/>
                <w:color w:val="auto"/>
              </w:rPr>
            </w:pPr>
            <w:r>
              <w:rPr>
                <w:rFonts w:ascii="Arial" w:cs="Arial" w:eastAsia="Arial" w:hAnsi="Arial"/>
                <w:sz w:val="11"/>
                <w:szCs w:val="11"/>
                <w:color w:val="auto"/>
              </w:rPr>
              <w:t>36.5</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34.7</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4"/>
        </w:trPr>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 billions)</w:t>
            </w: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120" w:type="dxa"/>
            <w:vAlign w:val="bottom"/>
            <w:tcBorders>
              <w:bottom w:val="single" w:sz="8" w:color="DCDDDE"/>
            </w:tcBorders>
            <w:vMerge w:val="continue"/>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900" w:type="dxa"/>
            <w:vAlign w:val="bottom"/>
            <w:tcBorders>
              <w:bottom w:val="single" w:sz="8" w:color="DCDDDE"/>
            </w:tcBorders>
          </w:tcPr>
          <w:p>
            <w:pPr>
              <w:spacing w:after="0"/>
              <w:rPr>
                <w:sz w:val="5"/>
                <w:szCs w:val="5"/>
                <w:color w:val="auto"/>
              </w:rPr>
            </w:pPr>
          </w:p>
        </w:tc>
        <w:tc>
          <w:tcPr>
            <w:tcW w:w="780" w:type="dxa"/>
            <w:vAlign w:val="bottom"/>
            <w:tcBorders>
              <w:bottom w:val="single" w:sz="8" w:color="DCDDDE"/>
            </w:tcBorders>
          </w:tcPr>
          <w:p>
            <w:pPr>
              <w:spacing w:after="0"/>
              <w:rPr>
                <w:sz w:val="5"/>
                <w:szCs w:val="5"/>
                <w:color w:val="auto"/>
              </w:rPr>
            </w:pPr>
          </w:p>
        </w:tc>
        <w:tc>
          <w:tcPr>
            <w:tcW w:w="80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780" w:type="dxa"/>
            <w:vAlign w:val="bottom"/>
            <w:tcBorders>
              <w:bottom w:val="single" w:sz="8" w:color="DCDDDE"/>
            </w:tcBorders>
          </w:tcPr>
          <w:p>
            <w:pPr>
              <w:spacing w:after="0"/>
              <w:rPr>
                <w:sz w:val="5"/>
                <w:szCs w:val="5"/>
                <w:color w:val="auto"/>
              </w:rPr>
            </w:pPr>
          </w:p>
        </w:tc>
        <w:tc>
          <w:tcPr>
            <w:tcW w:w="760" w:type="dxa"/>
            <w:vAlign w:val="bottom"/>
            <w:tcBorders>
              <w:bottom w:val="single" w:sz="8" w:color="DCDDDE"/>
            </w:tcBorders>
          </w:tcPr>
          <w:p>
            <w:pPr>
              <w:spacing w:after="0"/>
              <w:rPr>
                <w:sz w:val="5"/>
                <w:szCs w:val="5"/>
                <w:color w:val="auto"/>
              </w:rPr>
            </w:pPr>
          </w:p>
        </w:tc>
        <w:tc>
          <w:tcPr>
            <w:tcW w:w="80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Net Income (in</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19.7</w:t>
            </w:r>
          </w:p>
        </w:tc>
        <w:tc>
          <w:tcPr>
            <w:tcW w:w="900" w:type="dxa"/>
            <w:vAlign w:val="bottom"/>
            <w:vMerge w:val="restart"/>
          </w:tcPr>
          <w:p>
            <w:pPr>
              <w:jc w:val="right"/>
              <w:ind w:right="66"/>
              <w:spacing w:after="0"/>
              <w:rPr>
                <w:sz w:val="20"/>
                <w:szCs w:val="20"/>
                <w:color w:val="auto"/>
              </w:rPr>
            </w:pPr>
            <w:r>
              <w:rPr>
                <w:rFonts w:ascii="Arial" w:cs="Arial" w:eastAsia="Arial" w:hAnsi="Arial"/>
                <w:sz w:val="11"/>
                <w:szCs w:val="11"/>
                <w:color w:val="auto"/>
              </w:rPr>
              <w:t>15.9</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15.1</w:t>
            </w:r>
          </w:p>
        </w:tc>
        <w:tc>
          <w:tcPr>
            <w:tcW w:w="800" w:type="dxa"/>
            <w:vAlign w:val="bottom"/>
            <w:vMerge w:val="restart"/>
          </w:tcPr>
          <w:p>
            <w:pPr>
              <w:jc w:val="right"/>
              <w:ind w:right="86"/>
              <w:spacing w:after="0"/>
              <w:rPr>
                <w:sz w:val="20"/>
                <w:szCs w:val="20"/>
                <w:color w:val="auto"/>
              </w:rPr>
            </w:pPr>
            <w:r>
              <w:rPr>
                <w:rFonts w:ascii="Arial" w:cs="Arial" w:eastAsia="Arial" w:hAnsi="Arial"/>
                <w:sz w:val="11"/>
                <w:szCs w:val="11"/>
                <w:color w:val="auto"/>
              </w:rPr>
              <w:t>4.9</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13.8</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5%</w:t>
            </w: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208%</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74"/>
        </w:trPr>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billions)</w:t>
            </w: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120" w:type="dxa"/>
            <w:vAlign w:val="bottom"/>
            <w:tcBorders>
              <w:bottom w:val="single" w:sz="8" w:color="DCDDDE"/>
            </w:tcBorders>
            <w:vMerge w:val="continue"/>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900" w:type="dxa"/>
            <w:vAlign w:val="bottom"/>
            <w:tcBorders>
              <w:bottom w:val="single" w:sz="8" w:color="DCDDDE"/>
            </w:tcBorders>
          </w:tcPr>
          <w:p>
            <w:pPr>
              <w:spacing w:after="0"/>
              <w:rPr>
                <w:sz w:val="5"/>
                <w:szCs w:val="5"/>
                <w:color w:val="auto"/>
              </w:rPr>
            </w:pPr>
          </w:p>
        </w:tc>
        <w:tc>
          <w:tcPr>
            <w:tcW w:w="780" w:type="dxa"/>
            <w:vAlign w:val="bottom"/>
            <w:tcBorders>
              <w:bottom w:val="single" w:sz="8" w:color="DCDDDE"/>
            </w:tcBorders>
          </w:tcPr>
          <w:p>
            <w:pPr>
              <w:spacing w:after="0"/>
              <w:rPr>
                <w:sz w:val="5"/>
                <w:szCs w:val="5"/>
                <w:color w:val="auto"/>
              </w:rPr>
            </w:pPr>
          </w:p>
        </w:tc>
        <w:tc>
          <w:tcPr>
            <w:tcW w:w="80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780" w:type="dxa"/>
            <w:vAlign w:val="bottom"/>
            <w:tcBorders>
              <w:bottom w:val="single" w:sz="8" w:color="DCDDDE"/>
            </w:tcBorders>
          </w:tcPr>
          <w:p>
            <w:pPr>
              <w:spacing w:after="0"/>
              <w:rPr>
                <w:sz w:val="5"/>
                <w:szCs w:val="5"/>
                <w:color w:val="auto"/>
              </w:rPr>
            </w:pPr>
          </w:p>
        </w:tc>
        <w:tc>
          <w:tcPr>
            <w:tcW w:w="760" w:type="dxa"/>
            <w:vAlign w:val="bottom"/>
            <w:tcBorders>
              <w:bottom w:val="single" w:sz="8" w:color="DCDDDE"/>
            </w:tcBorders>
          </w:tcPr>
          <w:p>
            <w:pPr>
              <w:spacing w:after="0"/>
              <w:rPr>
                <w:sz w:val="5"/>
                <w:szCs w:val="5"/>
                <w:color w:val="auto"/>
              </w:rPr>
            </w:pPr>
          </w:p>
        </w:tc>
        <w:tc>
          <w:tcPr>
            <w:tcW w:w="80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Company’s</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65.57</w:t>
            </w:r>
          </w:p>
        </w:tc>
        <w:tc>
          <w:tcPr>
            <w:tcW w:w="900" w:type="dxa"/>
            <w:vAlign w:val="bottom"/>
            <w:vMerge w:val="restart"/>
          </w:tcPr>
          <w:p>
            <w:pPr>
              <w:jc w:val="right"/>
              <w:ind w:right="66"/>
              <w:spacing w:after="0"/>
              <w:rPr>
                <w:sz w:val="20"/>
                <w:szCs w:val="20"/>
                <w:color w:val="auto"/>
              </w:rPr>
            </w:pPr>
            <w:r>
              <w:rPr>
                <w:rFonts w:ascii="Arial" w:cs="Arial" w:eastAsia="Arial" w:hAnsi="Arial"/>
                <w:sz w:val="11"/>
                <w:szCs w:val="11"/>
                <w:color w:val="auto"/>
              </w:rPr>
              <w:t>79.33</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89.99</w:t>
            </w:r>
          </w:p>
        </w:tc>
        <w:tc>
          <w:tcPr>
            <w:tcW w:w="800" w:type="dxa"/>
            <w:vAlign w:val="bottom"/>
            <w:vMerge w:val="restart"/>
          </w:tcPr>
          <w:p>
            <w:pPr>
              <w:jc w:val="right"/>
              <w:ind w:right="86"/>
              <w:spacing w:after="0"/>
              <w:rPr>
                <w:sz w:val="20"/>
                <w:szCs w:val="20"/>
                <w:color w:val="auto"/>
              </w:rPr>
            </w:pPr>
            <w:r>
              <w:rPr>
                <w:rFonts w:ascii="Arial" w:cs="Arial" w:eastAsia="Arial" w:hAnsi="Arial"/>
                <w:sz w:val="11"/>
                <w:szCs w:val="11"/>
                <w:color w:val="auto"/>
              </w:rPr>
              <w:t>69.73</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97.78</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(17%)</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(12%)</w:t>
            </w: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29%</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74"/>
        </w:trPr>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Cumulative TSR</w:t>
            </w: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120" w:type="dxa"/>
            <w:vAlign w:val="bottom"/>
            <w:tcBorders>
              <w:bottom w:val="single" w:sz="8" w:color="DCDDDE"/>
            </w:tcBorders>
            <w:vMerge w:val="continue"/>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900" w:type="dxa"/>
            <w:vAlign w:val="bottom"/>
            <w:tcBorders>
              <w:bottom w:val="single" w:sz="8" w:color="DCDDDE"/>
            </w:tcBorders>
          </w:tcPr>
          <w:p>
            <w:pPr>
              <w:spacing w:after="0"/>
              <w:rPr>
                <w:sz w:val="5"/>
                <w:szCs w:val="5"/>
                <w:color w:val="auto"/>
              </w:rPr>
            </w:pPr>
          </w:p>
        </w:tc>
        <w:tc>
          <w:tcPr>
            <w:tcW w:w="780" w:type="dxa"/>
            <w:vAlign w:val="bottom"/>
            <w:tcBorders>
              <w:bottom w:val="single" w:sz="8" w:color="DCDDDE"/>
            </w:tcBorders>
          </w:tcPr>
          <w:p>
            <w:pPr>
              <w:spacing w:after="0"/>
              <w:rPr>
                <w:sz w:val="5"/>
                <w:szCs w:val="5"/>
                <w:color w:val="auto"/>
              </w:rPr>
            </w:pPr>
          </w:p>
        </w:tc>
        <w:tc>
          <w:tcPr>
            <w:tcW w:w="80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780" w:type="dxa"/>
            <w:vAlign w:val="bottom"/>
            <w:tcBorders>
              <w:bottom w:val="single" w:sz="8" w:color="DCDDDE"/>
            </w:tcBorders>
          </w:tcPr>
          <w:p>
            <w:pPr>
              <w:spacing w:after="0"/>
              <w:rPr>
                <w:sz w:val="5"/>
                <w:szCs w:val="5"/>
                <w:color w:val="auto"/>
              </w:rPr>
            </w:pPr>
          </w:p>
        </w:tc>
        <w:tc>
          <w:tcPr>
            <w:tcW w:w="760" w:type="dxa"/>
            <w:vAlign w:val="bottom"/>
            <w:tcBorders>
              <w:bottom w:val="single" w:sz="8" w:color="DCDDDE"/>
            </w:tcBorders>
          </w:tcPr>
          <w:p>
            <w:pPr>
              <w:spacing w:after="0"/>
              <w:rPr>
                <w:sz w:val="5"/>
                <w:szCs w:val="5"/>
                <w:color w:val="auto"/>
              </w:rPr>
            </w:pPr>
          </w:p>
        </w:tc>
        <w:tc>
          <w:tcPr>
            <w:tcW w:w="80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120" w:type="dxa"/>
            <w:vAlign w:val="bottom"/>
          </w:tcPr>
          <w:p>
            <w:pPr>
              <w:ind w:left="80"/>
              <w:spacing w:after="0" w:line="102" w:lineRule="exact"/>
              <w:rPr>
                <w:sz w:val="20"/>
                <w:szCs w:val="20"/>
                <w:color w:val="auto"/>
              </w:rPr>
            </w:pPr>
            <w:r>
              <w:rPr>
                <w:rFonts w:ascii="Arial" w:cs="Arial" w:eastAsia="Arial" w:hAnsi="Arial"/>
                <w:sz w:val="11"/>
                <w:szCs w:val="11"/>
                <w:b w:val="1"/>
                <w:bCs w:val="1"/>
                <w:color w:val="auto"/>
              </w:rPr>
              <w:t>Peer Group</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96.29</w:t>
            </w:r>
          </w:p>
        </w:tc>
        <w:tc>
          <w:tcPr>
            <w:tcW w:w="900" w:type="dxa"/>
            <w:vAlign w:val="bottom"/>
            <w:vMerge w:val="restart"/>
          </w:tcPr>
          <w:p>
            <w:pPr>
              <w:jc w:val="right"/>
              <w:ind w:right="66"/>
              <w:spacing w:after="0"/>
              <w:rPr>
                <w:sz w:val="20"/>
                <w:szCs w:val="20"/>
                <w:color w:val="auto"/>
              </w:rPr>
            </w:pPr>
            <w:r>
              <w:rPr>
                <w:rFonts w:ascii="Arial" w:cs="Arial" w:eastAsia="Arial" w:hAnsi="Arial"/>
                <w:sz w:val="11"/>
                <w:szCs w:val="11"/>
                <w:color w:val="auto"/>
              </w:rPr>
              <w:t>92.14</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77.65</w:t>
            </w:r>
          </w:p>
        </w:tc>
        <w:tc>
          <w:tcPr>
            <w:tcW w:w="800" w:type="dxa"/>
            <w:vAlign w:val="bottom"/>
            <w:vMerge w:val="restart"/>
          </w:tcPr>
          <w:p>
            <w:pPr>
              <w:jc w:val="right"/>
              <w:ind w:right="86"/>
              <w:spacing w:after="0"/>
              <w:rPr>
                <w:sz w:val="20"/>
                <w:szCs w:val="20"/>
                <w:color w:val="auto"/>
              </w:rPr>
            </w:pPr>
            <w:r>
              <w:rPr>
                <w:rFonts w:ascii="Arial" w:cs="Arial" w:eastAsia="Arial" w:hAnsi="Arial"/>
                <w:sz w:val="11"/>
                <w:szCs w:val="11"/>
                <w:color w:val="auto"/>
              </w:rPr>
              <w:t>70.97</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91.76</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19%</w:t>
            </w:r>
          </w:p>
        </w:tc>
        <w:tc>
          <w:tcPr>
            <w:tcW w:w="800" w:type="dxa"/>
            <w:vAlign w:val="bottom"/>
            <w:vMerge w:val="restart"/>
          </w:tcPr>
          <w:p>
            <w:pPr>
              <w:jc w:val="right"/>
              <w:ind w:right="26"/>
              <w:spacing w:after="0"/>
              <w:rPr>
                <w:sz w:val="20"/>
                <w:szCs w:val="20"/>
                <w:color w:val="auto"/>
              </w:rPr>
            </w:pPr>
            <w:r>
              <w:rPr>
                <w:rFonts w:ascii="Arial" w:cs="Arial" w:eastAsia="Arial" w:hAnsi="Arial"/>
                <w:sz w:val="11"/>
                <w:szCs w:val="11"/>
                <w:color w:val="auto"/>
              </w:rPr>
              <w:t>9%</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74"/>
        </w:trPr>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Cumulative TSR</w:t>
            </w: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12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hanging="361"/>
        <w:spacing w:after="0"/>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Reconciliations of non-GAAP financial metrics to GAAP are set forth in Appendix A.</w:t>
      </w:r>
    </w:p>
    <w:p>
      <w:pPr>
        <w:spacing w:after="0" w:line="32" w:lineRule="exact"/>
        <w:rPr>
          <w:sz w:val="20"/>
          <w:szCs w:val="20"/>
          <w:color w:val="auto"/>
        </w:rPr>
      </w:pPr>
    </w:p>
    <w:p>
      <w:pPr>
        <w:ind w:left="880" w:hanging="361"/>
        <w:spacing w:after="0"/>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Percentage change is not meaningful because it compares a negative amount against a positive amount.</w:t>
      </w:r>
    </w:p>
    <w:p>
      <w:pPr>
        <w:spacing w:after="0" w:line="200" w:lineRule="exact"/>
        <w:rPr>
          <w:sz w:val="20"/>
          <w:szCs w:val="20"/>
          <w:color w:val="auto"/>
        </w:rPr>
      </w:pPr>
    </w:p>
    <w:p>
      <w:pPr>
        <w:spacing w:after="0" w:line="341" w:lineRule="exact"/>
        <w:rPr>
          <w:sz w:val="20"/>
          <w:szCs w:val="20"/>
          <w:color w:val="auto"/>
        </w:rPr>
      </w:pPr>
    </w:p>
    <w:p>
      <w:pPr>
        <w:ind w:left="1000" w:hanging="674"/>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7" w:name="page58"/>
    <w:bookmarkEnd w:id="57"/>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80" w:right="1200"/>
        <w:spacing w:after="0" w:line="254" w:lineRule="auto"/>
        <w:rPr>
          <w:sz w:val="20"/>
          <w:szCs w:val="20"/>
          <w:color w:val="auto"/>
        </w:rPr>
      </w:pPr>
      <w:r>
        <w:rPr>
          <w:rFonts w:ascii="Arial" w:cs="Arial" w:eastAsia="Arial" w:hAnsi="Arial"/>
          <w:sz w:val="16"/>
          <w:szCs w:val="16"/>
          <w:color w:val="auto"/>
        </w:rPr>
        <w:t>For a discussion of the impact of Adjusted EBITDA on the amounts of the 2025 annual cash bonus received by our NEOs, please refer to “Compensation Discussion and Analysis – Design and Structure of Our Executive Compensation Program – Compensation Decisions – Annual Cash Bonus” above on page 31 (and with respect to 2021, 2022, 2023 and 2024, please refer to pages 35-39 of our 2022 proxy statement, pages 44-47 of our 2023 proxy statement, pages 31-34 of our 2024 proxy statement and pages 31-34 of our 2025 proxy statement for similar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-269240</wp:posOffset>
            </wp:positionV>
            <wp:extent cx="1143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1380" w:right="1580"/>
        <w:spacing w:after="0" w:line="272" w:lineRule="auto"/>
        <w:rPr>
          <w:sz w:val="20"/>
          <w:szCs w:val="20"/>
          <w:color w:val="auto"/>
        </w:rPr>
      </w:pPr>
      <w:r>
        <w:rPr>
          <w:rFonts w:ascii="Arial" w:cs="Arial" w:eastAsia="Arial" w:hAnsi="Arial"/>
          <w:sz w:val="16"/>
          <w:szCs w:val="16"/>
          <w:color w:val="auto"/>
        </w:rPr>
        <w:t>Net Income is not used in the design of our executive compensation program. As a result, it does not directly impact the amount of compensation “actually paid” to our NEOs.</w:t>
      </w:r>
    </w:p>
    <w:p>
      <w:pPr>
        <w:spacing w:after="0" w:line="1" w:lineRule="exact"/>
        <w:rPr>
          <w:sz w:val="20"/>
          <w:szCs w:val="20"/>
          <w:color w:val="auto"/>
        </w:rPr>
      </w:pPr>
    </w:p>
    <w:p>
      <w:pPr>
        <w:ind w:left="1380" w:right="1240"/>
        <w:spacing w:after="0" w:line="251" w:lineRule="auto"/>
        <w:rPr>
          <w:sz w:val="20"/>
          <w:szCs w:val="20"/>
          <w:color w:val="auto"/>
        </w:rPr>
      </w:pPr>
      <w:r>
        <w:rPr>
          <w:rFonts w:ascii="Arial" w:cs="Arial" w:eastAsia="Arial" w:hAnsi="Arial"/>
          <w:sz w:val="16"/>
          <w:szCs w:val="16"/>
          <w:color w:val="auto"/>
        </w:rPr>
        <w:t>TSR, which can be affected by external factors such as economic and market conditions beyond our NEOs’ control, impacts the amount of equity compensation “actually paid” to our NEOs. Because a significant portion of the compensation “actually paid” to our NEOs is in the form of PSUs that vest over three years, and stock options that vest over five years (in the case of stock options granted between 2021 and 2024) and 9.5 years (in the case of stock options granted between 2012-2020), the ultimate value of such compensation “actually paid” to our NEOs in respect of equity awards is inherently tied to our stock price. TSR is also used as a modifier to the level of attainment of the performance goals applicable to the PSUs granted to our NEOs in 2021 and subsequent years, as further described in “Compensation Discussion and Analysis – Design and Structure of Our Executive Compensation Program – Compensation Decisions – Equity-Based Incentive Compensation.”</w:t>
      </w:r>
    </w:p>
    <w:p>
      <w:pPr>
        <w:spacing w:after="0" w:line="10" w:lineRule="exact"/>
        <w:rPr>
          <w:sz w:val="20"/>
          <w:szCs w:val="20"/>
          <w:color w:val="auto"/>
        </w:rPr>
      </w:pPr>
    </w:p>
    <w:p>
      <w:pPr>
        <w:jc w:val="both"/>
        <w:ind w:left="1380" w:right="1260" w:hanging="201"/>
        <w:spacing w:after="0" w:line="229" w:lineRule="auto"/>
        <w:tabs>
          <w:tab w:leader="none" w:pos="138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The following table sets forth an unranked list of the financial performance measures “most important” in 2025 for linking our NEOs’ compensation “actually paid” to company performance, which are the financial measures used in our annual cash bonus and long-term incentive program, as specifically listed below.</w:t>
      </w:r>
    </w:p>
    <w:p>
      <w:pPr>
        <w:ind w:left="3780"/>
        <w:spacing w:after="0"/>
        <w:rPr>
          <w:sz w:val="20"/>
          <w:szCs w:val="20"/>
          <w:color w:val="auto"/>
        </w:rPr>
      </w:pPr>
      <w:r>
        <w:rPr>
          <w:rFonts w:ascii="Arial" w:cs="Arial" w:eastAsia="Arial" w:hAnsi="Arial"/>
          <w:sz w:val="16"/>
          <w:szCs w:val="16"/>
          <w:b w:val="1"/>
          <w:bCs w:val="1"/>
          <w:color w:val="auto"/>
        </w:rPr>
        <w:t>Performance Measure</w:t>
      </w:r>
    </w:p>
    <w:p>
      <w:pPr>
        <w:spacing w:after="0" w:line="22"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Adjusted EBITDA</w:t>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Free Cash Flow</w:t>
      </w:r>
    </w:p>
    <w:p>
      <w:pPr>
        <w:spacing w:after="0" w:line="31"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Revenue</w:t>
      </w:r>
    </w:p>
    <w:p>
      <w:pPr>
        <w:spacing w:after="0" w:line="19"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ROIC</w:t>
      </w:r>
    </w:p>
    <w:p>
      <w:pPr>
        <w:spacing w:after="0" w:line="20"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Adjusted EPS growth (relative to S&amp;P 100 EPS)</w:t>
      </w:r>
    </w:p>
    <w:p>
      <w:pPr>
        <w:spacing w:after="0" w:line="32" w:lineRule="exact"/>
        <w:rPr>
          <w:sz w:val="20"/>
          <w:szCs w:val="20"/>
          <w:color w:val="auto"/>
        </w:rPr>
      </w:pPr>
    </w:p>
    <w:p>
      <w:pPr>
        <w:ind w:left="1380" w:right="1300"/>
        <w:spacing w:after="0" w:line="250" w:lineRule="auto"/>
        <w:rPr>
          <w:sz w:val="20"/>
          <w:szCs w:val="20"/>
          <w:color w:val="auto"/>
        </w:rPr>
      </w:pPr>
      <w:r>
        <w:rPr>
          <w:rFonts w:ascii="Arial" w:cs="Arial" w:eastAsia="Arial" w:hAnsi="Arial"/>
          <w:sz w:val="16"/>
          <w:szCs w:val="16"/>
          <w:color w:val="auto"/>
        </w:rPr>
        <w:t>These financial quantitative measures generally reflect those used internally to measure our performance and externally to report to investors, and we believe that, taken together, they provide a holistic measure of company growth, shareholder value and overall financial performance. We do not consider any one of the above performance measures to be the single most important financial measure for our company or executive compensation design. However, for purposes of compiling the above table in compliance with the SEC rules, which require us to present one of these most important measures, we are presenting Adjusted EBITDA. For more detail on these measures and why we believe that they are important in structuring our incentive compensation programs and linking pay with performance, please see the discussion under “Our Approach to Compensation” on page 30.</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36"/>
          <w:szCs w:val="36"/>
          <w:b w:val="1"/>
          <w:bCs w:val="1"/>
          <w:color w:val="auto"/>
        </w:rPr>
        <w:t>Shareholder Proposal</w:t>
      </w:r>
    </w:p>
    <w:p>
      <w:pPr>
        <w:spacing w:after="0" w:line="33" w:lineRule="exact"/>
        <w:rPr>
          <w:sz w:val="20"/>
          <w:szCs w:val="20"/>
          <w:color w:val="auto"/>
        </w:rPr>
      </w:pPr>
    </w:p>
    <w:p>
      <w:pPr>
        <w:ind w:left="1180" w:right="1480"/>
        <w:spacing w:after="0" w:line="238" w:lineRule="auto"/>
        <w:rPr>
          <w:sz w:val="20"/>
          <w:szCs w:val="20"/>
          <w:color w:val="auto"/>
        </w:rPr>
      </w:pPr>
      <w:r>
        <w:rPr>
          <w:rFonts w:ascii="Arial" w:cs="Arial" w:eastAsia="Arial" w:hAnsi="Arial"/>
          <w:sz w:val="18"/>
          <w:szCs w:val="18"/>
          <w:color w:val="auto"/>
        </w:rPr>
        <w:t>We received the following shareholder proposal. To be voted upon at our 2026 annual meeting of shareholders, the proponent, or a representative of the proponent qualified under Pennsylvania law, must be present at the meeting to present the proposal. We provide the name of the proponent below and will promptly supply the address and number of shares of our Class A common stock or, if not available, the market value of our Class A common stock held by the proponent, upon oral or written request to the Secretary.</w:t>
      </w:r>
    </w:p>
    <w:p>
      <w:pPr>
        <w:spacing w:after="0" w:line="6" w:lineRule="exact"/>
        <w:rPr>
          <w:sz w:val="20"/>
          <w:szCs w:val="20"/>
          <w:color w:val="auto"/>
        </w:rPr>
      </w:pPr>
    </w:p>
    <w:p>
      <w:pPr>
        <w:jc w:val="both"/>
        <w:ind w:left="1180" w:right="1400"/>
        <w:spacing w:after="0" w:line="243" w:lineRule="auto"/>
        <w:rPr>
          <w:sz w:val="20"/>
          <w:szCs w:val="20"/>
          <w:color w:val="auto"/>
        </w:rPr>
      </w:pPr>
      <w:r>
        <w:rPr>
          <w:rFonts w:ascii="Arial" w:cs="Arial" w:eastAsia="Arial" w:hAnsi="Arial"/>
          <w:sz w:val="18"/>
          <w:szCs w:val="18"/>
          <w:color w:val="auto"/>
        </w:rPr>
        <w:t>In November 2025, the Staff of the SEC’s Division of Corporation Finance announced that they would not respond to most requests for exclusion of shareholder proposals under SEC Rule 14a-8. Following that announcement, and based on our review of the applicable law and SEC rules, we determined we had a reasonable basis to exclude a proposal that substantially duplicated, and was received after, the proposal included below.</w:t>
      </w:r>
    </w:p>
    <w:p>
      <w:pPr>
        <w:spacing w:after="0" w:line="1" w:lineRule="exact"/>
        <w:rPr>
          <w:sz w:val="20"/>
          <w:szCs w:val="20"/>
          <w:color w:val="auto"/>
        </w:rPr>
      </w:pPr>
    </w:p>
    <w:p>
      <w:pPr>
        <w:ind w:left="1180" w:right="1180"/>
        <w:spacing w:after="0" w:line="246" w:lineRule="auto"/>
        <w:rPr>
          <w:sz w:val="20"/>
          <w:szCs w:val="20"/>
          <w:color w:val="auto"/>
        </w:rPr>
      </w:pPr>
      <w:r>
        <w:rPr>
          <w:rFonts w:ascii="Arial" w:cs="Arial" w:eastAsia="Arial" w:hAnsi="Arial"/>
          <w:sz w:val="18"/>
          <w:szCs w:val="18"/>
          <w:color w:val="auto"/>
        </w:rPr>
        <w:t xml:space="preserve">All statements contained in the shareholder proposal and supporting statement are the sole responsibility of the proponent. Other than adding a brief title, we have included the text of the proposal and the shareholder’s supporting statement. Following the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it.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55</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58" w:name="page59"/>
    <w:bookmarkEnd w:id="5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943610</wp:posOffset>
            </wp:positionV>
            <wp:extent cx="1105535" cy="291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0553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80645</wp:posOffset>
            </wp:positionV>
            <wp:extent cx="5306060" cy="7886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06060" cy="788670"/>
                    </a:xfrm>
                    <a:prstGeom prst="rect">
                      <a:avLst/>
                    </a:prstGeom>
                    <a:noFill/>
                  </pic:spPr>
                </pic:pic>
              </a:graphicData>
            </a:graphic>
          </wp:anchor>
        </w:drawing>
      </w:r>
    </w:p>
    <w:p>
      <w:pPr>
        <w:spacing w:after="0" w:line="204" w:lineRule="exact"/>
        <w:rPr>
          <w:sz w:val="20"/>
          <w:szCs w:val="20"/>
          <w:color w:val="auto"/>
        </w:rPr>
      </w:pPr>
    </w:p>
    <w:p>
      <w:pPr>
        <w:ind w:left="460" w:right="1119"/>
        <w:spacing w:after="0" w:line="298" w:lineRule="auto"/>
        <w:rPr>
          <w:sz w:val="20"/>
          <w:szCs w:val="20"/>
          <w:color w:val="auto"/>
        </w:rPr>
      </w:pPr>
      <w:r>
        <w:rPr>
          <w:rFonts w:ascii="Arial" w:cs="Arial" w:eastAsia="Arial" w:hAnsi="Arial"/>
          <w:sz w:val="25"/>
          <w:szCs w:val="25"/>
          <w:b w:val="1"/>
          <w:bCs w:val="1"/>
          <w:color w:val="auto"/>
        </w:rPr>
        <w:t>Shareholder Proposal to Adopt Policy to Have an Independent Chair</w:t>
      </w:r>
    </w:p>
    <w:p>
      <w:pPr>
        <w:spacing w:after="0" w:line="7" w:lineRule="exact"/>
        <w:rPr>
          <w:sz w:val="20"/>
          <w:szCs w:val="20"/>
          <w:color w:val="auto"/>
        </w:rPr>
      </w:pPr>
    </w:p>
    <w:p>
      <w:pPr>
        <w:ind w:left="960" w:right="879"/>
        <w:spacing w:after="0" w:line="271" w:lineRule="auto"/>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shareholder proposal.</w:t>
      </w:r>
    </w:p>
    <w:p>
      <w:pPr>
        <w:spacing w:after="0" w:line="167" w:lineRule="exact"/>
        <w:rPr>
          <w:sz w:val="20"/>
          <w:szCs w:val="20"/>
          <w:color w:val="auto"/>
        </w:rPr>
      </w:pPr>
    </w:p>
    <w:p>
      <w:pPr>
        <w:ind w:left="320" w:right="919"/>
        <w:spacing w:after="0" w:line="271" w:lineRule="auto"/>
        <w:rPr>
          <w:sz w:val="20"/>
          <w:szCs w:val="20"/>
          <w:color w:val="auto"/>
        </w:rPr>
      </w:pPr>
      <w:r>
        <w:rPr>
          <w:rFonts w:ascii="Arial" w:cs="Arial" w:eastAsia="Arial" w:hAnsi="Arial"/>
          <w:sz w:val="18"/>
          <w:szCs w:val="18"/>
          <w:color w:val="auto"/>
        </w:rPr>
        <w:t>The following proposal and supporting statement were submitted by the National Legal and Policy Center.</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22"/>
          <w:szCs w:val="22"/>
          <w:color w:val="00A0DD"/>
        </w:rPr>
        <w:t>Supporting Statement</w:t>
      </w:r>
    </w:p>
    <w:p>
      <w:pPr>
        <w:spacing w:after="0" w:line="106" w:lineRule="exact"/>
        <w:rPr>
          <w:sz w:val="20"/>
          <w:szCs w:val="20"/>
          <w:color w:val="auto"/>
        </w:rPr>
      </w:pPr>
    </w:p>
    <w:p>
      <w:pPr>
        <w:ind w:left="320" w:right="2979"/>
        <w:spacing w:after="0" w:line="360" w:lineRule="auto"/>
        <w:rPr>
          <w:sz w:val="20"/>
          <w:szCs w:val="20"/>
          <w:color w:val="auto"/>
        </w:rPr>
      </w:pPr>
      <w:r>
        <w:rPr>
          <w:rFonts w:ascii="Arial" w:cs="Arial" w:eastAsia="Arial" w:hAnsi="Arial"/>
          <w:sz w:val="18"/>
          <w:szCs w:val="18"/>
          <w:color w:val="auto"/>
        </w:rPr>
        <w:t xml:space="preserve">Request for Board of Directors to Adopt Policy for an Independent Chair </w:t>
      </w:r>
      <w:r>
        <w:rPr>
          <w:rFonts w:ascii="Arial" w:cs="Arial" w:eastAsia="Arial" w:hAnsi="Arial"/>
          <w:sz w:val="18"/>
          <w:szCs w:val="18"/>
          <w:b w:val="1"/>
          <w:bCs w:val="1"/>
          <w:color w:val="auto"/>
        </w:rPr>
        <w:t>RESOLVED:</w:t>
      </w:r>
    </w:p>
    <w:p>
      <w:pPr>
        <w:ind w:left="320" w:right="459"/>
        <w:spacing w:after="0" w:line="247" w:lineRule="auto"/>
        <w:rPr>
          <w:sz w:val="20"/>
          <w:szCs w:val="20"/>
          <w:color w:val="auto"/>
        </w:rPr>
      </w:pPr>
      <w:r>
        <w:rPr>
          <w:rFonts w:ascii="Arial" w:cs="Arial" w:eastAsia="Arial" w:hAnsi="Arial"/>
          <w:sz w:val="18"/>
          <w:szCs w:val="18"/>
          <w:color w:val="auto"/>
        </w:rPr>
        <w:t>Shareholders request the Board of Directors of Comcast Corporation (“Company”) adopt as policy, and amend the governing documents as necessary, to require hereafter that that two separate people hold the office of the Chairman of the Board (“Chair”) and the office of the Chief Executive Officer (“CEO”) as follows:</w:t>
      </w:r>
    </w:p>
    <w:p>
      <w:pPr>
        <w:spacing w:after="0" w:line="66" w:lineRule="exact"/>
        <w:rPr>
          <w:sz w:val="20"/>
          <w:szCs w:val="20"/>
          <w:color w:val="auto"/>
        </w:rPr>
      </w:pPr>
    </w:p>
    <w:p>
      <w:pPr>
        <w:ind w:left="320" w:right="739"/>
        <w:spacing w:after="0" w:line="271" w:lineRule="auto"/>
        <w:rPr>
          <w:sz w:val="20"/>
          <w:szCs w:val="20"/>
          <w:color w:val="auto"/>
        </w:rPr>
      </w:pPr>
      <w:r>
        <w:rPr>
          <w:rFonts w:ascii="Arial" w:cs="Arial" w:eastAsia="Arial" w:hAnsi="Arial"/>
          <w:sz w:val="18"/>
          <w:szCs w:val="18"/>
          <w:b w:val="1"/>
          <w:bCs w:val="1"/>
          <w:color w:val="auto"/>
        </w:rPr>
        <w:t xml:space="preserve">Selection of the Board Chair: </w:t>
      </w:r>
      <w:r>
        <w:rPr>
          <w:rFonts w:ascii="Arial" w:cs="Arial" w:eastAsia="Arial" w:hAnsi="Arial"/>
          <w:sz w:val="18"/>
          <w:szCs w:val="18"/>
          <w:color w:val="auto"/>
        </w:rPr>
        <w:t>The Board requires the separation of the offices of the Chair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CEO.</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Whenever possible, the Chair shall be an Independent Director.</w:t>
      </w:r>
    </w:p>
    <w:p>
      <w:pPr>
        <w:spacing w:after="0" w:line="104" w:lineRule="exact"/>
        <w:rPr>
          <w:sz w:val="20"/>
          <w:szCs w:val="20"/>
          <w:color w:val="auto"/>
        </w:rPr>
      </w:pPr>
    </w:p>
    <w:p>
      <w:pPr>
        <w:ind w:left="320" w:right="639"/>
        <w:spacing w:after="0" w:line="271" w:lineRule="auto"/>
        <w:rPr>
          <w:sz w:val="20"/>
          <w:szCs w:val="20"/>
          <w:color w:val="auto"/>
        </w:rPr>
      </w:pPr>
      <w:r>
        <w:rPr>
          <w:rFonts w:ascii="Arial" w:cs="Arial" w:eastAsia="Arial" w:hAnsi="Arial"/>
          <w:sz w:val="18"/>
          <w:szCs w:val="18"/>
          <w:color w:val="auto"/>
        </w:rPr>
        <w:t>The Board may select a temporary Chair who is not an Independent Director to serve while the Board seeks an independent Chair.</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Chair should not be a former CEO of the company.</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Selection of the Chair shall be consistent with applicable law and existing contracts.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320" w:right="419"/>
        <w:spacing w:after="0" w:line="235" w:lineRule="auto"/>
        <w:rPr>
          <w:sz w:val="20"/>
          <w:szCs w:val="20"/>
          <w:color w:val="auto"/>
        </w:rPr>
      </w:pPr>
      <w:r>
        <w:rPr>
          <w:rFonts w:ascii="Arial" w:cs="Arial" w:eastAsia="Arial" w:hAnsi="Arial"/>
          <w:sz w:val="18"/>
          <w:szCs w:val="18"/>
          <w:color w:val="auto"/>
        </w:rPr>
        <w:t>Through December 2025 the Company’s CEO was also Board Chair, and he was scheduled to continue as co-CEO beginning in January 2026 while remaining Board Chair.</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These roles — each with separate, different responsibilities that are critical to the health of a successful corporation — are greatly diminished when held by a singular company official, weakening its governance structure.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Expert perspectives substantiate our position:</w:t>
      </w:r>
    </w:p>
    <w:p>
      <w:pPr>
        <w:spacing w:after="0" w:line="77" w:lineRule="exact"/>
        <w:rPr>
          <w:sz w:val="20"/>
          <w:szCs w:val="20"/>
          <w:color w:val="auto"/>
        </w:rPr>
      </w:pPr>
    </w:p>
    <w:p>
      <w:pPr>
        <w:ind w:left="520" w:right="719" w:hanging="196"/>
        <w:spacing w:after="0" w:line="255" w:lineRule="auto"/>
        <w:tabs>
          <w:tab w:leader="none" w:pos="520" w:val="left"/>
        </w:tabs>
        <w:numPr>
          <w:ilvl w:val="0"/>
          <w:numId w:val="97"/>
        </w:numPr>
        <w:rPr>
          <w:rFonts w:ascii="Times New Roman" w:cs="Times New Roman" w:eastAsia="Times New Roman" w:hAnsi="Times New Roman"/>
          <w:sz w:val="18"/>
          <w:szCs w:val="18"/>
          <w:color w:val="00A0DD"/>
        </w:rPr>
      </w:pPr>
      <w:r>
        <w:rPr>
          <w:rFonts w:ascii="Arial" w:cs="Arial" w:eastAsia="Arial" w:hAnsi="Arial"/>
          <w:sz w:val="18"/>
          <w:szCs w:val="18"/>
          <w:color w:val="auto"/>
        </w:rPr>
        <w:t>According to the 2024 Spencer Stuart Board Index survey, 60 percent of S&amp;P 500 companies had separate CEOs and Board Chairs as of 2024, up from 47 percent in 2014. Meanwhile, 39% of companies had an independent chair as of 2024, up from 28% in 2014.</w:t>
      </w:r>
      <w:r>
        <w:rPr>
          <w:rFonts w:ascii="Arial" w:cs="Arial" w:eastAsia="Arial" w:hAnsi="Arial"/>
          <w:sz w:val="21"/>
          <w:szCs w:val="21"/>
          <w:color w:val="auto"/>
          <w:vertAlign w:val="superscript"/>
        </w:rPr>
        <w:t>(2)</w:t>
      </w:r>
    </w:p>
    <w:p>
      <w:pPr>
        <w:spacing w:after="0" w:line="2" w:lineRule="exact"/>
        <w:rPr>
          <w:rFonts w:ascii="Times New Roman" w:cs="Times New Roman" w:eastAsia="Times New Roman" w:hAnsi="Times New Roman"/>
          <w:sz w:val="18"/>
          <w:szCs w:val="18"/>
          <w:color w:val="00A0DD"/>
        </w:rPr>
      </w:pPr>
    </w:p>
    <w:p>
      <w:pPr>
        <w:ind w:left="520" w:right="339" w:hanging="196"/>
        <w:spacing w:after="0" w:line="251" w:lineRule="auto"/>
        <w:tabs>
          <w:tab w:leader="none" w:pos="520" w:val="left"/>
        </w:tabs>
        <w:numPr>
          <w:ilvl w:val="0"/>
          <w:numId w:val="97"/>
        </w:numPr>
        <w:rPr>
          <w:rFonts w:ascii="Times New Roman" w:cs="Times New Roman" w:eastAsia="Times New Roman" w:hAnsi="Times New Roman"/>
          <w:sz w:val="18"/>
          <w:szCs w:val="18"/>
          <w:color w:val="00A0DD"/>
        </w:rPr>
      </w:pPr>
      <w:r>
        <w:rPr>
          <w:rFonts w:ascii="Arial" w:cs="Arial" w:eastAsia="Arial" w:hAnsi="Arial"/>
          <w:sz w:val="18"/>
          <w:szCs w:val="18"/>
          <w:color w:val="auto"/>
        </w:rPr>
        <w:t>Proxy adviser Institutional Shareholder Services contends that “the chair of the board should ideally be an independent director,” and generally encourages investors to vote for “shareholder proposals requiring that the board chair position be filled by an independent director.”</w:t>
      </w:r>
      <w:r>
        <w:rPr>
          <w:rFonts w:ascii="Arial" w:cs="Arial" w:eastAsia="Arial" w:hAnsi="Arial"/>
          <w:sz w:val="21"/>
          <w:szCs w:val="21"/>
          <w:color w:val="auto"/>
          <w:vertAlign w:val="superscript"/>
        </w:rPr>
        <w:t>(3)</w:t>
      </w:r>
    </w:p>
    <w:p>
      <w:pPr>
        <w:spacing w:after="0" w:line="2" w:lineRule="exact"/>
        <w:rPr>
          <w:rFonts w:ascii="Times New Roman" w:cs="Times New Roman" w:eastAsia="Times New Roman" w:hAnsi="Times New Roman"/>
          <w:sz w:val="18"/>
          <w:szCs w:val="18"/>
          <w:color w:val="00A0DD"/>
        </w:rPr>
      </w:pPr>
    </w:p>
    <w:p>
      <w:pPr>
        <w:ind w:left="520" w:right="359" w:hanging="196"/>
        <w:spacing w:after="0" w:line="246" w:lineRule="auto"/>
        <w:tabs>
          <w:tab w:leader="none" w:pos="520" w:val="left"/>
        </w:tabs>
        <w:numPr>
          <w:ilvl w:val="0"/>
          <w:numId w:val="97"/>
        </w:numPr>
        <w:rPr>
          <w:rFonts w:ascii="Times New Roman" w:cs="Times New Roman" w:eastAsia="Times New Roman" w:hAnsi="Times New Roman"/>
          <w:sz w:val="18"/>
          <w:szCs w:val="18"/>
          <w:color w:val="00A0DD"/>
        </w:rPr>
      </w:pPr>
      <w:r>
        <w:rPr>
          <w:rFonts w:ascii="Arial" w:cs="Arial" w:eastAsia="Arial" w:hAnsi="Arial"/>
          <w:sz w:val="18"/>
          <w:szCs w:val="18"/>
          <w:color w:val="auto"/>
        </w:rPr>
        <w:t>Proxy adviser Glass Lewis wrote in 2024, “it can become difficult for a board to fulfill its role of overseer and policy setter when a CEO/chair controls the agenda and the boardroom discussion. Such control can allow a CEO to have an entrenched position, leading to longer-than-optimal terms, fewer checks on management, less scrutiny of the business operation, and limitations on independent, shareholder-focused goal-setting by the board.”</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340" w:lineRule="exact"/>
        <w:rPr>
          <w:sz w:val="20"/>
          <w:szCs w:val="20"/>
          <w:color w:val="auto"/>
        </w:rPr>
      </w:pPr>
    </w:p>
    <w:p>
      <w:pPr>
        <w:ind w:left="1000" w:hanging="674"/>
        <w:spacing w:after="0"/>
        <w:tabs>
          <w:tab w:leader="none" w:pos="100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59" w:name="page60"/>
    <w:bookmarkEnd w:id="5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80" w:right="1300" w:hanging="196"/>
        <w:spacing w:after="0" w:line="248" w:lineRule="auto"/>
        <w:tabs>
          <w:tab w:leader="none" w:pos="1380" w:val="left"/>
        </w:tabs>
        <w:numPr>
          <w:ilvl w:val="0"/>
          <w:numId w:val="99"/>
        </w:numPr>
        <w:rPr>
          <w:rFonts w:ascii="Times New Roman" w:cs="Times New Roman" w:eastAsia="Times New Roman" w:hAnsi="Times New Roman"/>
          <w:sz w:val="18"/>
          <w:szCs w:val="18"/>
          <w:color w:val="00A0DD"/>
        </w:rPr>
      </w:pPr>
      <w:r>
        <w:rPr>
          <w:rFonts w:ascii="Arial" w:cs="Arial" w:eastAsia="Arial" w:hAnsi="Arial"/>
          <w:sz w:val="18"/>
          <w:szCs w:val="18"/>
          <w:color w:val="auto"/>
        </w:rPr>
        <w:t>According to the CFA Institute Research and Policy Center, “Combining [Chair and CEO] positions may give undue influence to executive board members and impair the ability and willingness of board members to exercise their independent judgment... Many jurisdictions consider the separation of the Chair and CEO positions a best practice because it ensures that the board agenda is set by an independent voice uninfluenced by the CEO.”</w:t>
      </w:r>
      <w:r>
        <w:rPr>
          <w:rFonts w:ascii="Arial" w:cs="Arial" w:eastAsia="Arial" w:hAnsi="Arial"/>
          <w:sz w:val="21"/>
          <w:szCs w:val="21"/>
          <w:color w:val="auto"/>
          <w:vertAlign w:val="superscript"/>
        </w:rPr>
        <w:t>(5)</w:t>
      </w:r>
    </w:p>
    <w:p>
      <w:pPr>
        <w:spacing w:after="0" w:line="1" w:lineRule="exact"/>
        <w:rPr>
          <w:rFonts w:ascii="Times New Roman" w:cs="Times New Roman" w:eastAsia="Times New Roman" w:hAnsi="Times New Roman"/>
          <w:sz w:val="18"/>
          <w:szCs w:val="18"/>
          <w:color w:val="00A0DD"/>
        </w:rPr>
      </w:pPr>
    </w:p>
    <w:p>
      <w:pPr>
        <w:ind w:left="1380" w:right="1300" w:hanging="196"/>
        <w:spacing w:after="0" w:line="254" w:lineRule="auto"/>
        <w:tabs>
          <w:tab w:leader="none" w:pos="1380" w:val="left"/>
        </w:tabs>
        <w:numPr>
          <w:ilvl w:val="0"/>
          <w:numId w:val="99"/>
        </w:numPr>
        <w:rPr>
          <w:rFonts w:ascii="Times New Roman" w:cs="Times New Roman" w:eastAsia="Times New Roman" w:hAnsi="Times New Roman"/>
          <w:sz w:val="18"/>
          <w:szCs w:val="18"/>
          <w:color w:val="00A0DD"/>
        </w:rPr>
      </w:pPr>
      <w:r>
        <w:rPr>
          <w:rFonts w:ascii="Arial" w:cs="Arial" w:eastAsia="Arial" w:hAnsi="Arial"/>
          <w:sz w:val="18"/>
          <w:szCs w:val="18"/>
          <w:color w:val="auto"/>
        </w:rPr>
        <w:t>Search firm Calibre One argues that “governance best practices increasingly recommend separating the roles of CEO from the Chair of the Board, especially in times of leadership transition or strategic inflection... When one executive holds both titles, it can lead to ambiguity in oversight responsibilities. By contrast, separating the roles introduces a clearer distinction.”</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14605</wp:posOffset>
            </wp:positionV>
            <wp:extent cx="7886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5" w:lineRule="exact"/>
        <w:rPr>
          <w:sz w:val="20"/>
          <w:szCs w:val="20"/>
          <w:color w:val="auto"/>
        </w:rPr>
      </w:pPr>
    </w:p>
    <w:p>
      <w:pPr>
        <w:ind w:left="1380" w:right="1500" w:hanging="201"/>
        <w:spacing w:after="0" w:line="215" w:lineRule="auto"/>
        <w:tabs>
          <w:tab w:leader="none" w:pos="1380" w:val="left"/>
        </w:tabs>
        <w:numPr>
          <w:ilvl w:val="0"/>
          <w:numId w:val="100"/>
        </w:numPr>
        <w:rPr>
          <w:rFonts w:ascii="Times New Roman" w:cs="Times New Roman" w:eastAsia="Times New Roman" w:hAnsi="Times New Roman"/>
          <w:sz w:val="22"/>
          <w:szCs w:val="22"/>
          <w:color w:val="auto"/>
          <w:vertAlign w:val="superscript"/>
        </w:rPr>
      </w:pPr>
      <w:r>
        <w:rPr>
          <w:rFonts w:ascii="Arial" w:cs="Arial" w:eastAsia="Arial" w:hAnsi="Arial"/>
          <w:sz w:val="16"/>
          <w:szCs w:val="16"/>
          <w:i w:val="1"/>
          <w:iCs w:val="1"/>
          <w:color w:val="auto"/>
        </w:rPr>
        <w:t>https://www.cmcsa.com/news-releases/news-release-details/comcast-corporations-mike-cavanagh-join-brian-roberts-co-chief</w:t>
      </w:r>
    </w:p>
    <w:p>
      <w:pPr>
        <w:ind w:left="1380" w:hanging="201"/>
        <w:spacing w:after="0" w:line="188" w:lineRule="auto"/>
        <w:tabs>
          <w:tab w:leader="none" w:pos="1380" w:val="left"/>
        </w:tabs>
        <w:numPr>
          <w:ilvl w:val="0"/>
          <w:numId w:val="100"/>
        </w:numPr>
        <w:rPr>
          <w:rFonts w:ascii="Times New Roman" w:cs="Times New Roman" w:eastAsia="Times New Roman" w:hAnsi="Times New Roman"/>
          <w:sz w:val="22"/>
          <w:szCs w:val="22"/>
          <w:color w:val="auto"/>
          <w:vertAlign w:val="superscript"/>
        </w:rPr>
      </w:pPr>
      <w:r>
        <w:rPr>
          <w:rFonts w:ascii="Arial" w:cs="Arial" w:eastAsia="Arial" w:hAnsi="Arial"/>
          <w:sz w:val="16"/>
          <w:szCs w:val="16"/>
          <w:i w:val="1"/>
          <w:iCs w:val="1"/>
          <w:color w:val="auto"/>
        </w:rPr>
        <w:t>https://www.spencerstuart.com/-/media/2024/09/ssbi2024/2024_us_spencer_stuart_board_index.pdf</w:t>
      </w:r>
    </w:p>
    <w:p>
      <w:pPr>
        <w:spacing w:after="0" w:line="4" w:lineRule="exact"/>
        <w:rPr>
          <w:rFonts w:ascii="Times New Roman" w:cs="Times New Roman" w:eastAsia="Times New Roman" w:hAnsi="Times New Roman"/>
          <w:sz w:val="22"/>
          <w:szCs w:val="22"/>
          <w:color w:val="auto"/>
          <w:vertAlign w:val="superscript"/>
        </w:rPr>
      </w:pPr>
    </w:p>
    <w:p>
      <w:pPr>
        <w:ind w:left="1380" w:hanging="201"/>
        <w:spacing w:after="0" w:line="188" w:lineRule="auto"/>
        <w:tabs>
          <w:tab w:leader="none" w:pos="1380" w:val="left"/>
        </w:tabs>
        <w:numPr>
          <w:ilvl w:val="0"/>
          <w:numId w:val="100"/>
        </w:numPr>
        <w:rPr>
          <w:rFonts w:ascii="Times New Roman" w:cs="Times New Roman" w:eastAsia="Times New Roman" w:hAnsi="Times New Roman"/>
          <w:sz w:val="22"/>
          <w:szCs w:val="22"/>
          <w:color w:val="auto"/>
          <w:vertAlign w:val="superscript"/>
        </w:rPr>
      </w:pPr>
      <w:r>
        <w:rPr>
          <w:rFonts w:ascii="Arial" w:cs="Arial" w:eastAsia="Arial" w:hAnsi="Arial"/>
          <w:sz w:val="16"/>
          <w:szCs w:val="16"/>
          <w:i w:val="1"/>
          <w:iCs w:val="1"/>
          <w:color w:val="auto"/>
        </w:rPr>
        <w:t>https://www.issgovernance.com/file/policy/active/americas/US-Voting-Guidelines.pdf</w:t>
      </w:r>
    </w:p>
    <w:p>
      <w:pPr>
        <w:spacing w:after="0" w:line="4" w:lineRule="exact"/>
        <w:rPr>
          <w:rFonts w:ascii="Times New Roman" w:cs="Times New Roman" w:eastAsia="Times New Roman" w:hAnsi="Times New Roman"/>
          <w:sz w:val="22"/>
          <w:szCs w:val="22"/>
          <w:color w:val="auto"/>
          <w:vertAlign w:val="superscript"/>
        </w:rPr>
      </w:pPr>
    </w:p>
    <w:p>
      <w:pPr>
        <w:ind w:left="1380" w:hanging="201"/>
        <w:spacing w:after="0" w:line="188" w:lineRule="auto"/>
        <w:tabs>
          <w:tab w:leader="none" w:pos="1380" w:val="left"/>
        </w:tabs>
        <w:numPr>
          <w:ilvl w:val="0"/>
          <w:numId w:val="100"/>
        </w:numPr>
        <w:rPr>
          <w:rFonts w:ascii="Times New Roman" w:cs="Times New Roman" w:eastAsia="Times New Roman" w:hAnsi="Times New Roman"/>
          <w:sz w:val="22"/>
          <w:szCs w:val="22"/>
          <w:color w:val="auto"/>
          <w:vertAlign w:val="superscript"/>
        </w:rPr>
      </w:pPr>
      <w:r>
        <w:rPr>
          <w:rFonts w:ascii="Arial" w:cs="Arial" w:eastAsia="Arial" w:hAnsi="Arial"/>
          <w:sz w:val="16"/>
          <w:szCs w:val="16"/>
          <w:i w:val="1"/>
          <w:iCs w:val="1"/>
          <w:color w:val="auto"/>
        </w:rPr>
        <w:t>https://resources.glasslewis.com/hubfs/2024%20Guidelines/2024%20US%20Benchmark%20Policy%20Guidelines.pdf</w:t>
      </w:r>
    </w:p>
    <w:p>
      <w:pPr>
        <w:spacing w:after="0" w:line="4" w:lineRule="exact"/>
        <w:rPr>
          <w:rFonts w:ascii="Times New Roman" w:cs="Times New Roman" w:eastAsia="Times New Roman" w:hAnsi="Times New Roman"/>
          <w:sz w:val="22"/>
          <w:szCs w:val="22"/>
          <w:color w:val="auto"/>
          <w:vertAlign w:val="superscript"/>
        </w:rPr>
      </w:pPr>
    </w:p>
    <w:p>
      <w:pPr>
        <w:ind w:left="1380" w:right="1420" w:hanging="201"/>
        <w:spacing w:after="0" w:line="207" w:lineRule="auto"/>
        <w:tabs>
          <w:tab w:leader="none" w:pos="1380" w:val="left"/>
        </w:tabs>
        <w:numPr>
          <w:ilvl w:val="0"/>
          <w:numId w:val="100"/>
        </w:numPr>
        <w:rPr>
          <w:rFonts w:ascii="Times New Roman" w:cs="Times New Roman" w:eastAsia="Times New Roman" w:hAnsi="Times New Roman"/>
          <w:sz w:val="22"/>
          <w:szCs w:val="22"/>
          <w:color w:val="auto"/>
          <w:vertAlign w:val="superscript"/>
        </w:rPr>
      </w:pPr>
      <w:r>
        <w:rPr>
          <w:rFonts w:ascii="Arial" w:cs="Arial" w:eastAsia="Arial" w:hAnsi="Arial"/>
          <w:sz w:val="16"/>
          <w:szCs w:val="16"/>
          <w:i w:val="1"/>
          <w:iCs w:val="1"/>
          <w:color w:val="auto"/>
        </w:rPr>
        <w:t>https://rpc.cfainstitute.org/-/rnedia/documents/article/position-paper/corporate-govemance-of-listed-companies-3rd-edition.pdf</w:t>
      </w:r>
    </w:p>
    <w:p>
      <w:pPr>
        <w:spacing w:after="0" w:line="1" w:lineRule="exact"/>
        <w:rPr>
          <w:rFonts w:ascii="Times New Roman" w:cs="Times New Roman" w:eastAsia="Times New Roman" w:hAnsi="Times New Roman"/>
          <w:sz w:val="22"/>
          <w:szCs w:val="22"/>
          <w:color w:val="auto"/>
          <w:vertAlign w:val="superscript"/>
        </w:rPr>
      </w:pPr>
    </w:p>
    <w:p>
      <w:pPr>
        <w:ind w:left="1380" w:hanging="201"/>
        <w:spacing w:after="0" w:line="188" w:lineRule="auto"/>
        <w:tabs>
          <w:tab w:leader="none" w:pos="1380" w:val="left"/>
        </w:tabs>
        <w:numPr>
          <w:ilvl w:val="0"/>
          <w:numId w:val="100"/>
        </w:numPr>
        <w:rPr>
          <w:rFonts w:ascii="Times New Roman" w:cs="Times New Roman" w:eastAsia="Times New Roman" w:hAnsi="Times New Roman"/>
          <w:sz w:val="22"/>
          <w:szCs w:val="22"/>
          <w:color w:val="auto"/>
          <w:vertAlign w:val="superscript"/>
        </w:rPr>
      </w:pPr>
      <w:r>
        <w:rPr>
          <w:rFonts w:ascii="Arial" w:cs="Arial" w:eastAsia="Arial" w:hAnsi="Arial"/>
          <w:sz w:val="16"/>
          <w:szCs w:val="16"/>
          <w:i w:val="1"/>
          <w:iCs w:val="1"/>
          <w:color w:val="auto"/>
        </w:rPr>
        <w:t>https://www.calibreone.com/a-thoughtful-look-at-ceo-chair-separation-what-boards-should-consider-in-2025/</w:t>
      </w:r>
    </w:p>
    <w:p>
      <w:pPr>
        <w:spacing w:after="0" w:line="84" w:lineRule="exact"/>
        <w:rPr>
          <w:sz w:val="20"/>
          <w:szCs w:val="20"/>
          <w:color w:val="auto"/>
        </w:rPr>
      </w:pPr>
    </w:p>
    <w:p>
      <w:pPr>
        <w:ind w:left="1180"/>
        <w:spacing w:after="0"/>
        <w:rPr>
          <w:sz w:val="20"/>
          <w:szCs w:val="20"/>
          <w:color w:val="auto"/>
        </w:rPr>
      </w:pPr>
      <w:r>
        <w:rPr>
          <w:rFonts w:ascii="Arial" w:cs="Arial" w:eastAsia="Arial" w:hAnsi="Arial"/>
          <w:sz w:val="22"/>
          <w:szCs w:val="22"/>
          <w:color w:val="00A0DD"/>
        </w:rPr>
        <w:t>Company Response to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87630</wp:posOffset>
            </wp:positionV>
            <wp:extent cx="5306060" cy="1791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06060" cy="1791335"/>
                    </a:xfrm>
                    <a:prstGeom prst="rect">
                      <a:avLst/>
                    </a:prstGeom>
                    <a:noFill/>
                  </pic:spPr>
                </pic:pic>
              </a:graphicData>
            </a:graphic>
          </wp:anchor>
        </w:drawing>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Our Board unanimously recommends AGAINST this proposal for the following reasons:</w:t>
      </w:r>
    </w:p>
    <w:p>
      <w:pPr>
        <w:spacing w:after="0" w:line="77" w:lineRule="exact"/>
        <w:rPr>
          <w:sz w:val="20"/>
          <w:szCs w:val="20"/>
          <w:color w:val="auto"/>
        </w:rPr>
      </w:pPr>
    </w:p>
    <w:p>
      <w:pPr>
        <w:ind w:left="1560" w:right="1560" w:hanging="194"/>
        <w:spacing w:after="0" w:line="246" w:lineRule="auto"/>
        <w:tabs>
          <w:tab w:leader="none" w:pos="1560" w:val="left"/>
        </w:tabs>
        <w:numPr>
          <w:ilvl w:val="0"/>
          <w:numId w:val="101"/>
        </w:numPr>
        <w:rPr>
          <w:rFonts w:ascii="Times New Roman" w:cs="Times New Roman" w:eastAsia="Times New Roman" w:hAnsi="Times New Roman"/>
          <w:sz w:val="18"/>
          <w:szCs w:val="18"/>
          <w:color w:val="00A0DD"/>
        </w:rPr>
      </w:pPr>
      <w:r>
        <w:rPr>
          <w:rFonts w:ascii="Arial" w:cs="Arial" w:eastAsia="Arial" w:hAnsi="Arial"/>
          <w:sz w:val="18"/>
          <w:szCs w:val="18"/>
          <w:color w:val="auto"/>
        </w:rPr>
        <w:t>Our Board believes that shareholders are best served by maintaining the Board’s flexibility to separate or combine the offices of Chairman and CEO depending upon the best interests of our company at a given point in time rather than adopting an inflexible policy that could effectively constrain directors in exercising their fiduciary duties.</w:t>
      </w:r>
    </w:p>
    <w:p>
      <w:pPr>
        <w:spacing w:after="0" w:line="28" w:lineRule="exact"/>
        <w:rPr>
          <w:rFonts w:ascii="Times New Roman" w:cs="Times New Roman" w:eastAsia="Times New Roman" w:hAnsi="Times New Roman"/>
          <w:sz w:val="18"/>
          <w:szCs w:val="18"/>
          <w:color w:val="00A0DD"/>
        </w:rPr>
      </w:pPr>
    </w:p>
    <w:p>
      <w:pPr>
        <w:ind w:left="1560" w:right="1400" w:hanging="194"/>
        <w:spacing w:after="0" w:line="243" w:lineRule="auto"/>
        <w:tabs>
          <w:tab w:leader="none" w:pos="1560" w:val="left"/>
        </w:tabs>
        <w:numPr>
          <w:ilvl w:val="0"/>
          <w:numId w:val="101"/>
        </w:numPr>
        <w:rPr>
          <w:rFonts w:ascii="Times New Roman" w:cs="Times New Roman" w:eastAsia="Times New Roman" w:hAnsi="Times New Roman"/>
          <w:sz w:val="18"/>
          <w:szCs w:val="18"/>
          <w:color w:val="00A0DD"/>
        </w:rPr>
      </w:pPr>
      <w:r>
        <w:rPr>
          <w:rFonts w:ascii="Arial" w:cs="Arial" w:eastAsia="Arial" w:hAnsi="Arial"/>
          <w:sz w:val="18"/>
          <w:szCs w:val="18"/>
          <w:color w:val="auto"/>
        </w:rPr>
        <w:t>Our Board believes that we and our shareholders are best served today by having Mr. Roberts serve as Chairman and co-CEO – working together with a strong Lead Independent Director, who is appointed annually by the independent directors of the Board and empowered with robust duties such as the authority to review and approve agendas, materials and schedules for Board meetings.</w:t>
      </w:r>
    </w:p>
    <w:p>
      <w:pPr>
        <w:spacing w:after="0" w:line="31" w:lineRule="exact"/>
        <w:rPr>
          <w:rFonts w:ascii="Times New Roman" w:cs="Times New Roman" w:eastAsia="Times New Roman" w:hAnsi="Times New Roman"/>
          <w:sz w:val="18"/>
          <w:szCs w:val="18"/>
          <w:color w:val="00A0DD"/>
        </w:rPr>
      </w:pPr>
    </w:p>
    <w:p>
      <w:pPr>
        <w:ind w:left="1560" w:right="1480" w:hanging="194"/>
        <w:spacing w:after="0" w:line="300" w:lineRule="auto"/>
        <w:tabs>
          <w:tab w:leader="none" w:pos="1560" w:val="left"/>
        </w:tabs>
        <w:numPr>
          <w:ilvl w:val="0"/>
          <w:numId w:val="101"/>
        </w:numPr>
        <w:rPr>
          <w:rFonts w:ascii="Times New Roman" w:cs="Times New Roman" w:eastAsia="Times New Roman" w:hAnsi="Times New Roman"/>
          <w:sz w:val="17"/>
          <w:szCs w:val="17"/>
          <w:color w:val="00A0DD"/>
        </w:rPr>
      </w:pPr>
      <w:r>
        <w:rPr>
          <w:rFonts w:ascii="Arial" w:cs="Arial" w:eastAsia="Arial" w:hAnsi="Arial"/>
          <w:sz w:val="17"/>
          <w:szCs w:val="17"/>
          <w:color w:val="auto"/>
        </w:rPr>
        <w:t>Board independence and oversight of management are effectively maintained, and management plans are critically reviewed, through our existing governance structure and policies.</w:t>
      </w:r>
    </w:p>
    <w:p>
      <w:pPr>
        <w:spacing w:after="0" w:line="185" w:lineRule="exact"/>
        <w:rPr>
          <w:sz w:val="20"/>
          <w:szCs w:val="20"/>
          <w:color w:val="auto"/>
        </w:rPr>
      </w:pPr>
    </w:p>
    <w:p>
      <w:pPr>
        <w:ind w:left="1180" w:right="1200"/>
        <w:spacing w:after="0"/>
        <w:rPr>
          <w:sz w:val="20"/>
          <w:szCs w:val="20"/>
          <w:color w:val="auto"/>
        </w:rPr>
      </w:pPr>
      <w:r>
        <w:rPr>
          <w:rFonts w:ascii="Arial" w:cs="Arial" w:eastAsia="Arial" w:hAnsi="Arial"/>
          <w:sz w:val="18"/>
          <w:szCs w:val="18"/>
          <w:color w:val="auto"/>
        </w:rPr>
        <w:t>Consistent with its fiduciary duties, our Board believes that our shareholders are best served by maintaining the flexibility for the Board to separate or combine the offices of Chairman and CEO depending upon the best interests of our company at a given point in time. To that end, our Governance Committee and Board regularly review our Board leadership structure to ensure that the most appropriate structure is in place considering a variety of factors. As such, our Board does not believe that the inflexible policy requested by the proposal would in any way enhance its independence or performance and, to the contrary, believes that adopting such a policy could effectively constrain directors in exercising their fiduciary duties.</w:t>
      </w:r>
    </w:p>
    <w:p>
      <w:pPr>
        <w:spacing w:after="0" w:line="18" w:lineRule="exact"/>
        <w:rPr>
          <w:sz w:val="20"/>
          <w:szCs w:val="20"/>
          <w:color w:val="auto"/>
        </w:rPr>
      </w:pPr>
    </w:p>
    <w:p>
      <w:pPr>
        <w:ind w:left="1180" w:right="1240"/>
        <w:spacing w:after="0" w:line="247" w:lineRule="auto"/>
        <w:rPr>
          <w:sz w:val="20"/>
          <w:szCs w:val="20"/>
          <w:color w:val="auto"/>
        </w:rPr>
      </w:pPr>
      <w:r>
        <w:rPr>
          <w:rFonts w:ascii="Arial" w:cs="Arial" w:eastAsia="Arial" w:hAnsi="Arial"/>
          <w:sz w:val="18"/>
          <w:szCs w:val="18"/>
          <w:color w:val="auto"/>
        </w:rPr>
        <w:t>Currently, our Board believes that we and our shareholders are best served by having Mr. Roberts serve as Chairman and co-CEO, working together with a strong Lead Independent Director. Mr. Roberts serves as an effective bridge between the Board and management and – together with Mr. Cavanagh, who was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57</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60" w:name="page61"/>
    <w:bookmarkEnd w:id="6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399"/>
        <w:spacing w:after="0" w:line="266" w:lineRule="auto"/>
        <w:rPr>
          <w:sz w:val="20"/>
          <w:szCs w:val="20"/>
          <w:color w:val="auto"/>
        </w:rPr>
      </w:pPr>
      <w:r>
        <w:rPr>
          <w:rFonts w:ascii="Arial" w:cs="Arial" w:eastAsia="Arial" w:hAnsi="Arial"/>
          <w:sz w:val="18"/>
          <w:szCs w:val="18"/>
          <w:color w:val="auto"/>
        </w:rPr>
        <w:t>elevated to co-CEO in January 2026 – provides critical leadership for carrying out our strategic initiatives and confronting our challenges.</w:t>
      </w:r>
    </w:p>
    <w:p>
      <w:pPr>
        <w:ind w:left="320" w:right="539"/>
        <w:spacing w:after="0" w:line="271" w:lineRule="auto"/>
        <w:rPr>
          <w:sz w:val="20"/>
          <w:szCs w:val="20"/>
          <w:color w:val="auto"/>
        </w:rPr>
      </w:pPr>
      <w:r>
        <w:rPr>
          <w:rFonts w:ascii="Arial" w:cs="Arial" w:eastAsia="Arial" w:hAnsi="Arial"/>
          <w:sz w:val="18"/>
          <w:szCs w:val="18"/>
          <w:color w:val="auto"/>
        </w:rPr>
        <w:t>Board independence and oversight of management are effectively maintained, and management plans are critically reviewed, as a result of the following:</w:t>
      </w:r>
    </w:p>
    <w:p>
      <w:pPr>
        <w:spacing w:after="0" w:line="19" w:lineRule="exact"/>
        <w:rPr>
          <w:sz w:val="20"/>
          <w:szCs w:val="20"/>
          <w:color w:val="auto"/>
        </w:rPr>
      </w:pPr>
    </w:p>
    <w:p>
      <w:pPr>
        <w:ind w:left="520" w:hanging="196"/>
        <w:spacing w:after="0"/>
        <w:tabs>
          <w:tab w:leader="none" w:pos="520" w:val="left"/>
        </w:tabs>
        <w:numPr>
          <w:ilvl w:val="0"/>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Nine of 11 director nominees are independent.</w:t>
      </w:r>
    </w:p>
    <w:p>
      <w:pPr>
        <w:spacing w:after="0" w:line="75" w:lineRule="exact"/>
        <w:rPr>
          <w:rFonts w:ascii="Times New Roman" w:cs="Times New Roman" w:eastAsia="Times New Roman" w:hAnsi="Times New Roman"/>
          <w:sz w:val="18"/>
          <w:szCs w:val="18"/>
          <w:color w:val="00A0DD"/>
        </w:rPr>
      </w:pPr>
    </w:p>
    <w:p>
      <w:pPr>
        <w:ind w:left="520" w:right="539" w:hanging="196"/>
        <w:spacing w:after="0" w:line="270" w:lineRule="auto"/>
        <w:tabs>
          <w:tab w:leader="none" w:pos="520" w:val="left"/>
        </w:tabs>
        <w:numPr>
          <w:ilvl w:val="0"/>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All Board-level committees – Audit, Compensation and Governance – are chaired by and composed entirely of independent directors.</w:t>
      </w:r>
    </w:p>
    <w:p>
      <w:pPr>
        <w:spacing w:after="0" w:line="5" w:lineRule="exact"/>
        <w:rPr>
          <w:rFonts w:ascii="Times New Roman" w:cs="Times New Roman" w:eastAsia="Times New Roman" w:hAnsi="Times New Roman"/>
          <w:sz w:val="18"/>
          <w:szCs w:val="18"/>
          <w:color w:val="00A0DD"/>
        </w:rPr>
      </w:pPr>
    </w:p>
    <w:p>
      <w:pPr>
        <w:ind w:left="520" w:right="479" w:hanging="196"/>
        <w:spacing w:after="0" w:line="252" w:lineRule="auto"/>
        <w:tabs>
          <w:tab w:leader="none" w:pos="520" w:val="left"/>
        </w:tabs>
        <w:numPr>
          <w:ilvl w:val="0"/>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Our Lead Independent Director, currently Mr. Breen, is appointed annually by the independent directors of the Board after being recommended by the Governance Committee. Among other things, our Lead Independent Director:</w:t>
      </w:r>
    </w:p>
    <w:p>
      <w:pPr>
        <w:spacing w:after="0" w:line="35" w:lineRule="exact"/>
        <w:rPr>
          <w:rFonts w:ascii="Times New Roman" w:cs="Times New Roman" w:eastAsia="Times New Roman" w:hAnsi="Times New Roman"/>
          <w:sz w:val="18"/>
          <w:szCs w:val="18"/>
          <w:color w:val="00A0DD"/>
        </w:rPr>
      </w:pPr>
    </w:p>
    <w:p>
      <w:pPr>
        <w:ind w:left="720" w:right="999" w:hanging="201"/>
        <w:spacing w:after="0" w:line="252" w:lineRule="auto"/>
        <w:tabs>
          <w:tab w:leader="none" w:pos="720" w:val="left"/>
        </w:tabs>
        <w:numPr>
          <w:ilvl w:val="1"/>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Presides at meetings of the Board at which the Chairman is not present, including executive sessions of the independent directors that are held at almost all regularly scheduled Board meetings.</w:t>
      </w:r>
    </w:p>
    <w:p>
      <w:pPr>
        <w:spacing w:after="0" w:line="22" w:lineRule="exact"/>
        <w:rPr>
          <w:rFonts w:ascii="Times New Roman" w:cs="Times New Roman" w:eastAsia="Times New Roman" w:hAnsi="Times New Roman"/>
          <w:sz w:val="18"/>
          <w:szCs w:val="18"/>
          <w:color w:val="00A0DD"/>
        </w:rPr>
      </w:pPr>
    </w:p>
    <w:p>
      <w:pPr>
        <w:ind w:left="720" w:right="599" w:hanging="201"/>
        <w:spacing w:after="0" w:line="289" w:lineRule="auto"/>
        <w:tabs>
          <w:tab w:leader="none" w:pos="720" w:val="left"/>
        </w:tabs>
        <w:numPr>
          <w:ilvl w:val="1"/>
          <w:numId w:val="102"/>
        </w:numPr>
        <w:rPr>
          <w:rFonts w:ascii="Times New Roman" w:cs="Times New Roman" w:eastAsia="Times New Roman" w:hAnsi="Times New Roman"/>
          <w:sz w:val="17"/>
          <w:szCs w:val="17"/>
          <w:color w:val="00A0DD"/>
        </w:rPr>
      </w:pPr>
      <w:r>
        <w:rPr>
          <w:rFonts w:ascii="Arial" w:cs="Arial" w:eastAsia="Arial" w:hAnsi="Arial"/>
          <w:sz w:val="17"/>
          <w:szCs w:val="17"/>
          <w:color w:val="auto"/>
        </w:rPr>
        <w:t>Facilitates communication between the Chairman and the independent directors and encourages director participation by fostering an environment of open dialogue and constructive feedback.</w:t>
      </w:r>
    </w:p>
    <w:p>
      <w:pPr>
        <w:ind w:left="720" w:right="419" w:hanging="201"/>
        <w:spacing w:after="0" w:line="297" w:lineRule="auto"/>
        <w:tabs>
          <w:tab w:leader="none" w:pos="720" w:val="left"/>
        </w:tabs>
        <w:numPr>
          <w:ilvl w:val="1"/>
          <w:numId w:val="102"/>
        </w:numPr>
        <w:rPr>
          <w:rFonts w:ascii="Times New Roman" w:cs="Times New Roman" w:eastAsia="Times New Roman" w:hAnsi="Times New Roman"/>
          <w:sz w:val="17"/>
          <w:szCs w:val="17"/>
          <w:color w:val="00A0DD"/>
        </w:rPr>
      </w:pPr>
      <w:r>
        <w:rPr>
          <w:rFonts w:ascii="Arial" w:cs="Arial" w:eastAsia="Arial" w:hAnsi="Arial"/>
          <w:sz w:val="17"/>
          <w:szCs w:val="17"/>
          <w:color w:val="auto"/>
        </w:rPr>
        <w:t>Communicates periodically as necessary between Board meetings and executive sessions with our independent directors and with management on topics of importance to our independent directors.</w:t>
      </w:r>
    </w:p>
    <w:p>
      <w:pPr>
        <w:spacing w:after="0" w:line="1" w:lineRule="exact"/>
        <w:rPr>
          <w:rFonts w:ascii="Times New Roman" w:cs="Times New Roman" w:eastAsia="Times New Roman" w:hAnsi="Times New Roman"/>
          <w:sz w:val="17"/>
          <w:szCs w:val="17"/>
          <w:color w:val="00A0DD"/>
        </w:rPr>
      </w:pPr>
    </w:p>
    <w:p>
      <w:pPr>
        <w:ind w:left="720" w:right="379" w:hanging="201"/>
        <w:spacing w:after="0" w:line="270" w:lineRule="auto"/>
        <w:tabs>
          <w:tab w:leader="none" w:pos="720" w:val="left"/>
        </w:tabs>
        <w:numPr>
          <w:ilvl w:val="1"/>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Is authorized to schedule meetings of the independent directors, including executive sessions of the independent directors.</w:t>
      </w:r>
    </w:p>
    <w:p>
      <w:pPr>
        <w:spacing w:after="0" w:line="5" w:lineRule="exact"/>
        <w:rPr>
          <w:rFonts w:ascii="Times New Roman" w:cs="Times New Roman" w:eastAsia="Times New Roman" w:hAnsi="Times New Roman"/>
          <w:sz w:val="18"/>
          <w:szCs w:val="18"/>
          <w:color w:val="00A0DD"/>
        </w:rPr>
      </w:pPr>
    </w:p>
    <w:p>
      <w:pPr>
        <w:ind w:left="720" w:right="519" w:hanging="201"/>
        <w:spacing w:after="0" w:line="270" w:lineRule="auto"/>
        <w:tabs>
          <w:tab w:leader="none" w:pos="720" w:val="left"/>
        </w:tabs>
        <w:numPr>
          <w:ilvl w:val="1"/>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Has authority to review and approve agendas, materials and schedules for Board meetings, which may include matters relating to significant risks to our company.</w:t>
      </w:r>
    </w:p>
    <w:p>
      <w:pPr>
        <w:spacing w:after="0" w:line="5" w:lineRule="exact"/>
        <w:rPr>
          <w:rFonts w:ascii="Times New Roman" w:cs="Times New Roman" w:eastAsia="Times New Roman" w:hAnsi="Times New Roman"/>
          <w:sz w:val="18"/>
          <w:szCs w:val="18"/>
          <w:color w:val="00A0DD"/>
        </w:rPr>
      </w:pPr>
    </w:p>
    <w:p>
      <w:pPr>
        <w:ind w:left="720" w:right="579" w:hanging="201"/>
        <w:spacing w:after="0" w:line="270" w:lineRule="auto"/>
        <w:tabs>
          <w:tab w:leader="none" w:pos="720" w:val="left"/>
        </w:tabs>
        <w:numPr>
          <w:ilvl w:val="1"/>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With the Compensation Committee, organizes the annual Board evaluation of the performance of our senior management.</w:t>
      </w:r>
    </w:p>
    <w:p>
      <w:pPr>
        <w:spacing w:after="0" w:line="19" w:lineRule="exact"/>
        <w:rPr>
          <w:rFonts w:ascii="Times New Roman" w:cs="Times New Roman" w:eastAsia="Times New Roman" w:hAnsi="Times New Roman"/>
          <w:sz w:val="18"/>
          <w:szCs w:val="18"/>
          <w:color w:val="00A0DD"/>
        </w:rPr>
      </w:pPr>
    </w:p>
    <w:p>
      <w:pPr>
        <w:ind w:left="720" w:right="359" w:hanging="201"/>
        <w:spacing w:after="0" w:line="270" w:lineRule="auto"/>
        <w:tabs>
          <w:tab w:leader="none" w:pos="720" w:val="left"/>
        </w:tabs>
        <w:numPr>
          <w:ilvl w:val="1"/>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With the Governance Committee, reviews and approves the process for the annual self-assessment of our Board and its committees.</w:t>
      </w:r>
    </w:p>
    <w:p>
      <w:pPr>
        <w:spacing w:after="0" w:line="5" w:lineRule="exact"/>
        <w:rPr>
          <w:rFonts w:ascii="Times New Roman" w:cs="Times New Roman" w:eastAsia="Times New Roman" w:hAnsi="Times New Roman"/>
          <w:sz w:val="18"/>
          <w:szCs w:val="18"/>
          <w:color w:val="00A0DD"/>
        </w:rPr>
      </w:pPr>
    </w:p>
    <w:p>
      <w:pPr>
        <w:ind w:left="720" w:right="999" w:hanging="201"/>
        <w:spacing w:after="0" w:line="270" w:lineRule="auto"/>
        <w:tabs>
          <w:tab w:leader="none" w:pos="720" w:val="left"/>
        </w:tabs>
        <w:numPr>
          <w:ilvl w:val="1"/>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Represents independent directors in communications with external constituencies, including significant shareholders, as appropriate.</w:t>
      </w:r>
    </w:p>
    <w:p>
      <w:pPr>
        <w:spacing w:after="0" w:line="5" w:lineRule="exact"/>
        <w:rPr>
          <w:rFonts w:ascii="Times New Roman" w:cs="Times New Roman" w:eastAsia="Times New Roman" w:hAnsi="Times New Roman"/>
          <w:sz w:val="18"/>
          <w:szCs w:val="18"/>
          <w:color w:val="00A0DD"/>
        </w:rPr>
      </w:pPr>
    </w:p>
    <w:p>
      <w:pPr>
        <w:ind w:left="520" w:right="999" w:hanging="196"/>
        <w:spacing w:after="0" w:line="270" w:lineRule="auto"/>
        <w:tabs>
          <w:tab w:leader="none" w:pos="520" w:val="left"/>
        </w:tabs>
        <w:numPr>
          <w:ilvl w:val="0"/>
          <w:numId w:val="102"/>
        </w:numPr>
        <w:rPr>
          <w:rFonts w:ascii="Times New Roman" w:cs="Times New Roman" w:eastAsia="Times New Roman" w:hAnsi="Times New Roman"/>
          <w:sz w:val="18"/>
          <w:szCs w:val="18"/>
          <w:color w:val="00A0DD"/>
        </w:rPr>
      </w:pPr>
      <w:r>
        <w:rPr>
          <w:rFonts w:ascii="Arial" w:cs="Arial" w:eastAsia="Arial" w:hAnsi="Arial"/>
          <w:sz w:val="18"/>
          <w:szCs w:val="18"/>
          <w:color w:val="auto"/>
        </w:rPr>
        <w:t>Our Board and its Committees collectively exercise an appropriate level of risk oversight of our company, as described on page 20.</w:t>
      </w:r>
    </w:p>
    <w:p>
      <w:pPr>
        <w:spacing w:after="0" w:line="19" w:lineRule="exact"/>
        <w:rPr>
          <w:sz w:val="20"/>
          <w:szCs w:val="20"/>
          <w:color w:val="auto"/>
        </w:rPr>
      </w:pPr>
    </w:p>
    <w:p>
      <w:pPr>
        <w:ind w:left="320" w:right="339"/>
        <w:spacing w:after="0" w:line="244" w:lineRule="auto"/>
        <w:rPr>
          <w:sz w:val="20"/>
          <w:szCs w:val="20"/>
          <w:color w:val="auto"/>
        </w:rPr>
      </w:pPr>
      <w:r>
        <w:rPr>
          <w:rFonts w:ascii="Arial" w:cs="Arial" w:eastAsia="Arial" w:hAnsi="Arial"/>
          <w:sz w:val="18"/>
          <w:szCs w:val="18"/>
          <w:color w:val="auto"/>
        </w:rPr>
        <w:t>In response to feedback as to the duties of our Lead Independent Director, our Board further reinforced the strength of the Lead Independent Director position by confirming in our corporate governance guidelines that the Lead Independent Director (i) is appointed annually solely by the independent directors of the Board, and (ii) has the authority to review and approve agendas, materials and schedules for Board meetings.</w:t>
      </w:r>
    </w:p>
    <w:p>
      <w:pPr>
        <w:spacing w:after="0" w:line="28" w:lineRule="exact"/>
        <w:rPr>
          <w:sz w:val="20"/>
          <w:szCs w:val="20"/>
          <w:color w:val="auto"/>
        </w:rPr>
      </w:pPr>
    </w:p>
    <w:p>
      <w:pPr>
        <w:ind w:left="320" w:right="479"/>
        <w:spacing w:after="0" w:line="244" w:lineRule="auto"/>
        <w:rPr>
          <w:sz w:val="20"/>
          <w:szCs w:val="20"/>
          <w:color w:val="auto"/>
        </w:rPr>
      </w:pPr>
      <w:r>
        <w:rPr>
          <w:rFonts w:ascii="Arial" w:cs="Arial" w:eastAsia="Arial" w:hAnsi="Arial"/>
          <w:sz w:val="18"/>
          <w:szCs w:val="18"/>
          <w:color w:val="auto"/>
        </w:rPr>
        <w:t>Having an independent Chairman and separating the roles of Chairman and CEO are both minority practices among S&amp;P 100 companies. Additionally, our directors, including the Chairman, are bound by fiduciary obligations under law to act in a manner that they believe to be in our best interests and the best interests of our shareholders. Adopting a policy that mandates the separation of the offices of Chairman and CEO would not serve to augment this fiduciary duty.</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 the reasons set forth above, our Board unanimously recommends AGAINST this proposal.</w:t>
      </w:r>
    </w:p>
    <w:p>
      <w:pPr>
        <w:spacing w:after="0" w:line="200" w:lineRule="exact"/>
        <w:rPr>
          <w:sz w:val="20"/>
          <w:szCs w:val="20"/>
          <w:color w:val="auto"/>
        </w:rPr>
      </w:pPr>
    </w:p>
    <w:p>
      <w:pPr>
        <w:spacing w:after="0" w:line="336" w:lineRule="exact"/>
        <w:rPr>
          <w:sz w:val="20"/>
          <w:szCs w:val="20"/>
          <w:color w:val="auto"/>
        </w:rPr>
      </w:pPr>
    </w:p>
    <w:p>
      <w:pPr>
        <w:ind w:left="1000" w:hanging="674"/>
        <w:spacing w:after="0"/>
        <w:tabs>
          <w:tab w:leader="none" w:pos="100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366395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61" w:name="page62"/>
    <w:bookmarkEnd w:id="61"/>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80"/>
        <w:spacing w:after="0"/>
        <w:rPr>
          <w:sz w:val="20"/>
          <w:szCs w:val="20"/>
          <w:color w:val="auto"/>
        </w:rPr>
      </w:pPr>
      <w:r>
        <w:rPr>
          <w:rFonts w:ascii="Arial" w:cs="Arial" w:eastAsia="Arial" w:hAnsi="Arial"/>
          <w:sz w:val="36"/>
          <w:szCs w:val="36"/>
          <w:b w:val="1"/>
          <w:bCs w:val="1"/>
          <w:color w:val="auto"/>
        </w:rPr>
        <w:t>Information about Stock Ownership</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Outstanding Shares and Voting Rights</w:t>
      </w:r>
    </w:p>
    <w:p>
      <w:pPr>
        <w:spacing w:after="0" w:line="100" w:lineRule="exact"/>
        <w:rPr>
          <w:sz w:val="20"/>
          <w:szCs w:val="20"/>
          <w:color w:val="auto"/>
        </w:rPr>
      </w:pPr>
    </w:p>
    <w:p>
      <w:pPr>
        <w:ind w:left="1180" w:right="1360"/>
        <w:spacing w:after="0" w:line="271" w:lineRule="auto"/>
        <w:rPr>
          <w:sz w:val="20"/>
          <w:szCs w:val="20"/>
          <w:color w:val="auto"/>
        </w:rPr>
      </w:pPr>
      <w:r>
        <w:rPr>
          <w:rFonts w:ascii="Arial" w:cs="Arial" w:eastAsia="Arial" w:hAnsi="Arial"/>
          <w:sz w:val="18"/>
          <w:szCs w:val="18"/>
          <w:color w:val="auto"/>
        </w:rPr>
        <w:t>At the close of business on April 8, 2026, the record date, we had outstanding 3,564,377,095 shares of Class A common stock and 9,444,375 shares of Class B common stock.</w:t>
      </w:r>
    </w:p>
    <w:p>
      <w:pPr>
        <w:spacing w:after="0" w:line="5" w:lineRule="exact"/>
        <w:rPr>
          <w:sz w:val="20"/>
          <w:szCs w:val="20"/>
          <w:color w:val="auto"/>
        </w:rPr>
      </w:pPr>
    </w:p>
    <w:p>
      <w:pPr>
        <w:ind w:left="1180" w:right="1400"/>
        <w:spacing w:after="0" w:line="253"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0.07949 votes per share and each holder of Class B common stock is entitled to 15 votes per share.</w:t>
      </w:r>
    </w:p>
    <w:p>
      <w:pPr>
        <w:spacing w:after="0" w:line="20" w:lineRule="exact"/>
        <w:rPr>
          <w:sz w:val="20"/>
          <w:szCs w:val="20"/>
          <w:color w:val="auto"/>
        </w:rPr>
      </w:pPr>
    </w:p>
    <w:p>
      <w:pPr>
        <w:ind w:left="1180" w:right="1180"/>
        <w:spacing w:after="0" w:line="239"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45" w:lineRule="exact"/>
        <w:rPr>
          <w:sz w:val="20"/>
          <w:szCs w:val="20"/>
          <w:color w:val="auto"/>
        </w:rPr>
      </w:pPr>
    </w:p>
    <w:p>
      <w:pPr>
        <w:ind w:left="1180" w:right="1240"/>
        <w:spacing w:after="0" w:line="239"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on those proposals. Withheld votes in regard to the election of directors, abstentions and broker nonvotes count for quorum purposes, but have no effect on the outcome of the proposals.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ratifying the appointment of our independent auditors, but may not vote your shares on the election of directors or any of the other proposals.</w:t>
      </w:r>
    </w:p>
    <w:p>
      <w:pPr>
        <w:spacing w:after="0" w:line="114"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Principal Shareholders</w:t>
      </w:r>
    </w:p>
    <w:p>
      <w:pPr>
        <w:spacing w:after="0" w:line="100" w:lineRule="exact"/>
        <w:rPr>
          <w:sz w:val="20"/>
          <w:szCs w:val="20"/>
          <w:color w:val="auto"/>
        </w:rPr>
      </w:pPr>
    </w:p>
    <w:p>
      <w:pPr>
        <w:ind w:left="1180" w:right="1500"/>
        <w:spacing w:after="0" w:line="271" w:lineRule="auto"/>
        <w:rPr>
          <w:sz w:val="20"/>
          <w:szCs w:val="20"/>
          <w:color w:val="auto"/>
        </w:rPr>
      </w:pPr>
      <w:r>
        <w:rPr>
          <w:rFonts w:ascii="Arial" w:cs="Arial" w:eastAsia="Arial" w:hAnsi="Arial"/>
          <w:sz w:val="18"/>
          <w:szCs w:val="18"/>
          <w:color w:val="auto"/>
        </w:rPr>
        <w:t>This table sets forth information as of December 31, 2025 about persons we know to beneficially own more than 5% of any class of our voting common stock.</w:t>
      </w:r>
    </w:p>
    <w:p>
      <w:pPr>
        <w:spacing w:after="0" w:line="69"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5"/>
        </w:trPr>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 OF VOTING CLASS</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AND ADDRESS OF BENEFICIAL OWNER</w:t>
            </w:r>
          </w:p>
        </w:tc>
        <w:tc>
          <w:tcPr>
            <w:tcW w:w="19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BENEFICIALLY OWNED</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3"/>
        </w:trPr>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3560" w:type="dxa"/>
            <w:vAlign w:val="bottom"/>
          </w:tcPr>
          <w:p>
            <w:pPr>
              <w:ind w:left="100"/>
              <w:spacing w:after="0"/>
              <w:rPr>
                <w:sz w:val="20"/>
                <w:szCs w:val="20"/>
                <w:color w:val="auto"/>
              </w:rPr>
            </w:pPr>
            <w:r>
              <w:rPr>
                <w:rFonts w:ascii="Arial" w:cs="Arial" w:eastAsia="Arial" w:hAnsi="Arial"/>
                <w:sz w:val="14"/>
                <w:szCs w:val="14"/>
                <w:color w:val="auto"/>
              </w:rPr>
              <w:t>The Vanguard Group</w:t>
            </w: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373,581,278</w:t>
            </w:r>
          </w:p>
        </w:tc>
        <w:tc>
          <w:tcPr>
            <w:tcW w:w="260" w:type="dxa"/>
            <w:vAlign w:val="bottom"/>
          </w:tcPr>
          <w:p>
            <w:pPr>
              <w:jc w:val="right"/>
              <w:ind w:right="72"/>
              <w:spacing w:after="0"/>
              <w:rPr>
                <w:sz w:val="20"/>
                <w:szCs w:val="20"/>
                <w:color w:val="auto"/>
              </w:rPr>
            </w:pPr>
            <w:r>
              <w:rPr>
                <w:rFonts w:ascii="Arial" w:cs="Arial" w:eastAsia="Arial" w:hAnsi="Arial"/>
                <w:sz w:val="10"/>
                <w:szCs w:val="10"/>
                <w:color w:val="auto"/>
                <w:w w:val="97"/>
              </w:rPr>
              <w:t>(1)</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3560" w:type="dxa"/>
            <w:vAlign w:val="bottom"/>
            <w:vMerge w:val="restart"/>
          </w:tcPr>
          <w:p>
            <w:pPr>
              <w:ind w:left="100"/>
              <w:spacing w:after="0"/>
              <w:rPr>
                <w:sz w:val="20"/>
                <w:szCs w:val="20"/>
                <w:color w:val="auto"/>
              </w:rPr>
            </w:pPr>
            <w:r>
              <w:rPr>
                <w:rFonts w:ascii="Arial" w:cs="Arial" w:eastAsia="Arial" w:hAnsi="Arial"/>
                <w:sz w:val="14"/>
                <w:szCs w:val="14"/>
                <w:color w:val="auto"/>
              </w:rPr>
              <w:t>100 Vanguard Blvd., Malvern, PA 19355</w:t>
            </w:r>
          </w:p>
        </w:tc>
        <w:tc>
          <w:tcPr>
            <w:tcW w:w="1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920" w:type="dxa"/>
            <w:vAlign w:val="bottom"/>
            <w:tcBorders>
              <w:bottom w:val="single" w:sz="8" w:color="DCDDDE"/>
            </w:tcBorders>
          </w:tcPr>
          <w:p>
            <w:pPr>
              <w:spacing w:after="0"/>
              <w:rPr>
                <w:sz w:val="5"/>
                <w:szCs w:val="5"/>
                <w:color w:val="auto"/>
              </w:rPr>
            </w:pPr>
          </w:p>
        </w:tc>
        <w:tc>
          <w:tcPr>
            <w:tcW w:w="3560" w:type="dxa"/>
            <w:vAlign w:val="bottom"/>
            <w:tcBorders>
              <w:bottom w:val="single" w:sz="8" w:color="DCDDDE"/>
            </w:tcBorders>
            <w:vMerge w:val="continue"/>
          </w:tcPr>
          <w:p>
            <w:pPr>
              <w:spacing w:after="0"/>
              <w:rPr>
                <w:sz w:val="5"/>
                <w:szCs w:val="5"/>
                <w:color w:val="auto"/>
              </w:rPr>
            </w:pPr>
          </w:p>
        </w:tc>
        <w:tc>
          <w:tcPr>
            <w:tcW w:w="1700" w:type="dxa"/>
            <w:vAlign w:val="bottom"/>
            <w:tcBorders>
              <w:bottom w:val="single" w:sz="8" w:color="DCDDDE"/>
            </w:tcBorders>
          </w:tcPr>
          <w:p>
            <w:pPr>
              <w:spacing w:after="0"/>
              <w:rPr>
                <w:sz w:val="5"/>
                <w:szCs w:val="5"/>
                <w:color w:val="auto"/>
              </w:rPr>
            </w:pPr>
          </w:p>
        </w:tc>
        <w:tc>
          <w:tcPr>
            <w:tcW w:w="260" w:type="dxa"/>
            <w:vAlign w:val="bottom"/>
            <w:tcBorders>
              <w:bottom w:val="single" w:sz="8" w:color="DCDDDE"/>
            </w:tcBorders>
          </w:tcPr>
          <w:p>
            <w:pPr>
              <w:spacing w:after="0"/>
              <w:rPr>
                <w:sz w:val="5"/>
                <w:szCs w:val="5"/>
                <w:color w:val="auto"/>
              </w:rPr>
            </w:pPr>
          </w:p>
        </w:tc>
        <w:tc>
          <w:tcPr>
            <w:tcW w:w="9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92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Class A common stock</w:t>
            </w:r>
          </w:p>
        </w:tc>
        <w:tc>
          <w:tcPr>
            <w:tcW w:w="3560" w:type="dxa"/>
            <w:vAlign w:val="bottom"/>
          </w:tcPr>
          <w:p>
            <w:pPr>
              <w:ind w:left="100"/>
              <w:spacing w:after="0" w:line="147" w:lineRule="exact"/>
              <w:rPr>
                <w:sz w:val="20"/>
                <w:szCs w:val="20"/>
                <w:color w:val="auto"/>
              </w:rPr>
            </w:pPr>
            <w:r>
              <w:rPr>
                <w:rFonts w:ascii="Arial" w:cs="Arial" w:eastAsia="Arial" w:hAnsi="Arial"/>
                <w:sz w:val="14"/>
                <w:szCs w:val="14"/>
                <w:color w:val="auto"/>
              </w:rPr>
              <w:t>BlackRock, Inc.</w:t>
            </w: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298,215,422</w:t>
            </w:r>
          </w:p>
        </w:tc>
        <w:tc>
          <w:tcPr>
            <w:tcW w:w="260" w:type="dxa"/>
            <w:vAlign w:val="bottom"/>
          </w:tcPr>
          <w:p>
            <w:pPr>
              <w:jc w:val="right"/>
              <w:ind w:right="72"/>
              <w:spacing w:after="0"/>
              <w:rPr>
                <w:sz w:val="20"/>
                <w:szCs w:val="20"/>
                <w:color w:val="auto"/>
              </w:rPr>
            </w:pPr>
            <w:r>
              <w:rPr>
                <w:rFonts w:ascii="Arial" w:cs="Arial" w:eastAsia="Arial" w:hAnsi="Arial"/>
                <w:sz w:val="10"/>
                <w:szCs w:val="10"/>
                <w:color w:val="auto"/>
                <w:w w:val="97"/>
              </w:rPr>
              <w:t>(2)</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3560" w:type="dxa"/>
            <w:vAlign w:val="bottom"/>
            <w:vMerge w:val="restart"/>
          </w:tcPr>
          <w:p>
            <w:pPr>
              <w:ind w:left="100"/>
              <w:spacing w:after="0"/>
              <w:rPr>
                <w:sz w:val="20"/>
                <w:szCs w:val="20"/>
                <w:color w:val="auto"/>
              </w:rPr>
            </w:pPr>
            <w:r>
              <w:rPr>
                <w:rFonts w:ascii="Arial" w:cs="Arial" w:eastAsia="Arial" w:hAnsi="Arial"/>
                <w:sz w:val="14"/>
                <w:szCs w:val="14"/>
                <w:color w:val="auto"/>
              </w:rPr>
              <w:t>55 East 52nd Street, New York, NY 10055</w:t>
            </w:r>
          </w:p>
        </w:tc>
        <w:tc>
          <w:tcPr>
            <w:tcW w:w="1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920" w:type="dxa"/>
            <w:vAlign w:val="bottom"/>
            <w:tcBorders>
              <w:bottom w:val="single" w:sz="8" w:color="DCDDDE"/>
            </w:tcBorders>
          </w:tcPr>
          <w:p>
            <w:pPr>
              <w:spacing w:after="0"/>
              <w:rPr>
                <w:sz w:val="5"/>
                <w:szCs w:val="5"/>
                <w:color w:val="auto"/>
              </w:rPr>
            </w:pPr>
          </w:p>
        </w:tc>
        <w:tc>
          <w:tcPr>
            <w:tcW w:w="3560" w:type="dxa"/>
            <w:vAlign w:val="bottom"/>
            <w:tcBorders>
              <w:bottom w:val="single" w:sz="8" w:color="DCDDDE"/>
            </w:tcBorders>
            <w:vMerge w:val="continue"/>
          </w:tcPr>
          <w:p>
            <w:pPr>
              <w:spacing w:after="0"/>
              <w:rPr>
                <w:sz w:val="5"/>
                <w:szCs w:val="5"/>
                <w:color w:val="auto"/>
              </w:rPr>
            </w:pPr>
          </w:p>
        </w:tc>
        <w:tc>
          <w:tcPr>
            <w:tcW w:w="1700" w:type="dxa"/>
            <w:vAlign w:val="bottom"/>
            <w:tcBorders>
              <w:bottom w:val="single" w:sz="8" w:color="DCDDDE"/>
            </w:tcBorders>
          </w:tcPr>
          <w:p>
            <w:pPr>
              <w:spacing w:after="0"/>
              <w:rPr>
                <w:sz w:val="5"/>
                <w:szCs w:val="5"/>
                <w:color w:val="auto"/>
              </w:rPr>
            </w:pPr>
          </w:p>
        </w:tc>
        <w:tc>
          <w:tcPr>
            <w:tcW w:w="260" w:type="dxa"/>
            <w:vAlign w:val="bottom"/>
            <w:tcBorders>
              <w:bottom w:val="single" w:sz="8" w:color="DCDDDE"/>
            </w:tcBorders>
          </w:tcPr>
          <w:p>
            <w:pPr>
              <w:spacing w:after="0"/>
              <w:rPr>
                <w:sz w:val="5"/>
                <w:szCs w:val="5"/>
                <w:color w:val="auto"/>
              </w:rPr>
            </w:pPr>
          </w:p>
        </w:tc>
        <w:tc>
          <w:tcPr>
            <w:tcW w:w="9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92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Class A common stock</w:t>
            </w:r>
          </w:p>
        </w:tc>
        <w:tc>
          <w:tcPr>
            <w:tcW w:w="3560" w:type="dxa"/>
            <w:vAlign w:val="bottom"/>
          </w:tcPr>
          <w:p>
            <w:pPr>
              <w:ind w:left="100"/>
              <w:spacing w:after="0" w:line="147" w:lineRule="exact"/>
              <w:rPr>
                <w:sz w:val="20"/>
                <w:szCs w:val="20"/>
                <w:color w:val="auto"/>
              </w:rPr>
            </w:pPr>
            <w:r>
              <w:rPr>
                <w:rFonts w:ascii="Arial" w:cs="Arial" w:eastAsia="Arial" w:hAnsi="Arial"/>
                <w:sz w:val="14"/>
                <w:szCs w:val="14"/>
                <w:color w:val="auto"/>
              </w:rPr>
              <w:t>State Street Corporation</w:t>
            </w: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186,826,370</w:t>
            </w:r>
          </w:p>
        </w:tc>
        <w:tc>
          <w:tcPr>
            <w:tcW w:w="260" w:type="dxa"/>
            <w:vAlign w:val="bottom"/>
          </w:tcPr>
          <w:p>
            <w:pPr>
              <w:jc w:val="right"/>
              <w:ind w:right="72"/>
              <w:spacing w:after="0"/>
              <w:rPr>
                <w:sz w:val="20"/>
                <w:szCs w:val="20"/>
                <w:color w:val="auto"/>
              </w:rPr>
            </w:pPr>
            <w:r>
              <w:rPr>
                <w:rFonts w:ascii="Arial" w:cs="Arial" w:eastAsia="Arial" w:hAnsi="Arial"/>
                <w:sz w:val="10"/>
                <w:szCs w:val="10"/>
                <w:color w:val="auto"/>
                <w:w w:val="97"/>
              </w:rPr>
              <w:t>(3)</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3560" w:type="dxa"/>
            <w:vAlign w:val="bottom"/>
            <w:vMerge w:val="restart"/>
          </w:tcPr>
          <w:p>
            <w:pPr>
              <w:ind w:left="100"/>
              <w:spacing w:after="0"/>
              <w:rPr>
                <w:sz w:val="20"/>
                <w:szCs w:val="20"/>
                <w:color w:val="auto"/>
              </w:rPr>
            </w:pPr>
            <w:r>
              <w:rPr>
                <w:rFonts w:ascii="Arial" w:cs="Arial" w:eastAsia="Arial" w:hAnsi="Arial"/>
                <w:sz w:val="14"/>
                <w:szCs w:val="14"/>
                <w:color w:val="auto"/>
              </w:rPr>
              <w:t>One Congress Street, Suite 1, Boston, MA 02114</w:t>
            </w:r>
          </w:p>
        </w:tc>
        <w:tc>
          <w:tcPr>
            <w:tcW w:w="1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920" w:type="dxa"/>
            <w:vAlign w:val="bottom"/>
            <w:tcBorders>
              <w:bottom w:val="single" w:sz="8" w:color="DCDDDE"/>
            </w:tcBorders>
          </w:tcPr>
          <w:p>
            <w:pPr>
              <w:spacing w:after="0"/>
              <w:rPr>
                <w:sz w:val="5"/>
                <w:szCs w:val="5"/>
                <w:color w:val="auto"/>
              </w:rPr>
            </w:pPr>
          </w:p>
        </w:tc>
        <w:tc>
          <w:tcPr>
            <w:tcW w:w="3560" w:type="dxa"/>
            <w:vAlign w:val="bottom"/>
            <w:tcBorders>
              <w:bottom w:val="single" w:sz="8" w:color="DCDDDE"/>
            </w:tcBorders>
            <w:vMerge w:val="continue"/>
          </w:tcPr>
          <w:p>
            <w:pPr>
              <w:spacing w:after="0"/>
              <w:rPr>
                <w:sz w:val="5"/>
                <w:szCs w:val="5"/>
                <w:color w:val="auto"/>
              </w:rPr>
            </w:pPr>
          </w:p>
        </w:tc>
        <w:tc>
          <w:tcPr>
            <w:tcW w:w="1700" w:type="dxa"/>
            <w:vAlign w:val="bottom"/>
            <w:tcBorders>
              <w:bottom w:val="single" w:sz="8" w:color="DCDDDE"/>
            </w:tcBorders>
          </w:tcPr>
          <w:p>
            <w:pPr>
              <w:spacing w:after="0"/>
              <w:rPr>
                <w:sz w:val="5"/>
                <w:szCs w:val="5"/>
                <w:color w:val="auto"/>
              </w:rPr>
            </w:pPr>
          </w:p>
        </w:tc>
        <w:tc>
          <w:tcPr>
            <w:tcW w:w="260" w:type="dxa"/>
            <w:vAlign w:val="bottom"/>
            <w:tcBorders>
              <w:bottom w:val="single" w:sz="8" w:color="DCDDDE"/>
            </w:tcBorders>
          </w:tcPr>
          <w:p>
            <w:pPr>
              <w:spacing w:after="0"/>
              <w:rPr>
                <w:sz w:val="5"/>
                <w:szCs w:val="5"/>
                <w:color w:val="auto"/>
              </w:rPr>
            </w:pPr>
          </w:p>
        </w:tc>
        <w:tc>
          <w:tcPr>
            <w:tcW w:w="9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92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Class B common stock</w:t>
            </w:r>
          </w:p>
        </w:tc>
        <w:tc>
          <w:tcPr>
            <w:tcW w:w="3560" w:type="dxa"/>
            <w:vAlign w:val="bottom"/>
          </w:tcPr>
          <w:p>
            <w:pPr>
              <w:ind w:left="100"/>
              <w:spacing w:after="0" w:line="147" w:lineRule="exact"/>
              <w:rPr>
                <w:sz w:val="20"/>
                <w:szCs w:val="20"/>
                <w:color w:val="auto"/>
              </w:rPr>
            </w:pPr>
            <w:r>
              <w:rPr>
                <w:rFonts w:ascii="Arial" w:cs="Arial" w:eastAsia="Arial" w:hAnsi="Arial"/>
                <w:sz w:val="14"/>
                <w:szCs w:val="14"/>
                <w:color w:val="auto"/>
              </w:rPr>
              <w:t>Brian L. Roberts</w:t>
            </w: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9,444,375</w:t>
            </w:r>
          </w:p>
        </w:tc>
        <w:tc>
          <w:tcPr>
            <w:tcW w:w="260" w:type="dxa"/>
            <w:vAlign w:val="bottom"/>
          </w:tcPr>
          <w:p>
            <w:pPr>
              <w:jc w:val="right"/>
              <w:ind w:right="72"/>
              <w:spacing w:after="0"/>
              <w:rPr>
                <w:sz w:val="20"/>
                <w:szCs w:val="20"/>
                <w:color w:val="auto"/>
              </w:rPr>
            </w:pPr>
            <w:r>
              <w:rPr>
                <w:rFonts w:ascii="Arial" w:cs="Arial" w:eastAsia="Arial" w:hAnsi="Arial"/>
                <w:sz w:val="10"/>
                <w:szCs w:val="10"/>
                <w:color w:val="auto"/>
                <w:w w:val="97"/>
              </w:rPr>
              <w:t>(4)</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3560" w:type="dxa"/>
            <w:vAlign w:val="bottom"/>
            <w:vMerge w:val="restart"/>
          </w:tcPr>
          <w:p>
            <w:pPr>
              <w:ind w:left="100"/>
              <w:spacing w:after="0"/>
              <w:rPr>
                <w:sz w:val="20"/>
                <w:szCs w:val="20"/>
                <w:color w:val="auto"/>
              </w:rPr>
            </w:pPr>
            <w:r>
              <w:rPr>
                <w:rFonts w:ascii="Arial" w:cs="Arial" w:eastAsia="Arial" w:hAnsi="Arial"/>
                <w:sz w:val="14"/>
                <w:szCs w:val="14"/>
                <w:color w:val="auto"/>
              </w:rPr>
              <w:t>One Comcast Center, Philadelphia, PA 19103</w:t>
            </w:r>
          </w:p>
        </w:tc>
        <w:tc>
          <w:tcPr>
            <w:tcW w:w="1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380" w:right="1380" w:hanging="201"/>
        <w:spacing w:after="0" w:line="233" w:lineRule="auto"/>
        <w:tabs>
          <w:tab w:leader="none" w:pos="1380" w:val="left"/>
        </w:tabs>
        <w:numPr>
          <w:ilvl w:val="0"/>
          <w:numId w:val="104"/>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This information is based upon a Schedule 13G/A filing with the SEC on June 5, 2025 made by The Vanguard Group setting forth information as of May 30, 2025. The Vanguard Group disclosed having shared voting power over 4,647,346 shares of our Class A common stock, sole dispositive power over 354,729,449 shares of our Class A common stock and shared dispositive power over 18,851,829 shares of our Class A common stock.</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59</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62" w:name="page63"/>
    <w:bookmarkEnd w:id="62"/>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right="459" w:hanging="201"/>
        <w:spacing w:after="0" w:line="233" w:lineRule="auto"/>
        <w:tabs>
          <w:tab w:leader="none" w:pos="520" w:val="left"/>
        </w:tabs>
        <w:numPr>
          <w:ilvl w:val="0"/>
          <w:numId w:val="105"/>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This information is based upon a Schedule 13G/A filing with the SEC on February 13, 2024 made by BlackRock, Inc. setting forth information as of December 31, 2023. BlackRock, Inc. disclosed having sole voting power over 267,562,663 shares of our Class A common stock and sole dispositive power over 298,215,422 shares of our Class A common stock.</w:t>
      </w:r>
    </w:p>
    <w:p>
      <w:pPr>
        <w:spacing w:after="0" w:line="28" w:lineRule="exact"/>
        <w:rPr>
          <w:rFonts w:ascii="Times New Roman" w:cs="Times New Roman" w:eastAsia="Times New Roman" w:hAnsi="Times New Roman"/>
          <w:sz w:val="22"/>
          <w:szCs w:val="22"/>
          <w:color w:val="auto"/>
          <w:vertAlign w:val="superscript"/>
        </w:rPr>
      </w:pPr>
    </w:p>
    <w:p>
      <w:pPr>
        <w:ind w:left="520" w:right="439" w:hanging="201"/>
        <w:spacing w:after="0" w:line="233" w:lineRule="auto"/>
        <w:tabs>
          <w:tab w:leader="none" w:pos="520" w:val="left"/>
        </w:tabs>
        <w:numPr>
          <w:ilvl w:val="0"/>
          <w:numId w:val="105"/>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This information is based upon a Schedule 13G filing with the SEC on February 9, 2026 made by State Street Corporation setting forth information as of December 31, 2025. State Street Corporation disclosed having shared voting power over 119,769,564 shares of our Class A common stock and shared dispositive power over 186,805,081 shares of our Class A common stock.</w:t>
      </w:r>
    </w:p>
    <w:p>
      <w:pPr>
        <w:spacing w:after="0" w:line="28" w:lineRule="exact"/>
        <w:rPr>
          <w:rFonts w:ascii="Times New Roman" w:cs="Times New Roman" w:eastAsia="Times New Roman" w:hAnsi="Times New Roman"/>
          <w:sz w:val="22"/>
          <w:szCs w:val="22"/>
          <w:color w:val="auto"/>
          <w:vertAlign w:val="superscript"/>
        </w:rPr>
      </w:pPr>
    </w:p>
    <w:p>
      <w:pPr>
        <w:ind w:left="520" w:right="379" w:hanging="201"/>
        <w:spacing w:after="0" w:line="238" w:lineRule="auto"/>
        <w:tabs>
          <w:tab w:leader="none" w:pos="520" w:val="left"/>
        </w:tabs>
        <w:numPr>
          <w:ilvl w:val="0"/>
          <w:numId w:val="105"/>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9,444,375 shares of Class B common stock owned by a limited liability company of which Mr. Roberts is the managing member. The shares of Class B common stock beneficially owned by Mr. Roberts represent 33 1/3%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and Executive Officers.”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Security Ownership of Directors and Executive Officers</w:t>
      </w:r>
    </w:p>
    <w:p>
      <w:pPr>
        <w:spacing w:after="0" w:line="87" w:lineRule="exact"/>
        <w:rPr>
          <w:sz w:val="20"/>
          <w:szCs w:val="20"/>
          <w:color w:val="auto"/>
        </w:rPr>
      </w:pPr>
    </w:p>
    <w:p>
      <w:pPr>
        <w:ind w:left="320" w:right="379"/>
        <w:spacing w:after="0" w:line="244" w:lineRule="auto"/>
        <w:rPr>
          <w:sz w:val="20"/>
          <w:szCs w:val="20"/>
          <w:color w:val="auto"/>
        </w:rPr>
      </w:pPr>
      <w:r>
        <w:rPr>
          <w:rFonts w:ascii="Arial" w:cs="Arial" w:eastAsia="Arial" w:hAnsi="Arial"/>
          <w:sz w:val="18"/>
          <w:szCs w:val="18"/>
          <w:color w:val="auto"/>
        </w:rPr>
        <w:t>This table sets forth information about the amount of common stock beneficially owned by (i) our current directors (all of whom are also director nominees), (ii) the NEOs listed in “Executive Compensation Tables – Summary Compensation Table” and (iii) our current directors and executive officers as a group. No shares of common stock held by our directors or executive officers are held in margin accounts or have been hedged or pledged.</w:t>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 BENEFICIALLY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08"/>
              <w:spacing w:after="0" w:line="203" w:lineRule="exact"/>
              <w:rPr>
                <w:sz w:val="20"/>
                <w:szCs w:val="20"/>
                <w:color w:val="auto"/>
              </w:rPr>
            </w:pPr>
            <w:r>
              <w:rPr>
                <w:rFonts w:ascii="Arial" w:cs="Arial" w:eastAsia="Arial" w:hAnsi="Arial"/>
                <w:sz w:val="14"/>
                <w:szCs w:val="14"/>
                <w:b w:val="1"/>
                <w:bCs w:val="1"/>
                <w:color w:val="auto"/>
                <w:w w:val="98"/>
              </w:rPr>
              <w:t>OWNED</w:t>
            </w:r>
            <w:r>
              <w:rPr>
                <w:rFonts w:ascii="Arial" w:cs="Arial" w:eastAsia="Arial" w:hAnsi="Arial"/>
                <w:sz w:val="19"/>
                <w:szCs w:val="19"/>
                <w:b w:val="1"/>
                <w:bCs w:val="1"/>
                <w:color w:val="auto"/>
                <w:w w:val="98"/>
                <w:vertAlign w:val="superscript"/>
              </w:rPr>
              <w:t>(1)</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12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19"/>
                <w:szCs w:val="19"/>
                <w:b w:val="1"/>
                <w:bCs w:val="1"/>
                <w:color w:val="auto"/>
                <w:vertAlign w:val="superscript"/>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CLASS A</w:t>
            </w:r>
            <w:r>
              <w:rPr>
                <w:rFonts w:ascii="Arial" w:cs="Arial" w:eastAsia="Arial" w:hAnsi="Arial"/>
                <w:sz w:val="19"/>
                <w:szCs w:val="19"/>
                <w:b w:val="1"/>
                <w:bCs w:val="1"/>
                <w:color w:val="auto"/>
                <w:w w:val="98"/>
                <w:vertAlign w:val="superscript"/>
              </w:rPr>
              <w:t>(2)</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Jason S. Armstrong</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904,654</w:t>
            </w:r>
          </w:p>
        </w:tc>
        <w:tc>
          <w:tcPr>
            <w:tcW w:w="380" w:type="dxa"/>
            <w:vAlign w:val="bottom"/>
            <w:tcBorders>
              <w:bottom w:val="single" w:sz="8" w:color="E7E6E6"/>
            </w:tcBorders>
          </w:tcPr>
          <w:p>
            <w:pPr>
              <w:spacing w:after="0"/>
              <w:rPr>
                <w:sz w:val="18"/>
                <w:szCs w:val="18"/>
                <w:color w:val="auto"/>
              </w:rPr>
            </w:pP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18"/>
                <w:szCs w:val="18"/>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00" w:type="dxa"/>
            <w:vAlign w:val="bottom"/>
          </w:tcPr>
          <w:p>
            <w:pPr>
              <w:ind w:left="80"/>
              <w:spacing w:after="0"/>
              <w:rPr>
                <w:sz w:val="20"/>
                <w:szCs w:val="20"/>
                <w:color w:val="auto"/>
              </w:rPr>
            </w:pPr>
            <w:r>
              <w:rPr>
                <w:rFonts w:ascii="Arial" w:cs="Arial" w:eastAsia="Arial" w:hAnsi="Arial"/>
                <w:sz w:val="14"/>
                <w:szCs w:val="14"/>
                <w:b w:val="1"/>
                <w:bCs w:val="1"/>
                <w:color w:val="auto"/>
              </w:rPr>
              <w:t>Kenneth J. Bacon</w:t>
            </w:r>
          </w:p>
        </w:tc>
        <w:tc>
          <w:tcPr>
            <w:tcW w:w="820" w:type="dxa"/>
            <w:vAlign w:val="bottom"/>
          </w:tcPr>
          <w:p>
            <w:pPr>
              <w:jc w:val="right"/>
              <w:spacing w:after="0"/>
              <w:rPr>
                <w:sz w:val="20"/>
                <w:szCs w:val="20"/>
                <w:color w:val="auto"/>
              </w:rPr>
            </w:pPr>
            <w:r>
              <w:rPr>
                <w:rFonts w:ascii="Arial" w:cs="Arial" w:eastAsia="Arial" w:hAnsi="Arial"/>
                <w:sz w:val="14"/>
                <w:szCs w:val="14"/>
                <w:color w:val="auto"/>
              </w:rPr>
              <w:t>42,223</w:t>
            </w:r>
          </w:p>
        </w:tc>
        <w:tc>
          <w:tcPr>
            <w:tcW w:w="380" w:type="dxa"/>
            <w:vAlign w:val="bottom"/>
            <w:vMerge w:val="restart"/>
          </w:tcPr>
          <w:p>
            <w:pPr>
              <w:jc w:val="right"/>
              <w:ind w:right="128"/>
              <w:spacing w:after="0"/>
              <w:rPr>
                <w:sz w:val="20"/>
                <w:szCs w:val="20"/>
                <w:color w:val="auto"/>
              </w:rPr>
            </w:pPr>
            <w:r>
              <w:rPr>
                <w:rFonts w:ascii="Arial" w:cs="Arial" w:eastAsia="Arial" w:hAnsi="Arial"/>
                <w:sz w:val="10"/>
                <w:szCs w:val="10"/>
                <w:color w:val="auto"/>
              </w:rPr>
              <w:t>(3)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000" w:type="dxa"/>
            <w:vAlign w:val="bottom"/>
          </w:tcPr>
          <w:p>
            <w:pPr>
              <w:ind w:left="80"/>
              <w:spacing w:after="0"/>
              <w:rPr>
                <w:sz w:val="20"/>
                <w:szCs w:val="20"/>
                <w:color w:val="auto"/>
              </w:rPr>
            </w:pPr>
            <w:r>
              <w:rPr>
                <w:rFonts w:ascii="Arial" w:cs="Arial" w:eastAsia="Arial" w:hAnsi="Arial"/>
                <w:sz w:val="14"/>
                <w:szCs w:val="14"/>
                <w:b w:val="1"/>
                <w:bCs w:val="1"/>
                <w:color w:val="auto"/>
              </w:rPr>
              <w:t>Thomas J. Baltimore, Jr.</w:t>
            </w:r>
          </w:p>
        </w:tc>
        <w:tc>
          <w:tcPr>
            <w:tcW w:w="820" w:type="dxa"/>
            <w:vAlign w:val="bottom"/>
          </w:tcPr>
          <w:p>
            <w:pPr>
              <w:jc w:val="right"/>
              <w:spacing w:after="0"/>
              <w:rPr>
                <w:sz w:val="20"/>
                <w:szCs w:val="20"/>
                <w:color w:val="auto"/>
              </w:rPr>
            </w:pPr>
            <w:r>
              <w:rPr>
                <w:rFonts w:ascii="Arial" w:cs="Arial" w:eastAsia="Arial" w:hAnsi="Arial"/>
                <w:sz w:val="14"/>
                <w:szCs w:val="14"/>
                <w:color w:val="auto"/>
              </w:rPr>
              <w:t>38,344</w:t>
            </w:r>
          </w:p>
        </w:tc>
        <w:tc>
          <w:tcPr>
            <w:tcW w:w="380" w:type="dxa"/>
            <w:vAlign w:val="bottom"/>
            <w:vMerge w:val="continue"/>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Madeline S. Bell</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74,344</w:t>
            </w:r>
          </w:p>
        </w:tc>
        <w:tc>
          <w:tcPr>
            <w:tcW w:w="380" w:type="dxa"/>
            <w:vAlign w:val="bottom"/>
            <w:tcBorders>
              <w:bottom w:val="single" w:sz="8" w:color="E7E6E6"/>
            </w:tcBorders>
          </w:tcPr>
          <w:p>
            <w:pPr>
              <w:jc w:val="right"/>
              <w:ind w:right="128"/>
              <w:spacing w:after="0"/>
              <w:rPr>
                <w:sz w:val="20"/>
                <w:szCs w:val="20"/>
                <w:color w:val="auto"/>
              </w:rPr>
            </w:pPr>
            <w:r>
              <w:rPr>
                <w:rFonts w:ascii="Arial" w:cs="Arial" w:eastAsia="Arial" w:hAnsi="Arial"/>
                <w:sz w:val="10"/>
                <w:szCs w:val="10"/>
                <w:color w:val="auto"/>
              </w:rPr>
              <w:t>(4)</w:t>
            </w: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21"/>
                <w:szCs w:val="21"/>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Louise F. Brady</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31,507</w:t>
            </w:r>
          </w:p>
        </w:tc>
        <w:tc>
          <w:tcPr>
            <w:tcW w:w="380" w:type="dxa"/>
            <w:vAlign w:val="bottom"/>
            <w:tcBorders>
              <w:bottom w:val="single" w:sz="8" w:color="E7E6E6"/>
            </w:tcBorders>
          </w:tcPr>
          <w:p>
            <w:pPr>
              <w:spacing w:after="0"/>
              <w:rPr>
                <w:sz w:val="17"/>
                <w:szCs w:val="17"/>
                <w:color w:val="auto"/>
              </w:rPr>
            </w:pP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17"/>
                <w:szCs w:val="17"/>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00" w:type="dxa"/>
            <w:vAlign w:val="bottom"/>
          </w:tcPr>
          <w:p>
            <w:pPr>
              <w:ind w:left="80"/>
              <w:spacing w:after="0"/>
              <w:rPr>
                <w:sz w:val="20"/>
                <w:szCs w:val="20"/>
                <w:color w:val="auto"/>
              </w:rPr>
            </w:pPr>
            <w:r>
              <w:rPr>
                <w:rFonts w:ascii="Arial" w:cs="Arial" w:eastAsia="Arial" w:hAnsi="Arial"/>
                <w:sz w:val="14"/>
                <w:szCs w:val="14"/>
                <w:b w:val="1"/>
                <w:bCs w:val="1"/>
                <w:color w:val="auto"/>
              </w:rPr>
              <w:t>Edward D. Breen</w:t>
            </w:r>
          </w:p>
        </w:tc>
        <w:tc>
          <w:tcPr>
            <w:tcW w:w="820" w:type="dxa"/>
            <w:vAlign w:val="bottom"/>
          </w:tcPr>
          <w:p>
            <w:pPr>
              <w:jc w:val="right"/>
              <w:spacing w:after="0"/>
              <w:rPr>
                <w:sz w:val="20"/>
                <w:szCs w:val="20"/>
                <w:color w:val="auto"/>
              </w:rPr>
            </w:pPr>
            <w:r>
              <w:rPr>
                <w:rFonts w:ascii="Arial" w:cs="Arial" w:eastAsia="Arial" w:hAnsi="Arial"/>
                <w:sz w:val="14"/>
                <w:szCs w:val="14"/>
                <w:color w:val="auto"/>
              </w:rPr>
              <w:t>25,825</w:t>
            </w:r>
          </w:p>
        </w:tc>
        <w:tc>
          <w:tcPr>
            <w:tcW w:w="380" w:type="dxa"/>
            <w:vAlign w:val="bottom"/>
            <w:vMerge w:val="restart"/>
          </w:tcPr>
          <w:p>
            <w:pPr>
              <w:jc w:val="right"/>
              <w:ind w:right="128"/>
              <w:spacing w:after="0"/>
              <w:rPr>
                <w:sz w:val="20"/>
                <w:szCs w:val="20"/>
                <w:color w:val="auto"/>
              </w:rPr>
            </w:pPr>
            <w:r>
              <w:rPr>
                <w:rFonts w:ascii="Arial" w:cs="Arial" w:eastAsia="Arial" w:hAnsi="Arial"/>
                <w:sz w:val="10"/>
                <w:szCs w:val="10"/>
                <w:color w:val="auto"/>
              </w:rPr>
              <w:t>(5)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000" w:type="dxa"/>
            <w:vAlign w:val="bottom"/>
          </w:tcPr>
          <w:p>
            <w:pPr>
              <w:ind w:left="80"/>
              <w:spacing w:after="0"/>
              <w:rPr>
                <w:sz w:val="20"/>
                <w:szCs w:val="20"/>
                <w:color w:val="auto"/>
              </w:rPr>
            </w:pPr>
            <w:r>
              <w:rPr>
                <w:rFonts w:ascii="Arial" w:cs="Arial" w:eastAsia="Arial" w:hAnsi="Arial"/>
                <w:sz w:val="14"/>
                <w:szCs w:val="14"/>
                <w:b w:val="1"/>
                <w:bCs w:val="1"/>
                <w:color w:val="auto"/>
              </w:rPr>
              <w:t>Michael J. Cavanagh</w:t>
            </w:r>
          </w:p>
        </w:tc>
        <w:tc>
          <w:tcPr>
            <w:tcW w:w="820" w:type="dxa"/>
            <w:vAlign w:val="bottom"/>
          </w:tcPr>
          <w:p>
            <w:pPr>
              <w:jc w:val="right"/>
              <w:spacing w:after="0"/>
              <w:rPr>
                <w:sz w:val="20"/>
                <w:szCs w:val="20"/>
                <w:color w:val="auto"/>
              </w:rPr>
            </w:pPr>
            <w:r>
              <w:rPr>
                <w:rFonts w:ascii="Arial" w:cs="Arial" w:eastAsia="Arial" w:hAnsi="Arial"/>
                <w:sz w:val="14"/>
                <w:szCs w:val="14"/>
                <w:color w:val="auto"/>
              </w:rPr>
              <w:t>6,184,484</w:t>
            </w:r>
          </w:p>
        </w:tc>
        <w:tc>
          <w:tcPr>
            <w:tcW w:w="380" w:type="dxa"/>
            <w:vAlign w:val="bottom"/>
            <w:vMerge w:val="continue"/>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Jeffrey A. Honickman</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455,132</w:t>
            </w:r>
          </w:p>
        </w:tc>
        <w:tc>
          <w:tcPr>
            <w:tcW w:w="380" w:type="dxa"/>
            <w:vAlign w:val="bottom"/>
            <w:tcBorders>
              <w:bottom w:val="single" w:sz="8" w:color="E7E6E6"/>
            </w:tcBorders>
          </w:tcPr>
          <w:p>
            <w:pPr>
              <w:jc w:val="right"/>
              <w:ind w:right="128"/>
              <w:spacing w:after="0"/>
              <w:rPr>
                <w:sz w:val="20"/>
                <w:szCs w:val="20"/>
                <w:color w:val="auto"/>
              </w:rPr>
            </w:pPr>
            <w:r>
              <w:rPr>
                <w:rFonts w:ascii="Arial" w:cs="Arial" w:eastAsia="Arial" w:hAnsi="Arial"/>
                <w:sz w:val="10"/>
                <w:szCs w:val="10"/>
                <w:color w:val="auto"/>
              </w:rPr>
              <w:t>(6)</w:t>
            </w: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21"/>
                <w:szCs w:val="21"/>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Jennifer Khoury</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540,766</w:t>
            </w:r>
          </w:p>
        </w:tc>
        <w:tc>
          <w:tcPr>
            <w:tcW w:w="380" w:type="dxa"/>
            <w:vAlign w:val="bottom"/>
            <w:tcBorders>
              <w:bottom w:val="single" w:sz="8" w:color="E7E6E6"/>
            </w:tcBorders>
          </w:tcPr>
          <w:p>
            <w:pPr>
              <w:spacing w:after="0"/>
              <w:rPr>
                <w:sz w:val="17"/>
                <w:szCs w:val="17"/>
                <w:color w:val="auto"/>
              </w:rPr>
            </w:pP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17"/>
                <w:szCs w:val="17"/>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Wonya Y. Lucas</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21,508</w:t>
            </w:r>
          </w:p>
        </w:tc>
        <w:tc>
          <w:tcPr>
            <w:tcW w:w="380" w:type="dxa"/>
            <w:vAlign w:val="bottom"/>
            <w:tcBorders>
              <w:bottom w:val="single" w:sz="8" w:color="E7E6E6"/>
            </w:tcBorders>
          </w:tcPr>
          <w:p>
            <w:pPr>
              <w:spacing w:after="0"/>
              <w:rPr>
                <w:sz w:val="17"/>
                <w:szCs w:val="17"/>
                <w:color w:val="auto"/>
              </w:rPr>
            </w:pP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17"/>
                <w:szCs w:val="17"/>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Asuka Nakahara</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92,171</w:t>
            </w:r>
          </w:p>
        </w:tc>
        <w:tc>
          <w:tcPr>
            <w:tcW w:w="380" w:type="dxa"/>
            <w:vAlign w:val="bottom"/>
            <w:tcBorders>
              <w:bottom w:val="single" w:sz="8" w:color="E7E6E6"/>
            </w:tcBorders>
          </w:tcPr>
          <w:p>
            <w:pPr>
              <w:spacing w:after="0"/>
              <w:rPr>
                <w:sz w:val="17"/>
                <w:szCs w:val="17"/>
                <w:color w:val="auto"/>
              </w:rPr>
            </w:pP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17"/>
                <w:szCs w:val="17"/>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00" w:type="dxa"/>
            <w:vAlign w:val="bottom"/>
          </w:tcPr>
          <w:p>
            <w:pPr>
              <w:ind w:left="80"/>
              <w:spacing w:after="0"/>
              <w:rPr>
                <w:sz w:val="20"/>
                <w:szCs w:val="20"/>
                <w:color w:val="auto"/>
              </w:rPr>
            </w:pPr>
            <w:r>
              <w:rPr>
                <w:rFonts w:ascii="Arial" w:cs="Arial" w:eastAsia="Arial" w:hAnsi="Arial"/>
                <w:sz w:val="14"/>
                <w:szCs w:val="14"/>
                <w:b w:val="1"/>
                <w:bCs w:val="1"/>
                <w:color w:val="auto"/>
              </w:rPr>
              <w:t>Thomas J. Reid</w:t>
            </w:r>
          </w:p>
        </w:tc>
        <w:tc>
          <w:tcPr>
            <w:tcW w:w="820" w:type="dxa"/>
            <w:vAlign w:val="bottom"/>
          </w:tcPr>
          <w:p>
            <w:pPr>
              <w:jc w:val="right"/>
              <w:spacing w:after="0"/>
              <w:rPr>
                <w:sz w:val="20"/>
                <w:szCs w:val="20"/>
                <w:color w:val="auto"/>
              </w:rPr>
            </w:pPr>
            <w:r>
              <w:rPr>
                <w:rFonts w:ascii="Arial" w:cs="Arial" w:eastAsia="Arial" w:hAnsi="Arial"/>
                <w:sz w:val="14"/>
                <w:szCs w:val="14"/>
                <w:color w:val="auto"/>
              </w:rPr>
              <w:t>1,180,582</w:t>
            </w:r>
          </w:p>
        </w:tc>
        <w:tc>
          <w:tcPr>
            <w:tcW w:w="3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Brian L. Roberts</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30,897,450</w:t>
            </w:r>
          </w:p>
        </w:tc>
        <w:tc>
          <w:tcPr>
            <w:tcW w:w="380" w:type="dxa"/>
            <w:vAlign w:val="bottom"/>
            <w:tcBorders>
              <w:bottom w:val="single" w:sz="8" w:color="E7E6E6"/>
            </w:tcBorders>
          </w:tcPr>
          <w:p>
            <w:pPr>
              <w:jc w:val="right"/>
              <w:ind w:right="128"/>
              <w:spacing w:after="0"/>
              <w:rPr>
                <w:sz w:val="20"/>
                <w:szCs w:val="20"/>
                <w:color w:val="auto"/>
              </w:rPr>
            </w:pPr>
            <w:r>
              <w:rPr>
                <w:rFonts w:ascii="Arial" w:cs="Arial" w:eastAsia="Arial" w:hAnsi="Arial"/>
                <w:sz w:val="10"/>
                <w:szCs w:val="10"/>
                <w:color w:val="auto"/>
              </w:rPr>
              <w:t>(7)</w:t>
            </w: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9,444,375</w:t>
            </w:r>
          </w:p>
        </w:tc>
        <w:tc>
          <w:tcPr>
            <w:tcW w:w="280" w:type="dxa"/>
            <w:vAlign w:val="bottom"/>
            <w:tcBorders>
              <w:bottom w:val="single" w:sz="8" w:color="E7E6E6"/>
            </w:tcBorders>
          </w:tcPr>
          <w:p>
            <w:pPr>
              <w:jc w:val="right"/>
              <w:ind w:right="92"/>
              <w:spacing w:after="0"/>
              <w:rPr>
                <w:sz w:val="20"/>
                <w:szCs w:val="20"/>
                <w:color w:val="auto"/>
              </w:rPr>
            </w:pPr>
            <w:r>
              <w:rPr>
                <w:rFonts w:ascii="Arial" w:cs="Arial" w:eastAsia="Arial" w:hAnsi="Arial"/>
                <w:sz w:val="10"/>
                <w:szCs w:val="10"/>
                <w:color w:val="auto"/>
                <w:w w:val="97"/>
              </w:rPr>
              <w:t>(8)</w:t>
            </w: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68"/>
              <w:spacing w:after="0"/>
              <w:rPr>
                <w:sz w:val="20"/>
                <w:szCs w:val="20"/>
                <w:color w:val="auto"/>
              </w:rPr>
            </w:pPr>
            <w:r>
              <w:rPr>
                <w:rFonts w:ascii="Arial" w:cs="Arial" w:eastAsia="Arial" w:hAnsi="Arial"/>
                <w:sz w:val="14"/>
                <w:szCs w:val="14"/>
                <w:color w:val="auto"/>
              </w:rPr>
              <w:t xml:space="preserve">100% </w:t>
            </w:r>
            <w:r>
              <w:rPr>
                <w:rFonts w:ascii="Arial" w:cs="Arial" w:eastAsia="Arial" w:hAnsi="Arial"/>
                <w:sz w:val="19"/>
                <w:szCs w:val="19"/>
                <w:color w:val="auto"/>
                <w:vertAlign w:val="superscript"/>
              </w:rPr>
              <w:t>(8)</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E7E6E6"/>
            </w:tcBorders>
          </w:tcPr>
          <w:p>
            <w:pPr>
              <w:ind w:left="80"/>
              <w:spacing w:after="0"/>
              <w:rPr>
                <w:sz w:val="20"/>
                <w:szCs w:val="20"/>
                <w:color w:val="auto"/>
              </w:rPr>
            </w:pPr>
            <w:r>
              <w:rPr>
                <w:rFonts w:ascii="Arial" w:cs="Arial" w:eastAsia="Arial" w:hAnsi="Arial"/>
                <w:sz w:val="14"/>
                <w:szCs w:val="14"/>
                <w:b w:val="1"/>
                <w:bCs w:val="1"/>
                <w:color w:val="auto"/>
              </w:rPr>
              <w:t>Gordon Smith</w:t>
            </w:r>
          </w:p>
        </w:tc>
        <w:tc>
          <w:tcPr>
            <w:tcW w:w="820" w:type="dxa"/>
            <w:vAlign w:val="bottom"/>
            <w:tcBorders>
              <w:bottom w:val="single" w:sz="8" w:color="E7E6E6"/>
            </w:tcBorders>
          </w:tcPr>
          <w:p>
            <w:pPr>
              <w:jc w:val="right"/>
              <w:spacing w:after="0"/>
              <w:rPr>
                <w:sz w:val="20"/>
                <w:szCs w:val="20"/>
                <w:color w:val="auto"/>
              </w:rPr>
            </w:pPr>
            <w:r>
              <w:rPr>
                <w:rFonts w:ascii="Arial" w:cs="Arial" w:eastAsia="Arial" w:hAnsi="Arial"/>
                <w:sz w:val="14"/>
                <w:szCs w:val="14"/>
                <w:color w:val="auto"/>
              </w:rPr>
              <w:t>7,869</w:t>
            </w:r>
          </w:p>
        </w:tc>
        <w:tc>
          <w:tcPr>
            <w:tcW w:w="380" w:type="dxa"/>
            <w:vAlign w:val="bottom"/>
            <w:tcBorders>
              <w:bottom w:val="single" w:sz="8" w:color="E7E6E6"/>
            </w:tcBorders>
          </w:tcPr>
          <w:p>
            <w:pPr>
              <w:spacing w:after="0"/>
              <w:rPr>
                <w:sz w:val="16"/>
                <w:szCs w:val="16"/>
                <w:color w:val="auto"/>
              </w:rPr>
            </w:pPr>
          </w:p>
        </w:tc>
        <w:tc>
          <w:tcPr>
            <w:tcW w:w="900" w:type="dxa"/>
            <w:vAlign w:val="bottom"/>
            <w:tcBorders>
              <w:bottom w:val="single" w:sz="8" w:color="E7E6E6"/>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6E6"/>
            </w:tcBorders>
          </w:tcPr>
          <w:p>
            <w:pPr>
              <w:spacing w:after="0"/>
              <w:rPr>
                <w:sz w:val="16"/>
                <w:szCs w:val="16"/>
                <w:color w:val="auto"/>
              </w:rPr>
            </w:pPr>
          </w:p>
        </w:tc>
        <w:tc>
          <w:tcPr>
            <w:tcW w:w="1040" w:type="dxa"/>
            <w:vAlign w:val="bottom"/>
            <w:tcBorders>
              <w:bottom w:val="single" w:sz="8" w:color="E7E6E6"/>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7E6E6"/>
            </w:tcBorders>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All directors and executive officers as a group (14 persons)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40,496,859</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9,444,375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1.13%</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-1790700</wp:posOffset>
            </wp:positionV>
            <wp:extent cx="53060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-1653540</wp:posOffset>
            </wp:positionV>
            <wp:extent cx="53060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-1242695</wp:posOffset>
            </wp:positionV>
            <wp:extent cx="53060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-1104900</wp:posOffset>
            </wp:positionV>
            <wp:extent cx="53060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-419735</wp:posOffset>
            </wp:positionV>
            <wp:extent cx="53060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74"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6"/>
          <w:szCs w:val="16"/>
          <w:color w:val="auto"/>
        </w:rPr>
        <w:t>*</w:t>
        <w:tab/>
        <w:t>Less than 1% of the outstanding shares of the applicable class.</w:t>
      </w:r>
    </w:p>
    <w:p>
      <w:pPr>
        <w:spacing w:after="0" w:line="73" w:lineRule="exact"/>
        <w:rPr>
          <w:sz w:val="20"/>
          <w:szCs w:val="20"/>
          <w:color w:val="auto"/>
        </w:rPr>
      </w:pPr>
    </w:p>
    <w:p>
      <w:pPr>
        <w:ind w:left="520" w:right="459" w:hanging="201"/>
        <w:spacing w:after="0" w:line="221" w:lineRule="auto"/>
        <w:tabs>
          <w:tab w:leader="none" w:pos="520" w:val="left"/>
        </w:tabs>
        <w:numPr>
          <w:ilvl w:val="0"/>
          <w:numId w:val="106"/>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Beneficial ownership as of January 23, 2026 (except for Mr. Smith, which is as of February 4, 2026 when he first became a director) has been determined in accordance with Rule 13d-3 under the Exchange Act.</w:t>
      </w:r>
    </w:p>
    <w:p>
      <w:pPr>
        <w:spacing w:after="0" w:line="16" w:lineRule="exact"/>
        <w:rPr>
          <w:rFonts w:ascii="Times New Roman" w:cs="Times New Roman" w:eastAsia="Times New Roman" w:hAnsi="Times New Roman"/>
          <w:sz w:val="22"/>
          <w:szCs w:val="22"/>
          <w:color w:val="auto"/>
          <w:vertAlign w:val="superscript"/>
        </w:rPr>
      </w:pPr>
    </w:p>
    <w:p>
      <w:pPr>
        <w:ind w:left="520" w:right="559" w:hanging="201"/>
        <w:spacing w:after="0" w:line="229" w:lineRule="auto"/>
        <w:tabs>
          <w:tab w:leader="none" w:pos="520" w:val="left"/>
        </w:tabs>
        <w:numPr>
          <w:ilvl w:val="0"/>
          <w:numId w:val="106"/>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beneficial ownership of the following number of shares for which the following persons hold options exercisable on or within 60 days of January 23, 2026: Mr. Armstrong, 728,582; Mr. Cavanagh, 5,307,698; Ms. Khoury, 440,610; Mr. Reid, 927,785; Mr. Roberts, 7,124,993; and all executive officers as a group, 14,529,668.</w:t>
      </w:r>
    </w:p>
    <w:p>
      <w:pPr>
        <w:spacing w:after="0" w:line="200" w:lineRule="exact"/>
        <w:rPr>
          <w:sz w:val="20"/>
          <w:szCs w:val="20"/>
          <w:color w:val="auto"/>
        </w:rPr>
      </w:pPr>
    </w:p>
    <w:p>
      <w:pPr>
        <w:spacing w:after="0" w:line="311" w:lineRule="exact"/>
        <w:rPr>
          <w:sz w:val="20"/>
          <w:szCs w:val="20"/>
          <w:color w:val="auto"/>
        </w:rPr>
      </w:pPr>
    </w:p>
    <w:p>
      <w:pPr>
        <w:ind w:left="1000" w:hanging="674"/>
        <w:spacing w:after="0"/>
        <w:tabs>
          <w:tab w:leader="none" w:pos="100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63" w:name="page64"/>
    <w:bookmarkEnd w:id="63"/>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80" w:right="1220"/>
        <w:spacing w:after="0" w:line="266" w:lineRule="auto"/>
        <w:rPr>
          <w:sz w:val="20"/>
          <w:szCs w:val="20"/>
          <w:color w:val="auto"/>
        </w:rPr>
      </w:pPr>
      <w:r>
        <w:rPr>
          <w:rFonts w:ascii="Arial" w:cs="Arial" w:eastAsia="Arial" w:hAnsi="Arial"/>
          <w:sz w:val="16"/>
          <w:szCs w:val="16"/>
          <w:color w:val="auto"/>
        </w:rPr>
        <w:t>Includes beneficial ownership of the following number of shares underlying stock units held by the following persons that vest on or within 60 days of January 23, 2026: Mr. Armstrong, 132,818; Mr. Cavanagh, 428,613; Ms. Khoury, 43,722; Mr. Reid, 122,465; Mr. Roberts, 563,317; and all executive officers as a group, 1,290,934.</w:t>
      </w:r>
    </w:p>
    <w:p>
      <w:pPr>
        <w:spacing w:after="0" w:line="9" w:lineRule="exact"/>
        <w:rPr>
          <w:sz w:val="20"/>
          <w:szCs w:val="20"/>
          <w:color w:val="auto"/>
        </w:rPr>
      </w:pPr>
    </w:p>
    <w:p>
      <w:pPr>
        <w:ind w:left="1380" w:right="1540"/>
        <w:spacing w:after="0" w:line="264" w:lineRule="auto"/>
        <w:rPr>
          <w:sz w:val="20"/>
          <w:szCs w:val="20"/>
          <w:color w:val="auto"/>
        </w:rPr>
      </w:pPr>
      <w:r>
        <w:rPr>
          <w:rFonts w:ascii="Arial" w:cs="Arial" w:eastAsia="Arial" w:hAnsi="Arial"/>
          <w:sz w:val="16"/>
          <w:szCs w:val="16"/>
          <w:color w:val="auto"/>
        </w:rPr>
        <w:t>Includes the following number of shares that will be paid at a future date in stock under our deferred compensation plans for the following persons: Mr. Bacon, 9,490; Mr. Baltimore, 37,223; Ms. Bell, 41,319; Ms. Brady, 31,507; Mr. Honickman, 333,698; Ms. Lucas, 5,725; Mr. Nakahara, 78,966; and Mr. Smith, 7,869.</w:t>
      </w:r>
    </w:p>
    <w:p>
      <w:pPr>
        <w:ind w:left="1380" w:hanging="201"/>
        <w:spacing w:after="0" w:line="203" w:lineRule="auto"/>
        <w:tabs>
          <w:tab w:leader="none" w:pos="138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477 shares held by his spouse.</w:t>
      </w:r>
    </w:p>
    <w:p>
      <w:pPr>
        <w:spacing w:after="0" w:line="45" w:lineRule="exact"/>
        <w:rPr>
          <w:rFonts w:ascii="Times New Roman" w:cs="Times New Roman" w:eastAsia="Times New Roman" w:hAnsi="Times New Roman"/>
          <w:sz w:val="22"/>
          <w:szCs w:val="22"/>
          <w:color w:val="auto"/>
          <w:vertAlign w:val="superscript"/>
        </w:rPr>
      </w:pPr>
    </w:p>
    <w:p>
      <w:pPr>
        <w:ind w:left="1380" w:hanging="201"/>
        <w:spacing w:after="0" w:line="188" w:lineRule="auto"/>
        <w:tabs>
          <w:tab w:leader="none" w:pos="138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2,200 shares held jointly by her and her spouse and 400 shares held by her spouse.</w:t>
      </w:r>
    </w:p>
    <w:p>
      <w:pPr>
        <w:spacing w:after="0" w:line="58" w:lineRule="exact"/>
        <w:rPr>
          <w:rFonts w:ascii="Times New Roman" w:cs="Times New Roman" w:eastAsia="Times New Roman" w:hAnsi="Times New Roman"/>
          <w:sz w:val="22"/>
          <w:szCs w:val="22"/>
          <w:color w:val="auto"/>
          <w:vertAlign w:val="superscript"/>
        </w:rPr>
      </w:pPr>
    </w:p>
    <w:p>
      <w:pPr>
        <w:ind w:left="1380" w:hanging="201"/>
        <w:spacing w:after="0" w:line="188" w:lineRule="auto"/>
        <w:tabs>
          <w:tab w:leader="none" w:pos="138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409,540 shares and 3,254,446 shares underlying options held by a trust of which his spouse is a trustee.</w:t>
      </w:r>
    </w:p>
    <w:p>
      <w:pPr>
        <w:spacing w:after="0" w:line="44" w:lineRule="exact"/>
        <w:rPr>
          <w:rFonts w:ascii="Times New Roman" w:cs="Times New Roman" w:eastAsia="Times New Roman" w:hAnsi="Times New Roman"/>
          <w:sz w:val="22"/>
          <w:szCs w:val="22"/>
          <w:color w:val="auto"/>
          <w:vertAlign w:val="superscript"/>
        </w:rPr>
      </w:pPr>
    </w:p>
    <w:p>
      <w:pPr>
        <w:ind w:left="1380" w:hanging="201"/>
        <w:spacing w:after="0" w:line="188" w:lineRule="auto"/>
        <w:tabs>
          <w:tab w:leader="none" w:pos="138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20,150 shares held by trusts of which he is a trustee.</w:t>
      </w:r>
    </w:p>
    <w:p>
      <w:pPr>
        <w:spacing w:after="0" w:line="44" w:lineRule="exact"/>
        <w:rPr>
          <w:rFonts w:ascii="Times New Roman" w:cs="Times New Roman" w:eastAsia="Times New Roman" w:hAnsi="Times New Roman"/>
          <w:sz w:val="22"/>
          <w:szCs w:val="22"/>
          <w:color w:val="auto"/>
          <w:vertAlign w:val="superscript"/>
        </w:rPr>
      </w:pPr>
    </w:p>
    <w:p>
      <w:pPr>
        <w:ind w:left="1380" w:right="1220" w:hanging="201"/>
        <w:spacing w:after="0" w:line="231" w:lineRule="auto"/>
        <w:tabs>
          <w:tab w:leader="none" w:pos="138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Includes 286,044 shares owned by his spouse; 1,333,950 shares owned by a family charitable foundation of which his spouse is a trustee; and 15,772,421 shares owned by certain family trusts. Does not include shares of Class A common stock issuable upon conversion of Class B common stock beneficially owned by him; if he were to convert the Class B common stock into Class A common stock, he would beneficially own approximately 1% of the Class A common stock.</w:t>
      </w:r>
    </w:p>
    <w:p>
      <w:pPr>
        <w:spacing w:after="0" w:line="2" w:lineRule="exact"/>
        <w:rPr>
          <w:rFonts w:ascii="Times New Roman" w:cs="Times New Roman" w:eastAsia="Times New Roman" w:hAnsi="Times New Roman"/>
          <w:sz w:val="22"/>
          <w:szCs w:val="22"/>
          <w:color w:val="auto"/>
          <w:vertAlign w:val="superscript"/>
        </w:rPr>
      </w:pPr>
    </w:p>
    <w:p>
      <w:pPr>
        <w:ind w:left="1380" w:hanging="201"/>
        <w:spacing w:after="0" w:line="230" w:lineRule="auto"/>
        <w:tabs>
          <w:tab w:leader="none" w:pos="1380" w:val="left"/>
        </w:tabs>
        <w:numPr>
          <w:ilvl w:val="0"/>
          <w:numId w:val="108"/>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See footnote (4) under “— Principal Shareholders” above.</w:t>
      </w:r>
    </w:p>
    <w:p>
      <w:pPr>
        <w:spacing w:after="0" w:line="130"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Delinquent Section 16(a) Reports</w:t>
      </w:r>
    </w:p>
    <w:p>
      <w:pPr>
        <w:spacing w:after="0" w:line="127" w:lineRule="exact"/>
        <w:rPr>
          <w:sz w:val="20"/>
          <w:szCs w:val="20"/>
          <w:color w:val="auto"/>
        </w:rPr>
      </w:pPr>
    </w:p>
    <w:p>
      <w:pPr>
        <w:ind w:left="1180" w:right="1180"/>
        <w:spacing w:after="0" w:line="242"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Based on our review of such reports and written representations from the individuals required to file the reports, we believe that all filings required to be made by our reporting persons for 2025 were made on a timely basis.</w:t>
      </w:r>
    </w:p>
    <w:p>
      <w:pPr>
        <w:spacing w:after="0" w:line="106" w:lineRule="exact"/>
        <w:rPr>
          <w:sz w:val="20"/>
          <w:szCs w:val="20"/>
          <w:color w:val="auto"/>
        </w:rPr>
      </w:pPr>
    </w:p>
    <w:p>
      <w:pPr>
        <w:ind w:left="1180"/>
        <w:spacing w:after="0"/>
        <w:rPr>
          <w:sz w:val="20"/>
          <w:szCs w:val="20"/>
          <w:color w:val="auto"/>
        </w:rPr>
      </w:pPr>
      <w:r>
        <w:rPr>
          <w:rFonts w:ascii="Arial" w:cs="Arial" w:eastAsia="Arial" w:hAnsi="Arial"/>
          <w:sz w:val="36"/>
          <w:szCs w:val="36"/>
          <w:b w:val="1"/>
          <w:bCs w:val="1"/>
          <w:color w:val="auto"/>
        </w:rPr>
        <w:t>Compensation of Directors</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Director Compensation Program</w:t>
      </w:r>
    </w:p>
    <w:p>
      <w:pPr>
        <w:spacing w:after="0" w:line="127" w:lineRule="exact"/>
        <w:rPr>
          <w:sz w:val="20"/>
          <w:szCs w:val="20"/>
          <w:color w:val="auto"/>
        </w:rPr>
      </w:pPr>
    </w:p>
    <w:p>
      <w:pPr>
        <w:ind w:left="1180" w:right="1320"/>
        <w:spacing w:after="0" w:line="242" w:lineRule="auto"/>
        <w:rPr>
          <w:sz w:val="20"/>
          <w:szCs w:val="20"/>
          <w:color w:val="auto"/>
        </w:rPr>
      </w:pPr>
      <w:r>
        <w:rPr>
          <w:rFonts w:ascii="Arial" w:cs="Arial" w:eastAsia="Arial" w:hAnsi="Arial"/>
          <w:sz w:val="18"/>
          <w:szCs w:val="18"/>
          <w:color w:val="auto"/>
        </w:rPr>
        <w:t>From time to time, the Compensation Committee directs an independent compensation consultant to provide analyses with respect to various nonemployee director compensation data. Korn Ferry last provided this analysis in 2025. Pursuant to Korn Ferry’s recommendations, the Compensation Committee recommended and the Board approved an increase in the value of the annual stock grant to nonemployee directors from $ 225,000 to $240,000, effective October 2025. Our current nonemployee director annual compensation reflecting these changes is as follows:</w:t>
      </w:r>
    </w:p>
    <w:p>
      <w:pPr>
        <w:sectPr>
          <w:pgSz w:w="11900" w:h="16838" w:orient="portrait"/>
          <w:cols w:equalWidth="0" w:num="1">
            <w:col w:w="10720"/>
          </w:cols>
          <w:pgMar w:left="580" w:top="229" w:right="599" w:bottom="1440" w:gutter="0" w:footer="0" w:header="0"/>
        </w:sectPr>
      </w:pP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00A0DD"/>
        </w:rPr>
        <w:t>DIRECTOR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213360</wp:posOffset>
            </wp:positionV>
            <wp:extent cx="2631440" cy="403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3144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COMMITTEE MEMBERSHIP FEES FOR EACH</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66040</wp:posOffset>
            </wp:positionV>
            <wp:extent cx="1602740" cy="3683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02740" cy="36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100"/>
          </w:cols>
          <w:pgMar w:left="580" w:top="229"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80" w:right="1340"/>
        <w:spacing w:after="0" w:line="244" w:lineRule="auto"/>
        <w:rPr>
          <w:sz w:val="20"/>
          <w:szCs w:val="20"/>
          <w:color w:val="auto"/>
        </w:rPr>
      </w:pPr>
      <w:r>
        <w:rPr>
          <w:rFonts w:ascii="Arial" w:cs="Arial" w:eastAsia="Arial" w:hAnsi="Arial"/>
          <w:sz w:val="18"/>
          <w:szCs w:val="18"/>
          <w:color w:val="auto"/>
        </w:rPr>
        <w:t>The annual retainer may be received, at the election of the nonemployee director, in shares of Class A common stock, the receipt of which may be deferred in whole or in part. The receipt of the annual stock grant (which is fully vested upon grant) also may be deferred in whole or in part, as may any fees received by a director. Deferred fees must be invested notionally in a third-party mutual or exchange fund or our Class A common stock fund (with dividends being reinvested in Comcast stock).</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61</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64" w:name="page65"/>
    <w:bookmarkEnd w:id="64"/>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659"/>
        <w:spacing w:after="0" w:line="259" w:lineRule="auto"/>
        <w:rPr>
          <w:sz w:val="20"/>
          <w:szCs w:val="20"/>
          <w:color w:val="auto"/>
        </w:rPr>
      </w:pPr>
      <w:r>
        <w:rPr>
          <w:rFonts w:ascii="Arial" w:cs="Arial" w:eastAsia="Arial" w:hAnsi="Arial"/>
          <w:sz w:val="17"/>
          <w:szCs w:val="17"/>
          <w:color w:val="auto"/>
        </w:rPr>
        <w:t>Nonemployee directors are reimbursed for travel expenses for meetings attended. While from time to time guests of our nonemployee directors may accompany them on travel related to business events, and our nonemployee directors and guests may receive tickets for personal use, we have been reimbursed for any incremental costs to the extent required by our policy. Nonemployee directors are also provided with our courtesy services for our Connectivity &amp; Platforms products, if in our service areas, and a Peacock subscription at no cost during the time they serve and for five years thereafter.</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Director Stock Ownership Policy</w:t>
      </w:r>
    </w:p>
    <w:p>
      <w:pPr>
        <w:spacing w:after="0" w:line="127" w:lineRule="exact"/>
        <w:rPr>
          <w:sz w:val="20"/>
          <w:szCs w:val="20"/>
          <w:color w:val="auto"/>
        </w:rPr>
      </w:pPr>
    </w:p>
    <w:p>
      <w:pPr>
        <w:ind w:left="320" w:right="399"/>
        <w:spacing w:after="0" w:line="242" w:lineRule="auto"/>
        <w:rPr>
          <w:sz w:val="20"/>
          <w:szCs w:val="20"/>
          <w:color w:val="auto"/>
        </w:rPr>
      </w:pPr>
      <w:r>
        <w:rPr>
          <w:rFonts w:ascii="Arial" w:cs="Arial" w:eastAsia="Arial" w:hAnsi="Arial"/>
          <w:sz w:val="18"/>
          <w:szCs w:val="18"/>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In determining compliance, the Compensation Committee may consider any noncompliance that occurs solely or primarily as a result of a decline in the market price of our stock. All nonemployee directors satisfied the requirements of our stock ownership policy in 2025.</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Director Compensation</w:t>
      </w:r>
    </w:p>
    <w:p>
      <w:pPr>
        <w:spacing w:after="0" w:line="127" w:lineRule="exact"/>
        <w:rPr>
          <w:sz w:val="20"/>
          <w:szCs w:val="20"/>
          <w:color w:val="auto"/>
        </w:rPr>
      </w:pPr>
    </w:p>
    <w:p>
      <w:pPr>
        <w:jc w:val="both"/>
        <w:ind w:left="320" w:right="759"/>
        <w:spacing w:after="0" w:line="253" w:lineRule="auto"/>
        <w:rPr>
          <w:sz w:val="20"/>
          <w:szCs w:val="20"/>
          <w:color w:val="auto"/>
        </w:rPr>
      </w:pPr>
      <w:r>
        <w:rPr>
          <w:rFonts w:ascii="Arial" w:cs="Arial" w:eastAsia="Arial" w:hAnsi="Arial"/>
          <w:sz w:val="18"/>
          <w:szCs w:val="18"/>
          <w:color w:val="auto"/>
        </w:rPr>
        <w:t>The following table sets forth specified information regarding the compensation of our nonemployee directors in 2025. No information is provided for Messrs. Roberts and Cavanagh, who are employee directors and do not receive compensation for services as a director.</w:t>
      </w:r>
    </w:p>
    <w:p>
      <w:pPr>
        <w:spacing w:after="0" w:line="5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2000" w:type="dxa"/>
            <w:vAlign w:val="bottom"/>
          </w:tcPr>
          <w:p>
            <w:pPr>
              <w:jc w:val="right"/>
              <w:ind w:right="99"/>
              <w:spacing w:after="0"/>
              <w:rPr>
                <w:sz w:val="20"/>
                <w:szCs w:val="20"/>
                <w:color w:val="auto"/>
              </w:rPr>
            </w:pPr>
            <w:r>
              <w:rPr>
                <w:rFonts w:ascii="Arial" w:cs="Arial" w:eastAsia="Arial" w:hAnsi="Arial"/>
                <w:sz w:val="16"/>
                <w:szCs w:val="16"/>
                <w:b w:val="1"/>
                <w:bCs w:val="1"/>
                <w:color w:val="auto"/>
              </w:rPr>
              <w:t>FEES EARNED OR</w:t>
            </w: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auto"/>
              </w:rPr>
              <w:t>ALL OTHER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21"/>
                <w:szCs w:val="21"/>
                <w:b w:val="1"/>
                <w:bCs w:val="1"/>
                <w:color w:val="auto"/>
                <w:vertAlign w:val="superscript"/>
              </w:rPr>
              <w:t>(1)</w:t>
            </w:r>
          </w:p>
        </w:tc>
        <w:tc>
          <w:tcPr>
            <w:tcW w:w="2000" w:type="dxa"/>
            <w:vAlign w:val="bottom"/>
          </w:tcPr>
          <w:p>
            <w:pPr>
              <w:jc w:val="right"/>
              <w:ind w:right="99"/>
              <w:spacing w:after="0" w:line="216"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21"/>
                <w:szCs w:val="21"/>
                <w:b w:val="1"/>
                <w:bCs w:val="1"/>
                <w:color w:val="auto"/>
                <w:vertAlign w:val="superscript"/>
              </w:rPr>
              <w:t>(2)</w:t>
            </w:r>
          </w:p>
        </w:tc>
        <w:tc>
          <w:tcPr>
            <w:tcW w:w="1220" w:type="dxa"/>
            <w:vAlign w:val="bottom"/>
          </w:tcPr>
          <w:p>
            <w:pPr>
              <w:jc w:val="right"/>
              <w:ind w:right="79"/>
              <w:spacing w:after="0" w:line="216"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(3)</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auto"/>
              </w:rPr>
              <w:t>COMPENSATION</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7"/>
        </w:trPr>
        <w:tc>
          <w:tcPr>
            <w:tcW w:w="234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DCDDDE"/>
            </w:tcBorders>
          </w:tcPr>
          <w:p>
            <w:pPr>
              <w:ind w:left="80"/>
              <w:spacing w:after="0"/>
              <w:rPr>
                <w:sz w:val="20"/>
                <w:szCs w:val="20"/>
                <w:color w:val="auto"/>
              </w:rPr>
            </w:pPr>
            <w:r>
              <w:rPr>
                <w:rFonts w:ascii="Arial" w:cs="Arial" w:eastAsia="Arial" w:hAnsi="Arial"/>
                <w:sz w:val="16"/>
                <w:szCs w:val="16"/>
                <w:b w:val="1"/>
                <w:bCs w:val="1"/>
                <w:color w:val="auto"/>
              </w:rPr>
              <w:t>Kenneth J. Bacon</w:t>
            </w:r>
          </w:p>
        </w:tc>
        <w:tc>
          <w:tcPr>
            <w:tcW w:w="2000" w:type="dxa"/>
            <w:vAlign w:val="bottom"/>
            <w:tcBorders>
              <w:bottom w:val="single" w:sz="8" w:color="DCDDDE"/>
            </w:tcBorders>
          </w:tcPr>
          <w:p>
            <w:pPr>
              <w:jc w:val="right"/>
              <w:ind w:right="99"/>
              <w:spacing w:after="0"/>
              <w:rPr>
                <w:sz w:val="20"/>
                <w:szCs w:val="20"/>
                <w:color w:val="auto"/>
              </w:rPr>
            </w:pPr>
            <w:r>
              <w:rPr>
                <w:rFonts w:ascii="Arial" w:cs="Arial" w:eastAsia="Arial" w:hAnsi="Arial"/>
                <w:sz w:val="16"/>
                <w:szCs w:val="16"/>
                <w:color w:val="auto"/>
              </w:rPr>
              <w:t>160,000</w:t>
            </w:r>
          </w:p>
        </w:tc>
        <w:tc>
          <w:tcPr>
            <w:tcW w:w="1220" w:type="dxa"/>
            <w:vAlign w:val="bottom"/>
            <w:tcBorders>
              <w:bottom w:val="single" w:sz="8" w:color="DCDDDE"/>
            </w:tcBorders>
          </w:tcPr>
          <w:p>
            <w:pPr>
              <w:jc w:val="right"/>
              <w:ind w:right="79"/>
              <w:spacing w:after="0"/>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rPr>
                <w:sz w:val="20"/>
                <w:szCs w:val="20"/>
                <w:color w:val="auto"/>
              </w:rPr>
            </w:pPr>
            <w:r>
              <w:rPr>
                <w:rFonts w:ascii="Arial" w:cs="Arial" w:eastAsia="Arial" w:hAnsi="Arial"/>
                <w:sz w:val="16"/>
                <w:szCs w:val="16"/>
                <w:color w:val="auto"/>
              </w:rPr>
              <w:t>400,016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Thomas J. Baltimore, Jr.</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135,000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375,016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Madeline S. Bell</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135,000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375,016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Louise F. Brady</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135,000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375,016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Edward D. Breen</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160,000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400,016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Jeffrey A. Honickman</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175,000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415,016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Wonya Y. Lucas</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135,000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375,016</w:t>
            </w:r>
          </w:p>
        </w:tc>
        <w:tc>
          <w:tcPr>
            <w:tcW w:w="0" w:type="dxa"/>
            <w:vAlign w:val="bottom"/>
          </w:tcPr>
          <w:p>
            <w:pPr>
              <w:spacing w:after="0"/>
              <w:rPr>
                <w:sz w:val="1"/>
                <w:szCs w:val="1"/>
                <w:color w:val="auto"/>
              </w:rPr>
            </w:pPr>
          </w:p>
        </w:tc>
      </w:tr>
      <w:tr>
        <w:trPr>
          <w:trHeight w:val="182"/>
        </w:trPr>
        <w:tc>
          <w:tcPr>
            <w:tcW w:w="2340" w:type="dxa"/>
            <w:vAlign w:val="bottom"/>
            <w:tcBorders>
              <w:bottom w:val="single" w:sz="8" w:color="DCDDDE"/>
            </w:tcBorders>
          </w:tcPr>
          <w:p>
            <w:pPr>
              <w:ind w:left="80"/>
              <w:spacing w:after="0" w:line="183" w:lineRule="exact"/>
              <w:rPr>
                <w:sz w:val="20"/>
                <w:szCs w:val="20"/>
                <w:color w:val="auto"/>
              </w:rPr>
            </w:pPr>
            <w:r>
              <w:rPr>
                <w:rFonts w:ascii="Arial" w:cs="Arial" w:eastAsia="Arial" w:hAnsi="Arial"/>
                <w:sz w:val="16"/>
                <w:szCs w:val="16"/>
                <w:b w:val="1"/>
                <w:bCs w:val="1"/>
                <w:color w:val="auto"/>
              </w:rPr>
              <w:t>Asuka Nakahara</w:t>
            </w:r>
          </w:p>
        </w:tc>
        <w:tc>
          <w:tcPr>
            <w:tcW w:w="2000" w:type="dxa"/>
            <w:vAlign w:val="bottom"/>
            <w:tcBorders>
              <w:bottom w:val="single" w:sz="8" w:color="DCDDDE"/>
            </w:tcBorders>
          </w:tcPr>
          <w:p>
            <w:pPr>
              <w:jc w:val="right"/>
              <w:ind w:right="99"/>
              <w:spacing w:after="0" w:line="183" w:lineRule="exact"/>
              <w:rPr>
                <w:sz w:val="20"/>
                <w:szCs w:val="20"/>
                <w:color w:val="auto"/>
              </w:rPr>
            </w:pPr>
            <w:r>
              <w:rPr>
                <w:rFonts w:ascii="Arial" w:cs="Arial" w:eastAsia="Arial" w:hAnsi="Arial"/>
                <w:sz w:val="16"/>
                <w:szCs w:val="16"/>
                <w:color w:val="auto"/>
              </w:rPr>
              <w:t>135,000</w:t>
            </w:r>
          </w:p>
        </w:tc>
        <w:tc>
          <w:tcPr>
            <w:tcW w:w="1220" w:type="dxa"/>
            <w:vAlign w:val="bottom"/>
            <w:tcBorders>
              <w:bottom w:val="single" w:sz="8" w:color="DCDDDE"/>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DCDDDE"/>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CDDDE"/>
            </w:tcBorders>
          </w:tcPr>
          <w:p>
            <w:pPr>
              <w:jc w:val="right"/>
              <w:ind w:right="19"/>
              <w:spacing w:after="0" w:line="183" w:lineRule="exact"/>
              <w:rPr>
                <w:sz w:val="20"/>
                <w:szCs w:val="20"/>
                <w:color w:val="auto"/>
              </w:rPr>
            </w:pPr>
            <w:r>
              <w:rPr>
                <w:rFonts w:ascii="Arial" w:cs="Arial" w:eastAsia="Arial" w:hAnsi="Arial"/>
                <w:sz w:val="16"/>
                <w:szCs w:val="16"/>
                <w:color w:val="auto"/>
              </w:rPr>
              <w:t>375,016</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David C. Novak</w:t>
            </w:r>
            <w:r>
              <w:rPr>
                <w:rFonts w:ascii="Arial" w:cs="Arial" w:eastAsia="Arial" w:hAnsi="Arial"/>
                <w:sz w:val="21"/>
                <w:szCs w:val="21"/>
                <w:b w:val="1"/>
                <w:bCs w:val="1"/>
                <w:color w:val="auto"/>
                <w:vertAlign w:val="superscript"/>
              </w:rPr>
              <w:t>(4)</w:t>
            </w:r>
          </w:p>
        </w:tc>
        <w:tc>
          <w:tcPr>
            <w:tcW w:w="20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135,000</w:t>
            </w:r>
          </w:p>
        </w:tc>
        <w:tc>
          <w:tcPr>
            <w:tcW w:w="12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240,016</w:t>
            </w:r>
          </w:p>
        </w:tc>
        <w:tc>
          <w:tcPr>
            <w:tcW w:w="17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375,016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20" w:hanging="201"/>
        <w:spacing w:after="0"/>
        <w:tabs>
          <w:tab w:leader="none" w:pos="520" w:val="left"/>
        </w:tabs>
        <w:numPr>
          <w:ilvl w:val="0"/>
          <w:numId w:val="10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Mr. Smith joined our Board in February 2026 and did not earn any compensation in 2025.</w:t>
      </w:r>
    </w:p>
    <w:p>
      <w:pPr>
        <w:spacing w:after="0" w:line="3" w:lineRule="exact"/>
        <w:rPr>
          <w:rFonts w:ascii="Times New Roman" w:cs="Times New Roman" w:eastAsia="Times New Roman" w:hAnsi="Times New Roman"/>
          <w:sz w:val="22"/>
          <w:szCs w:val="22"/>
          <w:color w:val="auto"/>
          <w:vertAlign w:val="superscript"/>
        </w:rPr>
      </w:pPr>
    </w:p>
    <w:p>
      <w:pPr>
        <w:ind w:left="520" w:right="439" w:hanging="201"/>
        <w:spacing w:after="0" w:line="228" w:lineRule="auto"/>
        <w:tabs>
          <w:tab w:leader="none" w:pos="520" w:val="left"/>
        </w:tabs>
        <w:numPr>
          <w:ilvl w:val="0"/>
          <w:numId w:val="10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This column represents all cash retainers and meeting fees earned by our nonemployee directors in 2025, regardless of whether such amounts were deferred or elected to be received in shares of our Class A common stock. Refer to footnote (2) of the Security Ownership of Directors and Executive Officers table for information on shares deferred by directors.</w:t>
      </w:r>
    </w:p>
    <w:p>
      <w:pPr>
        <w:spacing w:after="0" w:line="15" w:lineRule="exact"/>
        <w:rPr>
          <w:rFonts w:ascii="Times New Roman" w:cs="Times New Roman" w:eastAsia="Times New Roman" w:hAnsi="Times New Roman"/>
          <w:sz w:val="22"/>
          <w:szCs w:val="22"/>
          <w:color w:val="auto"/>
          <w:vertAlign w:val="superscript"/>
        </w:rPr>
      </w:pPr>
    </w:p>
    <w:p>
      <w:pPr>
        <w:ind w:left="520" w:right="639" w:hanging="201"/>
        <w:spacing w:after="0" w:line="237" w:lineRule="auto"/>
        <w:tabs>
          <w:tab w:leader="none" w:pos="520" w:val="left"/>
        </w:tabs>
        <w:numPr>
          <w:ilvl w:val="0"/>
          <w:numId w:val="10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The amounts in this column represent the aggregate grant date fair value for each award of shares of Class A common stock granted in 2025, in accordance with FASB ASC Topic 718. The amounts in this column were calculated using the valuation assumptions discussed in the “Share-Based Compensation” footnote to the financial statements in our Annual Report on Form 10-K for the year ended December 31, 2025. The amounts were determined by multiplying the Class A common stock closing price on their respective grant date by the number of shares subject to the grant.</w:t>
      </w:r>
    </w:p>
    <w:p>
      <w:pPr>
        <w:spacing w:after="0" w:line="1" w:lineRule="exact"/>
        <w:rPr>
          <w:rFonts w:ascii="Times New Roman" w:cs="Times New Roman" w:eastAsia="Times New Roman" w:hAnsi="Times New Roman"/>
          <w:sz w:val="22"/>
          <w:szCs w:val="22"/>
          <w:color w:val="auto"/>
          <w:vertAlign w:val="superscript"/>
        </w:rPr>
      </w:pPr>
    </w:p>
    <w:p>
      <w:pPr>
        <w:ind w:left="520" w:hanging="201"/>
        <w:spacing w:after="0" w:line="204" w:lineRule="auto"/>
        <w:tabs>
          <w:tab w:leader="none" w:pos="520" w:val="left"/>
        </w:tabs>
        <w:numPr>
          <w:ilvl w:val="0"/>
          <w:numId w:val="109"/>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Mr. Novak stepped down from our Board in January 2026.</w:t>
      </w:r>
    </w:p>
    <w:p>
      <w:pPr>
        <w:spacing w:after="0" w:line="200" w:lineRule="exact"/>
        <w:rPr>
          <w:sz w:val="20"/>
          <w:szCs w:val="20"/>
          <w:color w:val="auto"/>
        </w:rPr>
      </w:pPr>
    </w:p>
    <w:p>
      <w:pPr>
        <w:spacing w:after="0" w:line="325" w:lineRule="exact"/>
        <w:rPr>
          <w:sz w:val="20"/>
          <w:szCs w:val="20"/>
          <w:color w:val="auto"/>
        </w:rPr>
      </w:pPr>
    </w:p>
    <w:p>
      <w:pPr>
        <w:ind w:left="1000" w:hanging="674"/>
        <w:spacing w:after="0"/>
        <w:tabs>
          <w:tab w:leader="none" w:pos="100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65" w:name="page66"/>
    <w:bookmarkEnd w:id="65"/>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80" w:right="1660"/>
        <w:spacing w:after="0" w:line="271" w:lineRule="auto"/>
        <w:rPr>
          <w:sz w:val="20"/>
          <w:szCs w:val="20"/>
          <w:color w:val="auto"/>
        </w:rPr>
      </w:pPr>
      <w:r>
        <w:rPr>
          <w:rFonts w:ascii="Arial" w:cs="Arial" w:eastAsia="Arial" w:hAnsi="Arial"/>
          <w:sz w:val="36"/>
          <w:szCs w:val="36"/>
          <w:b w:val="1"/>
          <w:bCs w:val="1"/>
          <w:color w:val="auto"/>
        </w:rPr>
        <w:t>Related Party Transactions Policy and Certain Transactions</w:t>
      </w:r>
    </w:p>
    <w:p>
      <w:pPr>
        <w:spacing w:after="0" w:line="2" w:lineRule="exact"/>
        <w:rPr>
          <w:sz w:val="20"/>
          <w:szCs w:val="20"/>
          <w:color w:val="auto"/>
        </w:rPr>
      </w:pPr>
    </w:p>
    <w:p>
      <w:pPr>
        <w:ind w:left="1180" w:right="1200"/>
        <w:spacing w:after="0" w:line="238" w:lineRule="auto"/>
        <w:rPr>
          <w:sz w:val="20"/>
          <w:szCs w:val="20"/>
          <w:color w:val="auto"/>
        </w:rPr>
      </w:pPr>
      <w:r>
        <w:rPr>
          <w:rFonts w:ascii="Arial" w:cs="Arial" w:eastAsia="Arial" w:hAnsi="Arial"/>
          <w:sz w:val="18"/>
          <w:szCs w:val="18"/>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Chief Legal Officer of any proposed transaction involving us in which such person has a direct or indirect material interest. The proposed transaction is then reviewed by either the independent members of our Board as a whole, the Governance Committee or the Audit Committee to determine whether the proposed transaction is a related party transaction under our policy. In reviewing any related party transaction, the independent members of the Board as a whole, the Governance Committee or the Audit Committee will determine whether or not to approve or ratify the transaction based on all relevant facts and circumstances, including the following:</w:t>
      </w:r>
    </w:p>
    <w:p>
      <w:pPr>
        <w:spacing w:after="0" w:line="37" w:lineRule="exact"/>
        <w:rPr>
          <w:sz w:val="20"/>
          <w:szCs w:val="20"/>
          <w:color w:val="auto"/>
        </w:rPr>
      </w:pPr>
    </w:p>
    <w:p>
      <w:pPr>
        <w:ind w:left="1380" w:hanging="196"/>
        <w:spacing w:after="0"/>
        <w:tabs>
          <w:tab w:leader="none" w:pos="1380" w:val="left"/>
        </w:tabs>
        <w:numPr>
          <w:ilvl w:val="0"/>
          <w:numId w:val="111"/>
        </w:numPr>
        <w:rPr>
          <w:rFonts w:ascii="Times New Roman" w:cs="Times New Roman" w:eastAsia="Times New Roman" w:hAnsi="Times New Roman"/>
          <w:sz w:val="18"/>
          <w:szCs w:val="18"/>
          <w:color w:val="00A0DD"/>
        </w:rPr>
      </w:pPr>
      <w:r>
        <w:rPr>
          <w:rFonts w:ascii="Arial" w:cs="Arial" w:eastAsia="Arial" w:hAnsi="Arial"/>
          <w:sz w:val="18"/>
          <w:szCs w:val="18"/>
          <w:color w:val="auto"/>
        </w:rPr>
        <w:t>the materiality and character of the related person’s interest in the transaction;</w:t>
      </w:r>
    </w:p>
    <w:p>
      <w:pPr>
        <w:spacing w:after="0" w:line="75"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1"/>
        </w:numPr>
        <w:rPr>
          <w:rFonts w:ascii="Times New Roman" w:cs="Times New Roman" w:eastAsia="Times New Roman" w:hAnsi="Times New Roman"/>
          <w:sz w:val="18"/>
          <w:szCs w:val="18"/>
          <w:color w:val="00A0DD"/>
        </w:rPr>
      </w:pPr>
      <w:r>
        <w:rPr>
          <w:rFonts w:ascii="Arial" w:cs="Arial" w:eastAsia="Arial" w:hAnsi="Arial"/>
          <w:sz w:val="18"/>
          <w:szCs w:val="18"/>
          <w:color w:val="auto"/>
        </w:rPr>
        <w:t>the commercial reasonableness of the terms of the transaction;</w:t>
      </w:r>
    </w:p>
    <w:p>
      <w:pPr>
        <w:spacing w:after="0" w:line="89"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1"/>
        </w:numPr>
        <w:rPr>
          <w:rFonts w:ascii="Times New Roman" w:cs="Times New Roman" w:eastAsia="Times New Roman" w:hAnsi="Times New Roman"/>
          <w:sz w:val="18"/>
          <w:szCs w:val="18"/>
          <w:color w:val="00A0DD"/>
        </w:rPr>
      </w:pPr>
      <w:r>
        <w:rPr>
          <w:rFonts w:ascii="Arial" w:cs="Arial" w:eastAsia="Arial" w:hAnsi="Arial"/>
          <w:sz w:val="18"/>
          <w:szCs w:val="18"/>
          <w:color w:val="auto"/>
        </w:rPr>
        <w:t>the benefit and perceived benefit, or lack thereof, to our company;</w:t>
      </w:r>
    </w:p>
    <w:p>
      <w:pPr>
        <w:spacing w:after="0" w:line="75"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1"/>
        </w:numPr>
        <w:rPr>
          <w:rFonts w:ascii="Times New Roman" w:cs="Times New Roman" w:eastAsia="Times New Roman" w:hAnsi="Times New Roman"/>
          <w:sz w:val="18"/>
          <w:szCs w:val="18"/>
          <w:color w:val="00A0DD"/>
        </w:rPr>
      </w:pPr>
      <w:r>
        <w:rPr>
          <w:rFonts w:ascii="Arial" w:cs="Arial" w:eastAsia="Arial" w:hAnsi="Arial"/>
          <w:sz w:val="18"/>
          <w:szCs w:val="18"/>
          <w:color w:val="auto"/>
        </w:rPr>
        <w:t>the opportunity costs of alternate transactions; and</w:t>
      </w:r>
    </w:p>
    <w:p>
      <w:pPr>
        <w:spacing w:after="0" w:line="75"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1"/>
        </w:numPr>
        <w:rPr>
          <w:rFonts w:ascii="Times New Roman" w:cs="Times New Roman" w:eastAsia="Times New Roman" w:hAnsi="Times New Roman"/>
          <w:sz w:val="18"/>
          <w:szCs w:val="18"/>
          <w:color w:val="00A0DD"/>
        </w:rPr>
      </w:pPr>
      <w:r>
        <w:rPr>
          <w:rFonts w:ascii="Arial" w:cs="Arial" w:eastAsia="Arial" w:hAnsi="Arial"/>
          <w:sz w:val="18"/>
          <w:szCs w:val="18"/>
          <w:color w:val="auto"/>
        </w:rPr>
        <w:t>the actual or apparent conflict of interest of the related person.</w:t>
      </w:r>
    </w:p>
    <w:p>
      <w:pPr>
        <w:spacing w:after="0" w:line="89" w:lineRule="exact"/>
        <w:rPr>
          <w:sz w:val="20"/>
          <w:szCs w:val="20"/>
          <w:color w:val="auto"/>
        </w:rPr>
      </w:pPr>
    </w:p>
    <w:p>
      <w:pPr>
        <w:ind w:left="1180" w:right="1320"/>
        <w:spacing w:after="0" w:line="242" w:lineRule="auto"/>
        <w:rPr>
          <w:sz w:val="20"/>
          <w:szCs w:val="20"/>
          <w:color w:val="auto"/>
        </w:rPr>
      </w:pPr>
      <w:r>
        <w:rPr>
          <w:rFonts w:ascii="Arial" w:cs="Arial" w:eastAsia="Arial" w:hAnsi="Arial"/>
          <w:sz w:val="18"/>
          <w:szCs w:val="18"/>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transactions policy is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Related Party Transactions</w:t>
      </w:r>
    </w:p>
    <w:p>
      <w:pPr>
        <w:spacing w:after="0" w:line="87" w:lineRule="exact"/>
        <w:rPr>
          <w:sz w:val="20"/>
          <w:szCs w:val="20"/>
          <w:color w:val="auto"/>
        </w:rPr>
      </w:pPr>
    </w:p>
    <w:p>
      <w:pPr>
        <w:ind w:left="1180" w:right="1700"/>
        <w:spacing w:after="0" w:line="253" w:lineRule="auto"/>
        <w:rPr>
          <w:sz w:val="20"/>
          <w:szCs w:val="20"/>
          <w:color w:val="auto"/>
        </w:rPr>
      </w:pPr>
      <w:r>
        <w:rPr>
          <w:rFonts w:ascii="Arial" w:cs="Arial" w:eastAsia="Arial" w:hAnsi="Arial"/>
          <w:sz w:val="18"/>
          <w:szCs w:val="18"/>
          <w:color w:val="auto"/>
        </w:rPr>
        <w:t>Mr. Cavanagh’s daughter is one of our employees. She received approximately $ 185,000 in compensation and also participated in employee benefit plans on the same basis as other similarly situated employees in 2025.</w:t>
      </w:r>
    </w:p>
    <w:p>
      <w:pPr>
        <w:spacing w:after="0" w:line="34" w:lineRule="exact"/>
        <w:rPr>
          <w:sz w:val="20"/>
          <w:szCs w:val="20"/>
          <w:color w:val="auto"/>
        </w:rPr>
      </w:pPr>
    </w:p>
    <w:p>
      <w:pPr>
        <w:jc w:val="both"/>
        <w:ind w:left="1180" w:right="1440"/>
        <w:spacing w:after="0" w:line="253" w:lineRule="auto"/>
        <w:rPr>
          <w:sz w:val="20"/>
          <w:szCs w:val="20"/>
          <w:color w:val="auto"/>
        </w:rPr>
      </w:pPr>
      <w:r>
        <w:rPr>
          <w:rFonts w:ascii="Arial" w:cs="Arial" w:eastAsia="Arial" w:hAnsi="Arial"/>
          <w:sz w:val="18"/>
          <w:szCs w:val="18"/>
          <w:color w:val="auto"/>
        </w:rPr>
        <w:t>Mr. Roberts’ son is one of our employees. He received approximately $ 840,000 in compensation and also participated in employee benefit plans on the same basis as other similarly situated employees in 2025.</w:t>
      </w:r>
    </w:p>
    <w:p>
      <w:pPr>
        <w:spacing w:after="0" w:line="20" w:lineRule="exact"/>
        <w:rPr>
          <w:sz w:val="20"/>
          <w:szCs w:val="20"/>
          <w:color w:val="auto"/>
        </w:rPr>
      </w:pPr>
    </w:p>
    <w:p>
      <w:pPr>
        <w:ind w:left="1180" w:right="1260"/>
        <w:spacing w:after="0" w:line="253" w:lineRule="auto"/>
        <w:rPr>
          <w:sz w:val="20"/>
          <w:szCs w:val="20"/>
          <w:color w:val="auto"/>
        </w:rPr>
      </w:pPr>
      <w:r>
        <w:rPr>
          <w:rFonts w:ascii="Arial" w:cs="Arial" w:eastAsia="Arial" w:hAnsi="Arial"/>
          <w:sz w:val="18"/>
          <w:szCs w:val="18"/>
          <w:color w:val="auto"/>
        </w:rPr>
        <w:t>Mr. Smith’s daughter has been one of our employees since 2014. She received approximately $272,000 in compensation and also participated in employee benefit plans on the same basis as other similarly situated employees in 2025.</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36"/>
          <w:szCs w:val="36"/>
          <w:b w:val="1"/>
          <w:bCs w:val="1"/>
          <w:color w:val="auto"/>
        </w:rPr>
        <w:t>Other Information</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Who May Vote</w:t>
      </w:r>
    </w:p>
    <w:p>
      <w:pPr>
        <w:spacing w:after="0" w:line="87" w:lineRule="exact"/>
        <w:rPr>
          <w:sz w:val="20"/>
          <w:szCs w:val="20"/>
          <w:color w:val="auto"/>
        </w:rPr>
      </w:pPr>
    </w:p>
    <w:p>
      <w:pPr>
        <w:ind w:left="1180" w:right="1300"/>
        <w:spacing w:after="0" w:line="247" w:lineRule="auto"/>
        <w:rPr>
          <w:sz w:val="20"/>
          <w:szCs w:val="20"/>
          <w:color w:val="auto"/>
        </w:rPr>
      </w:pPr>
      <w:r>
        <w:rPr>
          <w:rFonts w:ascii="Arial" w:cs="Arial" w:eastAsia="Arial" w:hAnsi="Arial"/>
          <w:sz w:val="18"/>
          <w:szCs w:val="18"/>
          <w:color w:val="auto"/>
        </w:rPr>
        <w:t>Holders of record of Class A and Class B common stock of Comcast at the close of business on April 8, 2026 may vote at the annual meeting of shareholders. The Notice of Internet Availability of Proxy Materials (the “Notice”) is being mailed, and this proxy statement is being made available, to our shareholders beginning on or about April 24, 2026.</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63</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66" w:name="page67"/>
    <w:bookmarkEnd w:id="66"/>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Participating and Voting at the Meeting</w:t>
      </w:r>
    </w:p>
    <w:p>
      <w:pPr>
        <w:spacing w:after="0" w:line="100" w:lineRule="exact"/>
        <w:rPr>
          <w:sz w:val="20"/>
          <w:szCs w:val="20"/>
          <w:color w:val="auto"/>
        </w:rPr>
      </w:pPr>
    </w:p>
    <w:p>
      <w:pPr>
        <w:ind w:left="320" w:right="339"/>
        <w:spacing w:after="0" w:line="244" w:lineRule="auto"/>
        <w:rPr>
          <w:sz w:val="20"/>
          <w:szCs w:val="20"/>
          <w:color w:val="auto"/>
        </w:rPr>
      </w:pPr>
      <w:r>
        <w:rPr>
          <w:rFonts w:ascii="Arial" w:cs="Arial" w:eastAsia="Arial" w:hAnsi="Arial"/>
          <w:sz w:val="18"/>
          <w:szCs w:val="18"/>
          <w:color w:val="auto"/>
        </w:rPr>
        <w:t>Attendance at the meeting for purposes of voting and asking questions is limited to shareholders of record on April 8, 2026.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spacing w:after="0" w:line="28" w:lineRule="exact"/>
        <w:rPr>
          <w:sz w:val="20"/>
          <w:szCs w:val="20"/>
          <w:color w:val="auto"/>
        </w:rPr>
      </w:pPr>
    </w:p>
    <w:p>
      <w:pPr>
        <w:ind w:left="320" w:right="439"/>
        <w:spacing w:after="0" w:line="242" w:lineRule="auto"/>
        <w:rPr>
          <w:sz w:val="20"/>
          <w:szCs w:val="20"/>
          <w:color w:val="auto"/>
        </w:rPr>
      </w:pPr>
      <w:r>
        <w:rPr>
          <w:rFonts w:ascii="Arial" w:cs="Arial" w:eastAsia="Arial" w:hAnsi="Arial"/>
          <w:sz w:val="18"/>
          <w:szCs w:val="18"/>
          <w:color w:val="auto"/>
        </w:rPr>
        <w:t xml:space="preserve">If you encounter any difficulties accessing the virtual meeting, please call the technical support number that will be posted on the meeting login page. If there are any technical issues in convening or hosting the meeting, we will promptly post information to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 including information on when the meeting will be reconvened. If your shares are held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name of your bank, brokerage firm or other nominee and you have any questions about your control number, please contact the bank, brokerage firm or other nominee that holds your shares.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Conduct of the Meeting and Q&amp;A</w:t>
      </w:r>
    </w:p>
    <w:p>
      <w:pPr>
        <w:spacing w:after="0" w:line="87" w:lineRule="exact"/>
        <w:rPr>
          <w:sz w:val="20"/>
          <w:szCs w:val="20"/>
          <w:color w:val="auto"/>
        </w:rPr>
      </w:pPr>
    </w:p>
    <w:p>
      <w:pPr>
        <w:ind w:left="320" w:right="499"/>
        <w:spacing w:after="0" w:line="247" w:lineRule="auto"/>
        <w:rPr>
          <w:sz w:val="20"/>
          <w:szCs w:val="20"/>
          <w:color w:val="auto"/>
        </w:rPr>
      </w:pPr>
      <w:r>
        <w:rPr>
          <w:rFonts w:ascii="Arial" w:cs="Arial" w:eastAsia="Arial" w:hAnsi="Arial"/>
          <w:sz w:val="18"/>
          <w:szCs w:val="18"/>
          <w:color w:val="auto"/>
        </w:rPr>
        <w:t>The Chairman of our Board (or any other person designated by our Board) has broad authority to conduct the annual meeting of shareholders in an orderly manner. This authority includes establishing and enforcing rules of conduct, which will be available at the meeting online, for shareholders who wish to participate in the meeting.</w:t>
      </w:r>
    </w:p>
    <w:p>
      <w:pPr>
        <w:spacing w:after="0" w:line="39" w:lineRule="exact"/>
        <w:rPr>
          <w:sz w:val="20"/>
          <w:szCs w:val="20"/>
          <w:color w:val="auto"/>
        </w:rPr>
      </w:pPr>
    </w:p>
    <w:p>
      <w:pPr>
        <w:ind w:left="320" w:right="359"/>
        <w:spacing w:after="0"/>
        <w:rPr>
          <w:sz w:val="20"/>
          <w:szCs w:val="20"/>
          <w:color w:val="auto"/>
        </w:rPr>
      </w:pPr>
      <w:r>
        <w:rPr>
          <w:rFonts w:ascii="Arial" w:cs="Arial" w:eastAsia="Arial" w:hAnsi="Arial"/>
          <w:sz w:val="18"/>
          <w:szCs w:val="18"/>
          <w:color w:val="auto"/>
        </w:rPr>
        <w:t>We have structured our virtual meeting to provide shareholders the same rights as if the meeting were held in person, including the ability to vote shares electronically during the meeting and ask questions in accordance with the rules of conduct for the meeting. Questions may be submitted during the meeting in the online question box provided at the meeting.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How to Vote</w:t>
      </w:r>
    </w:p>
    <w:p>
      <w:pPr>
        <w:spacing w:after="0" w:line="87" w:lineRule="exact"/>
        <w:rPr>
          <w:sz w:val="20"/>
          <w:szCs w:val="20"/>
          <w:color w:val="auto"/>
        </w:rPr>
      </w:pPr>
    </w:p>
    <w:p>
      <w:pPr>
        <w:ind w:left="320" w:right="739"/>
        <w:spacing w:after="0" w:line="301" w:lineRule="auto"/>
        <w:rPr>
          <w:sz w:val="20"/>
          <w:szCs w:val="20"/>
          <w:color w:val="auto"/>
        </w:rPr>
      </w:pPr>
      <w:r>
        <w:rPr>
          <w:rFonts w:ascii="Arial" w:cs="Arial" w:eastAsia="Arial" w:hAnsi="Arial"/>
          <w:sz w:val="17"/>
          <w:szCs w:val="17"/>
          <w:color w:val="auto"/>
        </w:rPr>
        <w:t>You may vote at the meeting or by proxy before the meeting. We recommend that you vote by proxy even if you plan to participate in the meeting. You can always change your vote at the meeting.</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How Proxies Work</w:t>
      </w:r>
    </w:p>
    <w:p>
      <w:pPr>
        <w:spacing w:after="0" w:line="87" w:lineRule="exact"/>
        <w:rPr>
          <w:sz w:val="20"/>
          <w:szCs w:val="20"/>
          <w:color w:val="auto"/>
        </w:rPr>
      </w:pPr>
    </w:p>
    <w:p>
      <w:pPr>
        <w:ind w:left="320" w:right="539"/>
        <w:spacing w:after="0" w:line="253" w:lineRule="auto"/>
        <w:rPr>
          <w:sz w:val="20"/>
          <w:szCs w:val="20"/>
          <w:color w:val="auto"/>
        </w:rPr>
      </w:pPr>
      <w:r>
        <w:rPr>
          <w:rFonts w:ascii="Arial" w:cs="Arial" w:eastAsia="Arial" w:hAnsi="Arial"/>
          <w:sz w:val="18"/>
          <w:szCs w:val="18"/>
          <w:color w:val="auto"/>
        </w:rPr>
        <w:t>Our Board of Directors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can vote by proxy before the meeting in any of the following ways:</w:t>
      </w:r>
    </w:p>
    <w:p>
      <w:pPr>
        <w:spacing w:after="0" w:line="113" w:lineRule="exact"/>
        <w:rPr>
          <w:sz w:val="20"/>
          <w:szCs w:val="20"/>
          <w:color w:val="auto"/>
        </w:rPr>
      </w:pPr>
    </w:p>
    <w:p>
      <w:pPr>
        <w:ind w:left="1020"/>
        <w:spacing w:after="0"/>
        <w:tabs>
          <w:tab w:leader="none" w:pos="2674" w:val="left"/>
        </w:tabs>
        <w:rPr>
          <w:sz w:val="20"/>
          <w:szCs w:val="20"/>
          <w:color w:val="auto"/>
        </w:rPr>
      </w:pPr>
      <w:r>
        <w:rPr>
          <w:rFonts w:ascii="Arial" w:cs="Arial" w:eastAsia="Arial" w:hAnsi="Arial"/>
          <w:sz w:val="17"/>
          <w:szCs w:val="17"/>
          <w:b w:val="1"/>
          <w:bCs w:val="1"/>
          <w:i w:val="1"/>
          <w:iCs w:val="1"/>
          <w:color w:val="00A0DD"/>
        </w:rPr>
        <w:t>Internet</w:t>
      </w:r>
      <w:r>
        <w:rPr>
          <w:sz w:val="20"/>
          <w:szCs w:val="20"/>
          <w:color w:val="auto"/>
        </w:rPr>
        <w:tab/>
      </w:r>
      <w:r>
        <w:rPr>
          <w:sz w:val="1"/>
          <w:szCs w:val="1"/>
          <w:color w:val="auto"/>
        </w:rPr>
        <w:drawing>
          <wp:inline distT="0" distB="0" distL="0" distR="0">
            <wp:extent cx="171450" cy="30861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0" cy="308610"/>
                    </a:xfrm>
                    <a:prstGeom prst="rect">
                      <a:avLst/>
                    </a:prstGeom>
                    <a:noFill/>
                    <a:ln>
                      <a:noFill/>
                    </a:ln>
                  </pic:spPr>
                </pic:pic>
              </a:graphicData>
            </a:graphic>
          </wp:inline>
        </w:drawing>
      </w:r>
      <w:r>
        <w:rPr>
          <w:rFonts w:ascii="Arial" w:cs="Arial" w:eastAsia="Arial" w:hAnsi="Arial"/>
          <w:sz w:val="17"/>
          <w:szCs w:val="17"/>
          <w:b w:val="1"/>
          <w:bCs w:val="1"/>
          <w:i w:val="1"/>
          <w:iCs w:val="1"/>
          <w:color w:val="00A0DD"/>
        </w:rPr>
        <w:t xml:space="preserve">         Telephone                          </w:t>
      </w:r>
      <w:r>
        <w:rPr>
          <w:sz w:val="1"/>
          <w:szCs w:val="1"/>
          <w:color w:val="auto"/>
        </w:rPr>
        <w:drawing>
          <wp:inline distT="0" distB="0" distL="0" distR="0">
            <wp:extent cx="308610" cy="29146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8610" cy="291465"/>
                    </a:xfrm>
                    <a:prstGeom prst="rect">
                      <a:avLst/>
                    </a:prstGeom>
                    <a:noFill/>
                    <a:ln>
                      <a:noFill/>
                    </a:ln>
                  </pic:spPr>
                </pic:pic>
              </a:graphicData>
            </a:graphic>
          </wp:inline>
        </w:drawing>
      </w:r>
      <w:r>
        <w:rPr>
          <w:rFonts w:ascii="Arial" w:cs="Arial" w:eastAsia="Arial" w:hAnsi="Arial"/>
          <w:sz w:val="17"/>
          <w:szCs w:val="17"/>
          <w:b w:val="1"/>
          <w:bCs w:val="1"/>
          <w:i w:val="1"/>
          <w:iCs w:val="1"/>
          <w:color w:val="00A0DD"/>
        </w:rPr>
        <w:t xml:space="preserve">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-290830</wp:posOffset>
            </wp:positionV>
            <wp:extent cx="316865" cy="291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6865" cy="29146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scan the QR code on your Notice or proxy card with a smartphone or tablet, and then follow the instructions outlined on the secure website.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99"/>
        <w:spacing w:after="0" w:line="266" w:lineRule="auto"/>
        <w:rPr>
          <w:sz w:val="20"/>
          <w:szCs w:val="20"/>
          <w:color w:val="auto"/>
        </w:rPr>
      </w:pPr>
      <w:r>
        <w:rPr>
          <w:rFonts w:ascii="Arial" w:cs="Arial" w:eastAsia="Arial" w:hAnsi="Arial"/>
          <w:sz w:val="17"/>
          <w:szCs w:val="17"/>
          <w:color w:val="auto"/>
        </w:rPr>
        <w:t>Complete, sign and date your proxy card and return it in the enclosed envelope.</w:t>
      </w:r>
    </w:p>
    <w:p>
      <w:pPr>
        <w:spacing w:after="0" w:line="782" w:lineRule="exact"/>
        <w:rPr>
          <w:sz w:val="20"/>
          <w:szCs w:val="20"/>
          <w:color w:val="auto"/>
        </w:rPr>
      </w:pPr>
    </w:p>
    <w:p>
      <w:pPr>
        <w:sectPr>
          <w:pgSz w:w="11900" w:h="16838" w:orient="portrait"/>
          <w:cols w:equalWidth="0" w:num="3">
            <w:col w:w="2520" w:space="180"/>
            <w:col w:w="3940" w:space="140"/>
            <w:col w:w="2239"/>
          </w:cols>
          <w:pgMar w:left="1440" w:top="2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0" w:hanging="674"/>
        <w:spacing w:after="0"/>
        <w:tabs>
          <w:tab w:leader="none" w:pos="100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2026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374015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67" w:name="page68"/>
    <w:bookmarkEnd w:id="67"/>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420"/>
        <w:spacing w:after="0" w:line="271" w:lineRule="auto"/>
        <w:rPr>
          <w:sz w:val="20"/>
          <w:szCs w:val="20"/>
          <w:color w:val="auto"/>
        </w:rPr>
      </w:pPr>
      <w:r>
        <w:rPr>
          <w:rFonts w:ascii="Arial" w:cs="Arial" w:eastAsia="Arial" w:hAnsi="Arial"/>
          <w:sz w:val="18"/>
          <w:szCs w:val="18"/>
          <w:color w:val="auto"/>
        </w:rPr>
        <w:t>If you vote via the internet or by telephone, your vote must be received by 11:59 p.m. Eastern Time on June 9, 2026.</w:t>
      </w:r>
    </w:p>
    <w:p>
      <w:pPr>
        <w:spacing w:after="0" w:line="19" w:lineRule="exact"/>
        <w:rPr>
          <w:sz w:val="20"/>
          <w:szCs w:val="20"/>
          <w:color w:val="auto"/>
        </w:rPr>
      </w:pPr>
    </w:p>
    <w:p>
      <w:pPr>
        <w:ind w:left="1180" w:right="1600"/>
        <w:spacing w:after="0" w:line="271" w:lineRule="auto"/>
        <w:rPr>
          <w:sz w:val="20"/>
          <w:szCs w:val="20"/>
          <w:color w:val="auto"/>
        </w:rPr>
      </w:pPr>
      <w:r>
        <w:rPr>
          <w:rFonts w:ascii="Arial" w:cs="Arial" w:eastAsia="Arial" w:hAnsi="Arial"/>
          <w:sz w:val="18"/>
          <w:szCs w:val="18"/>
          <w:color w:val="auto"/>
        </w:rPr>
        <w:t>If your shares are held in the name of your bank, brokerage firm or other nominee, please follow the voting instructions you received from your bank, brokerage firm or other nominee.</w:t>
      </w:r>
    </w:p>
    <w:p>
      <w:pPr>
        <w:spacing w:after="0" w:line="5" w:lineRule="exact"/>
        <w:rPr>
          <w:sz w:val="20"/>
          <w:szCs w:val="20"/>
          <w:color w:val="auto"/>
        </w:rPr>
      </w:pPr>
    </w:p>
    <w:p>
      <w:pPr>
        <w:ind w:left="1180" w:right="1220"/>
        <w:spacing w:after="0" w:line="245" w:lineRule="auto"/>
        <w:rPr>
          <w:sz w:val="20"/>
          <w:szCs w:val="20"/>
          <w:color w:val="auto"/>
        </w:rPr>
      </w:pPr>
      <w:r>
        <w:rPr>
          <w:rFonts w:ascii="Arial" w:cs="Arial" w:eastAsia="Arial" w:hAnsi="Arial"/>
          <w:sz w:val="18"/>
          <w:szCs w:val="18"/>
          <w:b w:val="1"/>
          <w:bCs w:val="1"/>
          <w:color w:val="auto"/>
        </w:rPr>
        <w:t>If you give us your signed proxy but do not specify how to vote, we will vote your shares (i) in favor of (a) the director candidates, (b) ratifying the appointment of our independent auditors and</w:t>
      </w:r>
    </w:p>
    <w:p>
      <w:pPr>
        <w:ind w:left="1180" w:right="1200" w:firstLine="4"/>
        <w:spacing w:after="0" w:line="260" w:lineRule="auto"/>
        <w:tabs>
          <w:tab w:leader="none" w:pos="145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approving, on an advisory basis, our executive compensation; and (ii) against the shareholder proposal.</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Matters to be Presented</w:t>
      </w:r>
    </w:p>
    <w:p>
      <w:pPr>
        <w:spacing w:after="0" w:line="87" w:lineRule="exact"/>
        <w:rPr>
          <w:sz w:val="20"/>
          <w:szCs w:val="20"/>
          <w:color w:val="auto"/>
        </w:rPr>
      </w:pPr>
    </w:p>
    <w:p>
      <w:pPr>
        <w:ind w:left="1180" w:right="1240"/>
        <w:spacing w:after="0" w:line="244"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53"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Revoking a Proxy</w:t>
      </w: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You may revoke your proxy before it is voted by:</w:t>
      </w:r>
    </w:p>
    <w:p>
      <w:pPr>
        <w:spacing w:after="0" w:line="63" w:lineRule="exact"/>
        <w:rPr>
          <w:sz w:val="20"/>
          <w:szCs w:val="20"/>
          <w:color w:val="auto"/>
        </w:rPr>
      </w:pPr>
    </w:p>
    <w:p>
      <w:pPr>
        <w:ind w:left="1380" w:hanging="196"/>
        <w:spacing w:after="0"/>
        <w:tabs>
          <w:tab w:leader="none" w:pos="1380" w:val="left"/>
        </w:tabs>
        <w:numPr>
          <w:ilvl w:val="0"/>
          <w:numId w:val="114"/>
        </w:numPr>
        <w:rPr>
          <w:rFonts w:ascii="Times New Roman" w:cs="Times New Roman" w:eastAsia="Times New Roman" w:hAnsi="Times New Roman"/>
          <w:sz w:val="18"/>
          <w:szCs w:val="18"/>
          <w:color w:val="00A0DD"/>
        </w:rPr>
      </w:pPr>
      <w:r>
        <w:rPr>
          <w:rFonts w:ascii="Arial" w:cs="Arial" w:eastAsia="Arial" w:hAnsi="Arial"/>
          <w:sz w:val="18"/>
          <w:szCs w:val="18"/>
          <w:color w:val="auto"/>
        </w:rPr>
        <w:t>submitting a new proxy with a later date, including a proxy given via the internet or by telephone;</w:t>
      </w:r>
    </w:p>
    <w:p>
      <w:pPr>
        <w:spacing w:after="0" w:line="75"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4"/>
        </w:numPr>
        <w:rPr>
          <w:rFonts w:ascii="Times New Roman" w:cs="Times New Roman" w:eastAsia="Times New Roman" w:hAnsi="Times New Roman"/>
          <w:sz w:val="18"/>
          <w:szCs w:val="18"/>
          <w:color w:val="00A0DD"/>
        </w:rPr>
      </w:pPr>
      <w:r>
        <w:rPr>
          <w:rFonts w:ascii="Arial" w:cs="Arial" w:eastAsia="Arial" w:hAnsi="Arial"/>
          <w:sz w:val="18"/>
          <w:szCs w:val="18"/>
          <w:color w:val="auto"/>
        </w:rPr>
        <w:t>notifying our Secretary in writing before the meeting at the address given below; or</w:t>
      </w:r>
    </w:p>
    <w:p>
      <w:pPr>
        <w:spacing w:after="0" w:line="89"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4"/>
        </w:numPr>
        <w:rPr>
          <w:rFonts w:ascii="Times New Roman" w:cs="Times New Roman" w:eastAsia="Times New Roman" w:hAnsi="Times New Roman"/>
          <w:sz w:val="18"/>
          <w:szCs w:val="18"/>
          <w:color w:val="00A0DD"/>
        </w:rPr>
      </w:pPr>
      <w:r>
        <w:rPr>
          <w:rFonts w:ascii="Arial" w:cs="Arial" w:eastAsia="Arial" w:hAnsi="Arial"/>
          <w:sz w:val="18"/>
          <w:szCs w:val="18"/>
          <w:color w:val="auto"/>
        </w:rPr>
        <w:t>voting in person at the meeting.</w:t>
      </w:r>
    </w:p>
    <w:p>
      <w:pPr>
        <w:spacing w:after="0" w:line="101"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00A0DD"/>
        </w:rPr>
        <w:t>Notice of Electronic Availability of Proxy Materials</w:t>
      </w:r>
    </w:p>
    <w:p>
      <w:pPr>
        <w:spacing w:after="0" w:line="87" w:lineRule="exact"/>
        <w:rPr>
          <w:sz w:val="20"/>
          <w:szCs w:val="20"/>
          <w:color w:val="auto"/>
        </w:rPr>
      </w:pPr>
    </w:p>
    <w:p>
      <w:pPr>
        <w:ind w:left="1180" w:right="1180"/>
        <w:spacing w:after="0" w:line="238" w:lineRule="auto"/>
        <w:rPr>
          <w:sz w:val="20"/>
          <w:szCs w:val="20"/>
          <w:color w:val="auto"/>
        </w:rPr>
      </w:pPr>
      <w:r>
        <w:rPr>
          <w:rFonts w:ascii="Arial" w:cs="Arial" w:eastAsia="Arial" w:hAnsi="Arial"/>
          <w:sz w:val="18"/>
          <w:szCs w:val="18"/>
          <w:color w:val="auto"/>
        </w:rPr>
        <w:t>Pursuant to the rules of the SEC, we are making this proxy statement and our Annual Report on Form 10-K available to our shareholders electronically via the internet. In compliance with this e-proxy process, on or about April 24, 2026,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57" w:lineRule="exact"/>
        <w:rPr>
          <w:sz w:val="20"/>
          <w:szCs w:val="20"/>
          <w:color w:val="auto"/>
        </w:rPr>
      </w:pPr>
    </w:p>
    <w:p>
      <w:pPr>
        <w:ind w:left="1180" w:right="2940"/>
        <w:spacing w:after="0" w:line="272" w:lineRule="auto"/>
        <w:rPr>
          <w:sz w:val="20"/>
          <w:szCs w:val="20"/>
          <w:color w:val="auto"/>
        </w:rPr>
      </w:pPr>
      <w:r>
        <w:rPr>
          <w:rFonts w:ascii="Arial" w:cs="Arial" w:eastAsia="Arial" w:hAnsi="Arial"/>
          <w:sz w:val="29"/>
          <w:szCs w:val="29"/>
          <w:b w:val="1"/>
          <w:bCs w:val="1"/>
          <w:color w:val="00A0DD"/>
        </w:rPr>
        <w:t>Additional Information on the Annual Meeting of Shareholders</w:t>
      </w:r>
    </w:p>
    <w:p>
      <w:pPr>
        <w:spacing w:after="0" w:line="2" w:lineRule="exact"/>
        <w:rPr>
          <w:sz w:val="20"/>
          <w:szCs w:val="20"/>
          <w:color w:val="auto"/>
        </w:rPr>
      </w:pPr>
    </w:p>
    <w:p>
      <w:pPr>
        <w:ind w:left="1180" w:right="1280"/>
        <w:spacing w:after="0" w:line="271" w:lineRule="auto"/>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ectPr>
          <w:pgSz w:w="11900" w:h="16838" w:orient="portrait"/>
          <w:cols w:equalWidth="0" w:num="1">
            <w:col w:w="10720"/>
          </w:cols>
          <w:pgMar w:left="580" w:top="229" w:right="599" w:bottom="1440" w:gutter="0" w:footer="0" w:header="0"/>
        </w:sectPr>
      </w:pPr>
    </w:p>
    <w:p>
      <w:pPr>
        <w:spacing w:after="0" w:line="56" w:lineRule="exact"/>
        <w:rPr>
          <w:sz w:val="20"/>
          <w:szCs w:val="20"/>
          <w:color w:val="auto"/>
        </w:rPr>
      </w:pPr>
    </w:p>
    <w:p>
      <w:pPr>
        <w:ind w:left="1420" w:right="100" w:hanging="188"/>
        <w:spacing w:after="0" w:line="280" w:lineRule="auto"/>
        <w:tabs>
          <w:tab w:leader="none" w:pos="1625" w:val="left"/>
        </w:tabs>
        <w:numPr>
          <w:ilvl w:val="0"/>
          <w:numId w:val="115"/>
        </w:numPr>
        <w:rPr>
          <w:rFonts w:ascii="Arial" w:cs="Arial" w:eastAsia="Arial" w:hAnsi="Arial"/>
          <w:sz w:val="16"/>
          <w:szCs w:val="16"/>
          <w:color w:val="00A1E0"/>
        </w:rPr>
      </w:pPr>
      <w:r>
        <w:rPr>
          <w:rFonts w:ascii="Arial" w:cs="Arial" w:eastAsia="Arial" w:hAnsi="Arial"/>
          <w:sz w:val="17"/>
          <w:szCs w:val="17"/>
          <w:b w:val="1"/>
          <w:bCs w:val="1"/>
          <w:i w:val="1"/>
          <w:iCs w:val="1"/>
          <w:color w:val="auto"/>
        </w:rPr>
        <w:t>Via the internet:</w:t>
      </w:r>
    </w:p>
    <w:p>
      <w:pPr>
        <w:spacing w:after="0" w:line="394" w:lineRule="exact"/>
        <w:rPr>
          <w:rFonts w:ascii="Arial" w:cs="Arial" w:eastAsia="Arial" w:hAnsi="Arial"/>
          <w:sz w:val="16"/>
          <w:szCs w:val="16"/>
          <w:color w:val="00A1E0"/>
        </w:rPr>
      </w:pPr>
    </w:p>
    <w:p>
      <w:pPr>
        <w:ind w:left="1440" w:hanging="204"/>
        <w:spacing w:after="0" w:line="280" w:lineRule="auto"/>
        <w:tabs>
          <w:tab w:leader="none" w:pos="1645" w:val="left"/>
        </w:tabs>
        <w:numPr>
          <w:ilvl w:val="0"/>
          <w:numId w:val="115"/>
        </w:numPr>
        <w:rPr>
          <w:rFonts w:ascii="Arial" w:cs="Arial" w:eastAsia="Arial" w:hAnsi="Arial"/>
          <w:sz w:val="16"/>
          <w:szCs w:val="16"/>
          <w:color w:val="00A1E0"/>
        </w:rPr>
      </w:pPr>
      <w:r>
        <w:rPr>
          <w:rFonts w:ascii="Arial" w:cs="Arial" w:eastAsia="Arial" w:hAnsi="Arial"/>
          <w:sz w:val="17"/>
          <w:szCs w:val="17"/>
          <w:b w:val="1"/>
          <w:bCs w:val="1"/>
          <w:i w:val="1"/>
          <w:iCs w:val="1"/>
          <w:color w:val="auto"/>
        </w:rPr>
        <w:t>By telephone: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scan the QR code on your Notice or proxy card with a smartphone or tablet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Call toll free 1-866-281-2100</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380" w:val="left"/>
          <w:tab w:leader="none" w:pos="1320" w:val="left"/>
        </w:tabs>
        <w:rPr>
          <w:sz w:val="20"/>
          <w:szCs w:val="20"/>
          <w:color w:val="auto"/>
        </w:rPr>
      </w:pPr>
      <w:r>
        <w:rPr>
          <w:rFonts w:ascii="Arial" w:cs="Arial" w:eastAsia="Arial" w:hAnsi="Arial"/>
          <w:sz w:val="16"/>
          <w:szCs w:val="16"/>
          <w:color w:val="00A1E0"/>
        </w:rPr>
        <w:t>•</w:t>
      </w:r>
      <w:r>
        <w:rPr>
          <w:sz w:val="20"/>
          <w:szCs w:val="20"/>
          <w:color w:val="auto"/>
        </w:rPr>
        <w:tab/>
      </w:r>
      <w:r>
        <w:rPr>
          <w:rFonts w:ascii="Arial" w:cs="Arial" w:eastAsia="Arial" w:hAnsi="Arial"/>
          <w:sz w:val="17"/>
          <w:szCs w:val="17"/>
          <w:b w:val="1"/>
          <w:bCs w:val="1"/>
          <w:i w:val="1"/>
          <w:iCs w:val="1"/>
          <w:color w:val="auto"/>
        </w:rPr>
        <w:t>By</w:t>
      </w:r>
      <w:r>
        <w:rPr>
          <w:sz w:val="20"/>
          <w:szCs w:val="20"/>
          <w:color w:val="auto"/>
        </w:rPr>
        <w:tab/>
      </w:r>
      <w:r>
        <w:rPr>
          <w:rFonts w:ascii="Arial" w:cs="Arial" w:eastAsia="Arial" w:hAnsi="Arial"/>
          <w:sz w:val="17"/>
          <w:szCs w:val="17"/>
          <w:color w:val="auto"/>
        </w:rPr>
        <w:t>Thomas J. Reid, Secretary</w:t>
      </w:r>
    </w:p>
    <w:p>
      <w:pPr>
        <w:spacing w:after="0" w:line="3" w:lineRule="exact"/>
        <w:rPr>
          <w:sz w:val="20"/>
          <w:szCs w:val="20"/>
          <w:color w:val="auto"/>
        </w:rPr>
      </w:pPr>
    </w:p>
    <w:p>
      <w:pPr>
        <w:ind w:left="200"/>
        <w:spacing w:after="0"/>
        <w:tabs>
          <w:tab w:leader="none" w:pos="1320" w:val="left"/>
        </w:tabs>
        <w:rPr>
          <w:sz w:val="20"/>
          <w:szCs w:val="20"/>
          <w:color w:val="auto"/>
        </w:rPr>
      </w:pPr>
      <w:r>
        <w:rPr>
          <w:rFonts w:ascii="Arial" w:cs="Arial" w:eastAsia="Arial" w:hAnsi="Arial"/>
          <w:sz w:val="17"/>
          <w:szCs w:val="17"/>
          <w:b w:val="1"/>
          <w:bCs w:val="1"/>
          <w:i w:val="1"/>
          <w:iCs w:val="1"/>
          <w:color w:val="auto"/>
        </w:rPr>
        <w:t>writing:</w:t>
      </w:r>
      <w:r>
        <w:rPr>
          <w:sz w:val="20"/>
          <w:szCs w:val="20"/>
          <w:color w:val="auto"/>
        </w:rPr>
        <w:tab/>
      </w:r>
      <w:r>
        <w:rPr>
          <w:rFonts w:ascii="Arial" w:cs="Arial" w:eastAsia="Arial" w:hAnsi="Arial"/>
          <w:sz w:val="17"/>
          <w:szCs w:val="17"/>
          <w:color w:val="auto"/>
        </w:rPr>
        <w:t>Comcast Corporation</w:t>
      </w:r>
    </w:p>
    <w:p>
      <w:pPr>
        <w:ind w:left="1340"/>
        <w:spacing w:after="0" w:line="232" w:lineRule="auto"/>
        <w:rPr>
          <w:sz w:val="20"/>
          <w:szCs w:val="20"/>
          <w:color w:val="auto"/>
        </w:rPr>
      </w:pPr>
      <w:r>
        <w:rPr>
          <w:rFonts w:ascii="Arial" w:cs="Arial" w:eastAsia="Arial" w:hAnsi="Arial"/>
          <w:sz w:val="17"/>
          <w:szCs w:val="17"/>
          <w:color w:val="auto"/>
        </w:rPr>
        <w:t>One Comcast Center</w:t>
      </w:r>
    </w:p>
    <w:p>
      <w:pPr>
        <w:ind w:left="1340"/>
        <w:spacing w:after="0"/>
        <w:rPr>
          <w:sz w:val="20"/>
          <w:szCs w:val="20"/>
          <w:color w:val="auto"/>
        </w:rPr>
      </w:pPr>
      <w:r>
        <w:rPr>
          <w:rFonts w:ascii="Arial" w:cs="Arial" w:eastAsia="Arial" w:hAnsi="Arial"/>
          <w:sz w:val="17"/>
          <w:szCs w:val="17"/>
          <w:color w:val="auto"/>
        </w:rPr>
        <w:t>Philadelphia, PA 19103</w:t>
      </w:r>
    </w:p>
    <w:p>
      <w:pPr>
        <w:spacing w:after="0" w:line="741" w:lineRule="exact"/>
        <w:rPr>
          <w:sz w:val="20"/>
          <w:szCs w:val="20"/>
          <w:color w:val="auto"/>
        </w:rPr>
      </w:pPr>
    </w:p>
    <w:p>
      <w:pPr>
        <w:sectPr>
          <w:pgSz w:w="11900" w:h="16838" w:orient="portrait"/>
          <w:cols w:equalWidth="0" w:num="3">
            <w:col w:w="2300" w:space="520"/>
            <w:col w:w="2880" w:space="200"/>
            <w:col w:w="4820"/>
          </w:cols>
          <w:pgMar w:left="580" w:top="229" w:right="59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65</w:t>
            </w:r>
          </w:p>
        </w:tc>
      </w:tr>
      <w:tr>
        <w:trPr>
          <w:trHeight w:val="595"/>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type w:val="continuous"/>
        </w:sectPr>
      </w:pPr>
    </w:p>
    <w:bookmarkStart w:id="68" w:name="page69"/>
    <w:bookmarkEnd w:id="68"/>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Shareholder Proposals for Next Year</w:t>
      </w:r>
    </w:p>
    <w:p>
      <w:pPr>
        <w:spacing w:after="0" w:line="127" w:lineRule="exact"/>
        <w:rPr>
          <w:sz w:val="20"/>
          <w:szCs w:val="20"/>
          <w:color w:val="auto"/>
        </w:rPr>
      </w:pPr>
    </w:p>
    <w:p>
      <w:pPr>
        <w:ind w:left="320" w:right="439"/>
        <w:spacing w:after="0"/>
        <w:rPr>
          <w:sz w:val="20"/>
          <w:szCs w:val="20"/>
          <w:color w:val="auto"/>
        </w:rPr>
      </w:pPr>
      <w:r>
        <w:rPr>
          <w:rFonts w:ascii="Arial" w:cs="Arial" w:eastAsia="Arial" w:hAnsi="Arial"/>
          <w:sz w:val="18"/>
          <w:szCs w:val="18"/>
          <w:color w:val="auto"/>
        </w:rPr>
        <w:t>Any shareholder proposals intended to be presented at our 2027 annual meeting of shareholders and considered for inclusion in our proxy materials under Rule 14a-8 under the Exchange Act (“Rule 14a-8”) must be received no later than December 25, 2026 and must comply with the procedures and requirements of Rule 14a-8. Shareholder proposals failing to comply with the procedures of Rule 14a-8 under the Exchange Act will be excluded. If the date of our 2027 annual meeting is more than 30 days from June 10, 2027, we will publicly announce a different submission deadline from that set forth above, in compliance with SEC rules.</w:t>
      </w:r>
    </w:p>
    <w:p>
      <w:pPr>
        <w:spacing w:after="0" w:line="77" w:lineRule="exact"/>
        <w:rPr>
          <w:sz w:val="20"/>
          <w:szCs w:val="20"/>
          <w:color w:val="auto"/>
        </w:rPr>
      </w:pPr>
    </w:p>
    <w:p>
      <w:pPr>
        <w:ind w:left="320" w:right="339"/>
        <w:spacing w:after="0" w:line="238"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2027 but not to be included in our proxy materials must comply with the advance notice provision in Section 2.09 of our bylaws. If we call the 2027 annual meeting of shareholders for a date between May 11, 2027 and July 10, 2027, we must receive notice of the proposal at our mailing address immediately above on or after February 10, 2027 and no later than the close of business on March 12, 2027. If we call the 2027 annual meeting of shareholders for any other date, we must receive notice of the proposal no later than the close of business on the tenth day following the day on which we first make a public announcement of the date of the meeting. If notice is not received by the close of business on March 12, 2027 (or the close of business on the tenth day following the day we publicly announce the date of our 2027 annual meeting of shareholders, if such meeting is not called for a date between May 11, 2027 and July 10, 2027), the shareholder proposals will be deemed “untimely.”</w:t>
      </w:r>
    </w:p>
    <w:p>
      <w:pPr>
        <w:spacing w:after="0" w:line="75" w:lineRule="exact"/>
        <w:rPr>
          <w:sz w:val="20"/>
          <w:szCs w:val="20"/>
          <w:color w:val="auto"/>
        </w:rPr>
      </w:pPr>
    </w:p>
    <w:p>
      <w:pPr>
        <w:ind w:left="320" w:right="379"/>
        <w:spacing w:after="0" w:line="253"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“Corporate Governance and Board Matters – Board of Directors Nominees – Director Nominations – Shareholder Nominees.”</w:t>
      </w:r>
    </w:p>
    <w:p>
      <w:pPr>
        <w:spacing w:after="0" w:line="61" w:lineRule="exact"/>
        <w:rPr>
          <w:sz w:val="20"/>
          <w:szCs w:val="20"/>
          <w:color w:val="auto"/>
        </w:rPr>
      </w:pPr>
    </w:p>
    <w:p>
      <w:pPr>
        <w:ind w:left="320" w:right="399"/>
        <w:spacing w:after="0" w:line="271" w:lineRule="auto"/>
        <w:rPr>
          <w:sz w:val="20"/>
          <w:szCs w:val="20"/>
          <w:color w:val="auto"/>
        </w:rPr>
      </w:pPr>
      <w:r>
        <w:rPr>
          <w:rFonts w:ascii="Arial" w:cs="Arial" w:eastAsia="Arial" w:hAnsi="Arial"/>
          <w:sz w:val="18"/>
          <w:szCs w:val="18"/>
          <w:color w:val="auto"/>
        </w:rPr>
        <w:t>All shareholder proposals should be directed to Thomas J. Reid, Secretary, Comcast Corporation, at our mailing address on page 65.</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29"/>
          <w:szCs w:val="29"/>
          <w:b w:val="1"/>
          <w:bCs w:val="1"/>
          <w:color w:val="00A0DD"/>
        </w:rPr>
        <w:t>Solicitation of Proxies</w:t>
      </w:r>
    </w:p>
    <w:p>
      <w:pPr>
        <w:spacing w:after="0" w:line="127" w:lineRule="exact"/>
        <w:rPr>
          <w:sz w:val="20"/>
          <w:szCs w:val="20"/>
          <w:color w:val="auto"/>
        </w:rPr>
      </w:pPr>
    </w:p>
    <w:p>
      <w:pPr>
        <w:ind w:left="320" w:right="399"/>
        <w:spacing w:after="0" w:line="255" w:lineRule="auto"/>
        <w:rPr>
          <w:sz w:val="20"/>
          <w:szCs w:val="20"/>
          <w:color w:val="auto"/>
        </w:rPr>
      </w:pPr>
      <w:r>
        <w:rPr>
          <w:rFonts w:ascii="Arial" w:cs="Arial" w:eastAsia="Arial" w:hAnsi="Arial"/>
          <w:sz w:val="17"/>
          <w:szCs w:val="17"/>
          <w:color w:val="auto"/>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$35,000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00" w:lineRule="exact"/>
        <w:rPr>
          <w:sz w:val="20"/>
          <w:szCs w:val="20"/>
          <w:color w:val="auto"/>
        </w:rPr>
      </w:pPr>
    </w:p>
    <w:p>
      <w:pPr>
        <w:ind w:left="320" w:right="559"/>
        <w:spacing w:after="0" w:line="287" w:lineRule="auto"/>
        <w:rPr>
          <w:sz w:val="20"/>
          <w:szCs w:val="20"/>
          <w:color w:val="auto"/>
        </w:rPr>
      </w:pPr>
      <w:r>
        <w:rPr>
          <w:rFonts w:ascii="Arial" w:cs="Arial" w:eastAsia="Arial" w:hAnsi="Arial"/>
          <w:sz w:val="29"/>
          <w:szCs w:val="29"/>
          <w:b w:val="1"/>
          <w:bCs w:val="1"/>
          <w:color w:val="00A0DD"/>
        </w:rPr>
        <w:t>Electronic Access to Proxy Materials and Annual Report on Form 10-K</w:t>
      </w:r>
    </w:p>
    <w:p>
      <w:pPr>
        <w:spacing w:after="0" w:line="1" w:lineRule="exact"/>
        <w:rPr>
          <w:sz w:val="20"/>
          <w:szCs w:val="20"/>
          <w:color w:val="auto"/>
        </w:rPr>
      </w:pPr>
    </w:p>
    <w:p>
      <w:pPr>
        <w:ind w:left="320" w:right="519"/>
        <w:spacing w:after="0"/>
        <w:rPr>
          <w:sz w:val="20"/>
          <w:szCs w:val="20"/>
          <w:color w:val="auto"/>
        </w:rPr>
      </w:pPr>
      <w:r>
        <w:rPr>
          <w:rFonts w:ascii="Arial" w:cs="Arial" w:eastAsia="Arial" w:hAnsi="Arial"/>
          <w:sz w:val="18"/>
          <w:szCs w:val="18"/>
          <w:color w:val="auto"/>
        </w:rPr>
        <w:t xml:space="preserve">Shareholders can access this proxy statement and our Annual Report on Form 10-K via the internet at </w:t>
      </w: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by scanning the QR code on the Notice or proxy card with a smartphone or</w:t>
      </w:r>
      <w:r>
        <w:rPr>
          <w:rFonts w:ascii="Arial" w:cs="Arial" w:eastAsia="Arial" w:hAnsi="Arial"/>
          <w:sz w:val="18"/>
          <w:szCs w:val="18"/>
          <w:i w:val="1"/>
          <w:iCs w:val="1"/>
          <w:color w:val="auto"/>
        </w:rPr>
        <w:t xml:space="preserve"> </w:t>
      </w:r>
      <w:r>
        <w:rPr>
          <w:rFonts w:ascii="Arial" w:cs="Arial" w:eastAsia="Arial" w:hAnsi="Arial"/>
          <w:sz w:val="18"/>
          <w:szCs w:val="18"/>
          <w:color w:val="auto"/>
        </w:rPr>
        <w:t>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200" w:lineRule="exact"/>
        <w:rPr>
          <w:sz w:val="20"/>
          <w:szCs w:val="20"/>
          <w:color w:val="auto"/>
        </w:rPr>
      </w:pPr>
    </w:p>
    <w:p>
      <w:pPr>
        <w:spacing w:after="0" w:line="309" w:lineRule="exact"/>
        <w:rPr>
          <w:sz w:val="20"/>
          <w:szCs w:val="20"/>
          <w:color w:val="auto"/>
        </w:rPr>
      </w:pPr>
    </w:p>
    <w:p>
      <w:pPr>
        <w:ind w:left="1000" w:hanging="674"/>
        <w:spacing w:after="0"/>
        <w:tabs>
          <w:tab w:leader="none" w:pos="100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375285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69" w:name="page70"/>
    <w:bookmarkEnd w:id="69"/>
    <w:p>
      <w:pPr>
        <w:ind w:left="118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right="1280"/>
        <w:spacing w:after="0"/>
        <w:rPr>
          <w:sz w:val="20"/>
          <w:szCs w:val="20"/>
          <w:color w:val="auto"/>
        </w:rPr>
      </w:pPr>
      <w:r>
        <w:rPr>
          <w:rFonts w:ascii="Arial" w:cs="Arial" w:eastAsia="Arial" w:hAnsi="Arial"/>
          <w:sz w:val="18"/>
          <w:szCs w:val="18"/>
          <w:color w:val="auto"/>
        </w:rPr>
        <w:t xml:space="preserve">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LLC D/B/A EQ Shareowner Services (“EQ Shareowner Services”), at 1-888-883-8903 or P.O. Box 64854, St. Paul, MN 55164-0854 or by signing on to your account at </w:t>
      </w:r>
      <w:r>
        <w:rPr>
          <w:rFonts w:ascii="Arial" w:cs="Arial" w:eastAsia="Arial" w:hAnsi="Arial"/>
          <w:sz w:val="18"/>
          <w:szCs w:val="18"/>
          <w:i w:val="1"/>
          <w:iCs w:val="1"/>
          <w:color w:val="auto"/>
        </w:rPr>
        <w:t>https://www.shareowneronline.com/comcast</w:t>
      </w:r>
      <w:r>
        <w:rPr>
          <w:rFonts w:ascii="Arial" w:cs="Arial" w:eastAsia="Arial" w:hAnsi="Arial"/>
          <w:sz w:val="18"/>
          <w:szCs w:val="18"/>
          <w:color w:val="auto"/>
        </w:rPr>
        <w:t>. You may update your electronic address by contacting EQ</w:t>
      </w:r>
      <w:r>
        <w:rPr>
          <w:rFonts w:ascii="Arial" w:cs="Arial" w:eastAsia="Arial" w:hAnsi="Arial"/>
          <w:sz w:val="18"/>
          <w:szCs w:val="18"/>
          <w:i w:val="1"/>
          <w:iCs w:val="1"/>
          <w:color w:val="auto"/>
        </w:rPr>
        <w:t xml:space="preserve"> </w:t>
      </w:r>
      <w:r>
        <w:rPr>
          <w:rFonts w:ascii="Arial" w:cs="Arial" w:eastAsia="Arial" w:hAnsi="Arial"/>
          <w:sz w:val="18"/>
          <w:szCs w:val="18"/>
          <w:color w:val="auto"/>
        </w:rPr>
        <w:t>Shareowner Services.</w:t>
      </w:r>
    </w:p>
    <w:p>
      <w:pPr>
        <w:spacing w:after="0" w:line="77" w:lineRule="exact"/>
        <w:rPr>
          <w:sz w:val="20"/>
          <w:szCs w:val="20"/>
          <w:color w:val="auto"/>
        </w:rPr>
      </w:pPr>
    </w:p>
    <w:p>
      <w:pPr>
        <w:ind w:left="1180" w:right="1280"/>
        <w:spacing w:after="0" w:line="247"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05" w:lineRule="exact"/>
        <w:rPr>
          <w:sz w:val="20"/>
          <w:szCs w:val="20"/>
          <w:color w:val="auto"/>
        </w:rPr>
      </w:pPr>
    </w:p>
    <w:p>
      <w:pPr>
        <w:ind w:left="1180" w:right="2440"/>
        <w:spacing w:after="0" w:line="287" w:lineRule="auto"/>
        <w:rPr>
          <w:sz w:val="20"/>
          <w:szCs w:val="20"/>
          <w:color w:val="auto"/>
        </w:rPr>
      </w:pPr>
      <w:r>
        <w:rPr>
          <w:rFonts w:ascii="Arial" w:cs="Arial" w:eastAsia="Arial" w:hAnsi="Arial"/>
          <w:sz w:val="29"/>
          <w:szCs w:val="29"/>
          <w:b w:val="1"/>
          <w:bCs w:val="1"/>
          <w:color w:val="00A0DD"/>
        </w:rPr>
        <w:t>Important Notice Regarding Delivery of Shareholder Documents</w:t>
      </w:r>
    </w:p>
    <w:p>
      <w:pPr>
        <w:spacing w:after="0" w:line="1" w:lineRule="exact"/>
        <w:rPr>
          <w:sz w:val="20"/>
          <w:szCs w:val="20"/>
          <w:color w:val="auto"/>
        </w:rPr>
      </w:pPr>
    </w:p>
    <w:p>
      <w:pPr>
        <w:ind w:left="1180" w:right="1200"/>
        <w:spacing w:after="0" w:line="247"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39" w:lineRule="exact"/>
        <w:rPr>
          <w:sz w:val="20"/>
          <w:szCs w:val="20"/>
          <w:color w:val="auto"/>
        </w:rPr>
      </w:pPr>
    </w:p>
    <w:p>
      <w:pPr>
        <w:ind w:left="1380" w:hanging="196"/>
        <w:spacing w:after="0"/>
        <w:tabs>
          <w:tab w:leader="none" w:pos="1380" w:val="left"/>
        </w:tabs>
        <w:numPr>
          <w:ilvl w:val="0"/>
          <w:numId w:val="117"/>
        </w:numPr>
        <w:rPr>
          <w:rFonts w:ascii="Times New Roman" w:cs="Times New Roman" w:eastAsia="Times New Roman" w:hAnsi="Times New Roman"/>
          <w:sz w:val="18"/>
          <w:szCs w:val="18"/>
          <w:color w:val="00A0DD"/>
        </w:rPr>
      </w:pPr>
      <w:r>
        <w:rPr>
          <w:rFonts w:ascii="Arial" w:cs="Arial" w:eastAsia="Arial" w:hAnsi="Arial"/>
          <w:sz w:val="18"/>
          <w:szCs w:val="18"/>
          <w:color w:val="auto"/>
        </w:rPr>
        <w:t>you have the same address as other shareholders registered on our books;</w:t>
      </w:r>
    </w:p>
    <w:p>
      <w:pPr>
        <w:spacing w:after="0" w:line="75"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7"/>
        </w:numPr>
        <w:rPr>
          <w:rFonts w:ascii="Times New Roman" w:cs="Times New Roman" w:eastAsia="Times New Roman" w:hAnsi="Times New Roman"/>
          <w:sz w:val="18"/>
          <w:szCs w:val="18"/>
          <w:color w:val="00A0DD"/>
        </w:rPr>
      </w:pPr>
      <w:r>
        <w:rPr>
          <w:rFonts w:ascii="Arial" w:cs="Arial" w:eastAsia="Arial" w:hAnsi="Arial"/>
          <w:sz w:val="18"/>
          <w:szCs w:val="18"/>
          <w:color w:val="auto"/>
        </w:rPr>
        <w:t>you have the same last name as the other shareholders; and</w:t>
      </w:r>
    </w:p>
    <w:p>
      <w:pPr>
        <w:spacing w:after="0" w:line="75" w:lineRule="exact"/>
        <w:rPr>
          <w:rFonts w:ascii="Times New Roman" w:cs="Times New Roman" w:eastAsia="Times New Roman" w:hAnsi="Times New Roman"/>
          <w:sz w:val="18"/>
          <w:szCs w:val="18"/>
          <w:color w:val="00A0DD"/>
        </w:rPr>
      </w:pPr>
    </w:p>
    <w:p>
      <w:pPr>
        <w:ind w:left="1380" w:hanging="196"/>
        <w:spacing w:after="0"/>
        <w:tabs>
          <w:tab w:leader="none" w:pos="1380" w:val="left"/>
        </w:tabs>
        <w:numPr>
          <w:ilvl w:val="0"/>
          <w:numId w:val="117"/>
        </w:numPr>
        <w:rPr>
          <w:rFonts w:ascii="Times New Roman" w:cs="Times New Roman" w:eastAsia="Times New Roman" w:hAnsi="Times New Roman"/>
          <w:sz w:val="18"/>
          <w:szCs w:val="18"/>
          <w:color w:val="00A0DD"/>
        </w:rPr>
      </w:pPr>
      <w:r>
        <w:rPr>
          <w:rFonts w:ascii="Arial" w:cs="Arial" w:eastAsia="Arial" w:hAnsi="Arial"/>
          <w:sz w:val="18"/>
          <w:szCs w:val="18"/>
          <w:color w:val="auto"/>
        </w:rPr>
        <w:t>your address is a residential address or post office box.</w:t>
      </w:r>
    </w:p>
    <w:p>
      <w:pPr>
        <w:spacing w:after="0" w:line="116" w:lineRule="exact"/>
        <w:rPr>
          <w:sz w:val="20"/>
          <w:szCs w:val="20"/>
          <w:color w:val="auto"/>
        </w:rPr>
      </w:pPr>
    </w:p>
    <w:p>
      <w:pPr>
        <w:ind w:left="1180" w:right="1500"/>
        <w:spacing w:after="0" w:line="271" w:lineRule="auto"/>
        <w:rPr>
          <w:sz w:val="20"/>
          <w:szCs w:val="20"/>
          <w:color w:val="auto"/>
        </w:rPr>
      </w:pPr>
      <w:r>
        <w:rPr>
          <w:rFonts w:ascii="Arial" w:cs="Arial" w:eastAsia="Arial" w:hAnsi="Arial"/>
          <w:sz w:val="18"/>
          <w:szCs w:val="18"/>
          <w:color w:val="auto"/>
        </w:rPr>
        <w:t>If you meet this criteria, you are eligible for householding and the following terms apply. If you are not eligible, please disregard this notice.</w:t>
      </w:r>
    </w:p>
    <w:p>
      <w:pPr>
        <w:spacing w:after="0" w:line="46" w:lineRule="exact"/>
        <w:rPr>
          <w:sz w:val="20"/>
          <w:szCs w:val="20"/>
          <w:color w:val="auto"/>
        </w:rPr>
      </w:pPr>
    </w:p>
    <w:p>
      <w:pPr>
        <w:ind w:left="1180" w:right="1180"/>
        <w:spacing w:after="0" w:line="281" w:lineRule="auto"/>
        <w:rPr>
          <w:sz w:val="20"/>
          <w:szCs w:val="20"/>
          <w:color w:val="auto"/>
        </w:rPr>
      </w:pPr>
      <w:r>
        <w:rPr>
          <w:rFonts w:ascii="Arial" w:cs="Arial" w:eastAsia="Arial" w:hAnsi="Arial"/>
          <w:sz w:val="18"/>
          <w:szCs w:val="18"/>
          <w:b w:val="1"/>
          <w:bCs w:val="1"/>
          <w:color w:val="auto"/>
        </w:rPr>
        <w:t>How do I consent to, or discontinue, the householding process of receiving just one set of annual disclosure materials?</w:t>
      </w:r>
    </w:p>
    <w:p>
      <w:pPr>
        <w:spacing w:after="0" w:line="1" w:lineRule="exact"/>
        <w:rPr>
          <w:sz w:val="20"/>
          <w:szCs w:val="20"/>
          <w:color w:val="auto"/>
        </w:rPr>
      </w:pPr>
    </w:p>
    <w:p>
      <w:pPr>
        <w:ind w:left="1180" w:right="1300"/>
        <w:spacing w:after="0" w:line="242" w:lineRule="auto"/>
        <w:rPr>
          <w:sz w:val="20"/>
          <w:szCs w:val="20"/>
          <w:color w:val="auto"/>
        </w:rPr>
      </w:pPr>
      <w:r>
        <w:rPr>
          <w:rFonts w:ascii="Arial" w:cs="Arial" w:eastAsia="Arial" w:hAnsi="Arial"/>
          <w:sz w:val="18"/>
          <w:szCs w:val="18"/>
          <w:color w:val="auto"/>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spacing w:after="0" w:line="71" w:lineRule="exact"/>
        <w:rPr>
          <w:sz w:val="20"/>
          <w:szCs w:val="20"/>
          <w:color w:val="auto"/>
        </w:rPr>
      </w:pPr>
    </w:p>
    <w:p>
      <w:pPr>
        <w:jc w:val="both"/>
        <w:ind w:left="1180" w:right="1500"/>
        <w:spacing w:after="0" w:line="253" w:lineRule="auto"/>
        <w:rPr>
          <w:sz w:val="20"/>
          <w:szCs w:val="20"/>
          <w:color w:val="auto"/>
        </w:rPr>
      </w:pPr>
      <w:r>
        <w:rPr>
          <w:rFonts w:ascii="Arial" w:cs="Arial" w:eastAsia="Arial" w:hAnsi="Arial"/>
          <w:sz w:val="18"/>
          <w:szCs w:val="18"/>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tcPr>
          <w:p>
            <w:pPr>
              <w:ind w:left="764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580" w:type="dxa"/>
            <w:vAlign w:val="bottom"/>
          </w:tcPr>
          <w:p>
            <w:pPr>
              <w:jc w:val="right"/>
              <w:ind w:right="1117"/>
              <w:spacing w:after="0"/>
              <w:rPr>
                <w:sz w:val="20"/>
                <w:szCs w:val="20"/>
                <w:color w:val="auto"/>
              </w:rPr>
            </w:pPr>
            <w:r>
              <w:rPr>
                <w:rFonts w:ascii="Arial" w:cs="Arial" w:eastAsia="Arial" w:hAnsi="Arial"/>
                <w:sz w:val="13"/>
                <w:szCs w:val="13"/>
                <w:b w:val="1"/>
                <w:bCs w:val="1"/>
                <w:color w:val="auto"/>
              </w:rPr>
              <w:t>67</w:t>
            </w:r>
          </w:p>
        </w:tc>
      </w:tr>
      <w:tr>
        <w:trPr>
          <w:trHeight w:val="582"/>
        </w:trPr>
        <w:tc>
          <w:tcPr>
            <w:tcW w:w="9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right="1279"/>
        <w:spacing w:after="0" w:line="279" w:lineRule="auto"/>
        <w:rPr>
          <w:sz w:val="20"/>
          <w:szCs w:val="20"/>
          <w:color w:val="auto"/>
        </w:rPr>
      </w:pPr>
      <w:r>
        <w:rPr>
          <w:rFonts w:ascii="Arial" w:cs="Arial" w:eastAsia="Arial" w:hAnsi="Arial"/>
          <w:sz w:val="36"/>
          <w:szCs w:val="36"/>
          <w:b w:val="1"/>
          <w:bCs w:val="1"/>
          <w:color w:val="auto"/>
        </w:rPr>
        <w:t>Appendix A: Reconciliations of Non-GAAP Financial Measures</w:t>
      </w:r>
    </w:p>
    <w:p>
      <w:pPr>
        <w:spacing w:after="0" w:line="1"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77"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2024 and 2025 are set forth in “Item 7: Management’s Discussion and Analysis of Financial Condition and Results of Operations – Non-GAAP Financial Measures” on pages 46-48 of our Annual Report on Form 10-K for the year ended December 31, 2025, as filed with the SEC on February 3, 2026 (the “10-K”).</w:t>
      </w:r>
    </w:p>
    <w:p>
      <w:pPr>
        <w:spacing w:after="0" w:line="75"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Additional information and a reconciliation of constant currency revenue and Adjusted EBITDA growth rates for the Connectivity &amp; Platforms business in 2025 is set forth in “Item 7: Management’s Discussion and Analysis of Financial Condition and Results of Operations – Non-GAAP Financial Measures” on pages 46-48 of the 10-K.</w:t>
      </w:r>
    </w:p>
    <w:p>
      <w:pPr>
        <w:spacing w:after="0" w:line="7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define Free Cash Flow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3"/>
          <w:szCs w:val="13"/>
          <w:b w:val="1"/>
          <w:bCs w:val="1"/>
          <w:color w:val="auto"/>
        </w:rPr>
        <w:t>A-1</w:t>
      </w:r>
      <w:r>
        <w:rPr>
          <w:sz w:val="20"/>
          <w:szCs w:val="20"/>
          <w:color w:val="auto"/>
        </w:rPr>
        <w:tab/>
      </w:r>
      <w:r>
        <w:rPr>
          <w:rFonts w:ascii="Arial" w:cs="Arial" w:eastAsia="Arial" w:hAnsi="Arial"/>
          <w:sz w:val="12"/>
          <w:szCs w:val="12"/>
          <w:b w:val="1"/>
          <w:bCs w:val="1"/>
          <w:color w:val="auto"/>
        </w:rPr>
        <w:t xml:space="preserve">2026 </w:t>
      </w:r>
      <w:r>
        <w:rPr>
          <w:rFonts w:ascii="Arial" w:cs="Arial" w:eastAsia="Arial" w:hAnsi="Arial"/>
          <w:sz w:val="12"/>
          <w:szCs w:val="12"/>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297815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71" w:name="page72"/>
    <w:bookmarkEnd w:id="71"/>
    <w:p>
      <w:pPr>
        <w:ind w:left="1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20" w:right="1460"/>
        <w:spacing w:after="0" w:line="281" w:lineRule="auto"/>
        <w:rPr>
          <w:sz w:val="20"/>
          <w:szCs w:val="20"/>
          <w:color w:val="auto"/>
        </w:rPr>
      </w:pPr>
      <w:r>
        <w:rPr>
          <w:rFonts w:ascii="Arial" w:cs="Arial" w:eastAsia="Arial" w:hAnsi="Arial"/>
          <w:sz w:val="18"/>
          <w:szCs w:val="18"/>
          <w:b w:val="1"/>
          <w:bCs w:val="1"/>
          <w:color w:val="00A0DD"/>
        </w:rPr>
        <w:t>RECONCILIATION FROM NET CASH PROVIDED BY OPERATING ACTIVITIES TO FREE CASH FLOW</w:t>
      </w:r>
    </w:p>
    <w:p>
      <w:pPr>
        <w:spacing w:after="0" w:line="25" w:lineRule="exact"/>
        <w:rPr>
          <w:sz w:val="20"/>
          <w:szCs w:val="20"/>
          <w:color w:val="auto"/>
        </w:rPr>
      </w:pPr>
    </w:p>
    <w:tbl>
      <w:tblPr>
        <w:tblLayout w:type="fixed"/>
        <w:tblInd w:w="1320" w:type="dxa"/>
        <w:tblCellMar>
          <w:top w:w="0" w:type="dxa"/>
          <w:left w:w="0" w:type="dxa"/>
          <w:bottom w:w="0" w:type="dxa"/>
          <w:right w:w="0" w:type="dxa"/>
        </w:tblCellMar>
      </w:tblPr>
      <w:tr>
        <w:trPr>
          <w:trHeight w:val="225"/>
        </w:trPr>
        <w:tc>
          <w:tcPr>
            <w:tcW w:w="5200" w:type="dxa"/>
            <w:vAlign w:val="bottom"/>
          </w:tcPr>
          <w:p>
            <w:pPr>
              <w:spacing w:after="0"/>
              <w:rPr>
                <w:sz w:val="20"/>
                <w:szCs w:val="20"/>
                <w:color w:val="auto"/>
              </w:rPr>
            </w:pPr>
            <w:r>
              <w:rPr>
                <w:rFonts w:ascii="Arial" w:cs="Arial" w:eastAsia="Arial" w:hAnsi="Arial"/>
                <w:sz w:val="17"/>
                <w:szCs w:val="17"/>
                <w:color w:val="auto"/>
              </w:rPr>
              <w:t>($ in millions)</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11"/>
        </w:trPr>
        <w:tc>
          <w:tcPr>
            <w:tcW w:w="5200" w:type="dxa"/>
            <w:vAlign w:val="bottom"/>
          </w:tcPr>
          <w:p>
            <w:pPr>
              <w:spacing w:after="0"/>
              <w:rPr>
                <w:sz w:val="24"/>
                <w:szCs w:val="24"/>
                <w:color w:val="auto"/>
              </w:rPr>
            </w:pPr>
          </w:p>
        </w:tc>
        <w:tc>
          <w:tcPr>
            <w:tcW w:w="29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5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r>
      <w:tr>
        <w:trPr>
          <w:trHeight w:val="210"/>
        </w:trPr>
        <w:tc>
          <w:tcPr>
            <w:tcW w:w="5200" w:type="dxa"/>
            <w:vAlign w:val="bottom"/>
            <w:tcBorders>
              <w:bottom w:val="single" w:sz="8" w:color="DCDDDE"/>
            </w:tcBorders>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1780" w:type="dxa"/>
            <w:vAlign w:val="bottom"/>
            <w:tcBorders>
              <w:bottom w:val="single" w:sz="8" w:color="DCDDDE"/>
            </w:tcBorders>
          </w:tcPr>
          <w:p>
            <w:pPr>
              <w:jc w:val="right"/>
              <w:ind w:right="370"/>
              <w:spacing w:after="0"/>
              <w:rPr>
                <w:sz w:val="20"/>
                <w:szCs w:val="20"/>
                <w:color w:val="auto"/>
              </w:rPr>
            </w:pPr>
            <w:r>
              <w:rPr>
                <w:rFonts w:ascii="Arial" w:cs="Arial" w:eastAsia="Arial" w:hAnsi="Arial"/>
                <w:sz w:val="18"/>
                <w:szCs w:val="18"/>
                <w:b w:val="1"/>
                <w:bCs w:val="1"/>
                <w:color w:val="auto"/>
              </w:rPr>
              <w:t>33,643</w:t>
            </w:r>
          </w:p>
        </w:tc>
        <w:tc>
          <w:tcPr>
            <w:tcW w:w="1120" w:type="dxa"/>
            <w:vAlign w:val="bottom"/>
            <w:tcBorders>
              <w:bottom w:val="single" w:sz="8" w:color="DCDDDE"/>
            </w:tcBorders>
          </w:tcPr>
          <w:p>
            <w:pPr>
              <w:jc w:val="right"/>
              <w:ind w:right="10"/>
              <w:spacing w:after="0"/>
              <w:rPr>
                <w:sz w:val="20"/>
                <w:szCs w:val="20"/>
                <w:color w:val="auto"/>
              </w:rPr>
            </w:pPr>
            <w:r>
              <w:rPr>
                <w:rFonts w:ascii="Arial" w:cs="Arial" w:eastAsia="Arial" w:hAnsi="Arial"/>
                <w:sz w:val="18"/>
                <w:szCs w:val="18"/>
                <w:b w:val="1"/>
                <w:bCs w:val="1"/>
                <w:color w:val="auto"/>
              </w:rPr>
              <w:t>27,673</w:t>
            </w:r>
          </w:p>
        </w:tc>
      </w:tr>
      <w:tr>
        <w:trPr>
          <w:trHeight w:val="209"/>
        </w:trPr>
        <w:tc>
          <w:tcPr>
            <w:tcW w:w="5200" w:type="dxa"/>
            <w:vAlign w:val="bottom"/>
            <w:tcBorders>
              <w:bottom w:val="single" w:sz="8" w:color="DCDDDE"/>
            </w:tcBorders>
          </w:tcPr>
          <w:p>
            <w:pPr>
              <w:ind w:left="120"/>
              <w:spacing w:after="0"/>
              <w:rPr>
                <w:sz w:val="20"/>
                <w:szCs w:val="20"/>
                <w:color w:val="auto"/>
              </w:rPr>
            </w:pPr>
            <w:r>
              <w:rPr>
                <w:rFonts w:ascii="Arial" w:cs="Arial" w:eastAsia="Arial" w:hAnsi="Arial"/>
                <w:sz w:val="18"/>
                <w:szCs w:val="18"/>
                <w:color w:val="auto"/>
              </w:rPr>
              <w:t>Capital expenditures</w:t>
            </w:r>
          </w:p>
        </w:tc>
        <w:tc>
          <w:tcPr>
            <w:tcW w:w="1780" w:type="dxa"/>
            <w:vAlign w:val="bottom"/>
            <w:tcBorders>
              <w:bottom w:val="single" w:sz="8" w:color="DCDDDE"/>
            </w:tcBorders>
          </w:tcPr>
          <w:p>
            <w:pPr>
              <w:jc w:val="right"/>
              <w:ind w:right="310"/>
              <w:spacing w:after="0"/>
              <w:rPr>
                <w:sz w:val="20"/>
                <w:szCs w:val="20"/>
                <w:color w:val="auto"/>
              </w:rPr>
            </w:pPr>
            <w:r>
              <w:rPr>
                <w:rFonts w:ascii="Arial" w:cs="Arial" w:eastAsia="Arial" w:hAnsi="Arial"/>
                <w:sz w:val="18"/>
                <w:szCs w:val="18"/>
                <w:color w:val="auto"/>
              </w:rPr>
              <w:t>(11,750)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(12,181)</w:t>
            </w:r>
          </w:p>
        </w:tc>
      </w:tr>
      <w:tr>
        <w:trPr>
          <w:trHeight w:val="209"/>
        </w:trPr>
        <w:tc>
          <w:tcPr>
            <w:tcW w:w="5200" w:type="dxa"/>
            <w:vAlign w:val="bottom"/>
            <w:tcBorders>
              <w:bottom w:val="single" w:sz="8" w:color="DCDDDE"/>
            </w:tcBorders>
          </w:tcPr>
          <w:p>
            <w:pPr>
              <w:ind w:left="120"/>
              <w:spacing w:after="0"/>
              <w:rPr>
                <w:sz w:val="20"/>
                <w:szCs w:val="20"/>
                <w:color w:val="auto"/>
              </w:rPr>
            </w:pPr>
            <w:r>
              <w:rPr>
                <w:rFonts w:ascii="Arial" w:cs="Arial" w:eastAsia="Arial" w:hAnsi="Arial"/>
                <w:sz w:val="18"/>
                <w:szCs w:val="18"/>
                <w:color w:val="auto"/>
              </w:rPr>
              <w:t>Cash paid for capitalized software and other intangible assets</w:t>
            </w:r>
          </w:p>
        </w:tc>
        <w:tc>
          <w:tcPr>
            <w:tcW w:w="1780" w:type="dxa"/>
            <w:vAlign w:val="bottom"/>
            <w:tcBorders>
              <w:bottom w:val="single" w:sz="8" w:color="DCDDDE"/>
            </w:tcBorders>
          </w:tcPr>
          <w:p>
            <w:pPr>
              <w:jc w:val="right"/>
              <w:ind w:right="310"/>
              <w:spacing w:after="0"/>
              <w:rPr>
                <w:sz w:val="20"/>
                <w:szCs w:val="20"/>
                <w:color w:val="auto"/>
              </w:rPr>
            </w:pPr>
            <w:r>
              <w:rPr>
                <w:rFonts w:ascii="Arial" w:cs="Arial" w:eastAsia="Arial" w:hAnsi="Arial"/>
                <w:sz w:val="18"/>
                <w:szCs w:val="18"/>
                <w:color w:val="auto"/>
              </w:rPr>
              <w:t>(2,658)</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(2,949)</w:t>
            </w:r>
          </w:p>
        </w:tc>
      </w:tr>
      <w:tr>
        <w:trPr>
          <w:trHeight w:val="210"/>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Free Cash Flow</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19,235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20" w:type="dxa"/>
            <w:vAlign w:val="bottom"/>
          </w:tcPr>
          <w:p>
            <w:pPr>
              <w:ind w:left="7600"/>
              <w:spacing w:after="0"/>
              <w:rPr>
                <w:sz w:val="20"/>
                <w:szCs w:val="20"/>
                <w:color w:val="auto"/>
              </w:rPr>
            </w:pPr>
            <w:r>
              <w:rPr>
                <w:rFonts w:ascii="Arial" w:cs="Arial" w:eastAsia="Arial" w:hAnsi="Arial"/>
                <w:sz w:val="13"/>
                <w:szCs w:val="13"/>
                <w:b w:val="1"/>
                <w:bCs w:val="1"/>
                <w:color w:val="auto"/>
              </w:rPr>
              <w:t xml:space="preserve">2026 </w:t>
            </w:r>
            <w:r>
              <w:rPr>
                <w:rFonts w:ascii="Arial" w:cs="Arial" w:eastAsia="Arial" w:hAnsi="Arial"/>
                <w:sz w:val="13"/>
                <w:szCs w:val="13"/>
                <w:color w:val="auto"/>
              </w:rPr>
              <w:t>Proxy Statement</w:t>
            </w:r>
          </w:p>
        </w:tc>
        <w:tc>
          <w:tcPr>
            <w:tcW w:w="1700" w:type="dxa"/>
            <w:vAlign w:val="bottom"/>
          </w:tcPr>
          <w:p>
            <w:pPr>
              <w:ind w:left="200"/>
              <w:spacing w:after="0"/>
              <w:rPr>
                <w:sz w:val="20"/>
                <w:szCs w:val="20"/>
                <w:color w:val="auto"/>
              </w:rPr>
            </w:pPr>
            <w:r>
              <w:rPr>
                <w:rFonts w:ascii="Arial" w:cs="Arial" w:eastAsia="Arial" w:hAnsi="Arial"/>
                <w:sz w:val="13"/>
                <w:szCs w:val="13"/>
                <w:b w:val="1"/>
                <w:bCs w:val="1"/>
                <w:color w:val="auto"/>
              </w:rPr>
              <w:t>A-2</w:t>
            </w:r>
          </w:p>
        </w:tc>
      </w:tr>
      <w:tr>
        <w:trPr>
          <w:trHeight w:val="474"/>
        </w:trPr>
        <w:tc>
          <w:tcPr>
            <w:tcW w:w="90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229" w:right="59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6831965" cy="894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59"/>
          </w:cols>
          <w:pgMar w:left="600" w:top="229" w:right="1440"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93345</wp:posOffset>
            </wp:positionV>
            <wp:extent cx="6831965" cy="85763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8576310"/>
                    </a:xfrm>
                    <a:prstGeom prst="rect">
                      <a:avLst/>
                    </a:prstGeom>
                    <a:noFill/>
                  </pic:spPr>
                </pic:pic>
              </a:graphicData>
            </a:graphic>
          </wp:anchor>
        </w:drawing>
      </w:r>
    </w:p>
    <w:p>
      <w:pPr>
        <w:sectPr>
          <w:pgSz w:w="11900" w:h="16838" w:orient="portrait"/>
          <w:cols w:equalWidth="0" w:num="1">
            <w:col w:w="9859"/>
          </w:cols>
          <w:pgMar w:left="600" w:top="229" w:right="1440"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222250</wp:posOffset>
            </wp:positionV>
            <wp:extent cx="6831965" cy="86791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8679180"/>
                    </a:xfrm>
                    <a:prstGeom prst="rect">
                      <a:avLst/>
                    </a:prstGeom>
                    <a:noFill/>
                  </pic:spPr>
                </pic:pic>
              </a:graphicData>
            </a:graphic>
          </wp:anchor>
        </w:drawing>
      </w:r>
    </w:p>
    <w:p>
      <w:pPr>
        <w:sectPr>
          <w:pgSz w:w="11900" w:h="16838" w:orient="portrait"/>
          <w:cols w:equalWidth="0" w:num="1">
            <w:col w:w="9859"/>
          </w:cols>
          <w:pgMar w:left="600" w:top="229" w:right="1440"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2"/>
      <w:numFmt w:val="bullet"/>
      <w:start w:val="1"/>
    </w:lvl>
  </w:abstractNum>
  <w:abstractNum w:abstractNumId="4">
    <w:nsid w:val="10233C99"/>
    <w:multiLevelType w:val="hybridMultilevel"/>
    <w:lvl w:ilvl="0">
      <w:lvlJc w:val="left"/>
      <w:lvlText w:val="4"/>
      <w:numFmt w:val="bullet"/>
      <w:start w:val="1"/>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6"/>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8"/>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1"/>
      <w:numFmt w:val="decimal"/>
      <w:start w:val="10"/>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1"/>
      <w:numFmt w:val="decimal"/>
      <w:start w:val="12"/>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lvl w:ilvl="1">
      <w:lvlJc w:val="left"/>
      <w:lvlText w:val="\endash "/>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1"/>
      <w:numFmt w:val="decimal"/>
      <w:start w:val="14"/>
    </w:lvl>
  </w:abstractNum>
  <w:abstractNum w:abstractNumId="24">
    <w:nsid w:val="799D0247"/>
    <w:multiLevelType w:val="hybridMultilevel"/>
    <w:lvl w:ilvl="0">
      <w:lvlJc w:val="left"/>
      <w:lvlText w:val="%1"/>
      <w:numFmt w:val="decimal"/>
      <w:start w:val="16"/>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1"/>
      <w:numFmt w:val="decimal"/>
      <w:start w:val="18"/>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1"/>
      <w:numFmt w:val="decimal"/>
      <w:start w:val="20"/>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22"/>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1"/>
      <w:numFmt w:val="decimal"/>
      <w:start w:val="24"/>
    </w:lvl>
  </w:abstractNum>
  <w:abstractNum w:abstractNumId="46">
    <w:nsid w:val="14330624"/>
    <w:multiLevelType w:val="hybridMultilevel"/>
    <w:lvl w:ilvl="0">
      <w:lvlJc w:val="left"/>
      <w:lvlText w:val="%1"/>
      <w:numFmt w:val="decimal"/>
      <w:start w:val="26"/>
    </w:lvl>
  </w:abstractNum>
  <w:abstractNum w:abstractNumId="47">
    <w:nsid w:val="7FFFCA11"/>
    <w:multiLevelType w:val="hybridMultilevel"/>
    <w:lvl w:ilvl="0">
      <w:lvlJc w:val="left"/>
      <w:lvlText w:val="%1"/>
      <w:numFmt w:val="decimal"/>
      <w:start w:val="28"/>
    </w:lvl>
  </w:abstractNum>
  <w:abstractNum w:abstractNumId="48">
    <w:nsid w:val="1A27709E"/>
    <w:multiLevelType w:val="hybridMultilevel"/>
    <w:lvl w:ilvl="0">
      <w:lvlJc w:val="left"/>
      <w:lvlText w:val="ü"/>
      <w:numFmt w:val="bullet"/>
      <w:start w:val="1"/>
    </w:lvl>
  </w:abstractNum>
  <w:abstractNum w:abstractNumId="49">
    <w:nsid w:val="71EA1109"/>
    <w:multiLevelType w:val="hybridMultilevel"/>
    <w:lvl w:ilvl="0">
      <w:lvlJc w:val="left"/>
      <w:lvlText w:val="û"/>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30"/>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1"/>
      <w:numFmt w:val="decimal"/>
      <w:start w:val="32"/>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1"/>
      <w:numFmt w:val="decimal"/>
      <w:start w:val="34"/>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1"/>
      <w:numFmt w:val="decimal"/>
      <w:start w:val="36"/>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1"/>
      <w:numFmt w:val="decimal"/>
      <w:start w:val="38"/>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1"/>
      <w:numFmt w:val="decimal"/>
      <w:start w:val="40"/>
    </w:lvl>
  </w:abstractNum>
  <w:abstractNum w:abstractNumId="71">
    <w:nsid w:val="26F324BA"/>
    <w:multiLevelType w:val="hybridMultilevel"/>
    <w:lvl w:ilvl="0">
      <w:lvlJc w:val="left"/>
      <w:lvlText w:val="%1"/>
      <w:numFmt w:val="decimal"/>
      <w:start w:val="42"/>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1)"/>
      <w:numFmt w:val="decimal"/>
      <w:start w:val="3"/>
    </w:lvl>
  </w:abstractNum>
  <w:abstractNum w:abstractNumId="74">
    <w:nsid w:val="7055A5F5"/>
    <w:multiLevelType w:val="hybridMultilevel"/>
    <w:lvl w:ilvl="0">
      <w:lvlJc w:val="left"/>
      <w:lvlText w:val="%1"/>
      <w:numFmt w:val="decimal"/>
      <w:start w:val="44"/>
    </w:lvl>
  </w:abstractNum>
  <w:abstractNum w:abstractNumId="75">
    <w:nsid w:val="5FB8370B"/>
    <w:multiLevelType w:val="hybridMultilevel"/>
    <w:lvl w:ilvl="0">
      <w:lvlJc w:val="left"/>
      <w:lvlText w:val="(%1)"/>
      <w:numFmt w:val="decimal"/>
      <w:start w:val="1"/>
    </w:lvl>
    <w:lvl w:ilvl="1">
      <w:lvlJc w:val="left"/>
      <w:lvlText w:val="%2"/>
      <w:numFmt w:val="decimal"/>
      <w:start w:val="100"/>
    </w:lvl>
  </w:abstractNum>
  <w:abstractNum w:abstractNumId="76">
    <w:nsid w:val="50801EE1"/>
    <w:multiLevelType w:val="hybridMultilevel"/>
    <w:lvl w:ilvl="0">
      <w:lvlJc w:val="left"/>
      <w:lvlText w:val="%1"/>
      <w:numFmt w:val="decimal"/>
      <w:start w:val="1"/>
    </w:lvl>
    <w:lvl w:ilvl="1">
      <w:lvlJc w:val="left"/>
      <w:lvlText w:val="%2."/>
      <w:numFmt w:val="decimal"/>
      <w:start w:val="718"/>
    </w:lvl>
  </w:abstractNum>
  <w:abstractNum w:abstractNumId="77">
    <w:nsid w:val="488AC1A"/>
    <w:multiLevelType w:val="hybridMultilevel"/>
    <w:lvl w:ilvl="0">
      <w:lvlJc w:val="left"/>
      <w:lvlText w:val="%1"/>
      <w:numFmt w:val="decimal"/>
      <w:start w:val="46"/>
    </w:lvl>
  </w:abstractNum>
  <w:abstractNum w:abstractNumId="78">
    <w:nsid w:val="5FB8011C"/>
    <w:multiLevelType w:val="hybridMultilevel"/>
    <w:lvl w:ilvl="0">
      <w:lvlJc w:val="left"/>
      <w:lvlText w:val="(%1)"/>
      <w:numFmt w:val="decimal"/>
      <w:start w:val="1"/>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lowerLetter"/>
      <w:start w:val="2"/>
    </w:lvl>
  </w:abstractNum>
  <w:abstractNum w:abstractNumId="81">
    <w:nsid w:val="6FC75AF8"/>
    <w:multiLevelType w:val="hybridMultilevel"/>
    <w:lvl w:ilvl="0">
      <w:lvlJc w:val="left"/>
      <w:lvlText w:val="(%1)"/>
      <w:numFmt w:val="decimal"/>
      <w:start w:val="1"/>
    </w:lvl>
  </w:abstractNum>
  <w:abstractNum w:abstractNumId="82">
    <w:nsid w:val="6A5F7029"/>
    <w:multiLevelType w:val="hybridMultilevel"/>
    <w:lvl w:ilvl="0">
      <w:lvlJc w:val="left"/>
      <w:lvlText w:val="%1"/>
      <w:numFmt w:val="decimal"/>
      <w:start w:val="48"/>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decimal"/>
      <w:start w:val="50"/>
    </w:lvl>
  </w:abstractNum>
  <w:abstractNum w:abstractNumId="85">
    <w:nsid w:val="73A1821B"/>
    <w:multiLevelType w:val="hybridMultilevel"/>
    <w:lvl w:ilvl="0">
      <w:lvlJc w:val="left"/>
      <w:lvlText w:val="(%1)"/>
      <w:numFmt w:val="decimal"/>
      <w:start w:val="1"/>
    </w:lvl>
  </w:abstractNum>
  <w:abstractNum w:abstractNumId="86">
    <w:nsid w:val="7DE67713"/>
    <w:multiLevelType w:val="hybridMultilevel"/>
    <w:lvl w:ilvl="0">
      <w:lvlJc w:val="left"/>
      <w:lvlText w:val="(%1)"/>
      <w:numFmt w:val="decimal"/>
      <w:start w:val="7"/>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52"/>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1)"/>
      <w:numFmt w:val="decimal"/>
      <w:start w:val="1"/>
    </w:lvl>
  </w:abstractNum>
  <w:abstractNum w:abstractNumId="91">
    <w:nsid w:val="71C91298"/>
    <w:multiLevelType w:val="hybridMultilevel"/>
    <w:lvl w:ilvl="0">
      <w:lvlJc w:val="left"/>
      <w:lvlText w:val="(%1)"/>
      <w:numFmt w:val="decimal"/>
      <w:start w:val="3"/>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1"/>
      <w:numFmt w:val="decimal"/>
      <w:start w:val="54"/>
    </w:lvl>
  </w:abstractNum>
  <w:abstractNum w:abstractNumId="95">
    <w:nsid w:val="5092CA79"/>
    <w:multiLevelType w:val="hybridMultilevel"/>
    <w:lvl w:ilvl="0">
      <w:lvlJc w:val="left"/>
      <w:lvlText w:val="(%1)"/>
      <w:numFmt w:val="decimal"/>
      <w:start w:val="6"/>
    </w:lvl>
  </w:abstractNum>
  <w:abstractNum w:abstractNumId="96">
    <w:nsid w:val="1D545C4D"/>
    <w:multiLevelType w:val="hybridMultilevel"/>
    <w:lvl w:ilvl="0">
      <w:lvlJc w:val="left"/>
      <w:lvlText w:val="•"/>
      <w:numFmt w:val="bullet"/>
      <w:start w:val="1"/>
    </w:lvl>
  </w:abstractNum>
  <w:abstractNum w:abstractNumId="97">
    <w:nsid w:val="59ADEA3D"/>
    <w:multiLevelType w:val="hybridMultilevel"/>
    <w:lvl w:ilvl="0">
      <w:lvlJc w:val="left"/>
      <w:lvlText w:val="%1"/>
      <w:numFmt w:val="decimal"/>
      <w:start w:val="56"/>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1)"/>
      <w:numFmt w:val="decimal"/>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
      <w:numFmt w:val="bullet"/>
      <w:start w:val="1"/>
    </w:lvl>
    <w:lvl w:ilvl="1">
      <w:lvlJc w:val="left"/>
      <w:lvlText w:val="•"/>
      <w:numFmt w:val="bullet"/>
      <w:start w:val="1"/>
    </w:lvl>
  </w:abstractNum>
  <w:abstractNum w:abstractNumId="102">
    <w:nsid w:val="51088277"/>
    <w:multiLevelType w:val="hybridMultilevel"/>
    <w:lvl w:ilvl="0">
      <w:lvlJc w:val="left"/>
      <w:lvlText w:val="%1"/>
      <w:numFmt w:val="decimal"/>
      <w:start w:val="58"/>
    </w:lvl>
  </w:abstractNum>
  <w:abstractNum w:abstractNumId="103">
    <w:nsid w:val="1CA0C5FA"/>
    <w:multiLevelType w:val="hybridMultilevel"/>
    <w:lvl w:ilvl="0">
      <w:lvlJc w:val="left"/>
      <w:lvlText w:val="(%1)"/>
      <w:numFmt w:val="decimal"/>
      <w:start w:val="1"/>
    </w:lvl>
  </w:abstractNum>
  <w:abstractNum w:abstractNumId="104">
    <w:nsid w:val="53584BCB"/>
    <w:multiLevelType w:val="hybridMultilevel"/>
    <w:lvl w:ilvl="0">
      <w:lvlJc w:val="left"/>
      <w:lvlText w:val="(%1)"/>
      <w:numFmt w:val="decimal"/>
      <w:start w:val="2"/>
    </w:lvl>
  </w:abstractNum>
  <w:abstractNum w:abstractNumId="105">
    <w:nsid w:val="415E286C"/>
    <w:multiLevelType w:val="hybridMultilevel"/>
    <w:lvl w:ilvl="0">
      <w:lvlJc w:val="left"/>
      <w:lvlText w:val="(%1)"/>
      <w:numFmt w:val="decimal"/>
      <w:start w:val="1"/>
    </w:lvl>
  </w:abstractNum>
  <w:abstractNum w:abstractNumId="106">
    <w:nsid w:val="7C58FD05"/>
    <w:multiLevelType w:val="hybridMultilevel"/>
    <w:lvl w:ilvl="0">
      <w:lvlJc w:val="left"/>
      <w:lvlText w:val="%1"/>
      <w:numFmt w:val="decimal"/>
      <w:start w:val="60"/>
    </w:lvl>
  </w:abstractNum>
  <w:abstractNum w:abstractNumId="107">
    <w:nsid w:val="23D86AAC"/>
    <w:multiLevelType w:val="hybridMultilevel"/>
    <w:lvl w:ilvl="0">
      <w:lvlJc w:val="left"/>
      <w:lvlText w:val="(%1)"/>
      <w:numFmt w:val="decimal"/>
      <w:start w:val="3"/>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1"/>
      <w:numFmt w:val="decimal"/>
      <w:start w:val="62"/>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decimal"/>
      <w:start w:val="64"/>
    </w:lvl>
  </w:abstractNum>
  <w:abstractNum w:abstractNumId="112">
    <w:nsid w:val="4BD8591A"/>
    <w:multiLevelType w:val="hybridMultilevel"/>
    <w:lvl w:ilvl="0">
      <w:lvlJc w:val="left"/>
      <w:lvlText w:val="(%1)"/>
      <w:numFmt w:val="lowerLetter"/>
      <w:start w:val="3"/>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
      <w:numFmt w:val="bullet"/>
      <w:start w:val="1"/>
    </w:lvl>
  </w:abstractNum>
  <w:abstractNum w:abstractNumId="115">
    <w:nsid w:val="2B0D8DBE"/>
    <w:multiLevelType w:val="hybridMultilevel"/>
    <w:lvl w:ilvl="0">
      <w:lvlJc w:val="left"/>
      <w:lvlText w:val="%1"/>
      <w:numFmt w:val="decimal"/>
      <w:start w:val="66"/>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2026-04-24T15:39:04Z</dcterms:created>
  <dcterms:modified xsi:type="dcterms:W3CDTF">2026-04-24T15:39:04Z</dcterms:modified>
</cp:coreProperties>
</file>