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333-212719</w:t>
      </w:r>
    </w:p>
    <w:p>
      <w:pPr>
        <w:spacing w:after="0" w:line="135" w:lineRule="exact"/>
        <w:rPr>
          <w:sz w:val="24"/>
          <w:szCs w:val="24"/>
          <w:color w:val="auto"/>
        </w:rPr>
      </w:pPr>
    </w:p>
    <w:p>
      <w:pPr>
        <w:jc w:val="both"/>
        <w:ind w:left="200" w:right="240"/>
        <w:spacing w:after="0" w:line="300" w:lineRule="auto"/>
        <w:rPr>
          <w:sz w:val="20"/>
          <w:szCs w:val="20"/>
          <w:color w:val="auto"/>
        </w:rPr>
      </w:pPr>
      <w:r>
        <w:rPr>
          <w:rFonts w:ascii="Arial" w:cs="Arial" w:eastAsia="Arial" w:hAnsi="Arial"/>
          <w:sz w:val="12"/>
          <w:szCs w:val="12"/>
          <w:b w:val="1"/>
          <w:bCs w:val="1"/>
          <w:color w:val="EB0029"/>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7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EB0029"/>
        </w:rPr>
        <w:t>SUBJECT TO COMPLETION, DATED OCTOBER 2, 2018</w:t>
      </w:r>
    </w:p>
    <w:p>
      <w:pPr>
        <w:spacing w:after="0" w:line="9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PROSPECTUS SUPPLEMENT</w:t>
      </w:r>
    </w:p>
    <w:p>
      <w:pPr>
        <w:spacing w:after="0" w:line="9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(To prospectus dated July 28, 2016)</w:t>
      </w:r>
    </w:p>
    <w:p>
      <w:pPr>
        <w:spacing w:after="0" w:line="113"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60325</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244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840" w:type="dxa"/>
            <w:vAlign w:val="bottom"/>
          </w:tcPr>
          <w:p>
            <w:pPr>
              <w:ind w:left="1540"/>
              <w:spacing w:after="0"/>
              <w:rPr>
                <w:sz w:val="20"/>
                <w:szCs w:val="20"/>
                <w:color w:val="auto"/>
              </w:rPr>
            </w:pPr>
            <w:r>
              <w:rPr>
                <w:rFonts w:ascii="Arial" w:cs="Arial" w:eastAsia="Arial" w:hAnsi="Arial"/>
                <w:sz w:val="18"/>
                <w:szCs w:val="18"/>
                <w:b w:val="1"/>
                <w:bCs w:val="1"/>
                <w:color w:val="auto"/>
              </w:rPr>
              <w:t>$</w:t>
            </w: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w w:val="96"/>
              </w:rPr>
              <w:t>Floating Rate Notes due 20</w:t>
            </w:r>
          </w:p>
        </w:tc>
        <w:tc>
          <w:tcPr>
            <w:tcW w:w="1260" w:type="dxa"/>
            <w:vAlign w:val="bottom"/>
          </w:tcPr>
          <w:p>
            <w:pPr>
              <w:spacing w:after="0"/>
              <w:rPr>
                <w:sz w:val="18"/>
                <w:szCs w:val="18"/>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 Notes due 20</w:t>
            </w:r>
          </w:p>
        </w:tc>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
              <w:spacing w:after="0"/>
              <w:rPr>
                <w:sz w:val="20"/>
                <w:szCs w:val="20"/>
                <w:color w:val="auto"/>
              </w:rPr>
            </w:pPr>
            <w:r>
              <w:rPr>
                <w:rFonts w:ascii="Arial" w:cs="Arial" w:eastAsia="Arial" w:hAnsi="Arial"/>
                <w:sz w:val="18"/>
                <w:szCs w:val="18"/>
                <w:b w:val="1"/>
                <w:bCs w:val="1"/>
                <w:color w:val="auto"/>
                <w:w w:val="88"/>
              </w:rPr>
              <w:t>% Notes due 20</w:t>
            </w: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 Notes due 20</w:t>
            </w:r>
          </w:p>
        </w:tc>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
              <w:spacing w:after="0"/>
              <w:rPr>
                <w:sz w:val="20"/>
                <w:szCs w:val="20"/>
                <w:color w:val="auto"/>
              </w:rPr>
            </w:pPr>
            <w:r>
              <w:rPr>
                <w:rFonts w:ascii="Arial" w:cs="Arial" w:eastAsia="Arial" w:hAnsi="Arial"/>
                <w:sz w:val="18"/>
                <w:szCs w:val="18"/>
                <w:b w:val="1"/>
                <w:bCs w:val="1"/>
                <w:color w:val="auto"/>
                <w:w w:val="88"/>
              </w:rPr>
              <w:t>% Notes due 20</w:t>
            </w: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 Notes due 20</w:t>
            </w:r>
          </w:p>
        </w:tc>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
              <w:spacing w:after="0"/>
              <w:rPr>
                <w:sz w:val="20"/>
                <w:szCs w:val="20"/>
                <w:color w:val="auto"/>
              </w:rPr>
            </w:pPr>
            <w:r>
              <w:rPr>
                <w:rFonts w:ascii="Arial" w:cs="Arial" w:eastAsia="Arial" w:hAnsi="Arial"/>
                <w:sz w:val="18"/>
                <w:szCs w:val="18"/>
                <w:b w:val="1"/>
                <w:bCs w:val="1"/>
                <w:color w:val="auto"/>
                <w:w w:val="88"/>
              </w:rPr>
              <w:t>% Notes due 20</w:t>
            </w:r>
          </w:p>
        </w:tc>
      </w:tr>
      <w:tr>
        <w:trPr>
          <w:trHeight w:val="234"/>
        </w:trPr>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840" w:type="dxa"/>
            <w:vAlign w:val="bottom"/>
          </w:tcPr>
          <w:p>
            <w:pPr>
              <w:ind w:left="260"/>
              <w:spacing w:after="0"/>
              <w:rPr>
                <w:sz w:val="20"/>
                <w:szCs w:val="20"/>
                <w:color w:val="auto"/>
              </w:rPr>
            </w:pPr>
            <w:r>
              <w:rPr>
                <w:rFonts w:ascii="Arial" w:cs="Arial" w:eastAsia="Arial" w:hAnsi="Arial"/>
                <w:sz w:val="18"/>
                <w:szCs w:val="18"/>
                <w:b w:val="1"/>
                <w:bCs w:val="1"/>
                <w:color w:val="auto"/>
              </w:rPr>
              <w:t>% Notes due 20</w:t>
            </w:r>
          </w:p>
        </w:tc>
        <w:tc>
          <w:tcPr>
            <w:tcW w:w="23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
              <w:spacing w:after="0"/>
              <w:rPr>
                <w:sz w:val="20"/>
                <w:szCs w:val="20"/>
                <w:color w:val="auto"/>
              </w:rPr>
            </w:pPr>
            <w:r>
              <w:rPr>
                <w:rFonts w:ascii="Arial" w:cs="Arial" w:eastAsia="Arial" w:hAnsi="Arial"/>
                <w:sz w:val="18"/>
                <w:szCs w:val="18"/>
                <w:b w:val="1"/>
                <w:bCs w:val="1"/>
                <w:color w:val="auto"/>
                <w:w w:val="88"/>
              </w:rPr>
              <w:t>% Notes due 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154305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4"/>
          <w:szCs w:val="24"/>
          <w:color w:val="auto"/>
        </w:rPr>
      </w:pPr>
    </w:p>
    <w:p>
      <w:pPr>
        <w:ind w:left="200" w:right="60" w:firstLine="331"/>
        <w:spacing w:after="0" w:line="253" w:lineRule="auto"/>
        <w:rPr>
          <w:sz w:val="20"/>
          <w:szCs w:val="20"/>
          <w:color w:val="auto"/>
        </w:rPr>
      </w:pPr>
      <w:r>
        <w:rPr>
          <w:rFonts w:ascii="Arial" w:cs="Arial" w:eastAsia="Arial" w:hAnsi="Arial"/>
          <w:sz w:val="14"/>
          <w:szCs w:val="14"/>
          <w:color w:val="auto"/>
        </w:rPr>
        <w:t>We are offering floating rate notes (the “floating rate notes”) and fixed rate notes (the “fixed rate notes” and, together with the floating rate notes, the “notes”) with interest rates, interest payment dates, maturity dates, optional redemption dates, if any, and other terms as set forth in this prospectus supplement.</w:t>
      </w:r>
    </w:p>
    <w:p>
      <w:pPr>
        <w:spacing w:after="0" w:line="66" w:lineRule="exact"/>
        <w:rPr>
          <w:sz w:val="24"/>
          <w:szCs w:val="24"/>
          <w:color w:val="auto"/>
        </w:rPr>
      </w:pPr>
    </w:p>
    <w:p>
      <w:pPr>
        <w:ind w:left="200" w:right="20" w:firstLine="331"/>
        <w:spacing w:after="0" w:line="253" w:lineRule="auto"/>
        <w:rPr>
          <w:sz w:val="20"/>
          <w:szCs w:val="20"/>
          <w:color w:val="auto"/>
        </w:rPr>
      </w:pPr>
      <w:r>
        <w:rPr>
          <w:rFonts w:ascii="Arial" w:cs="Arial" w:eastAsia="Arial" w:hAnsi="Arial"/>
          <w:sz w:val="14"/>
          <w:szCs w:val="14"/>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4"/>
          <w:szCs w:val="24"/>
          <w:color w:val="auto"/>
        </w:rPr>
      </w:pPr>
    </w:p>
    <w:p>
      <w:pPr>
        <w:ind w:left="200" w:right="60" w:firstLine="331"/>
        <w:spacing w:after="0" w:line="247" w:lineRule="auto"/>
        <w:rPr>
          <w:sz w:val="20"/>
          <w:szCs w:val="20"/>
          <w:color w:val="auto"/>
        </w:rPr>
      </w:pPr>
      <w:r>
        <w:rPr>
          <w:rFonts w:ascii="Arial" w:cs="Arial" w:eastAsia="Arial" w:hAnsi="Arial"/>
          <w:sz w:val="13"/>
          <w:szCs w:val="13"/>
          <w:color w:val="auto"/>
        </w:rPr>
        <w:t>We intend to use the net proceeds of this offering, together with the net proceeds from loans under our Term Loan Facilities (as defined herein), to finance our purchase of ordinary shares in the capital of Sky plc (the “Sky Shares”) from Sky shareholders (the “Sky shareholders”) who validly accept our cash offer for the entire issued and to be issued share capital of Sky (as further described herein, the “Sky Offer”), to settle a portion of our Market Purchases (as defined herein) and to pay related fees and expenses. We have also made Market Purchases of Sky Shares directly from Sky shareholders with cash on hand and the net proceeds from (i) the issuance of commercial paper, (ii) loans under our Term Loan Facilities and (iii) revolving loans drawn under our Revolving Credit Facility (as described herein).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(as described herein), is not conditioned on the occurrence of the First Sky Settlement Date. See “Summary—Recent Developments” and “Use of Proceeds.”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133985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9" w:lineRule="exact"/>
        <w:rPr>
          <w:sz w:val="24"/>
          <w:szCs w:val="24"/>
          <w:color w:val="auto"/>
        </w:rPr>
      </w:pPr>
    </w:p>
    <w:p>
      <w:pPr>
        <w:ind w:left="200" w:right="280" w:firstLine="441"/>
        <w:spacing w:after="0" w:line="281"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these securities involves certain risks. See “Item 1A—Risk Factors” beginning on page 20 of Comcast Corporation’s (“Comcast”) Annual Report on Form 10-K for the year ended December 31, 2017, which is incorporated by reference herein, and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S-10 of this prospectus supplement.</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w w:val="97"/>
              </w:rPr>
              <w:t>Price to</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3"/>
          </w:tcPr>
          <w:p>
            <w:pPr>
              <w:ind w:left="380"/>
              <w:spacing w:after="0"/>
              <w:rPr>
                <w:sz w:val="20"/>
                <w:szCs w:val="20"/>
                <w:color w:val="auto"/>
              </w:rPr>
            </w:pPr>
            <w:r>
              <w:rPr>
                <w:rFonts w:ascii="Arial" w:cs="Arial" w:eastAsia="Arial" w:hAnsi="Arial"/>
                <w:sz w:val="14"/>
                <w:szCs w:val="14"/>
                <w:b w:val="1"/>
                <w:bCs w:val="1"/>
                <w:color w:val="auto"/>
              </w:rPr>
              <w:t>Underwriters’</w:t>
            </w:r>
          </w:p>
        </w:tc>
        <w:tc>
          <w:tcPr>
            <w:tcW w:w="1900" w:type="dxa"/>
            <w:vAlign w:val="bottom"/>
            <w:gridSpan w:val="3"/>
          </w:tcPr>
          <w:p>
            <w:pPr>
              <w:ind w:left="380"/>
              <w:spacing w:after="0"/>
              <w:rPr>
                <w:sz w:val="20"/>
                <w:szCs w:val="20"/>
                <w:color w:val="auto"/>
              </w:rPr>
            </w:pPr>
            <w:r>
              <w:rPr>
                <w:rFonts w:ascii="Arial" w:cs="Arial" w:eastAsia="Arial" w:hAnsi="Arial"/>
                <w:sz w:val="14"/>
                <w:szCs w:val="14"/>
                <w:b w:val="1"/>
                <w:bCs w:val="1"/>
                <w:color w:val="auto"/>
                <w:w w:val="99"/>
              </w:rPr>
              <w:t>Proceeds to Us Before</w:t>
            </w: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80" w:type="dxa"/>
            <w:vAlign w:val="bottom"/>
            <w:gridSpan w:val="2"/>
          </w:tcPr>
          <w:p>
            <w:pPr>
              <w:ind w:left="5320"/>
              <w:spacing w:after="0"/>
              <w:rPr>
                <w:sz w:val="20"/>
                <w:szCs w:val="20"/>
                <w:color w:val="auto"/>
              </w:rPr>
            </w:pPr>
            <w:r>
              <w:rPr>
                <w:rFonts w:ascii="Arial" w:cs="Arial" w:eastAsia="Arial" w:hAnsi="Arial"/>
                <w:sz w:val="14"/>
                <w:szCs w:val="14"/>
                <w:b w:val="1"/>
                <w:bCs w:val="1"/>
                <w:color w:val="auto"/>
                <w:w w:val="86"/>
              </w:rPr>
              <w:t>Investors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Discount</w:t>
            </w:r>
          </w:p>
        </w:tc>
        <w:tc>
          <w:tcPr>
            <w:tcW w:w="380" w:type="dxa"/>
            <w:vAlign w:val="bottom"/>
          </w:tcPr>
          <w:p>
            <w:pPr>
              <w:spacing w:after="0"/>
              <w:rPr>
                <w:sz w:val="14"/>
                <w:szCs w:val="14"/>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Expenses</w:t>
            </w:r>
          </w:p>
        </w:tc>
      </w:tr>
      <w:tr>
        <w:trPr>
          <w:trHeight w:val="142"/>
        </w:trPr>
        <w:tc>
          <w:tcPr>
            <w:tcW w:w="20" w:type="dxa"/>
            <w:vAlign w:val="bottom"/>
          </w:tcPr>
          <w:p>
            <w:pPr>
              <w:spacing w:after="0"/>
              <w:rPr>
                <w:sz w:val="12"/>
                <w:szCs w:val="12"/>
                <w:color w:val="auto"/>
              </w:rPr>
            </w:pPr>
          </w:p>
        </w:tc>
        <w:tc>
          <w:tcPr>
            <w:tcW w:w="62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 xml:space="preserve">Per floating rate note due 20  </w:t>
            </w:r>
            <w:r>
              <w:rPr>
                <w:rFonts w:ascii="Arial" w:cs="Arial" w:eastAsia="Arial" w:hAnsi="Arial"/>
                <w:sz w:val="12"/>
                <w:szCs w:val="12"/>
                <w:color w:val="auto"/>
              </w:rPr>
              <w:t>(1)</w:t>
            </w: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right"/>
              <w:ind w:right="318"/>
              <w:spacing w:after="0"/>
              <w:rPr>
                <w:sz w:val="20"/>
                <w:szCs w:val="20"/>
                <w:color w:val="auto"/>
              </w:rPr>
            </w:pPr>
            <w:r>
              <w:rPr>
                <w:rFonts w:ascii="Arial" w:cs="Arial" w:eastAsia="Arial" w:hAnsi="Arial"/>
                <w:sz w:val="12"/>
                <w:szCs w:val="12"/>
                <w:color w:val="auto"/>
                <w:w w:val="74"/>
              </w:rPr>
              <w:t>%</w:t>
            </w:r>
          </w:p>
        </w:tc>
        <w:tc>
          <w:tcPr>
            <w:tcW w:w="3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jc w:val="right"/>
              <w:ind w:right="308"/>
              <w:spacing w:after="0" w:line="142" w:lineRule="exact"/>
              <w:rPr>
                <w:sz w:val="20"/>
                <w:szCs w:val="20"/>
                <w:color w:val="auto"/>
              </w:rPr>
            </w:pPr>
            <w:r>
              <w:rPr>
                <w:rFonts w:ascii="Arial" w:cs="Arial" w:eastAsia="Arial" w:hAnsi="Arial"/>
                <w:sz w:val="14"/>
                <w:szCs w:val="14"/>
                <w:color w:val="auto"/>
                <w:w w:val="79"/>
              </w:rPr>
              <w:t>%</w:t>
            </w:r>
          </w:p>
        </w:tc>
        <w:tc>
          <w:tcPr>
            <w:tcW w:w="38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1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Per note due 20</w:t>
            </w:r>
          </w:p>
        </w:tc>
        <w:tc>
          <w:tcPr>
            <w:tcW w:w="5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(1)</w:t>
            </w:r>
          </w:p>
        </w:tc>
        <w:tc>
          <w:tcPr>
            <w:tcW w:w="5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w w:val="79"/>
              </w:rPr>
              <w:t>%</w:t>
            </w:r>
          </w:p>
        </w:tc>
        <w:tc>
          <w:tcPr>
            <w:tcW w:w="1780" w:type="dxa"/>
            <w:vAlign w:val="bottom"/>
            <w:gridSpan w:val="3"/>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3"/>
            <w:shd w:val="clear" w:color="auto" w:fill="CCEEFF"/>
          </w:tcPr>
          <w:p>
            <w:pPr>
              <w:ind w:left="172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Total</w:t>
            </w:r>
          </w:p>
        </w:tc>
        <w:tc>
          <w:tcPr>
            <w:tcW w:w="5880" w:type="dxa"/>
            <w:vAlign w:val="bottom"/>
            <w:gridSpan w:val="2"/>
          </w:tcPr>
          <w:p>
            <w:pPr>
              <w:ind w:left="5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7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3" w:lineRule="exact"/>
        <w:rPr>
          <w:sz w:val="24"/>
          <w:szCs w:val="24"/>
          <w:color w:val="auto"/>
        </w:rPr>
      </w:pPr>
    </w:p>
    <w:p>
      <w:pPr>
        <w:ind w:left="200"/>
        <w:spacing w:after="0"/>
        <w:tabs>
          <w:tab w:leader="none" w:pos="500" w:val="left"/>
          <w:tab w:leader="none" w:pos="3080" w:val="left"/>
        </w:tabs>
        <w:rPr>
          <w:sz w:val="20"/>
          <w:szCs w:val="20"/>
          <w:color w:val="auto"/>
        </w:rPr>
      </w:pPr>
      <w:r>
        <w:rPr>
          <w:rFonts w:ascii="Arial" w:cs="Arial" w:eastAsia="Arial" w:hAnsi="Arial"/>
          <w:sz w:val="14"/>
          <w:szCs w:val="14"/>
          <w:color w:val="auto"/>
        </w:rPr>
        <w:t>(1)</w:t>
        <w:tab/>
        <w:t>Plus accrued interest, if any, from October</w:t>
      </w:r>
      <w:r>
        <w:rPr>
          <w:sz w:val="20"/>
          <w:szCs w:val="20"/>
          <w:color w:val="auto"/>
        </w:rPr>
        <w:tab/>
      </w:r>
      <w:r>
        <w:rPr>
          <w:rFonts w:ascii="Arial" w:cs="Arial" w:eastAsia="Arial" w:hAnsi="Arial"/>
          <w:sz w:val="13"/>
          <w:szCs w:val="13"/>
          <w:color w:val="auto"/>
        </w:rPr>
        <w:t>, 2018, if settlement occurs after that date.</w:t>
      </w:r>
    </w:p>
    <w:p>
      <w:pPr>
        <w:spacing w:after="0" w:line="92" w:lineRule="exact"/>
        <w:rPr>
          <w:sz w:val="24"/>
          <w:szCs w:val="24"/>
          <w:color w:val="auto"/>
        </w:rPr>
      </w:pPr>
    </w:p>
    <w:p>
      <w:pPr>
        <w:ind w:left="200" w:right="540" w:firstLine="331"/>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1" w:lineRule="exact"/>
        <w:rPr>
          <w:sz w:val="24"/>
          <w:szCs w:val="24"/>
          <w:color w:val="auto"/>
        </w:rPr>
      </w:pPr>
    </w:p>
    <w:p>
      <w:pPr>
        <w:ind w:left="540"/>
        <w:spacing w:after="0"/>
        <w:rPr>
          <w:sz w:val="20"/>
          <w:szCs w:val="20"/>
          <w:color w:val="auto"/>
        </w:rPr>
      </w:pPr>
      <w:r>
        <w:rPr>
          <w:rFonts w:ascii="Arial" w:cs="Arial" w:eastAsia="Arial" w:hAnsi="Arial"/>
          <w:sz w:val="14"/>
          <w:szCs w:val="14"/>
          <w:color w:val="auto"/>
        </w:rPr>
        <w:t>The notes will be ready for delivery only through The Depository Trust Company and its participants, including Euroclear SA/NV (“Euroclear”) and Clearstream Banking SA</w:t>
      </w:r>
    </w:p>
    <w:tbl>
      <w:tblPr>
        <w:tblLayout w:type="fixed"/>
        <w:tblInd w:w="200" w:type="dxa"/>
        <w:tblCellMar>
          <w:top w:w="0" w:type="dxa"/>
          <w:left w:w="0" w:type="dxa"/>
          <w:bottom w:w="0" w:type="dxa"/>
          <w:right w:w="0" w:type="dxa"/>
        </w:tblCellMar>
      </w:tblPr>
      <w:tr>
        <w:trPr>
          <w:trHeight w:val="182"/>
        </w:trPr>
        <w:tc>
          <w:tcPr>
            <w:tcW w:w="3360" w:type="dxa"/>
            <w:vAlign w:val="bottom"/>
          </w:tcPr>
          <w:p>
            <w:pPr>
              <w:spacing w:after="0"/>
              <w:rPr>
                <w:sz w:val="20"/>
                <w:szCs w:val="20"/>
                <w:color w:val="auto"/>
              </w:rPr>
            </w:pPr>
            <w:r>
              <w:rPr>
                <w:rFonts w:ascii="Arial" w:cs="Arial" w:eastAsia="Arial" w:hAnsi="Arial"/>
                <w:sz w:val="14"/>
                <w:szCs w:val="14"/>
                <w:color w:val="auto"/>
                <w:w w:val="97"/>
              </w:rPr>
              <w:t>(“Clearstream”), in book-entry form on or about October</w:t>
            </w:r>
          </w:p>
        </w:tc>
        <w:tc>
          <w:tcPr>
            <w:tcW w:w="7660" w:type="dxa"/>
            <w:vAlign w:val="bottom"/>
            <w:gridSpan w:val="3"/>
          </w:tcPr>
          <w:p>
            <w:pPr>
              <w:jc w:val="right"/>
              <w:ind w:right="1072"/>
              <w:spacing w:after="0"/>
              <w:rPr>
                <w:sz w:val="20"/>
                <w:szCs w:val="20"/>
                <w:color w:val="auto"/>
              </w:rPr>
            </w:pPr>
            <w:r>
              <w:rPr>
                <w:rFonts w:ascii="Arial" w:cs="Arial" w:eastAsia="Arial" w:hAnsi="Arial"/>
                <w:sz w:val="14"/>
                <w:szCs w:val="14"/>
                <w:color w:val="auto"/>
                <w:w w:val="94"/>
              </w:rPr>
              <w:t>, 2018, which is the second business day following the date of this prospectus supplement. See “Underwriting.”</w:t>
            </w:r>
          </w:p>
        </w:tc>
      </w:tr>
      <w:tr>
        <w:trPr>
          <w:trHeight w:val="216"/>
        </w:trPr>
        <w:tc>
          <w:tcPr>
            <w:tcW w:w="3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4360" w:type="dxa"/>
            <w:vAlign w:val="bottom"/>
          </w:tcPr>
          <w:p>
            <w:pPr>
              <w:spacing w:after="0"/>
              <w:rPr>
                <w:sz w:val="18"/>
                <w:szCs w:val="18"/>
                <w:color w:val="auto"/>
              </w:rPr>
            </w:pPr>
          </w:p>
        </w:tc>
      </w:tr>
      <w:tr>
        <w:trPr>
          <w:trHeight w:val="265"/>
        </w:trPr>
        <w:tc>
          <w:tcPr>
            <w:tcW w:w="3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60" w:type="dxa"/>
            <w:vAlign w:val="bottom"/>
            <w:gridSpan w:val="2"/>
          </w:tcPr>
          <w:p>
            <w:pPr>
              <w:jc w:val="right"/>
              <w:ind w:right="4472"/>
              <w:spacing w:after="0"/>
              <w:rPr>
                <w:sz w:val="20"/>
                <w:szCs w:val="20"/>
                <w:color w:val="auto"/>
              </w:rPr>
            </w:pPr>
            <w:r>
              <w:rPr>
                <w:rFonts w:ascii="Arial" w:cs="Arial" w:eastAsia="Arial" w:hAnsi="Arial"/>
                <w:sz w:val="14"/>
                <w:szCs w:val="14"/>
                <w:b w:val="1"/>
                <w:bCs w:val="1"/>
                <w:i w:val="1"/>
                <w:iCs w:val="1"/>
                <w:color w:val="auto"/>
              </w:rPr>
              <w:t>Joint Book-Running Managers</w:t>
            </w:r>
          </w:p>
        </w:tc>
      </w:tr>
      <w:tr>
        <w:trPr>
          <w:trHeight w:val="322"/>
        </w:trPr>
        <w:tc>
          <w:tcPr>
            <w:tcW w:w="3360" w:type="dxa"/>
            <w:vAlign w:val="bottom"/>
          </w:tcPr>
          <w:p>
            <w:pPr>
              <w:spacing w:after="0"/>
              <w:rPr>
                <w:sz w:val="20"/>
                <w:szCs w:val="20"/>
                <w:color w:val="auto"/>
              </w:rPr>
            </w:pPr>
            <w:r>
              <w:rPr>
                <w:rFonts w:ascii="Arial" w:cs="Arial" w:eastAsia="Arial" w:hAnsi="Arial"/>
                <w:sz w:val="22"/>
                <w:szCs w:val="22"/>
                <w:b w:val="1"/>
                <w:bCs w:val="1"/>
                <w:color w:val="auto"/>
              </w:rPr>
              <w:t>BofA Merrill Lynch</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b w:val="1"/>
                <w:bCs w:val="1"/>
                <w:color w:val="auto"/>
              </w:rPr>
              <w:t>Credit Suisse</w:t>
            </w:r>
          </w:p>
        </w:tc>
        <w:tc>
          <w:tcPr>
            <w:tcW w:w="10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360" w:type="dxa"/>
            <w:vAlign w:val="bottom"/>
          </w:tcPr>
          <w:p>
            <w:pPr>
              <w:jc w:val="right"/>
              <w:spacing w:after="0" w:line="243" w:lineRule="exact"/>
              <w:rPr>
                <w:sz w:val="20"/>
                <w:szCs w:val="20"/>
                <w:color w:val="auto"/>
              </w:rPr>
            </w:pPr>
            <w:r>
              <w:rPr>
                <w:rFonts w:ascii="Arial" w:cs="Arial" w:eastAsia="Arial" w:hAnsi="Arial"/>
                <w:sz w:val="22"/>
                <w:szCs w:val="22"/>
                <w:b w:val="1"/>
                <w:bCs w:val="1"/>
                <w:color w:val="auto"/>
              </w:rPr>
              <w:t>Mizuho Securities</w:t>
            </w:r>
          </w:p>
        </w:tc>
      </w:tr>
      <w:tr>
        <w:trPr>
          <w:trHeight w:val="281"/>
        </w:trPr>
        <w:tc>
          <w:tcPr>
            <w:tcW w:w="3360" w:type="dxa"/>
            <w:vAlign w:val="bottom"/>
          </w:tcPr>
          <w:p>
            <w:pPr>
              <w:spacing w:after="0"/>
              <w:rPr>
                <w:sz w:val="20"/>
                <w:szCs w:val="20"/>
                <w:color w:val="auto"/>
              </w:rPr>
            </w:pPr>
            <w:r>
              <w:rPr>
                <w:rFonts w:ascii="Arial" w:cs="Arial" w:eastAsia="Arial" w:hAnsi="Arial"/>
                <w:sz w:val="22"/>
                <w:szCs w:val="22"/>
                <w:b w:val="1"/>
                <w:bCs w:val="1"/>
                <w:color w:val="auto"/>
              </w:rPr>
              <w:t>MUFG</w:t>
            </w:r>
          </w:p>
        </w:tc>
        <w:tc>
          <w:tcPr>
            <w:tcW w:w="1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p>
      <w:pPr>
        <w:spacing w:after="0" w:line="318" w:lineRule="exact"/>
        <w:rPr>
          <w:sz w:val="24"/>
          <w:szCs w:val="24"/>
          <w:color w:val="auto"/>
        </w:rPr>
      </w:pPr>
    </w:p>
    <w:p>
      <w:pPr>
        <w:jc w:val="center"/>
        <w:ind w:right="-179"/>
        <w:spacing w:after="0"/>
        <w:tabs>
          <w:tab w:leader="none" w:pos="120" w:val="left"/>
        </w:tabs>
        <w:rPr>
          <w:sz w:val="20"/>
          <w:szCs w:val="20"/>
          <w:color w:val="auto"/>
        </w:rPr>
      </w:pPr>
      <w:r>
        <w:rPr>
          <w:rFonts w:ascii="Arial" w:cs="Arial" w:eastAsia="Arial" w:hAnsi="Arial"/>
          <w:sz w:val="14"/>
          <w:szCs w:val="14"/>
          <w:b w:val="1"/>
          <w:bCs w:val="1"/>
          <w:color w:val="auto"/>
        </w:rPr>
        <w:t>The date of this prospectus supplement is October</w:t>
      </w:r>
      <w:r>
        <w:rPr>
          <w:sz w:val="20"/>
          <w:szCs w:val="20"/>
          <w:color w:val="auto"/>
        </w:rPr>
        <w:tab/>
      </w:r>
      <w:r>
        <w:rPr>
          <w:rFonts w:ascii="Arial" w:cs="Arial" w:eastAsia="Arial" w:hAnsi="Arial"/>
          <w:sz w:val="13"/>
          <w:szCs w:val="13"/>
          <w:b w:val="1"/>
          <w:bCs w:val="1"/>
          <w:color w:val="auto"/>
        </w:rPr>
        <w:t>, 2018.</w:t>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80" w:type="dxa"/>
            <w:vAlign w:val="bottom"/>
            <w:gridSpan w:val="13"/>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Where You Can Find More Information</w:t>
              </w:r>
            </w:hyperlink>
          </w:p>
        </w:tc>
        <w:tc>
          <w:tcPr>
            <w:tcW w:w="7700" w:type="dxa"/>
            <w:vAlign w:val="bottom"/>
            <w:gridSpan w:val="6"/>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2880" w:type="dxa"/>
            <w:vAlign w:val="bottom"/>
            <w:tcBorders>
              <w:bottom w:val="single" w:sz="8" w:color="0000EE"/>
            </w:tcBorders>
            <w:gridSpan w:val="13"/>
            <w:vMerge w:val="continue"/>
          </w:tcPr>
          <w:p>
            <w:pPr>
              <w:spacing w:after="0"/>
              <w:rPr>
                <w:sz w:val="14"/>
                <w:szCs w:val="14"/>
                <w:color w:val="auto"/>
              </w:rPr>
            </w:pPr>
          </w:p>
        </w:tc>
        <w:tc>
          <w:tcPr>
            <w:tcW w:w="7700" w:type="dxa"/>
            <w:vAlign w:val="bottom"/>
            <w:gridSpan w:val="6"/>
            <w:vMerge w:val="continue"/>
          </w:tcPr>
          <w:p>
            <w:pPr>
              <w:spacing w:after="0"/>
              <w:rPr>
                <w:sz w:val="14"/>
                <w:szCs w:val="14"/>
                <w:color w:val="auto"/>
              </w:rPr>
            </w:pPr>
          </w:p>
        </w:tc>
        <w:tc>
          <w:tcPr>
            <w:tcW w:w="400" w:type="dxa"/>
            <w:vAlign w:val="bottom"/>
          </w:tcPr>
          <w:p>
            <w:pPr>
              <w:jc w:val="right"/>
              <w:spacing w:after="0" w:line="170"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Prospectus Supplement Summary</w:t>
              </w:r>
            </w:hyperlink>
          </w:p>
        </w:tc>
        <w:tc>
          <w:tcPr>
            <w:tcW w:w="81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Ratios of Earnings to Fixed Charges and of Earnings to Combined Fixed Charges and Preferred Dividends</w:t>
              </w:r>
            </w:hyperlink>
          </w:p>
        </w:tc>
        <w:tc>
          <w:tcPr>
            <w:tcW w:w="28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the Notes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Material U.S. Federal Income Tax Consequences for Non-U.S. Holders</w:t>
              </w:r>
            </w:hyperlink>
          </w:p>
        </w:tc>
        <w:tc>
          <w:tcPr>
            <w:tcW w:w="54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Underwriting</w:t>
              </w:r>
            </w:hyperlink>
          </w:p>
        </w:tc>
        <w:tc>
          <w:tcPr>
            <w:tcW w:w="960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95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S-29</w:t>
            </w:r>
          </w:p>
        </w:tc>
        <w:tc>
          <w:tcPr>
            <w:tcW w:w="0" w:type="dxa"/>
            <w:vAlign w:val="bottom"/>
          </w:tcPr>
          <w:p>
            <w:pPr>
              <w:spacing w:after="0"/>
              <w:rPr>
                <w:sz w:val="1"/>
                <w:szCs w:val="1"/>
                <w:color w:val="auto"/>
              </w:rPr>
            </w:pPr>
          </w:p>
        </w:tc>
      </w:tr>
      <w:tr>
        <w:trPr>
          <w:trHeight w:val="480"/>
        </w:trPr>
        <w:tc>
          <w:tcPr>
            <w:tcW w:w="5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4"/>
          </w:tcPr>
          <w:p>
            <w:pPr>
              <w:ind w:left="1140"/>
              <w:spacing w:after="0"/>
              <w:rPr>
                <w:sz w:val="20"/>
                <w:szCs w:val="20"/>
                <w:color w:val="auto"/>
              </w:rPr>
            </w:pPr>
            <w:r>
              <w:rPr>
                <w:rFonts w:ascii="Arial" w:cs="Arial" w:eastAsia="Arial" w:hAnsi="Arial"/>
                <w:sz w:val="18"/>
                <w:szCs w:val="18"/>
                <w:b w:val="1"/>
                <w:bCs w:val="1"/>
                <w:color w:val="auto"/>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The Companies</w:t>
              </w:r>
            </w:hyperlink>
          </w:p>
        </w:tc>
        <w:tc>
          <w:tcPr>
            <w:tcW w:w="944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Caution Concerning Forward-Looking Statements</w:t>
              </w:r>
            </w:hyperlink>
          </w:p>
        </w:tc>
        <w:tc>
          <w:tcPr>
            <w:tcW w:w="6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Use of Proceeds</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Dividend Policy</w:t>
              </w:r>
            </w:hyperlink>
          </w:p>
        </w:tc>
        <w:tc>
          <w:tcPr>
            <w:tcW w:w="94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Ratios of Earnings to Fixed Charges and of Earnings to Combined Fixed Charges and Preferred Dividends</w:t>
              </w:r>
            </w:hyperlink>
          </w:p>
        </w:tc>
        <w:tc>
          <w:tcPr>
            <w:tcW w:w="290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Debt Securities and Guarantees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Global Securities</w:t>
              </w:r>
            </w:hyperlink>
          </w:p>
        </w:tc>
        <w:tc>
          <w:tcPr>
            <w:tcW w:w="72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Description of Capital Stock</w:t>
              </w:r>
            </w:hyperlink>
          </w:p>
        </w:tc>
        <w:tc>
          <w:tcPr>
            <w:tcW w:w="852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Plan of Distribution</w:t>
              </w:r>
            </w:hyperlink>
          </w:p>
        </w:tc>
        <w:tc>
          <w:tcPr>
            <w:tcW w:w="91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958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Available Information</w:t>
              </w:r>
            </w:hyperlink>
          </w:p>
        </w:tc>
        <w:tc>
          <w:tcPr>
            <w:tcW w:w="898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Incorporation of Certain Documents by Reference</w:t>
              </w:r>
            </w:hyperlink>
          </w:p>
        </w:tc>
        <w:tc>
          <w:tcPr>
            <w:tcW w:w="69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Securities and Exchange Commission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 xml:space="preserve">This prospectus supplement incorporates by reference the documents of Comcast and NBCUniversal Media, LLC (“NBCUniversal”) set forth below that we or NBCUniversal have previously filed with the SEC,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contained herein shall be deemed to incorporate information furnished to, but not filed with, the SEC:</w:t>
      </w:r>
    </w:p>
    <w:p>
      <w:pPr>
        <w:spacing w:after="0" w:line="87" w:lineRule="exact"/>
        <w:rPr>
          <w:sz w:val="20"/>
          <w:szCs w:val="20"/>
          <w:color w:val="auto"/>
        </w:rPr>
      </w:pPr>
    </w:p>
    <w:p>
      <w:pPr>
        <w:ind w:left="1060" w:hanging="316"/>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2017, filed on January 31, 2018.</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Comcast’s and NBCUniversal’s combined Quarterly Report on Form 10-Q for the quarter ended March 31, 2018, filed on April 25, 2018.</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Comcast’s and NBCUniversal’s combined Quarterly Report on Form 10-Q for the quarter ended June 30, 2018, filed on July 26, 2018.</w:t>
      </w:r>
    </w:p>
    <w:p>
      <w:pPr>
        <w:spacing w:after="0" w:line="142" w:lineRule="exact"/>
        <w:rPr>
          <w:rFonts w:ascii="Arial" w:cs="Arial" w:eastAsia="Arial" w:hAnsi="Arial"/>
          <w:sz w:val="17"/>
          <w:szCs w:val="17"/>
          <w:color w:val="auto"/>
        </w:rPr>
      </w:pPr>
    </w:p>
    <w:p>
      <w:pPr>
        <w:ind w:left="1060" w:right="100" w:hanging="316"/>
        <w:spacing w:after="0" w:line="277"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8, 2018, February 12, 2018, February 27, 2018, April 25, 2018, April 30, 2018, June 13, 2018, June 14, 2018, July 12, 2018, August 22, 2018, September 24, 2018 and October 1, 2018.</w:t>
      </w:r>
    </w:p>
    <w:p>
      <w:pPr>
        <w:spacing w:after="0" w:line="75" w:lineRule="exact"/>
        <w:rPr>
          <w:rFonts w:ascii="Arial" w:cs="Arial" w:eastAsia="Arial" w:hAnsi="Arial"/>
          <w:sz w:val="18"/>
          <w:szCs w:val="18"/>
          <w:color w:val="auto"/>
        </w:rPr>
      </w:pPr>
    </w:p>
    <w:p>
      <w:pPr>
        <w:ind w:left="1060" w:right="480" w:hanging="316"/>
        <w:spacing w:after="0" w:line="342"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sections of Comcast’s Definitive Proxy Statement on Schedule 14A for the 2018 annual meeting of shareholders incorporated by reference in Comcast’s Annual Report on Form 10-K for the year ended December 31, 2017, filed on April 30, 2018.</w:t>
      </w:r>
    </w:p>
    <w:p>
      <w:pPr>
        <w:spacing w:after="0" w:line="12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718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in five reportable business segments:</w:t>
      </w:r>
    </w:p>
    <w:p>
      <w:pPr>
        <w:spacing w:after="0" w:line="72" w:lineRule="exact"/>
        <w:rPr>
          <w:sz w:val="20"/>
          <w:szCs w:val="20"/>
          <w:color w:val="auto"/>
        </w:rPr>
      </w:pPr>
    </w:p>
    <w:p>
      <w:pPr>
        <w:jc w:val="both"/>
        <w:ind w:left="1220" w:right="24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 voice, and security and automation services (“cable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1220" w:right="10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that provide a variety of entertainment, news and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sports content, our regional sports and news networks, our international cable networks, our cable television studio production operations, and various digital properties.</w:t>
      </w:r>
    </w:p>
    <w:p>
      <w:pPr>
        <w:spacing w:after="0" w:line="81" w:lineRule="exact"/>
        <w:rPr>
          <w:rFonts w:ascii="Arial" w:cs="Arial" w:eastAsia="Arial" w:hAnsi="Arial"/>
          <w:sz w:val="18"/>
          <w:szCs w:val="18"/>
          <w:color w:val="auto"/>
        </w:rPr>
      </w:pPr>
    </w:p>
    <w:p>
      <w:pPr>
        <w:ind w:left="1220" w:right="40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the NBC Universo national cable network, our broadcast television studio production operations, and various digital properties.</w:t>
      </w:r>
    </w:p>
    <w:p>
      <w:pPr>
        <w:spacing w:after="0" w:line="81" w:lineRule="exact"/>
        <w:rPr>
          <w:rFonts w:ascii="Arial" w:cs="Arial" w:eastAsia="Arial" w:hAnsi="Arial"/>
          <w:sz w:val="18"/>
          <w:szCs w:val="18"/>
          <w:color w:val="auto"/>
        </w:rPr>
      </w:pPr>
    </w:p>
    <w:p>
      <w:pPr>
        <w:ind w:left="1220" w:right="18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 our films are also produced under the Illumination, DreamWorks Animation and Focus Features names.</w:t>
      </w:r>
    </w:p>
    <w:p>
      <w:pPr>
        <w:spacing w:after="0" w:line="81" w:lineRule="exact"/>
        <w:rPr>
          <w:rFonts w:ascii="Arial" w:cs="Arial" w:eastAsia="Arial" w:hAnsi="Arial"/>
          <w:sz w:val="18"/>
          <w:szCs w:val="18"/>
          <w:color w:val="auto"/>
        </w:rPr>
      </w:pPr>
    </w:p>
    <w:p>
      <w:pPr>
        <w:ind w:left="1220" w:right="14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Hollywood, California; and Osaka, Japan.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along with a consortium of Chinese state-owned companies, we are developing a Universal theme park and resort in Beijing, China.</w:t>
      </w:r>
    </w:p>
    <w:p>
      <w:pPr>
        <w:spacing w:after="0" w:line="180"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Our other business interests consist primarily of our wireless phone service and Comcast Spectacor, which owns the Philadelphia Flyers and the Wells Fargo Center arena in Philadelphia, Pennsylvania.</w:t>
      </w:r>
    </w:p>
    <w:p>
      <w:pPr>
        <w:spacing w:after="0" w:line="170" w:lineRule="exact"/>
        <w:rPr>
          <w:sz w:val="20"/>
          <w:szCs w:val="20"/>
          <w:color w:val="auto"/>
        </w:rPr>
      </w:pPr>
    </w:p>
    <w:p>
      <w:pPr>
        <w:ind w:left="380" w:right="80" w:firstLine="426"/>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66"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220" w:right="160" w:hanging="307"/>
        <w:spacing w:after="0" w:line="277" w:lineRule="auto"/>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307"/>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NBCUniversal’s principal executive offices are located at 30 Rockefeller Plaza, New York, New York 10112-0015.</w:t>
      </w:r>
    </w:p>
    <w:p>
      <w:pPr>
        <w:spacing w:after="0" w:line="3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Sky Acquisition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On September 24, 2018, following conclusion of an auction procedure conducted by the UK Panel on Takeovers and Mergers, we announced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recommended superior cash offer for the entire issued and to be issued share capital of Sky (the “Sky Offer”) through our indirect wholly-</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owned subsidiary, Comcast Bidco Limited (“Comcast Bidco”). Under the terms of the Sky Offer, Sky shareholders will be entitled to receive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£17.28 in cash for each Sky Share, which implies a value of approximately £30.6 billion for the fully diluted share capital of Sky, or approximately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$40.0 billion using the exchange rate as of September 24, 2018. On September 25, 2018, we announced, through Comcast Bidco, the terms of a</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recommended mandatory superior cash offer and, on September 27, 2018, published and posted a mandatory offer document (the “Sky Mandatory</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Offer Document”) to Sky shareholders containing, among other things, the terms and conditions of the Sky Offer.</w:t>
      </w:r>
    </w:p>
    <w:p>
      <w:pPr>
        <w:spacing w:after="0" w:line="211"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Pursuant to the Sky Mandatory Offer Document (and as further described therein), the Sky Offer is conditional only on valid acceptances of the Sky Offer (“Accepted Sky Shares”) being received (and not, where permitted, withdrawn) by Comcast Bidco by no later than 1:00 p.m. (London time) on October 11, 2018 which, together with Sky Shares acquired or agreed to be acquired before or during the offer period, will result in Comcast Bidco and any person acting in concert with it holding Sky Shares carrying, in aggregate, more than 50% of the voting rights then normally exercisable at a general meeting of Sky. As at the close of business in London on September 21, 2018, we had received valid acceptances of the Sky Offer in respect of Sky Shares representing approximately 0.22% of the issued ordinary share capital of Sky (based on the number of Sky Shares in issue on September 21, 2018).</w:t>
      </w:r>
    </w:p>
    <w:p>
      <w:pPr>
        <w:spacing w:after="0" w:line="178"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As of the close of business on September 26, 2018, Comcast Bidco had acquired in the market an aggregate interest in Sky Shares, at £17.28 per Sky Share, representing approximately 37.72% of the Sky Shares in issue at the time. We refer to Sky Shares Comcast Bidco acquires (or acquires an interest in) directly from Sky shareholders in the market as “Market Purchases.”</w:t>
      </w:r>
    </w:p>
    <w:p>
      <w:pPr>
        <w:spacing w:after="0" w:line="18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Also on September 26, 2018, 21st Century Fox announced that it intends to lapse its offer, at £15.67 per Sky Share, for Sky and that it intends to either accept the Sky Offer or sell the Sky Shares held by 21st Century Fox or its affiliates (representing approximately 39.12% of the ordinary share capital of Sky) to Comcast Bidco (the “Fox Shares”). Whether Comcast Bidco were to purchase the Fox Shares by way of a Market Purchase or such Fox Shares are tendered into the Sky Offer, when taken together with the Market Purchases through September 26, 2018, we expect in due course through Comcast Bidco to hold or have received acceptances in respect of over 75% in aggregate of the Sky Shares in issue at the time. In accordance with the rules of the auction procedure, Comcast Bidco and 21st Century Fox are prohibited from further revising the price of their respective offers for Sky unless a third party announces a firm intention to make an offer for Sky.</w:t>
      </w:r>
    </w:p>
    <w:p>
      <w:pPr>
        <w:spacing w:after="0" w:line="178" w:lineRule="exact"/>
        <w:rPr>
          <w:sz w:val="20"/>
          <w:szCs w:val="20"/>
          <w:color w:val="auto"/>
        </w:rPr>
      </w:pPr>
    </w:p>
    <w:p>
      <w:pPr>
        <w:ind w:left="380" w:right="120" w:firstLine="426"/>
        <w:spacing w:after="0" w:line="302" w:lineRule="auto"/>
        <w:rPr>
          <w:sz w:val="20"/>
          <w:szCs w:val="20"/>
          <w:color w:val="auto"/>
        </w:rPr>
      </w:pPr>
      <w:r>
        <w:rPr>
          <w:rFonts w:ascii="Arial" w:cs="Arial" w:eastAsia="Arial" w:hAnsi="Arial"/>
          <w:sz w:val="16"/>
          <w:szCs w:val="16"/>
          <w:color w:val="auto"/>
        </w:rPr>
        <w:t>Upon either the acceptance of the Sky Offer by 21st Century Fox in respect of the Fox Shares or the purchase and settlement of the Fox Shares (or otherwise the receipt of sufficient other acceptances of the Sky Offer) and settlement of the Market Purchases we have conducted through September 26, 2018 referred to above, the Sky Offer will become unconditional in all respects (the “First Acceptance Close Date”). Upon the Sky Offer becoming unconditional in all respects, we will settle Accepted Sky Shares within fourteen (14) days (or, to the</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spacing w:after="0" w:line="264" w:lineRule="auto"/>
        <w:rPr>
          <w:sz w:val="20"/>
          <w:szCs w:val="20"/>
          <w:color w:val="auto"/>
        </w:rPr>
      </w:pPr>
      <w:r>
        <w:rPr>
          <w:rFonts w:ascii="Arial" w:cs="Arial" w:eastAsia="Arial" w:hAnsi="Arial"/>
          <w:sz w:val="18"/>
          <w:szCs w:val="18"/>
          <w:color w:val="auto"/>
        </w:rPr>
        <w:t>extent practicable, within seven (7) to ten (10) days) of the First Acceptance Close Date (the “First Sky Settlement Date”). We will settle any additional Accepted Sky Shares on a rolling basis within fourteen (14) days (or, to the extent practicable, within seven (7) to ten (10) days) of their valid acceptance.</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Sky Acquisition Financing</w:t>
      </w:r>
    </w:p>
    <w:p>
      <w:pPr>
        <w:spacing w:after="0" w:line="121" w:lineRule="exact"/>
        <w:rPr>
          <w:sz w:val="20"/>
          <w:szCs w:val="20"/>
          <w:color w:val="auto"/>
        </w:rPr>
      </w:pPr>
    </w:p>
    <w:p>
      <w:pPr>
        <w:ind w:left="380" w:right="40" w:firstLine="426"/>
        <w:spacing w:after="0" w:line="291" w:lineRule="auto"/>
        <w:rPr>
          <w:sz w:val="20"/>
          <w:szCs w:val="20"/>
          <w:color w:val="auto"/>
        </w:rPr>
      </w:pPr>
      <w:r>
        <w:rPr>
          <w:rFonts w:ascii="Arial" w:cs="Arial" w:eastAsia="Arial" w:hAnsi="Arial"/>
          <w:sz w:val="16"/>
          <w:szCs w:val="16"/>
          <w:color w:val="auto"/>
        </w:rPr>
        <w:t>We intend to use the net proceeds of this offering, together with the net proceeds from loans under our Term Loan Facilities, to finance our purchase of Sky Shares from Sky shareholders who validly accept the Sky Offer, to settle a portion of our Market Purchases and to pay related fees and expenses. We have also made Market Purchases with cash on hand and the net proceeds from (i) the issuance of commercial paper, (ii) loans under our Term Loan Facilities and (iii) revolving loans drawn under our Revolving Credit Facility.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is not conditioned on the occurrence of the First Sky Settlement Date. See “Use of Proceeds.”</w:t>
      </w:r>
    </w:p>
    <w:p>
      <w:pPr>
        <w:spacing w:after="0" w:line="27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ind w:left="380" w:right="40" w:firstLine="426"/>
        <w:spacing w:after="0" w:line="285" w:lineRule="auto"/>
        <w:rPr>
          <w:sz w:val="20"/>
          <w:szCs w:val="20"/>
          <w:color w:val="auto"/>
        </w:rPr>
      </w:pPr>
      <w:r>
        <w:rPr>
          <w:rFonts w:ascii="Arial" w:cs="Arial" w:eastAsia="Arial" w:hAnsi="Arial"/>
          <w:sz w:val="16"/>
          <w:szCs w:val="16"/>
          <w:color w:val="auto"/>
        </w:rPr>
        <w:t>On April 25, 2018, in connection with our proposed acquisition of Sky, we entered into (i) a term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amended as described below, the “April Term Loan Credit Agreement”), and (ii) a 364-day bridge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amended as described below, the “Bridge Loan Credit Agreement”). On August 22, 2018, we entered into a term loan credit agreement among us, the financial institutions party thereto, Bank of America, N.A., as administrative agent, Wells Fargo Bank, National Association, as syndication agent, and Merrill Lynch, Pierce, Fenner &amp; Smith Incorporated and Wells Fargo Securities, LLC, as joint lead arrangers and joint bookrunners (as described below, the “August Term Loan Credit Agreement”, together with the April Term Loan Credit Agreement and the Bridge Loan Credit Agreement, each as amended, the “Credit Agreements”). On August 22, 2018, we entered into the first amendment to the Bridge Loan Credit Agreement, which, among other things, reduced the amount available for borrowing under the Bridge Loan Credit Agreement from £16 billion to £12.9 billion. On September 23, 2018, we entered into the first amendment to the April Term Loan Credit Agreement, which, among other things, provides that the proceeds under the April Term Loan Credit Agreement may be used to finance the acquisition of shares of Sky by or on behalf of a direct or indirect subsidiary of us, whether prior to or in the absence of the consummation of the acquisition of a majority of the share capital of Sky, and increased the maximum number of draws under the April Term Loan Credit Agreement from three to ten.</w:t>
      </w:r>
    </w:p>
    <w:p>
      <w:pPr>
        <w:spacing w:after="0" w:line="178" w:lineRule="exact"/>
        <w:rPr>
          <w:sz w:val="20"/>
          <w:szCs w:val="20"/>
          <w:color w:val="auto"/>
        </w:rPr>
      </w:pPr>
    </w:p>
    <w:p>
      <w:pPr>
        <w:ind w:left="380" w:firstLine="426"/>
        <w:spacing w:after="0" w:line="271" w:lineRule="auto"/>
        <w:rPr>
          <w:sz w:val="20"/>
          <w:szCs w:val="20"/>
          <w:color w:val="auto"/>
        </w:rPr>
      </w:pPr>
      <w:r>
        <w:rPr>
          <w:rFonts w:ascii="Arial" w:cs="Arial" w:eastAsia="Arial" w:hAnsi="Arial"/>
          <w:sz w:val="17"/>
          <w:szCs w:val="17"/>
          <w:color w:val="auto"/>
        </w:rPr>
        <w:t>The April Term Loan Credit Agreement provides for a £7 billion unsecured term loan credit facility (the “April Term Loan Facility”). The April Term Loan Facility is comprised of (i) a 3-year tranche in the aggregate principal amount of £3 billion, which will mature on the date that is 3 years after the date of the initial borrowing of the 3-year tranche of the April Term Loan Facility and (ii) a 5-year tranche in the aggregate principal amount of £4 billion, which will mature on the date that is 5 years after the date of the initial borrowing of the 5-year tranche of the April Term Loan Facility. Loans under the April Term Loan Credit Agreement may be borrowed in pounds sterling or U.S. dollars at our option. The August Term Loan Credit Agreement provides for a $6 billion unsecured term loan credit facility (the “August Term Loan Facility” and, together with the April Term Loan Facilities, the “Term Loan Facilities”). The August Term Loan Facility will mature on the date that is 4 years after the date of the initial borrowing under the August Term Loan Facility. The Bridge Loan Credit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60"/>
        <w:spacing w:after="0" w:line="257" w:lineRule="auto"/>
        <w:rPr>
          <w:sz w:val="20"/>
          <w:szCs w:val="20"/>
          <w:color w:val="auto"/>
        </w:rPr>
      </w:pPr>
      <w:r>
        <w:rPr>
          <w:rFonts w:ascii="Arial" w:cs="Arial" w:eastAsia="Arial" w:hAnsi="Arial"/>
          <w:sz w:val="18"/>
          <w:szCs w:val="18"/>
          <w:color w:val="auto"/>
        </w:rPr>
        <w:t>Agreement provides for a £12.9 billion unsecured bridge loan credit facility (the “Bridge Loan Facility”) for 364 days after the initial borrowing under the Bridge Loan Facility. The commitments under the Bridge Loan Credit Agreement will be reduced by an amount equal to the aggregate gross proceeds of this offering. The commitments under the Credit Agreements will remain in effect until the date on which certain termination events customary for U.K. public acquisition financings occur. The Term Loan Facilities and the Bridge Loan Facility are each guaranteed by Comcast Cable Communications and NBCUniversal.</w:t>
      </w:r>
    </w:p>
    <w:p>
      <w:pPr>
        <w:spacing w:after="0" w:line="188" w:lineRule="exact"/>
        <w:rPr>
          <w:sz w:val="20"/>
          <w:szCs w:val="20"/>
          <w:color w:val="auto"/>
        </w:rPr>
      </w:pPr>
    </w:p>
    <w:p>
      <w:pPr>
        <w:ind w:left="380" w:right="280" w:firstLine="426"/>
        <w:spacing w:after="0" w:line="279" w:lineRule="auto"/>
        <w:rPr>
          <w:sz w:val="20"/>
          <w:szCs w:val="20"/>
          <w:color w:val="auto"/>
        </w:rPr>
      </w:pPr>
      <w:r>
        <w:rPr>
          <w:rFonts w:ascii="Arial" w:cs="Arial" w:eastAsia="Arial" w:hAnsi="Arial"/>
          <w:sz w:val="17"/>
          <w:szCs w:val="17"/>
          <w:color w:val="auto"/>
        </w:rPr>
        <w:t>Subject to receipt of commitments from new or existing lenders and subject to other customary conditions, we may (a) increase the commitments under the August Term Loan Facility, so long as there is no event of default continuing under the August Term Loan Credit Agreement after giving effect to such increase and (b) increase the commitments under the Bridge Loan Facility, so long as there is no event of default continuing under the Bridge Loan Credit Agreement after giving effect to such increase.</w:t>
      </w:r>
    </w:p>
    <w:p>
      <w:pPr>
        <w:spacing w:after="0" w:line="171" w:lineRule="exact"/>
        <w:rPr>
          <w:sz w:val="20"/>
          <w:szCs w:val="20"/>
          <w:color w:val="auto"/>
        </w:rPr>
      </w:pPr>
    </w:p>
    <w:p>
      <w:pPr>
        <w:ind w:left="380" w:firstLine="426"/>
        <w:spacing w:after="0" w:line="254" w:lineRule="auto"/>
        <w:rPr>
          <w:sz w:val="20"/>
          <w:szCs w:val="20"/>
          <w:color w:val="auto"/>
        </w:rPr>
      </w:pPr>
      <w:r>
        <w:rPr>
          <w:rFonts w:ascii="Arial" w:cs="Arial" w:eastAsia="Arial" w:hAnsi="Arial"/>
          <w:sz w:val="18"/>
          <w:szCs w:val="18"/>
          <w:color w:val="auto"/>
        </w:rPr>
        <w:t>On April 27, 2018, in connection with our proposed acquisition of Sky, we entered into an amendment to our existing revolving credit agreement, dated as of May 26, 2016, among us, the financial institutions party thereto and JPMorgan Chase Bank, N.A., as administrative agent (the “Revolving Credit Facility”). The amendment provides for, among other things, changes to the conditions to borrowings in a manner customary for U.K. public acquisition financings, in addition to changes to certain financial covenant calculations in connection with acquisitions. On September 21, 2018, Comcast and certain financial institutions, as lenders, entered into (i) an increased commitment activation notice and (ii) a new lender supplement, in order to increase the total commitments under the Revolving Credit Facility. The total commitments under the Revolving Credit Facility after giving effect to the increased revolving commitment activation notice and the new lender supplement are $7.611 billion.</w:t>
      </w:r>
    </w:p>
    <w:p>
      <w:pPr>
        <w:spacing w:after="0" w:line="192"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For more information on the Credit Agreements and our Revolving Credit Facility, see our Current Reports on Form 8-K filed with the SEC on April 25, 2018, April 30, 2018, August 22, 2018 and September 24, 2018, which are incorporated herein by reference.</w:t>
      </w: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396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73964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The Offering</w:t>
            </w:r>
          </w:p>
        </w:tc>
        <w:tc>
          <w:tcPr>
            <w:tcW w:w="2120" w:type="dxa"/>
            <w:vAlign w:val="bottom"/>
          </w:tcPr>
          <w:p>
            <w:pPr>
              <w:spacing w:after="0"/>
              <w:rPr>
                <w:sz w:val="20"/>
                <w:szCs w:val="20"/>
                <w:color w:val="auto"/>
              </w:rPr>
            </w:pPr>
          </w:p>
        </w:tc>
      </w:tr>
      <w:tr>
        <w:trPr>
          <w:trHeight w:val="459"/>
        </w:trPr>
        <w:tc>
          <w:tcPr>
            <w:tcW w:w="2680" w:type="dxa"/>
            <w:vAlign w:val="bottom"/>
          </w:tcPr>
          <w:p>
            <w:pPr>
              <w:spacing w:after="0"/>
              <w:rPr>
                <w:sz w:val="20"/>
                <w:szCs w:val="20"/>
                <w:color w:val="auto"/>
              </w:rPr>
            </w:pPr>
            <w:r>
              <w:rPr>
                <w:rFonts w:ascii="Arial" w:cs="Arial" w:eastAsia="Arial" w:hAnsi="Arial"/>
                <w:sz w:val="18"/>
                <w:szCs w:val="18"/>
                <w:color w:val="auto"/>
              </w:rPr>
              <w:t>Issuer</w:t>
            </w:r>
          </w:p>
        </w:tc>
        <w:tc>
          <w:tcPr>
            <w:tcW w:w="4100" w:type="dxa"/>
            <w:vAlign w:val="bottom"/>
            <w:gridSpan w:val="2"/>
          </w:tcPr>
          <w:p>
            <w:pPr>
              <w:ind w:left="1360"/>
              <w:spacing w:after="0"/>
              <w:rPr>
                <w:sz w:val="20"/>
                <w:szCs w:val="20"/>
                <w:color w:val="auto"/>
              </w:rPr>
            </w:pPr>
            <w:r>
              <w:rPr>
                <w:rFonts w:ascii="Arial" w:cs="Arial" w:eastAsia="Arial" w:hAnsi="Arial"/>
                <w:sz w:val="18"/>
                <w:szCs w:val="18"/>
                <w:color w:val="auto"/>
              </w:rPr>
              <w:t>Comcast Corporation.</w:t>
            </w:r>
          </w:p>
        </w:tc>
        <w:tc>
          <w:tcPr>
            <w:tcW w:w="2120" w:type="dxa"/>
            <w:vAlign w:val="bottom"/>
          </w:tcPr>
          <w:p>
            <w:pPr>
              <w:spacing w:after="0"/>
              <w:rPr>
                <w:sz w:val="24"/>
                <w:szCs w:val="24"/>
                <w:color w:val="auto"/>
              </w:rPr>
            </w:pPr>
          </w:p>
        </w:tc>
      </w:tr>
      <w:tr>
        <w:trPr>
          <w:trHeight w:val="473"/>
        </w:trPr>
        <w:tc>
          <w:tcPr>
            <w:tcW w:w="2680" w:type="dxa"/>
            <w:vAlign w:val="bottom"/>
          </w:tcPr>
          <w:p>
            <w:pPr>
              <w:spacing w:after="0"/>
              <w:rPr>
                <w:sz w:val="20"/>
                <w:szCs w:val="20"/>
                <w:color w:val="auto"/>
              </w:rPr>
            </w:pPr>
            <w:r>
              <w:rPr>
                <w:rFonts w:ascii="Arial" w:cs="Arial" w:eastAsia="Arial" w:hAnsi="Arial"/>
                <w:sz w:val="18"/>
                <w:szCs w:val="18"/>
                <w:color w:val="auto"/>
              </w:rPr>
              <w:t>Securities Offered</w:t>
            </w: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4580" w:type="dxa"/>
            <w:vAlign w:val="bottom"/>
            <w:gridSpan w:val="2"/>
          </w:tcPr>
          <w:p>
            <w:pPr>
              <w:ind w:left="180"/>
              <w:spacing w:after="0"/>
              <w:rPr>
                <w:sz w:val="20"/>
                <w:szCs w:val="20"/>
                <w:color w:val="auto"/>
              </w:rPr>
            </w:pPr>
            <w:r>
              <w:rPr>
                <w:rFonts w:ascii="Arial" w:cs="Arial" w:eastAsia="Arial" w:hAnsi="Arial"/>
                <w:sz w:val="18"/>
                <w:szCs w:val="18"/>
                <w:color w:val="auto"/>
                <w:w w:val="91"/>
              </w:rPr>
              <w:t>aggregate principal amount of Floating Rate Notes due 20  .</w:t>
            </w:r>
          </w:p>
        </w:tc>
      </w:tr>
      <w:tr>
        <w:trPr>
          <w:trHeight w:val="473"/>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r>
        <w:trPr>
          <w:trHeight w:val="459"/>
        </w:trPr>
        <w:tc>
          <w:tcPr>
            <w:tcW w:w="2680" w:type="dxa"/>
            <w:vAlign w:val="bottom"/>
          </w:tcPr>
          <w:p>
            <w:pPr>
              <w:spacing w:after="0"/>
              <w:rPr>
                <w:sz w:val="24"/>
                <w:szCs w:val="24"/>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rPr>
              <w:t>$</w:t>
            </w:r>
          </w:p>
        </w:tc>
        <w:tc>
          <w:tcPr>
            <w:tcW w:w="2460" w:type="dxa"/>
            <w:vAlign w:val="bottom"/>
          </w:tcPr>
          <w:p>
            <w:pPr>
              <w:ind w:left="180"/>
              <w:spacing w:after="0"/>
              <w:rPr>
                <w:sz w:val="20"/>
                <w:szCs w:val="20"/>
                <w:color w:val="auto"/>
              </w:rPr>
            </w:pPr>
            <w:r>
              <w:rPr>
                <w:rFonts w:ascii="Arial" w:cs="Arial" w:eastAsia="Arial" w:hAnsi="Arial"/>
                <w:sz w:val="18"/>
                <w:szCs w:val="18"/>
                <w:color w:val="auto"/>
                <w:w w:val="94"/>
              </w:rPr>
              <w:t>aggregate principal amount of</w:t>
            </w:r>
          </w:p>
        </w:tc>
        <w:tc>
          <w:tcPr>
            <w:tcW w:w="2120" w:type="dxa"/>
            <w:vAlign w:val="bottom"/>
          </w:tcPr>
          <w:p>
            <w:pPr>
              <w:ind w:left="100"/>
              <w:spacing w:after="0"/>
              <w:rPr>
                <w:sz w:val="20"/>
                <w:szCs w:val="20"/>
                <w:color w:val="auto"/>
              </w:rPr>
            </w:pPr>
            <w:r>
              <w:rPr>
                <w:rFonts w:ascii="Arial" w:cs="Arial" w:eastAsia="Arial" w:hAnsi="Arial"/>
                <w:sz w:val="18"/>
                <w:szCs w:val="18"/>
                <w:color w:val="auto"/>
              </w:rPr>
              <w:t>% Notes due 20  .</w:t>
            </w:r>
          </w:p>
        </w:tc>
      </w:tr>
    </w:tbl>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Maturity</w:t>
            </w:r>
          </w:p>
        </w:tc>
        <w:tc>
          <w:tcPr>
            <w:tcW w:w="4720" w:type="dxa"/>
            <w:vAlign w:val="bottom"/>
            <w:gridSpan w:val="2"/>
          </w:tcPr>
          <w:p>
            <w:pPr>
              <w:ind w:left="1700"/>
              <w:spacing w:after="0"/>
              <w:rPr>
                <w:sz w:val="20"/>
                <w:szCs w:val="20"/>
                <w:color w:val="auto"/>
              </w:rPr>
            </w:pPr>
            <w:r>
              <w:rPr>
                <w:rFonts w:ascii="Arial" w:cs="Arial" w:eastAsia="Arial" w:hAnsi="Arial"/>
                <w:sz w:val="18"/>
                <w:szCs w:val="18"/>
                <w:color w:val="auto"/>
              </w:rPr>
              <w:t>The floating rate notes will mature on</w:t>
            </w:r>
          </w:p>
        </w:tc>
        <w:tc>
          <w:tcPr>
            <w:tcW w:w="960" w:type="dxa"/>
            <w:vAlign w:val="bottom"/>
          </w:tcPr>
          <w:p>
            <w:pPr>
              <w:jc w:val="right"/>
              <w:spacing w:after="0"/>
              <w:rPr>
                <w:sz w:val="20"/>
                <w:szCs w:val="20"/>
                <w:color w:val="auto"/>
              </w:rPr>
            </w:pPr>
            <w:r>
              <w:rPr>
                <w:rFonts w:ascii="Arial" w:cs="Arial" w:eastAsia="Arial" w:hAnsi="Arial"/>
                <w:sz w:val="18"/>
                <w:szCs w:val="18"/>
                <w:color w:val="auto"/>
              </w:rPr>
              <w:t>, 20  .</w:t>
            </w:r>
          </w:p>
        </w:tc>
      </w:tr>
      <w:tr>
        <w:trPr>
          <w:trHeight w:val="473"/>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r>
        <w:trPr>
          <w:trHeight w:val="459"/>
        </w:trPr>
        <w:tc>
          <w:tcPr>
            <w:tcW w:w="2340" w:type="dxa"/>
            <w:vAlign w:val="bottom"/>
          </w:tcPr>
          <w:p>
            <w:pPr>
              <w:spacing w:after="0"/>
              <w:rPr>
                <w:sz w:val="24"/>
                <w:szCs w:val="24"/>
                <w:color w:val="auto"/>
              </w:rPr>
            </w:pPr>
          </w:p>
        </w:tc>
        <w:tc>
          <w:tcPr>
            <w:tcW w:w="3100" w:type="dxa"/>
            <w:vAlign w:val="bottom"/>
          </w:tcPr>
          <w:p>
            <w:pPr>
              <w:ind w:left="1700"/>
              <w:spacing w:after="0"/>
              <w:rPr>
                <w:sz w:val="20"/>
                <w:szCs w:val="20"/>
                <w:color w:val="auto"/>
              </w:rPr>
            </w:pPr>
            <w:r>
              <w:rPr>
                <w:rFonts w:ascii="Arial" w:cs="Arial" w:eastAsia="Arial" w:hAnsi="Arial"/>
                <w:sz w:val="18"/>
                <w:szCs w:val="18"/>
                <w:color w:val="auto"/>
                <w:w w:val="96"/>
              </w:rPr>
              <w:t>The Notes due 20</w:t>
            </w:r>
          </w:p>
        </w:tc>
        <w:tc>
          <w:tcPr>
            <w:tcW w:w="1620" w:type="dxa"/>
            <w:vAlign w:val="bottom"/>
          </w:tcPr>
          <w:p>
            <w:pPr>
              <w:ind w:left="100"/>
              <w:spacing w:after="0"/>
              <w:rPr>
                <w:sz w:val="20"/>
                <w:szCs w:val="20"/>
                <w:color w:val="auto"/>
              </w:rPr>
            </w:pPr>
            <w:r>
              <w:rPr>
                <w:rFonts w:ascii="Arial" w:cs="Arial" w:eastAsia="Arial" w:hAnsi="Arial"/>
                <w:sz w:val="18"/>
                <w:szCs w:val="18"/>
                <w:color w:val="auto"/>
              </w:rPr>
              <w:t>will mature on</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20  .</w:t>
            </w:r>
          </w:p>
        </w:tc>
      </w:tr>
    </w:tbl>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480" w:type="dxa"/>
            <w:vAlign w:val="bottom"/>
          </w:tcPr>
          <w:p>
            <w:pPr>
              <w:ind w:left="180"/>
              <w:spacing w:after="0"/>
              <w:rPr>
                <w:sz w:val="20"/>
                <w:szCs w:val="20"/>
                <w:color w:val="auto"/>
              </w:rPr>
            </w:pPr>
            <w:r>
              <w:rPr>
                <w:rFonts w:ascii="Arial" w:cs="Arial" w:eastAsia="Arial" w:hAnsi="Arial"/>
                <w:sz w:val="18"/>
                <w:szCs w:val="18"/>
                <w:color w:val="auto"/>
              </w:rPr>
              <w:t>Interest</w:t>
            </w:r>
          </w:p>
        </w:tc>
        <w:tc>
          <w:tcPr>
            <w:tcW w:w="8560" w:type="dxa"/>
            <w:vAlign w:val="bottom"/>
            <w:gridSpan w:val="6"/>
          </w:tcPr>
          <w:p>
            <w:pPr>
              <w:ind w:left="1740"/>
              <w:spacing w:after="0"/>
              <w:rPr>
                <w:sz w:val="20"/>
                <w:szCs w:val="20"/>
                <w:color w:val="auto"/>
              </w:rPr>
            </w:pPr>
            <w:r>
              <w:rPr>
                <w:rFonts w:ascii="Arial" w:cs="Arial" w:eastAsia="Arial" w:hAnsi="Arial"/>
                <w:sz w:val="18"/>
                <w:szCs w:val="18"/>
                <w:color w:val="auto"/>
                <w:w w:val="98"/>
              </w:rPr>
              <w:t>Interest on the floating rate notes will accrue for each quarterly interest period at a rate</w:t>
            </w:r>
          </w:p>
        </w:tc>
      </w:tr>
      <w:tr>
        <w:trPr>
          <w:trHeight w:val="216"/>
        </w:trPr>
        <w:tc>
          <w:tcPr>
            <w:tcW w:w="2480" w:type="dxa"/>
            <w:vAlign w:val="bottom"/>
          </w:tcPr>
          <w:p>
            <w:pPr>
              <w:spacing w:after="0"/>
              <w:rPr>
                <w:sz w:val="18"/>
                <w:szCs w:val="18"/>
                <w:color w:val="auto"/>
              </w:rPr>
            </w:pPr>
          </w:p>
        </w:tc>
        <w:tc>
          <w:tcPr>
            <w:tcW w:w="4280" w:type="dxa"/>
            <w:vAlign w:val="bottom"/>
            <w:gridSpan w:val="2"/>
          </w:tcPr>
          <w:p>
            <w:pPr>
              <w:ind w:left="1740"/>
              <w:spacing w:after="0"/>
              <w:rPr>
                <w:sz w:val="20"/>
                <w:szCs w:val="20"/>
                <w:color w:val="auto"/>
              </w:rPr>
            </w:pPr>
            <w:r>
              <w:rPr>
                <w:rFonts w:ascii="Arial" w:cs="Arial" w:eastAsia="Arial" w:hAnsi="Arial"/>
                <w:sz w:val="18"/>
                <w:szCs w:val="18"/>
                <w:color w:val="auto"/>
                <w:w w:val="95"/>
              </w:rPr>
              <w:t>equal to three-month LIBOR plus</w:t>
            </w:r>
          </w:p>
        </w:tc>
        <w:tc>
          <w:tcPr>
            <w:tcW w:w="4280" w:type="dxa"/>
            <w:vAlign w:val="bottom"/>
            <w:gridSpan w:val="4"/>
          </w:tcPr>
          <w:p>
            <w:pPr>
              <w:jc w:val="right"/>
              <w:ind w:right="150"/>
              <w:spacing w:after="0"/>
              <w:rPr>
                <w:sz w:val="20"/>
                <w:szCs w:val="20"/>
                <w:color w:val="auto"/>
              </w:rPr>
            </w:pPr>
            <w:r>
              <w:rPr>
                <w:rFonts w:ascii="Arial" w:cs="Arial" w:eastAsia="Arial" w:hAnsi="Arial"/>
                <w:sz w:val="18"/>
                <w:szCs w:val="18"/>
                <w:color w:val="auto"/>
                <w:w w:val="94"/>
              </w:rPr>
              <w:t>% per year, which three-month LIBOR rate will be set</w:t>
            </w:r>
          </w:p>
        </w:tc>
      </w:tr>
      <w:tr>
        <w:trPr>
          <w:trHeight w:val="216"/>
        </w:trPr>
        <w:tc>
          <w:tcPr>
            <w:tcW w:w="2480" w:type="dxa"/>
            <w:vAlign w:val="bottom"/>
          </w:tcPr>
          <w:p>
            <w:pPr>
              <w:spacing w:after="0"/>
              <w:rPr>
                <w:sz w:val="18"/>
                <w:szCs w:val="18"/>
                <w:color w:val="auto"/>
              </w:rPr>
            </w:pPr>
          </w:p>
        </w:tc>
        <w:tc>
          <w:tcPr>
            <w:tcW w:w="7520" w:type="dxa"/>
            <w:vAlign w:val="bottom"/>
            <w:gridSpan w:val="5"/>
          </w:tcPr>
          <w:p>
            <w:pPr>
              <w:ind w:left="1740"/>
              <w:spacing w:after="0"/>
              <w:rPr>
                <w:sz w:val="20"/>
                <w:szCs w:val="20"/>
                <w:color w:val="auto"/>
              </w:rPr>
            </w:pPr>
            <w:r>
              <w:rPr>
                <w:rFonts w:ascii="Arial" w:cs="Arial" w:eastAsia="Arial" w:hAnsi="Arial"/>
                <w:sz w:val="18"/>
                <w:szCs w:val="18"/>
                <w:color w:val="auto"/>
              </w:rPr>
              <w:t>quarterly. The interest rate for the first interest period from and including</w:t>
            </w:r>
          </w:p>
        </w:tc>
        <w:tc>
          <w:tcPr>
            <w:tcW w:w="104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2700" w:type="dxa"/>
            <w:vAlign w:val="bottom"/>
          </w:tcPr>
          <w:p>
            <w:pPr>
              <w:ind w:left="1740"/>
              <w:spacing w:after="0"/>
              <w:rPr>
                <w:sz w:val="20"/>
                <w:szCs w:val="20"/>
                <w:color w:val="auto"/>
              </w:rPr>
            </w:pPr>
            <w:r>
              <w:rPr>
                <w:rFonts w:ascii="Arial" w:cs="Arial" w:eastAsia="Arial" w:hAnsi="Arial"/>
                <w:sz w:val="18"/>
                <w:szCs w:val="18"/>
                <w:color w:val="auto"/>
              </w:rPr>
              <w:t>October</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 2018 to, but excluding</w:t>
            </w:r>
          </w:p>
        </w:tc>
        <w:tc>
          <w:tcPr>
            <w:tcW w:w="420" w:type="dxa"/>
            <w:vAlign w:val="bottom"/>
          </w:tcPr>
          <w:p>
            <w:pPr>
              <w:jc w:val="right"/>
              <w:spacing w:after="0"/>
              <w:rPr>
                <w:sz w:val="20"/>
                <w:szCs w:val="20"/>
                <w:color w:val="auto"/>
              </w:rPr>
            </w:pPr>
            <w:r>
              <w:rPr>
                <w:rFonts w:ascii="Arial" w:cs="Arial" w:eastAsia="Arial" w:hAnsi="Arial"/>
                <w:sz w:val="18"/>
                <w:szCs w:val="18"/>
                <w:color w:val="auto"/>
              </w:rPr>
              <w:t>, 20</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will be set on</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 2018.</w:t>
            </w:r>
          </w:p>
        </w:tc>
      </w:tr>
      <w:tr>
        <w:trPr>
          <w:trHeight w:val="216"/>
        </w:trPr>
        <w:tc>
          <w:tcPr>
            <w:tcW w:w="2480" w:type="dxa"/>
            <w:vAlign w:val="bottom"/>
          </w:tcPr>
          <w:p>
            <w:pPr>
              <w:spacing w:after="0"/>
              <w:rPr>
                <w:sz w:val="18"/>
                <w:szCs w:val="18"/>
                <w:color w:val="auto"/>
              </w:rPr>
            </w:pPr>
          </w:p>
        </w:tc>
        <w:tc>
          <w:tcPr>
            <w:tcW w:w="7520" w:type="dxa"/>
            <w:vAlign w:val="bottom"/>
            <w:gridSpan w:val="5"/>
          </w:tcPr>
          <w:p>
            <w:pPr>
              <w:ind w:left="1740"/>
              <w:spacing w:after="0"/>
              <w:rPr>
                <w:sz w:val="20"/>
                <w:szCs w:val="20"/>
                <w:color w:val="auto"/>
              </w:rPr>
            </w:pPr>
            <w:r>
              <w:rPr>
                <w:rFonts w:ascii="Arial" w:cs="Arial" w:eastAsia="Arial" w:hAnsi="Arial"/>
                <w:sz w:val="18"/>
                <w:szCs w:val="18"/>
                <w:color w:val="auto"/>
              </w:rPr>
              <w:t>Interest on the floating rate notes is payable quarterly in arrears on each</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r>
      <w:tr>
        <w:trPr>
          <w:trHeight w:val="230"/>
        </w:trPr>
        <w:tc>
          <w:tcPr>
            <w:tcW w:w="2480" w:type="dxa"/>
            <w:vAlign w:val="bottom"/>
          </w:tcPr>
          <w:p>
            <w:pPr>
              <w:spacing w:after="0"/>
              <w:rPr>
                <w:sz w:val="20"/>
                <w:szCs w:val="20"/>
                <w:color w:val="auto"/>
              </w:rPr>
            </w:pPr>
          </w:p>
        </w:tc>
        <w:tc>
          <w:tcPr>
            <w:tcW w:w="2700" w:type="dxa"/>
            <w:vAlign w:val="bottom"/>
          </w:tcPr>
          <w:p>
            <w:pPr>
              <w:ind w:left="2460"/>
              <w:spacing w:after="0"/>
              <w:rPr>
                <w:sz w:val="20"/>
                <w:szCs w:val="20"/>
                <w:color w:val="auto"/>
              </w:rPr>
            </w:pPr>
            <w:r>
              <w:rPr>
                <w:rFonts w:ascii="Arial" w:cs="Arial" w:eastAsia="Arial" w:hAnsi="Arial"/>
                <w:sz w:val="18"/>
                <w:szCs w:val="18"/>
                <w:color w:val="auto"/>
              </w:rPr>
              <w:t>,</w:t>
            </w:r>
          </w:p>
        </w:tc>
        <w:tc>
          <w:tcPr>
            <w:tcW w:w="1580" w:type="dxa"/>
            <w:vAlign w:val="bottom"/>
          </w:tcPr>
          <w:p>
            <w:pPr>
              <w:ind w:left="620"/>
              <w:spacing w:after="0"/>
              <w:rPr>
                <w:sz w:val="20"/>
                <w:szCs w:val="20"/>
                <w:color w:val="auto"/>
              </w:rPr>
            </w:pPr>
            <w:r>
              <w:rPr>
                <w:rFonts w:ascii="Arial" w:cs="Arial" w:eastAsia="Arial" w:hAnsi="Arial"/>
                <w:sz w:val="18"/>
                <w:szCs w:val="18"/>
                <w:color w:val="auto"/>
              </w:rPr>
              <w:t>and</w:t>
            </w:r>
          </w:p>
        </w:tc>
        <w:tc>
          <w:tcPr>
            <w:tcW w:w="1200" w:type="dxa"/>
            <w:vAlign w:val="bottom"/>
          </w:tcPr>
          <w:p>
            <w:pPr>
              <w:ind w:left="60"/>
              <w:spacing w:after="0"/>
              <w:rPr>
                <w:sz w:val="20"/>
                <w:szCs w:val="20"/>
                <w:color w:val="auto"/>
              </w:rPr>
            </w:pPr>
            <w:r>
              <w:rPr>
                <w:rFonts w:ascii="Arial" w:cs="Arial" w:eastAsia="Arial" w:hAnsi="Arial"/>
                <w:sz w:val="18"/>
                <w:szCs w:val="18"/>
                <w:color w:val="auto"/>
                <w:w w:val="99"/>
              </w:rPr>
              <w:t>, beginning on</w:t>
            </w:r>
          </w:p>
        </w:tc>
        <w:tc>
          <w:tcPr>
            <w:tcW w:w="42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color w:val="auto"/>
              </w:rPr>
              <w:t>, 20  .</w:t>
            </w:r>
          </w:p>
        </w:tc>
        <w:tc>
          <w:tcPr>
            <w:tcW w:w="1040" w:type="dxa"/>
            <w:vAlign w:val="bottom"/>
          </w:tcPr>
          <w:p>
            <w:pPr>
              <w:spacing w:after="0"/>
              <w:rPr>
                <w:sz w:val="20"/>
                <w:szCs w:val="20"/>
                <w:color w:val="auto"/>
              </w:rPr>
            </w:pPr>
          </w:p>
        </w:tc>
      </w:tr>
      <w:tr>
        <w:trPr>
          <w:trHeight w:val="445"/>
        </w:trPr>
        <w:tc>
          <w:tcPr>
            <w:tcW w:w="2480" w:type="dxa"/>
            <w:vAlign w:val="bottom"/>
          </w:tcPr>
          <w:p>
            <w:pPr>
              <w:spacing w:after="0"/>
              <w:rPr>
                <w:sz w:val="24"/>
                <w:szCs w:val="24"/>
                <w:color w:val="auto"/>
              </w:rPr>
            </w:pPr>
          </w:p>
        </w:tc>
        <w:tc>
          <w:tcPr>
            <w:tcW w:w="5900" w:type="dxa"/>
            <w:vAlign w:val="bottom"/>
            <w:gridSpan w:val="4"/>
          </w:tcPr>
          <w:p>
            <w:pPr>
              <w:ind w:left="1740"/>
              <w:spacing w:after="0"/>
              <w:rPr>
                <w:sz w:val="20"/>
                <w:szCs w:val="20"/>
                <w:color w:val="auto"/>
              </w:rPr>
            </w:pPr>
            <w:r>
              <w:rPr>
                <w:rFonts w:ascii="Arial" w:cs="Arial" w:eastAsia="Arial" w:hAnsi="Arial"/>
                <w:sz w:val="18"/>
                <w:szCs w:val="18"/>
                <w:color w:val="auto"/>
                <w:w w:val="95"/>
              </w:rPr>
              <w:t>Interest on the Notes due 20   will accrue at the rate of</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w w:val="91"/>
              </w:rPr>
              <w:t>% per year, payable</w:t>
            </w:r>
          </w:p>
        </w:tc>
        <w:tc>
          <w:tcPr>
            <w:tcW w:w="1040" w:type="dxa"/>
            <w:vAlign w:val="bottom"/>
          </w:tcPr>
          <w:p>
            <w:pPr>
              <w:spacing w:after="0"/>
              <w:rPr>
                <w:sz w:val="24"/>
                <w:szCs w:val="24"/>
                <w:color w:val="auto"/>
              </w:rPr>
            </w:pPr>
          </w:p>
        </w:tc>
      </w:tr>
      <w:tr>
        <w:trPr>
          <w:trHeight w:val="230"/>
        </w:trPr>
        <w:tc>
          <w:tcPr>
            <w:tcW w:w="2480" w:type="dxa"/>
            <w:vAlign w:val="bottom"/>
          </w:tcPr>
          <w:p>
            <w:pPr>
              <w:spacing w:after="0"/>
              <w:rPr>
                <w:sz w:val="20"/>
                <w:szCs w:val="20"/>
                <w:color w:val="auto"/>
              </w:rPr>
            </w:pPr>
          </w:p>
        </w:tc>
        <w:tc>
          <w:tcPr>
            <w:tcW w:w="4280" w:type="dxa"/>
            <w:vAlign w:val="bottom"/>
            <w:gridSpan w:val="2"/>
          </w:tcPr>
          <w:p>
            <w:pPr>
              <w:ind w:left="1740"/>
              <w:spacing w:after="0"/>
              <w:rPr>
                <w:sz w:val="20"/>
                <w:szCs w:val="20"/>
                <w:color w:val="auto"/>
              </w:rPr>
            </w:pPr>
            <w:r>
              <w:rPr>
                <w:rFonts w:ascii="Arial" w:cs="Arial" w:eastAsia="Arial" w:hAnsi="Arial"/>
                <w:sz w:val="18"/>
                <w:szCs w:val="18"/>
                <w:color w:val="auto"/>
                <w:w w:val="92"/>
              </w:rPr>
              <w:t>semiannually in cash in arrears on</w:t>
            </w:r>
          </w:p>
        </w:tc>
        <w:tc>
          <w:tcPr>
            <w:tcW w:w="1200" w:type="dxa"/>
            <w:vAlign w:val="bottom"/>
          </w:tcPr>
          <w:p>
            <w:pPr>
              <w:ind w:left="720"/>
              <w:spacing w:after="0"/>
              <w:rPr>
                <w:sz w:val="20"/>
                <w:szCs w:val="20"/>
                <w:color w:val="auto"/>
              </w:rPr>
            </w:pPr>
            <w:r>
              <w:rPr>
                <w:rFonts w:ascii="Arial" w:cs="Arial" w:eastAsia="Arial" w:hAnsi="Arial"/>
                <w:sz w:val="18"/>
                <w:szCs w:val="18"/>
                <w:color w:val="auto"/>
              </w:rPr>
              <w:t>and</w:t>
            </w:r>
          </w:p>
        </w:tc>
        <w:tc>
          <w:tcPr>
            <w:tcW w:w="420" w:type="dxa"/>
            <w:vAlign w:val="bottom"/>
          </w:tcPr>
          <w:p>
            <w:pPr>
              <w:spacing w:after="0"/>
              <w:rPr>
                <w:sz w:val="20"/>
                <w:szCs w:val="20"/>
                <w:color w:val="auto"/>
              </w:rPr>
            </w:pPr>
          </w:p>
        </w:tc>
        <w:tc>
          <w:tcPr>
            <w:tcW w:w="1620" w:type="dxa"/>
            <w:vAlign w:val="bottom"/>
          </w:tcPr>
          <w:p>
            <w:pPr>
              <w:jc w:val="right"/>
              <w:ind w:right="13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r>
      <w:tr>
        <w:trPr>
          <w:trHeight w:val="240"/>
        </w:trPr>
        <w:tc>
          <w:tcPr>
            <w:tcW w:w="24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604"/>
        </w:trPr>
        <w:tc>
          <w:tcPr>
            <w:tcW w:w="2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S-5</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980" w:type="dxa"/>
            <w:vAlign w:val="bottom"/>
            <w:tcBorders>
              <w:top w:val="single" w:sz="8" w:color="auto"/>
              <w:left w:val="single" w:sz="8" w:color="auto"/>
            </w:tcBorders>
          </w:tcPr>
          <w:p>
            <w:pPr>
              <w:spacing w:after="0"/>
              <w:rPr>
                <w:sz w:val="24"/>
                <w:szCs w:val="24"/>
                <w:color w:val="auto"/>
              </w:rPr>
            </w:pPr>
          </w:p>
        </w:tc>
        <w:tc>
          <w:tcPr>
            <w:tcW w:w="23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beginning</w:t>
            </w:r>
          </w:p>
        </w:tc>
        <w:tc>
          <w:tcPr>
            <w:tcW w:w="3100" w:type="dxa"/>
            <w:vAlign w:val="bottom"/>
            <w:tcBorders>
              <w:top w:val="single" w:sz="8" w:color="auto"/>
            </w:tcBorders>
            <w:gridSpan w:val="3"/>
          </w:tcPr>
          <w:p>
            <w:pPr>
              <w:ind w:left="400"/>
              <w:spacing w:after="0"/>
              <w:rPr>
                <w:sz w:val="20"/>
                <w:szCs w:val="20"/>
                <w:color w:val="auto"/>
              </w:rPr>
            </w:pPr>
            <w:r>
              <w:rPr>
                <w:rFonts w:ascii="Arial" w:cs="Arial" w:eastAsia="Arial" w:hAnsi="Arial"/>
                <w:sz w:val="18"/>
                <w:szCs w:val="18"/>
                <w:color w:val="auto"/>
                <w:w w:val="96"/>
              </w:rPr>
              <w:t>, 20  . Interest on the Notes due 20</w:t>
            </w:r>
          </w:p>
        </w:tc>
        <w:tc>
          <w:tcPr>
            <w:tcW w:w="20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will accrue at the rate of</w:t>
            </w:r>
          </w:p>
        </w:tc>
        <w:tc>
          <w:tcPr>
            <w:tcW w:w="580" w:type="dxa"/>
            <w:vAlign w:val="bottom"/>
            <w:tcBorders>
              <w:top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w w:val="87"/>
              </w:rPr>
              <w:t>%</w:t>
            </w:r>
          </w:p>
        </w:tc>
      </w:tr>
      <w:tr>
        <w:trPr>
          <w:trHeight w:val="216"/>
        </w:trPr>
        <w:tc>
          <w:tcPr>
            <w:tcW w:w="2980" w:type="dxa"/>
            <w:vAlign w:val="bottom"/>
            <w:tcBorders>
              <w:left w:val="single" w:sz="8" w:color="auto"/>
            </w:tcBorders>
          </w:tcPr>
          <w:p>
            <w:pPr>
              <w:spacing w:after="0"/>
              <w:rPr>
                <w:sz w:val="18"/>
                <w:szCs w:val="18"/>
                <w:color w:val="auto"/>
              </w:rPr>
            </w:pPr>
          </w:p>
        </w:tc>
        <w:tc>
          <w:tcPr>
            <w:tcW w:w="5420" w:type="dxa"/>
            <w:vAlign w:val="bottom"/>
            <w:gridSpan w:val="4"/>
          </w:tcPr>
          <w:p>
            <w:pPr>
              <w:ind w:left="1240"/>
              <w:spacing w:after="0"/>
              <w:rPr>
                <w:sz w:val="20"/>
                <w:szCs w:val="20"/>
                <w:color w:val="auto"/>
              </w:rPr>
            </w:pPr>
            <w:r>
              <w:rPr>
                <w:rFonts w:ascii="Arial" w:cs="Arial" w:eastAsia="Arial" w:hAnsi="Arial"/>
                <w:sz w:val="18"/>
                <w:szCs w:val="18"/>
                <w:color w:val="auto"/>
                <w:w w:val="99"/>
              </w:rPr>
              <w:t>per year, payable semiannually in cash in arrears on</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86"/>
              </w:rPr>
              <w:t>and</w:t>
            </w:r>
          </w:p>
        </w:tc>
        <w:tc>
          <w:tcPr>
            <w:tcW w:w="860" w:type="dxa"/>
            <w:vAlign w:val="bottom"/>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2320" w:type="dxa"/>
            <w:vAlign w:val="bottom"/>
          </w:tcPr>
          <w:p>
            <w:pPr>
              <w:ind w:left="1240"/>
              <w:spacing w:after="0"/>
              <w:rPr>
                <w:sz w:val="20"/>
                <w:szCs w:val="20"/>
                <w:color w:val="auto"/>
              </w:rPr>
            </w:pPr>
            <w:r>
              <w:rPr>
                <w:rFonts w:ascii="Arial" w:cs="Arial" w:eastAsia="Arial" w:hAnsi="Arial"/>
                <w:sz w:val="18"/>
                <w:szCs w:val="18"/>
                <w:color w:val="auto"/>
              </w:rPr>
              <w:t>beginning</w:t>
            </w:r>
          </w:p>
        </w:tc>
        <w:tc>
          <w:tcPr>
            <w:tcW w:w="3100" w:type="dxa"/>
            <w:vAlign w:val="bottom"/>
            <w:gridSpan w:val="3"/>
          </w:tcPr>
          <w:p>
            <w:pPr>
              <w:ind w:left="400"/>
              <w:spacing w:after="0"/>
              <w:rPr>
                <w:sz w:val="20"/>
                <w:szCs w:val="20"/>
                <w:color w:val="auto"/>
              </w:rPr>
            </w:pPr>
            <w:r>
              <w:rPr>
                <w:rFonts w:ascii="Arial" w:cs="Arial" w:eastAsia="Arial" w:hAnsi="Arial"/>
                <w:sz w:val="18"/>
                <w:szCs w:val="18"/>
                <w:color w:val="auto"/>
                <w:w w:val="96"/>
              </w:rPr>
              <w:t>, 20  . Interest on the Notes due 20</w:t>
            </w:r>
          </w:p>
        </w:tc>
        <w:tc>
          <w:tcPr>
            <w:tcW w:w="2060" w:type="dxa"/>
            <w:vAlign w:val="bottom"/>
            <w:gridSpan w:val="2"/>
          </w:tcPr>
          <w:p>
            <w:pPr>
              <w:ind w:left="100"/>
              <w:spacing w:after="0"/>
              <w:rPr>
                <w:sz w:val="20"/>
                <w:szCs w:val="20"/>
                <w:color w:val="auto"/>
              </w:rPr>
            </w:pPr>
            <w:r>
              <w:rPr>
                <w:rFonts w:ascii="Arial" w:cs="Arial" w:eastAsia="Arial" w:hAnsi="Arial"/>
                <w:sz w:val="18"/>
                <w:szCs w:val="18"/>
                <w:color w:val="auto"/>
              </w:rPr>
              <w:t>will accrue at the rate of</w:t>
            </w:r>
          </w:p>
        </w:tc>
        <w:tc>
          <w:tcPr>
            <w:tcW w:w="5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w w:val="87"/>
              </w:rPr>
              <w:t>%</w:t>
            </w:r>
          </w:p>
        </w:tc>
      </w:tr>
      <w:tr>
        <w:trPr>
          <w:trHeight w:val="216"/>
        </w:trPr>
        <w:tc>
          <w:tcPr>
            <w:tcW w:w="2980" w:type="dxa"/>
            <w:vAlign w:val="bottom"/>
            <w:tcBorders>
              <w:left w:val="single" w:sz="8" w:color="auto"/>
            </w:tcBorders>
          </w:tcPr>
          <w:p>
            <w:pPr>
              <w:spacing w:after="0"/>
              <w:rPr>
                <w:sz w:val="18"/>
                <w:szCs w:val="18"/>
                <w:color w:val="auto"/>
              </w:rPr>
            </w:pPr>
          </w:p>
        </w:tc>
        <w:tc>
          <w:tcPr>
            <w:tcW w:w="5420" w:type="dxa"/>
            <w:vAlign w:val="bottom"/>
            <w:gridSpan w:val="4"/>
          </w:tcPr>
          <w:p>
            <w:pPr>
              <w:ind w:left="1240"/>
              <w:spacing w:after="0"/>
              <w:rPr>
                <w:sz w:val="20"/>
                <w:szCs w:val="20"/>
                <w:color w:val="auto"/>
              </w:rPr>
            </w:pPr>
            <w:r>
              <w:rPr>
                <w:rFonts w:ascii="Arial" w:cs="Arial" w:eastAsia="Arial" w:hAnsi="Arial"/>
                <w:sz w:val="18"/>
                <w:szCs w:val="18"/>
                <w:color w:val="auto"/>
                <w:w w:val="99"/>
              </w:rPr>
              <w:t>per year, payable semiannually in cash in arrears on</w:t>
            </w: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86"/>
              </w:rPr>
              <w:t>and</w:t>
            </w:r>
          </w:p>
        </w:tc>
        <w:tc>
          <w:tcPr>
            <w:tcW w:w="1440" w:type="dxa"/>
            <w:vAlign w:val="bottom"/>
            <w:tcBorders>
              <w:right w:val="single" w:sz="8" w:color="auto"/>
            </w:tcBorders>
            <w:gridSpan w:val="2"/>
          </w:tcPr>
          <w:p>
            <w:pPr>
              <w:ind w:left="180"/>
              <w:spacing w:after="0"/>
              <w:rPr>
                <w:sz w:val="20"/>
                <w:szCs w:val="20"/>
                <w:color w:val="auto"/>
              </w:rPr>
            </w:pPr>
            <w:r>
              <w:rPr>
                <w:rFonts w:ascii="Arial" w:cs="Arial" w:eastAsia="Arial" w:hAnsi="Arial"/>
                <w:sz w:val="18"/>
                <w:szCs w:val="18"/>
                <w:color w:val="auto"/>
              </w:rPr>
              <w:t>, beginning</w:t>
            </w:r>
          </w:p>
        </w:tc>
      </w:tr>
      <w:tr>
        <w:trPr>
          <w:trHeight w:val="216"/>
        </w:trPr>
        <w:tc>
          <w:tcPr>
            <w:tcW w:w="2980" w:type="dxa"/>
            <w:vAlign w:val="bottom"/>
            <w:tcBorders>
              <w:left w:val="single" w:sz="8" w:color="auto"/>
            </w:tcBorders>
          </w:tcPr>
          <w:p>
            <w:pPr>
              <w:spacing w:after="0"/>
              <w:rPr>
                <w:sz w:val="18"/>
                <w:szCs w:val="18"/>
                <w:color w:val="auto"/>
              </w:rPr>
            </w:pPr>
          </w:p>
        </w:tc>
        <w:tc>
          <w:tcPr>
            <w:tcW w:w="2320" w:type="dxa"/>
            <w:vAlign w:val="bottom"/>
          </w:tcPr>
          <w:p>
            <w:pPr>
              <w:ind w:left="1960"/>
              <w:spacing w:after="0"/>
              <w:rPr>
                <w:sz w:val="20"/>
                <w:szCs w:val="20"/>
                <w:color w:val="auto"/>
              </w:rPr>
            </w:pPr>
            <w:r>
              <w:rPr>
                <w:rFonts w:ascii="Arial" w:cs="Arial" w:eastAsia="Arial" w:hAnsi="Arial"/>
                <w:sz w:val="18"/>
                <w:szCs w:val="18"/>
                <w:color w:val="auto"/>
              </w:rPr>
              <w:t>, 20</w:t>
            </w:r>
          </w:p>
        </w:tc>
        <w:tc>
          <w:tcPr>
            <w:tcW w:w="4300" w:type="dxa"/>
            <w:vAlign w:val="bottom"/>
            <w:gridSpan w:val="4"/>
          </w:tcPr>
          <w:p>
            <w:pPr>
              <w:ind w:left="100"/>
              <w:spacing w:after="0"/>
              <w:rPr>
                <w:sz w:val="20"/>
                <w:szCs w:val="20"/>
                <w:color w:val="auto"/>
              </w:rPr>
            </w:pPr>
            <w:r>
              <w:rPr>
                <w:rFonts w:ascii="Arial" w:cs="Arial" w:eastAsia="Arial" w:hAnsi="Arial"/>
                <w:sz w:val="18"/>
                <w:szCs w:val="18"/>
                <w:color w:val="auto"/>
                <w:w w:val="94"/>
              </w:rPr>
              <w:t>. Interest on the Notes due 20   will accrue at the rate of</w:t>
            </w:r>
          </w:p>
        </w:tc>
        <w:tc>
          <w:tcPr>
            <w:tcW w:w="1440" w:type="dxa"/>
            <w:vAlign w:val="bottom"/>
            <w:tcBorders>
              <w:right w:val="single" w:sz="8" w:color="auto"/>
            </w:tcBorders>
            <w:gridSpan w:val="2"/>
          </w:tcPr>
          <w:p>
            <w:pPr>
              <w:jc w:val="right"/>
              <w:ind w:right="430"/>
              <w:spacing w:after="0"/>
              <w:rPr>
                <w:sz w:val="20"/>
                <w:szCs w:val="20"/>
                <w:color w:val="auto"/>
              </w:rPr>
            </w:pPr>
            <w:r>
              <w:rPr>
                <w:rFonts w:ascii="Arial" w:cs="Arial" w:eastAsia="Arial" w:hAnsi="Arial"/>
                <w:sz w:val="18"/>
                <w:szCs w:val="18"/>
                <w:color w:val="auto"/>
                <w:w w:val="97"/>
              </w:rPr>
              <w:t>% per year,</w:t>
            </w:r>
          </w:p>
        </w:tc>
      </w:tr>
      <w:tr>
        <w:trPr>
          <w:trHeight w:val="216"/>
        </w:trPr>
        <w:tc>
          <w:tcPr>
            <w:tcW w:w="2980" w:type="dxa"/>
            <w:vAlign w:val="bottom"/>
            <w:tcBorders>
              <w:left w:val="single" w:sz="8" w:color="auto"/>
            </w:tcBorders>
          </w:tcPr>
          <w:p>
            <w:pPr>
              <w:spacing w:after="0"/>
              <w:rPr>
                <w:sz w:val="18"/>
                <w:szCs w:val="18"/>
                <w:color w:val="auto"/>
              </w:rPr>
            </w:pPr>
          </w:p>
        </w:tc>
        <w:tc>
          <w:tcPr>
            <w:tcW w:w="4380" w:type="dxa"/>
            <w:vAlign w:val="bottom"/>
            <w:gridSpan w:val="3"/>
          </w:tcPr>
          <w:p>
            <w:pPr>
              <w:ind w:left="1240"/>
              <w:spacing w:after="0"/>
              <w:rPr>
                <w:sz w:val="20"/>
                <w:szCs w:val="20"/>
                <w:color w:val="auto"/>
              </w:rPr>
            </w:pPr>
            <w:r>
              <w:rPr>
                <w:rFonts w:ascii="Arial" w:cs="Arial" w:eastAsia="Arial" w:hAnsi="Arial"/>
                <w:sz w:val="18"/>
                <w:szCs w:val="18"/>
                <w:color w:val="auto"/>
                <w:w w:val="91"/>
              </w:rPr>
              <w:t>payable semiannually in cash in arrears on</w:t>
            </w:r>
          </w:p>
        </w:tc>
        <w:tc>
          <w:tcPr>
            <w:tcW w:w="1040" w:type="dxa"/>
            <w:vAlign w:val="bottom"/>
          </w:tcPr>
          <w:p>
            <w:pPr>
              <w:ind w:left="740"/>
              <w:spacing w:after="0"/>
              <w:rPr>
                <w:sz w:val="20"/>
                <w:szCs w:val="20"/>
                <w:color w:val="auto"/>
              </w:rPr>
            </w:pPr>
            <w:r>
              <w:rPr>
                <w:rFonts w:ascii="Arial" w:cs="Arial" w:eastAsia="Arial" w:hAnsi="Arial"/>
                <w:sz w:val="18"/>
                <w:szCs w:val="18"/>
                <w:color w:val="auto"/>
                <w:w w:val="93"/>
              </w:rPr>
              <w:t>and</w:t>
            </w:r>
          </w:p>
        </w:tc>
        <w:tc>
          <w:tcPr>
            <w:tcW w:w="2060" w:type="dxa"/>
            <w:vAlign w:val="bottom"/>
            <w:gridSpan w:val="2"/>
          </w:tcPr>
          <w:p>
            <w:pPr>
              <w:ind w:left="720"/>
              <w:spacing w:after="0"/>
              <w:rPr>
                <w:sz w:val="20"/>
                <w:szCs w:val="20"/>
                <w:color w:val="auto"/>
              </w:rPr>
            </w:pPr>
            <w:r>
              <w:rPr>
                <w:rFonts w:ascii="Arial" w:cs="Arial" w:eastAsia="Arial" w:hAnsi="Arial"/>
                <w:sz w:val="18"/>
                <w:szCs w:val="18"/>
                <w:color w:val="auto"/>
              </w:rPr>
              <w:t>, beginning</w:t>
            </w:r>
          </w:p>
        </w:tc>
        <w:tc>
          <w:tcPr>
            <w:tcW w:w="5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6"/>
              </w:rPr>
              <w:t>20  . Interest on the Notes due 20   will accrue at the rate of   % per year, payable</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4380" w:type="dxa"/>
            <w:vAlign w:val="bottom"/>
            <w:gridSpan w:val="3"/>
          </w:tcPr>
          <w:p>
            <w:pPr>
              <w:ind w:left="1240"/>
              <w:spacing w:after="0"/>
              <w:rPr>
                <w:sz w:val="20"/>
                <w:szCs w:val="20"/>
                <w:color w:val="auto"/>
              </w:rPr>
            </w:pPr>
            <w:r>
              <w:rPr>
                <w:rFonts w:ascii="Arial" w:cs="Arial" w:eastAsia="Arial" w:hAnsi="Arial"/>
                <w:sz w:val="18"/>
                <w:szCs w:val="18"/>
                <w:color w:val="auto"/>
              </w:rPr>
              <w:t>semiannually in cash in arrears on</w:t>
            </w:r>
          </w:p>
        </w:tc>
        <w:tc>
          <w:tcPr>
            <w:tcW w:w="1040" w:type="dxa"/>
            <w:vAlign w:val="bottom"/>
          </w:tcPr>
          <w:p>
            <w:pPr>
              <w:ind w:left="120"/>
              <w:spacing w:after="0"/>
              <w:rPr>
                <w:sz w:val="20"/>
                <w:szCs w:val="20"/>
                <w:color w:val="auto"/>
              </w:rPr>
            </w:pPr>
            <w:r>
              <w:rPr>
                <w:rFonts w:ascii="Arial" w:cs="Arial" w:eastAsia="Arial" w:hAnsi="Arial"/>
                <w:sz w:val="18"/>
                <w:szCs w:val="18"/>
                <w:color w:val="auto"/>
              </w:rPr>
              <w:t>and</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1"/>
              </w:rPr>
              <w:t>,beginning</w:t>
            </w:r>
          </w:p>
        </w:tc>
        <w:tc>
          <w:tcPr>
            <w:tcW w:w="1440" w:type="dxa"/>
            <w:vAlign w:val="bottom"/>
            <w:tcBorders>
              <w:right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 20  .</w:t>
            </w:r>
          </w:p>
        </w:tc>
      </w:tr>
      <w:tr>
        <w:trPr>
          <w:trHeight w:val="216"/>
        </w:trPr>
        <w:tc>
          <w:tcPr>
            <w:tcW w:w="2980" w:type="dxa"/>
            <w:vAlign w:val="bottom"/>
            <w:tcBorders>
              <w:left w:val="single" w:sz="8" w:color="auto"/>
            </w:tcBorders>
          </w:tcPr>
          <w:p>
            <w:pPr>
              <w:spacing w:after="0"/>
              <w:rPr>
                <w:sz w:val="18"/>
                <w:szCs w:val="18"/>
                <w:color w:val="auto"/>
              </w:rPr>
            </w:pPr>
          </w:p>
        </w:tc>
        <w:tc>
          <w:tcPr>
            <w:tcW w:w="3380" w:type="dxa"/>
            <w:vAlign w:val="bottom"/>
            <w:gridSpan w:val="2"/>
          </w:tcPr>
          <w:p>
            <w:pPr>
              <w:ind w:left="1240"/>
              <w:spacing w:after="0"/>
              <w:rPr>
                <w:sz w:val="20"/>
                <w:szCs w:val="20"/>
                <w:color w:val="auto"/>
              </w:rPr>
            </w:pPr>
            <w:r>
              <w:rPr>
                <w:rFonts w:ascii="Arial" w:cs="Arial" w:eastAsia="Arial" w:hAnsi="Arial"/>
                <w:sz w:val="18"/>
                <w:szCs w:val="18"/>
                <w:color w:val="auto"/>
                <w:w w:val="93"/>
              </w:rPr>
              <w:t>Interest on the Notes due 20</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9"/>
              </w:rPr>
              <w:t>will accrue at the rate of</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 per year, payable</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4380" w:type="dxa"/>
            <w:vAlign w:val="bottom"/>
            <w:gridSpan w:val="3"/>
          </w:tcPr>
          <w:p>
            <w:pPr>
              <w:ind w:left="1240"/>
              <w:spacing w:after="0"/>
              <w:rPr>
                <w:sz w:val="20"/>
                <w:szCs w:val="20"/>
                <w:color w:val="auto"/>
              </w:rPr>
            </w:pPr>
            <w:r>
              <w:rPr>
                <w:rFonts w:ascii="Arial" w:cs="Arial" w:eastAsia="Arial" w:hAnsi="Arial"/>
                <w:sz w:val="18"/>
                <w:szCs w:val="18"/>
                <w:color w:val="auto"/>
              </w:rPr>
              <w:t>semiannually in cash in arrears on</w:t>
            </w:r>
          </w:p>
        </w:tc>
        <w:tc>
          <w:tcPr>
            <w:tcW w:w="1040" w:type="dxa"/>
            <w:vAlign w:val="bottom"/>
          </w:tcPr>
          <w:p>
            <w:pPr>
              <w:ind w:left="120"/>
              <w:spacing w:after="0"/>
              <w:rPr>
                <w:sz w:val="20"/>
                <w:szCs w:val="20"/>
                <w:color w:val="auto"/>
              </w:rPr>
            </w:pPr>
            <w:r>
              <w:rPr>
                <w:rFonts w:ascii="Arial" w:cs="Arial" w:eastAsia="Arial" w:hAnsi="Arial"/>
                <w:sz w:val="18"/>
                <w:szCs w:val="18"/>
                <w:color w:val="auto"/>
              </w:rPr>
              <w:t>and</w:t>
            </w: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3"/>
              </w:rPr>
              <w:t>, beginning</w:t>
            </w:r>
          </w:p>
        </w:tc>
        <w:tc>
          <w:tcPr>
            <w:tcW w:w="1440" w:type="dxa"/>
            <w:vAlign w:val="bottom"/>
            <w:tcBorders>
              <w:right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 20  .</w:t>
            </w:r>
          </w:p>
        </w:tc>
      </w:tr>
      <w:tr>
        <w:trPr>
          <w:trHeight w:val="216"/>
        </w:trPr>
        <w:tc>
          <w:tcPr>
            <w:tcW w:w="2980" w:type="dxa"/>
            <w:vAlign w:val="bottom"/>
            <w:tcBorders>
              <w:left w:val="single" w:sz="8" w:color="auto"/>
            </w:tcBorders>
          </w:tcPr>
          <w:p>
            <w:pPr>
              <w:spacing w:after="0"/>
              <w:rPr>
                <w:sz w:val="18"/>
                <w:szCs w:val="18"/>
                <w:color w:val="auto"/>
              </w:rPr>
            </w:pPr>
          </w:p>
        </w:tc>
        <w:tc>
          <w:tcPr>
            <w:tcW w:w="3380" w:type="dxa"/>
            <w:vAlign w:val="bottom"/>
            <w:gridSpan w:val="2"/>
          </w:tcPr>
          <w:p>
            <w:pPr>
              <w:ind w:left="1240"/>
              <w:spacing w:after="0"/>
              <w:rPr>
                <w:sz w:val="20"/>
                <w:szCs w:val="20"/>
                <w:color w:val="auto"/>
              </w:rPr>
            </w:pPr>
            <w:r>
              <w:rPr>
                <w:rFonts w:ascii="Arial" w:cs="Arial" w:eastAsia="Arial" w:hAnsi="Arial"/>
                <w:sz w:val="18"/>
                <w:szCs w:val="18"/>
                <w:color w:val="auto"/>
                <w:w w:val="93"/>
              </w:rPr>
              <w:t>Interest on the Notes due 20</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9"/>
              </w:rPr>
              <w:t>will accrue at the rate of</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 per year, payable</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4380" w:type="dxa"/>
            <w:vAlign w:val="bottom"/>
            <w:gridSpan w:val="3"/>
          </w:tcPr>
          <w:p>
            <w:pPr>
              <w:ind w:left="1240"/>
              <w:spacing w:after="0"/>
              <w:rPr>
                <w:sz w:val="20"/>
                <w:szCs w:val="20"/>
                <w:color w:val="auto"/>
              </w:rPr>
            </w:pPr>
            <w:r>
              <w:rPr>
                <w:rFonts w:ascii="Arial" w:cs="Arial" w:eastAsia="Arial" w:hAnsi="Arial"/>
                <w:sz w:val="18"/>
                <w:szCs w:val="18"/>
                <w:color w:val="auto"/>
              </w:rPr>
              <w:t>semiannually in cash in arrears on</w:t>
            </w:r>
          </w:p>
        </w:tc>
        <w:tc>
          <w:tcPr>
            <w:tcW w:w="1040" w:type="dxa"/>
            <w:vAlign w:val="bottom"/>
          </w:tcPr>
          <w:p>
            <w:pPr>
              <w:ind w:left="80"/>
              <w:spacing w:after="0"/>
              <w:rPr>
                <w:sz w:val="20"/>
                <w:szCs w:val="20"/>
                <w:color w:val="auto"/>
              </w:rPr>
            </w:pPr>
            <w:r>
              <w:rPr>
                <w:rFonts w:ascii="Arial" w:cs="Arial" w:eastAsia="Arial" w:hAnsi="Arial"/>
                <w:sz w:val="18"/>
                <w:szCs w:val="18"/>
                <w:color w:val="auto"/>
              </w:rPr>
              <w:t>and</w:t>
            </w: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3"/>
              </w:rPr>
              <w:t>, beginning</w:t>
            </w:r>
          </w:p>
        </w:tc>
        <w:tc>
          <w:tcPr>
            <w:tcW w:w="1440" w:type="dxa"/>
            <w:vAlign w:val="bottom"/>
            <w:tcBorders>
              <w:right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 20  .</w:t>
            </w:r>
          </w:p>
        </w:tc>
      </w:tr>
      <w:tr>
        <w:trPr>
          <w:trHeight w:val="216"/>
        </w:trPr>
        <w:tc>
          <w:tcPr>
            <w:tcW w:w="2980" w:type="dxa"/>
            <w:vAlign w:val="bottom"/>
            <w:tcBorders>
              <w:left w:val="single" w:sz="8" w:color="auto"/>
            </w:tcBorders>
          </w:tcPr>
          <w:p>
            <w:pPr>
              <w:spacing w:after="0"/>
              <w:rPr>
                <w:sz w:val="18"/>
                <w:szCs w:val="18"/>
                <w:color w:val="auto"/>
              </w:rPr>
            </w:pPr>
          </w:p>
        </w:tc>
        <w:tc>
          <w:tcPr>
            <w:tcW w:w="3380" w:type="dxa"/>
            <w:vAlign w:val="bottom"/>
            <w:gridSpan w:val="2"/>
          </w:tcPr>
          <w:p>
            <w:pPr>
              <w:ind w:left="1240"/>
              <w:spacing w:after="0"/>
              <w:rPr>
                <w:sz w:val="20"/>
                <w:szCs w:val="20"/>
                <w:color w:val="auto"/>
              </w:rPr>
            </w:pPr>
            <w:r>
              <w:rPr>
                <w:rFonts w:ascii="Arial" w:cs="Arial" w:eastAsia="Arial" w:hAnsi="Arial"/>
                <w:sz w:val="18"/>
                <w:szCs w:val="18"/>
                <w:color w:val="auto"/>
                <w:w w:val="93"/>
              </w:rPr>
              <w:t>Interest on the Notes due 20</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9"/>
              </w:rPr>
              <w:t>will accrue at the rate of</w:t>
            </w:r>
          </w:p>
        </w:tc>
        <w:tc>
          <w:tcPr>
            <w:tcW w:w="2060" w:type="dxa"/>
            <w:vAlign w:val="bottom"/>
            <w:gridSpan w:val="2"/>
          </w:tcPr>
          <w:p>
            <w:pPr>
              <w:ind w:left="40"/>
              <w:spacing w:after="0"/>
              <w:rPr>
                <w:sz w:val="20"/>
                <w:szCs w:val="20"/>
                <w:color w:val="auto"/>
              </w:rPr>
            </w:pPr>
            <w:r>
              <w:rPr>
                <w:rFonts w:ascii="Arial" w:cs="Arial" w:eastAsia="Arial" w:hAnsi="Arial"/>
                <w:sz w:val="18"/>
                <w:szCs w:val="18"/>
                <w:color w:val="auto"/>
              </w:rPr>
              <w:t>% per year, payable</w:t>
            </w:r>
          </w:p>
        </w:tc>
        <w:tc>
          <w:tcPr>
            <w:tcW w:w="580" w:type="dxa"/>
            <w:vAlign w:val="bottom"/>
            <w:tcBorders>
              <w:right w:val="single" w:sz="8" w:color="auto"/>
            </w:tcBorders>
          </w:tcPr>
          <w:p>
            <w:pPr>
              <w:spacing w:after="0"/>
              <w:rPr>
                <w:sz w:val="18"/>
                <w:szCs w:val="18"/>
                <w:color w:val="auto"/>
              </w:rPr>
            </w:pPr>
          </w:p>
        </w:tc>
      </w:tr>
      <w:tr>
        <w:trPr>
          <w:trHeight w:val="230"/>
        </w:trPr>
        <w:tc>
          <w:tcPr>
            <w:tcW w:w="2980" w:type="dxa"/>
            <w:vAlign w:val="bottom"/>
            <w:tcBorders>
              <w:left w:val="single" w:sz="8" w:color="auto"/>
            </w:tcBorders>
          </w:tcPr>
          <w:p>
            <w:pPr>
              <w:spacing w:after="0"/>
              <w:rPr>
                <w:sz w:val="20"/>
                <w:szCs w:val="20"/>
                <w:color w:val="auto"/>
              </w:rPr>
            </w:pPr>
          </w:p>
        </w:tc>
        <w:tc>
          <w:tcPr>
            <w:tcW w:w="4380" w:type="dxa"/>
            <w:vAlign w:val="bottom"/>
            <w:gridSpan w:val="3"/>
          </w:tcPr>
          <w:p>
            <w:pPr>
              <w:ind w:left="1240"/>
              <w:spacing w:after="0"/>
              <w:rPr>
                <w:sz w:val="20"/>
                <w:szCs w:val="20"/>
                <w:color w:val="auto"/>
              </w:rPr>
            </w:pPr>
            <w:r>
              <w:rPr>
                <w:rFonts w:ascii="Arial" w:cs="Arial" w:eastAsia="Arial" w:hAnsi="Arial"/>
                <w:sz w:val="18"/>
                <w:szCs w:val="18"/>
                <w:color w:val="auto"/>
              </w:rPr>
              <w:t>semiannually in cash in arrears on</w:t>
            </w:r>
          </w:p>
        </w:tc>
        <w:tc>
          <w:tcPr>
            <w:tcW w:w="1040" w:type="dxa"/>
            <w:vAlign w:val="bottom"/>
          </w:tcPr>
          <w:p>
            <w:pPr>
              <w:ind w:left="80"/>
              <w:spacing w:after="0"/>
              <w:rPr>
                <w:sz w:val="20"/>
                <w:szCs w:val="20"/>
                <w:color w:val="auto"/>
              </w:rPr>
            </w:pPr>
            <w:r>
              <w:rPr>
                <w:rFonts w:ascii="Arial" w:cs="Arial" w:eastAsia="Arial" w:hAnsi="Arial"/>
                <w:sz w:val="18"/>
                <w:szCs w:val="18"/>
                <w:color w:val="auto"/>
              </w:rPr>
              <w:t>and</w:t>
            </w: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3"/>
              </w:rPr>
              <w:t>, beginning</w:t>
            </w:r>
          </w:p>
        </w:tc>
        <w:tc>
          <w:tcPr>
            <w:tcW w:w="1440" w:type="dxa"/>
            <w:vAlign w:val="bottom"/>
            <w:tcBorders>
              <w:right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 20  .</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w:t>
            </w: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3"/>
              </w:rPr>
              <w:t>The notes will be unsecured and will rank equally with all of our and the guarantors’</w:t>
            </w:r>
          </w:p>
        </w:tc>
        <w:tc>
          <w:tcPr>
            <w:tcW w:w="580" w:type="dxa"/>
            <w:vAlign w:val="bottom"/>
            <w:tcBorders>
              <w:right w:val="single" w:sz="8" w:color="auto"/>
            </w:tcBorders>
          </w:tcPr>
          <w:p>
            <w:pPr>
              <w:spacing w:after="0"/>
              <w:rPr>
                <w:sz w:val="24"/>
                <w:szCs w:val="24"/>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5"/>
              </w:rPr>
              <w:t>unsecured and unsubordinated indebtedness. Following consummation of the Sky</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8"/>
              </w:rPr>
              <w:t>acquisition, the notes will be structurally subordinated to all of Sky’s outstanding</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6"/>
              </w:rPr>
              <w:t>indebtedness. As of June 30, 2018, Sky had outstanding indebtedness of approximately</w:t>
            </w:r>
          </w:p>
        </w:tc>
      </w:tr>
      <w:tr>
        <w:trPr>
          <w:trHeight w:val="230"/>
        </w:trPr>
        <w:tc>
          <w:tcPr>
            <w:tcW w:w="2980" w:type="dxa"/>
            <w:vAlign w:val="bottom"/>
            <w:tcBorders>
              <w:left w:val="single" w:sz="8" w:color="auto"/>
            </w:tcBorders>
          </w:tcPr>
          <w:p>
            <w:pPr>
              <w:spacing w:after="0"/>
              <w:rPr>
                <w:sz w:val="20"/>
                <w:szCs w:val="20"/>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3"/>
              </w:rPr>
              <w:t>£8.2 billion (or approximately $10.8 billion using the exchange rate as of such date).</w:t>
            </w:r>
          </w:p>
        </w:tc>
        <w:tc>
          <w:tcPr>
            <w:tcW w:w="580" w:type="dxa"/>
            <w:vAlign w:val="bottom"/>
            <w:tcBorders>
              <w:right w:val="single" w:sz="8" w:color="auto"/>
            </w:tcBorders>
          </w:tcPr>
          <w:p>
            <w:pPr>
              <w:spacing w:after="0"/>
              <w:rPr>
                <w:sz w:val="20"/>
                <w:szCs w:val="20"/>
                <w:color w:val="auto"/>
              </w:rPr>
            </w:pP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Guarantors</w:t>
            </w: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0"/>
              </w:rPr>
              <w:t>Comcast Cable Communications and NBCUniversal. The notes are not and will not be</w:t>
            </w:r>
          </w:p>
        </w:tc>
        <w:tc>
          <w:tcPr>
            <w:tcW w:w="580" w:type="dxa"/>
            <w:vAlign w:val="bottom"/>
            <w:tcBorders>
              <w:right w:val="single" w:sz="8" w:color="auto"/>
            </w:tcBorders>
          </w:tcPr>
          <w:p>
            <w:pPr>
              <w:spacing w:after="0"/>
              <w:rPr>
                <w:sz w:val="24"/>
                <w:szCs w:val="24"/>
                <w:color w:val="auto"/>
              </w:rPr>
            </w:pPr>
          </w:p>
        </w:tc>
      </w:tr>
      <w:tr>
        <w:trPr>
          <w:trHeight w:val="230"/>
        </w:trPr>
        <w:tc>
          <w:tcPr>
            <w:tcW w:w="2980" w:type="dxa"/>
            <w:vAlign w:val="bottom"/>
            <w:tcBorders>
              <w:left w:val="single" w:sz="8" w:color="auto"/>
            </w:tcBorders>
          </w:tcPr>
          <w:p>
            <w:pPr>
              <w:spacing w:after="0"/>
              <w:rPr>
                <w:sz w:val="20"/>
                <w:szCs w:val="20"/>
                <w:color w:val="auto"/>
              </w:rPr>
            </w:pPr>
          </w:p>
        </w:tc>
        <w:tc>
          <w:tcPr>
            <w:tcW w:w="5420" w:type="dxa"/>
            <w:vAlign w:val="bottom"/>
            <w:gridSpan w:val="4"/>
          </w:tcPr>
          <w:p>
            <w:pPr>
              <w:ind w:left="1240"/>
              <w:spacing w:after="0"/>
              <w:rPr>
                <w:sz w:val="20"/>
                <w:szCs w:val="20"/>
                <w:color w:val="auto"/>
              </w:rPr>
            </w:pPr>
            <w:r>
              <w:rPr>
                <w:rFonts w:ascii="Arial" w:cs="Arial" w:eastAsia="Arial" w:hAnsi="Arial"/>
                <w:sz w:val="18"/>
                <w:szCs w:val="18"/>
                <w:color w:val="auto"/>
                <w:w w:val="93"/>
              </w:rPr>
              <w:t>guaranteed by Comcast Bidco or any of its subsidiaries.</w:t>
            </w: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Guarantees</w:t>
            </w: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9"/>
              </w:rPr>
              <w:t>principal, premium, if any, and interest. The guarantees will rank equally with all other</w:t>
            </w: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8"/>
              </w:rPr>
              <w:t>general unsecured and unsubordinated obligations of the guarantors. Following</w:t>
            </w:r>
          </w:p>
        </w:tc>
        <w:tc>
          <w:tcPr>
            <w:tcW w:w="580" w:type="dxa"/>
            <w:vAlign w:val="bottom"/>
            <w:tcBorders>
              <w:right w:val="single" w:sz="8" w:color="auto"/>
            </w:tcBorders>
          </w:tcPr>
          <w:p>
            <w:pPr>
              <w:spacing w:after="0"/>
              <w:rPr>
                <w:sz w:val="18"/>
                <w:szCs w:val="18"/>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7"/>
              </w:rPr>
              <w:t>consummation of the Sky acquisition, the notes will be structurally subordinated to all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3"/>
              </w:rPr>
              <w:t>Sky’s outstanding indebtedness. As of June 30, 2018, Sky had outstanding indebtedness of</w:t>
            </w:r>
          </w:p>
        </w:tc>
      </w:tr>
      <w:tr>
        <w:trPr>
          <w:trHeight w:val="216"/>
        </w:trPr>
        <w:tc>
          <w:tcPr>
            <w:tcW w:w="298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8"/>
              </w:rPr>
              <w:t>approximately £8.2 billion (or approximately $10.8 billion using the exchange rate as of</w:t>
            </w:r>
          </w:p>
        </w:tc>
      </w:tr>
      <w:tr>
        <w:trPr>
          <w:trHeight w:val="230"/>
        </w:trPr>
        <w:tc>
          <w:tcPr>
            <w:tcW w:w="2980" w:type="dxa"/>
            <w:vAlign w:val="bottom"/>
            <w:tcBorders>
              <w:left w:val="single" w:sz="8" w:color="auto"/>
            </w:tcBorders>
          </w:tcPr>
          <w:p>
            <w:pPr>
              <w:spacing w:after="0"/>
              <w:rPr>
                <w:sz w:val="20"/>
                <w:szCs w:val="20"/>
                <w:color w:val="auto"/>
              </w:rPr>
            </w:pPr>
          </w:p>
        </w:tc>
        <w:tc>
          <w:tcPr>
            <w:tcW w:w="2320" w:type="dxa"/>
            <w:vAlign w:val="bottom"/>
          </w:tcPr>
          <w:p>
            <w:pPr>
              <w:ind w:left="1240"/>
              <w:spacing w:after="0"/>
              <w:rPr>
                <w:sz w:val="20"/>
                <w:szCs w:val="20"/>
                <w:color w:val="auto"/>
              </w:rPr>
            </w:pPr>
            <w:r>
              <w:rPr>
                <w:rFonts w:ascii="Arial" w:cs="Arial" w:eastAsia="Arial" w:hAnsi="Arial"/>
                <w:sz w:val="18"/>
                <w:szCs w:val="18"/>
                <w:color w:val="auto"/>
              </w:rPr>
              <w:t>such date).</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6620" w:type="dxa"/>
            <w:vAlign w:val="bottom"/>
            <w:gridSpan w:val="5"/>
          </w:tcPr>
          <w:p>
            <w:pPr>
              <w:ind w:left="1240"/>
              <w:spacing w:after="0"/>
              <w:rPr>
                <w:sz w:val="20"/>
                <w:szCs w:val="20"/>
                <w:color w:val="auto"/>
              </w:rPr>
            </w:pPr>
            <w:r>
              <w:rPr>
                <w:rFonts w:ascii="Arial" w:cs="Arial" w:eastAsia="Arial" w:hAnsi="Arial"/>
                <w:sz w:val="18"/>
                <w:szCs w:val="18"/>
                <w:color w:val="auto"/>
                <w:w w:val="92"/>
              </w:rPr>
              <w:t>The floating rate notes are not redeemable at our option prior to maturity.</w:t>
            </w:r>
          </w:p>
        </w:tc>
        <w:tc>
          <w:tcPr>
            <w:tcW w:w="86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r>
      <w:tr>
        <w:trPr>
          <w:trHeight w:val="458"/>
        </w:trPr>
        <w:tc>
          <w:tcPr>
            <w:tcW w:w="298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7"/>
          </w:tcPr>
          <w:p>
            <w:pPr>
              <w:ind w:left="1240"/>
              <w:spacing w:after="0"/>
              <w:rPr>
                <w:sz w:val="20"/>
                <w:szCs w:val="20"/>
                <w:color w:val="auto"/>
              </w:rPr>
            </w:pPr>
            <w:r>
              <w:rPr>
                <w:rFonts w:ascii="Arial" w:cs="Arial" w:eastAsia="Arial" w:hAnsi="Arial"/>
                <w:sz w:val="18"/>
                <w:szCs w:val="18"/>
                <w:color w:val="auto"/>
                <w:w w:val="97"/>
              </w:rPr>
              <w:t>We may, at our option, redeem any series of fixed rate notes, in whole or in part, at any</w:t>
            </w: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4"/>
              </w:rPr>
              <w:t>time at the applicable Redemption Price determined as set forth under the heading</w:t>
            </w:r>
          </w:p>
        </w:tc>
        <w:tc>
          <w:tcPr>
            <w:tcW w:w="580" w:type="dxa"/>
            <w:vAlign w:val="bottom"/>
            <w:tcBorders>
              <w:right w:val="single" w:sz="8" w:color="auto"/>
            </w:tcBorders>
          </w:tcPr>
          <w:p>
            <w:pPr>
              <w:spacing w:after="0"/>
              <w:rPr>
                <w:sz w:val="18"/>
                <w:szCs w:val="18"/>
                <w:color w:val="auto"/>
              </w:rPr>
            </w:pPr>
          </w:p>
        </w:tc>
      </w:tr>
      <w:tr>
        <w:trPr>
          <w:trHeight w:val="230"/>
        </w:trPr>
        <w:tc>
          <w:tcPr>
            <w:tcW w:w="2980" w:type="dxa"/>
            <w:vAlign w:val="bottom"/>
            <w:tcBorders>
              <w:left w:val="single" w:sz="8" w:color="auto"/>
            </w:tcBorders>
          </w:tcPr>
          <w:p>
            <w:pPr>
              <w:spacing w:after="0"/>
              <w:rPr>
                <w:sz w:val="20"/>
                <w:szCs w:val="20"/>
                <w:color w:val="auto"/>
              </w:rPr>
            </w:pPr>
          </w:p>
        </w:tc>
        <w:tc>
          <w:tcPr>
            <w:tcW w:w="6620" w:type="dxa"/>
            <w:vAlign w:val="bottom"/>
            <w:gridSpan w:val="5"/>
          </w:tcPr>
          <w:p>
            <w:pPr>
              <w:ind w:left="1240"/>
              <w:spacing w:after="0"/>
              <w:rPr>
                <w:sz w:val="20"/>
                <w:szCs w:val="20"/>
                <w:color w:val="auto"/>
              </w:rPr>
            </w:pPr>
            <w:r>
              <w:rPr>
                <w:rFonts w:ascii="Arial" w:cs="Arial" w:eastAsia="Arial" w:hAnsi="Arial"/>
                <w:sz w:val="18"/>
                <w:szCs w:val="18"/>
                <w:color w:val="auto"/>
                <w:w w:val="96"/>
              </w:rPr>
              <w:t>“Description of the Notes—Optional Redemption—Fixed Rate Notes.”</w:t>
            </w:r>
          </w:p>
        </w:tc>
        <w:tc>
          <w:tcPr>
            <w:tcW w:w="8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0"/>
              </w:rPr>
              <w:t>We intend to use the net proceeds of this offering, together with the net proceeds from</w:t>
            </w:r>
          </w:p>
        </w:tc>
        <w:tc>
          <w:tcPr>
            <w:tcW w:w="580" w:type="dxa"/>
            <w:vAlign w:val="bottom"/>
            <w:tcBorders>
              <w:right w:val="single" w:sz="8" w:color="auto"/>
            </w:tcBorders>
          </w:tcPr>
          <w:p>
            <w:pPr>
              <w:spacing w:after="0"/>
              <w:rPr>
                <w:sz w:val="24"/>
                <w:szCs w:val="24"/>
                <w:color w:val="auto"/>
              </w:rPr>
            </w:pPr>
          </w:p>
        </w:tc>
      </w:tr>
      <w:tr>
        <w:trPr>
          <w:trHeight w:val="216"/>
        </w:trPr>
        <w:tc>
          <w:tcPr>
            <w:tcW w:w="2980" w:type="dxa"/>
            <w:vAlign w:val="bottom"/>
            <w:tcBorders>
              <w:left w:val="single" w:sz="8" w:color="auto"/>
            </w:tcBorders>
          </w:tcPr>
          <w:p>
            <w:pPr>
              <w:spacing w:after="0"/>
              <w:rPr>
                <w:sz w:val="18"/>
                <w:szCs w:val="18"/>
                <w:color w:val="auto"/>
              </w:rPr>
            </w:pPr>
          </w:p>
        </w:tc>
        <w:tc>
          <w:tcPr>
            <w:tcW w:w="7480" w:type="dxa"/>
            <w:vAlign w:val="bottom"/>
            <w:gridSpan w:val="6"/>
          </w:tcPr>
          <w:p>
            <w:pPr>
              <w:ind w:left="1240"/>
              <w:spacing w:after="0"/>
              <w:rPr>
                <w:sz w:val="20"/>
                <w:szCs w:val="20"/>
                <w:color w:val="auto"/>
              </w:rPr>
            </w:pPr>
            <w:r>
              <w:rPr>
                <w:rFonts w:ascii="Arial" w:cs="Arial" w:eastAsia="Arial" w:hAnsi="Arial"/>
                <w:sz w:val="18"/>
                <w:szCs w:val="18"/>
                <w:color w:val="auto"/>
                <w:w w:val="91"/>
              </w:rPr>
              <w:t>loans under our Term Loan Facilities, to finance our purchase of Sky Shares from Sky</w:t>
            </w:r>
          </w:p>
        </w:tc>
        <w:tc>
          <w:tcPr>
            <w:tcW w:w="580" w:type="dxa"/>
            <w:vAlign w:val="bottom"/>
            <w:tcBorders>
              <w:right w:val="single" w:sz="8" w:color="auto"/>
            </w:tcBorders>
          </w:tcPr>
          <w:p>
            <w:pPr>
              <w:spacing w:after="0"/>
              <w:rPr>
                <w:sz w:val="18"/>
                <w:szCs w:val="18"/>
                <w:color w:val="auto"/>
              </w:rPr>
            </w:pPr>
          </w:p>
        </w:tc>
      </w:tr>
      <w:tr>
        <w:trPr>
          <w:trHeight w:val="230"/>
        </w:trPr>
        <w:tc>
          <w:tcPr>
            <w:tcW w:w="2980" w:type="dxa"/>
            <w:vAlign w:val="bottom"/>
            <w:tcBorders>
              <w:left w:val="single" w:sz="8" w:color="auto"/>
            </w:tcBorders>
          </w:tcPr>
          <w:p>
            <w:pPr>
              <w:spacing w:after="0"/>
              <w:rPr>
                <w:sz w:val="20"/>
                <w:szCs w:val="20"/>
                <w:color w:val="auto"/>
              </w:rPr>
            </w:pPr>
          </w:p>
        </w:tc>
        <w:tc>
          <w:tcPr>
            <w:tcW w:w="3380" w:type="dxa"/>
            <w:vAlign w:val="bottom"/>
            <w:gridSpan w:val="2"/>
          </w:tcPr>
          <w:p>
            <w:pPr>
              <w:ind w:left="1240"/>
              <w:spacing w:after="0"/>
              <w:rPr>
                <w:sz w:val="20"/>
                <w:szCs w:val="20"/>
                <w:color w:val="auto"/>
              </w:rPr>
            </w:pPr>
            <w:r>
              <w:rPr>
                <w:rFonts w:ascii="Arial" w:cs="Arial" w:eastAsia="Arial" w:hAnsi="Arial"/>
                <w:sz w:val="18"/>
                <w:szCs w:val="18"/>
                <w:color w:val="auto"/>
              </w:rPr>
              <w:t>shareholders who validly</w:t>
            </w: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r>
      <w:tr>
        <w:trPr>
          <w:trHeight w:val="240"/>
        </w:trPr>
        <w:tc>
          <w:tcPr>
            <w:tcW w:w="2980" w:type="dxa"/>
            <w:vAlign w:val="bottom"/>
            <w:tcBorders>
              <w:left w:val="single" w:sz="8" w:color="auto"/>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r>
      <w:tr>
        <w:trPr>
          <w:trHeight w:val="604"/>
        </w:trPr>
        <w:tc>
          <w:tcPr>
            <w:tcW w:w="29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rPr>
              <w:t>S-6</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640" w:type="dxa"/>
            <w:vAlign w:val="bottom"/>
            <w:tcBorders>
              <w:top w:val="single" w:sz="8" w:color="auto"/>
              <w:left w:val="single" w:sz="8" w:color="auto"/>
            </w:tcBorders>
          </w:tcPr>
          <w:p>
            <w:pPr>
              <w:spacing w:after="0"/>
              <w:rPr>
                <w:sz w:val="24"/>
                <w:szCs w:val="24"/>
                <w:color w:val="auto"/>
              </w:rPr>
            </w:pPr>
          </w:p>
        </w:tc>
        <w:tc>
          <w:tcPr>
            <w:tcW w:w="84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w w:val="92"/>
              </w:rPr>
              <w:t>accept the Sky Offer, to settle a portion of our Market Purchases and to pay related fees and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expenses. We have also made Market Purchases with cash on hand and the net proceeds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from (i) the issuance of commercial paper, (ii) loans under our Term Loan Facilities and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(iii) revolving loans drawn under our Revolving Credit Facility. We may use a portion of</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the net proceeds from this offering to repay commercial paper outstanding, to repay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9"/>
              </w:rPr>
              <w:t>amounts drawn under our Revolving Credit Facility and/or to replenish a portion of our</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cash, in each case, that was previously used for Market Purchases. This offering of notes,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which will close prior to the First Sky Settlement Date, is not conditioned on the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occurrence of the First Sky Settlement Date.</w:t>
            </w:r>
          </w:p>
        </w:tc>
      </w:tr>
      <w:tr>
        <w:trPr>
          <w:trHeight w:val="458"/>
        </w:trPr>
        <w:tc>
          <w:tcPr>
            <w:tcW w:w="264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As of September 28, 2018, we had $3.0 billion of borrowings outstanding under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Comcast Corporation commercial paper program at a weighted average annual interest rate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of approximately 2.46% and a weighted average remaining maturity of approximately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21 days, and we had $7.26 billion outstanding under our April Term Loan Credit</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Agreement (using the exchange rate as of September 28, 2018) at a weighted average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interest rate of 1.66% and $1.5 billion outstanding under our Revolving Credit Facility at</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an interest rate of 5.25%.</w:t>
            </w:r>
          </w:p>
        </w:tc>
      </w:tr>
      <w:tr>
        <w:trPr>
          <w:trHeight w:val="445"/>
        </w:trPr>
        <w:tc>
          <w:tcPr>
            <w:tcW w:w="264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As at the close of business in London on September 21, 2018, we had received valid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acceptances of the Sky Offer in respect of Sky Shares representing approximately 0.22% of</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the issued ordinary share capital of Sky (based on the number of Sky Shares in issue 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1"/>
              </w:rPr>
              <w:t>September 21, 2018). Market Purchases through September 26, 2018 and the purchase and</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settlement or acceptance of the Sky Offer in respect of the Fox Shares, will result in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2"/>
              </w:rPr>
              <w:t>Comcast Bidco holding or having received acceptances in respect of over 75% in aggregate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of Sky Shares in issue at the time.</w:t>
            </w:r>
          </w:p>
        </w:tc>
      </w:tr>
      <w:tr>
        <w:trPr>
          <w:trHeight w:val="459"/>
        </w:trPr>
        <w:tc>
          <w:tcPr>
            <w:tcW w:w="2640" w:type="dxa"/>
            <w:vAlign w:val="bottom"/>
            <w:tcBorders>
              <w:left w:val="single" w:sz="8" w:color="auto"/>
            </w:tcBorders>
          </w:tcPr>
          <w:p>
            <w:pPr>
              <w:spacing w:after="0"/>
              <w:rPr>
                <w:sz w:val="24"/>
                <w:szCs w:val="24"/>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See “Use of Proceeds.”</w:t>
            </w:r>
          </w:p>
        </w:tc>
      </w:tr>
      <w:tr>
        <w:trPr>
          <w:trHeight w:val="445"/>
        </w:trPr>
        <w:tc>
          <w:tcPr>
            <w:tcW w:w="26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Book-Entry</w:t>
            </w: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The notes will be issued in book-entry form and will be represented by global notes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6"/>
              </w:rPr>
              <w:t>deposited with, or on behalf of, DTC and registered in the name of DTC or its nominees.</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Beneficial interests in any of the notes will be shown on, and transfers will be effected only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4"/>
              </w:rPr>
              <w:t>through, records maintained by DTC or its nominee or indirectly through organizations that</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have accounts with DTC, including Euroclear and Clearstream, and these beneficial</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interests may not be exchanged for certificated notes, except in limited circumstances. See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“Description of the Notes—Book-Entry System” in this prospectus supplement.</w:t>
            </w:r>
          </w:p>
        </w:tc>
      </w:tr>
      <w:tr>
        <w:trPr>
          <w:trHeight w:val="240"/>
        </w:trPr>
        <w:tc>
          <w:tcPr>
            <w:tcW w:w="2640" w:type="dxa"/>
            <w:vAlign w:val="bottom"/>
            <w:tcBorders>
              <w:left w:val="single" w:sz="8" w:color="auto"/>
              <w:bottom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r>
      <w:tr>
        <w:trPr>
          <w:trHeight w:val="604"/>
        </w:trPr>
        <w:tc>
          <w:tcPr>
            <w:tcW w:w="26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intend to use the net proceeds of this offering, together with the net proceeds from loans under our Term Loan Facilities, to finance our purchase of Sky Shares from Sky shareholders who validly accept the Sky Offer, to settle a portion of our Market Purchases and to pay related fees and expenses. We have also made Market Purchases with cash on hand and the net proceeds from (i) the issuance of commercial paper, (ii) loans under our Term Loan Facilities and (iii) revolving loans drawn under our Revolving Credit Facility. We may use a portion of the net proceeds from this offering to repay commercial paper outstanding, to repay amounts drawn under our Revolving Credit Facility and/or to replenish a portion of our cash, in each case, that was previously used for Market Purchases. This offering of notes, which will close prior to the First Sky Settlement Date, is not conditioned on the occurrence of the First Sky Settlement Date.</w:t>
      </w:r>
    </w:p>
    <w:p>
      <w:pPr>
        <w:spacing w:after="0" w:line="178" w:lineRule="exact"/>
        <w:rPr>
          <w:sz w:val="20"/>
          <w:szCs w:val="20"/>
          <w:color w:val="auto"/>
        </w:rPr>
      </w:pPr>
    </w:p>
    <w:p>
      <w:pPr>
        <w:jc w:val="both"/>
        <w:ind w:left="200" w:right="540" w:firstLine="441"/>
        <w:spacing w:after="0" w:line="279" w:lineRule="auto"/>
        <w:rPr>
          <w:sz w:val="20"/>
          <w:szCs w:val="20"/>
          <w:color w:val="auto"/>
        </w:rPr>
      </w:pPr>
      <w:r>
        <w:rPr>
          <w:rFonts w:ascii="Arial" w:cs="Arial" w:eastAsia="Arial" w:hAnsi="Arial"/>
          <w:sz w:val="17"/>
          <w:szCs w:val="17"/>
          <w:color w:val="auto"/>
        </w:rPr>
        <w:t>As of September 28, 2018, we had $3.0 billion of borrowings outstanding under the Comcast Corporation commercial paper program at a weighted average annual interest rate of approximately 2.46% and a weighted average remaining maturity of approximately 21 days, and we had $7.26 billion outstanding under our April Term Loan Credit Agreement (using the exchange rate as of September 28, 2018) at a weighted average interest rate of 1.66% and $1.5 billion outstanding under our Revolving Credit Facility at an interest rate of 5.25%.</w:t>
      </w:r>
    </w:p>
    <w:p>
      <w:pPr>
        <w:spacing w:after="0" w:line="17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As at the close of business in London on September 21, 2018, we had received valid acceptances of the Sky Offer in respect of Sky Shares representing approximately 0.22% of the issued ordinary share capital of Sky (based on the number of Sky Shares in issue on September 21, 2018). Market Purchases through September 26, 2018 and the purchase and settlement or acceptance of the Sky Offer in respect of the Fox Shares, will result in Comcast Bidco holding or having received acceptances in respect of over 75% in aggregate of Sky Shares in issue at the time.</w:t>
      </w:r>
    </w:p>
    <w:p>
      <w:pPr>
        <w:spacing w:after="0" w:line="15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outlines the expected sources and uses of funds from this offering and from our Term Loan Facilities. Amounts in the table are in millions of dollars and are estimated, and actual amounts may vary from the estimated amounts.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Sources of Funds</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Uses of Funds</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offered hereby(1)</w:t>
            </w:r>
          </w:p>
        </w:tc>
        <w:tc>
          <w:tcPr>
            <w:tcW w:w="2260" w:type="dxa"/>
            <w:vAlign w:val="bottom"/>
            <w:gridSpan w:val="3"/>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3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Purchase of Sky Shares(2), (3)</w:t>
            </w:r>
          </w:p>
        </w:tc>
        <w:tc>
          <w:tcPr>
            <w:tcW w:w="21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Term Loan Facilities</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rPr>
              <w:t>Transactions fees and expenses(4)</w:t>
            </w: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3300" w:type="dxa"/>
            <w:vAlign w:val="bottom"/>
            <w:gridSpan w:val="4"/>
          </w:tcPr>
          <w:p>
            <w:pPr>
              <w:spacing w:after="0"/>
              <w:rPr>
                <w:sz w:val="20"/>
                <w:szCs w:val="20"/>
                <w:color w:val="auto"/>
              </w:rPr>
            </w:pPr>
            <w:r>
              <w:rPr>
                <w:rFonts w:ascii="Arial" w:cs="Arial" w:eastAsia="Arial" w:hAnsi="Arial"/>
                <w:sz w:val="18"/>
                <w:szCs w:val="18"/>
                <w:color w:val="auto"/>
              </w:rPr>
              <w:t>Total Sources</w:t>
            </w:r>
          </w:p>
        </w:tc>
        <w:tc>
          <w:tcPr>
            <w:tcW w:w="1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3260" w:type="dxa"/>
            <w:vAlign w:val="bottom"/>
            <w:gridSpan w:val="2"/>
          </w:tcPr>
          <w:p>
            <w:pPr>
              <w:ind w:left="260"/>
              <w:spacing w:after="0"/>
              <w:rPr>
                <w:sz w:val="20"/>
                <w:szCs w:val="20"/>
                <w:color w:val="auto"/>
              </w:rPr>
            </w:pPr>
            <w:r>
              <w:rPr>
                <w:rFonts w:ascii="Arial" w:cs="Arial" w:eastAsia="Arial" w:hAnsi="Arial"/>
                <w:sz w:val="18"/>
                <w:szCs w:val="18"/>
                <w:color w:val="auto"/>
              </w:rPr>
              <w:t>Total Uses</w:t>
            </w:r>
          </w:p>
        </w:tc>
        <w:tc>
          <w:tcPr>
            <w:tcW w:w="14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Before underwriting discounts and expenses.</w:t>
      </w:r>
    </w:p>
    <w:p>
      <w:pPr>
        <w:spacing w:after="0" w:line="23"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purchase of the entire issued and to be issued share capital of Sky. This amount also includes our expected use of a portion of the net proceeds of this offering and our Term Loan Facilities to repay commercial paper outstanding, to repay amounts drawn under our Revolving Credit Facility and/or to replenish a portion of our cash, in each case, previously used for Market Purchases. After the Sky Offer becomes unconditional, Sky shareholders holding Sky Shares that are not Accepted Sky Shares will have a further period of time to validly accept the Sky Offer. We will settle purchases of any such additional Accepted Sky Shares on a rolling basis within fourteen (14) days (or, to the extent practicable, within seven (7) to ten (10) days) of their valid acceptance.</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any of the Sky Shares are not validly accepted in the Sky Offer or otherwise purchased by us directly from Sky shareholders, a portion of the net proceeds from this offering may be held as cash and cash equivalents and available for working capital or general corporate purposes in lieu of purchases of Sky Shares.</w:t>
      </w:r>
    </w:p>
    <w:p>
      <w:pPr>
        <w:spacing w:after="0" w:line="1" w:lineRule="exact"/>
        <w:rPr>
          <w:rFonts w:ascii="Arial" w:cs="Arial" w:eastAsia="Arial" w:hAnsi="Arial"/>
          <w:sz w:val="18"/>
          <w:szCs w:val="18"/>
          <w:color w:val="auto"/>
        </w:rPr>
      </w:pPr>
    </w:p>
    <w:p>
      <w:pPr>
        <w:ind w:left="640" w:right="400" w:hanging="436"/>
        <w:spacing w:after="0" w:line="261"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underwriting discounts and expenses of this offering and fees and expenses of Comcast relating to the Sky acquisition and the Credit Agreements.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21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40" w:type="dxa"/>
            <w:vAlign w:val="bottom"/>
            <w:gridSpan w:val="3"/>
          </w:tcPr>
          <w:p>
            <w:pPr>
              <w:jc w:val="center"/>
              <w:ind w:left="1548"/>
              <w:spacing w:after="0"/>
              <w:rPr>
                <w:sz w:val="20"/>
                <w:szCs w:val="20"/>
                <w:color w:val="auto"/>
              </w:rPr>
            </w:pPr>
            <w:r>
              <w:rPr>
                <w:rFonts w:ascii="Arial" w:cs="Arial" w:eastAsia="Arial" w:hAnsi="Arial"/>
                <w:sz w:val="14"/>
                <w:szCs w:val="14"/>
                <w:b w:val="1"/>
                <w:bCs w:val="1"/>
                <w:color w:val="auto"/>
                <w:w w:val="93"/>
              </w:rPr>
              <w:t>For the Six Months</w:t>
            </w:r>
          </w:p>
        </w:tc>
        <w:tc>
          <w:tcPr>
            <w:tcW w:w="460" w:type="dxa"/>
            <w:vAlign w:val="bottom"/>
          </w:tcPr>
          <w:p>
            <w:pPr>
              <w:spacing w:after="0"/>
              <w:rPr>
                <w:sz w:val="14"/>
                <w:szCs w:val="14"/>
                <w:color w:val="auto"/>
              </w:rPr>
            </w:pPr>
          </w:p>
        </w:tc>
        <w:tc>
          <w:tcPr>
            <w:tcW w:w="246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460" w:type="dxa"/>
            <w:vAlign w:val="bottom"/>
          </w:tcPr>
          <w:p>
            <w:pPr>
              <w:spacing w:after="0"/>
              <w:rPr>
                <w:sz w:val="14"/>
                <w:szCs w:val="14"/>
                <w:color w:val="auto"/>
              </w:rPr>
            </w:pPr>
          </w:p>
        </w:tc>
        <w:tc>
          <w:tcPr>
            <w:tcW w:w="2460" w:type="dxa"/>
            <w:vAlign w:val="bottom"/>
            <w:gridSpan w:val="7"/>
            <w:vMerge w:val="continue"/>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80" w:type="dxa"/>
            <w:vAlign w:val="bottom"/>
            <w:tcBorders>
              <w:top w:val="single" w:sz="8" w:color="auto"/>
            </w:tcBorders>
          </w:tcPr>
          <w:p>
            <w:pPr>
              <w:jc w:val="right"/>
              <w:ind w:right="38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5.59x</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5.26x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0"/>
              </w:rPr>
              <w:t>5.48x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4.85x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80" w:firstLine="441"/>
        <w:spacing w:after="0" w:line="291"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w:t>
      </w:r>
    </w:p>
    <w:p>
      <w:pPr>
        <w:ind w:left="200" w:right="40" w:firstLine="4"/>
        <w:spacing w:after="0" w:line="268" w:lineRule="auto"/>
        <w:tabs>
          <w:tab w:leader="none" w:pos="445"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An investment in the notes involves risks. Before deciding whether to purchase the notes, you should consider the risks discussed below or elsewhere in this prospectus supplement, including those set forth in our filings with the SEC that we have incorporated by reference in this prospectus supplement and the accompanying prospectus. Additional risks and uncertainties not presently known to us or that we currently believe to be immaterial may also impair our business operations.</w:t>
      </w:r>
    </w:p>
    <w:p>
      <w:pPr>
        <w:spacing w:after="0" w:line="187" w:lineRule="exact"/>
        <w:rPr>
          <w:sz w:val="20"/>
          <w:szCs w:val="20"/>
          <w:color w:val="auto"/>
        </w:rPr>
      </w:pPr>
    </w:p>
    <w:p>
      <w:pPr>
        <w:ind w:left="200" w:right="300" w:firstLine="441"/>
        <w:spacing w:after="0" w:line="279" w:lineRule="auto"/>
        <w:rPr>
          <w:sz w:val="20"/>
          <w:szCs w:val="20"/>
          <w:color w:val="auto"/>
        </w:rPr>
      </w:pPr>
      <w:r>
        <w:rPr>
          <w:rFonts w:ascii="Arial" w:cs="Arial" w:eastAsia="Arial" w:hAnsi="Arial"/>
          <w:sz w:val="17"/>
          <w:szCs w:val="17"/>
          <w:i w:val="1"/>
          <w:iCs w:val="1"/>
          <w:color w:val="auto"/>
        </w:rPr>
        <w:t>Any of the risks discussed below or elsewhere in this prospectus supplement or in our SEC filings incorporated by reference in this prospectus supplement and the accompanying prospectus, and other risks we have not anticipated or discussed,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the Floating Rate Notes</w:t>
      </w:r>
    </w:p>
    <w:p>
      <w:pPr>
        <w:spacing w:after="0" w:line="117" w:lineRule="exact"/>
        <w:rPr>
          <w:sz w:val="20"/>
          <w:szCs w:val="20"/>
          <w:color w:val="auto"/>
        </w:rPr>
      </w:pPr>
    </w:p>
    <w:p>
      <w:pPr>
        <w:ind w:left="200" w:right="400"/>
        <w:spacing w:after="0" w:line="282" w:lineRule="auto"/>
        <w:rPr>
          <w:sz w:val="20"/>
          <w:szCs w:val="20"/>
          <w:color w:val="auto"/>
        </w:rPr>
      </w:pPr>
      <w:r>
        <w:rPr>
          <w:rFonts w:ascii="Arial" w:cs="Arial" w:eastAsia="Arial" w:hAnsi="Arial"/>
          <w:sz w:val="18"/>
          <w:szCs w:val="18"/>
          <w:b w:val="1"/>
          <w:bCs w:val="1"/>
          <w:color w:val="auto"/>
        </w:rPr>
        <w:t>The amount of interest payable on the floating rate notes is set only once per quarter based on the three-month LIBOR rate on the interest determination date, which rate may fluctuate substantially.</w:t>
      </w:r>
    </w:p>
    <w:p>
      <w:pPr>
        <w:spacing w:after="0" w:line="5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In the past, the level of the three-month LIBOR rate has experienced significant fluctuations. You should note that historical levels, fluctuations and trends of the three-month LIBOR rate are not necessarily indicative of future levels. Any historical upward or downward trend in the three-month LIBOR rate is not an indication that the three-month LIBOR rate is more or less likely to increase or decrease at any time, and you should not take the historical levels of the three-month LIBOR rate as an indication of its future performance. Additionally, although the actual three-month LIBOR rate on an interest payment date or at other times during an interest period may be higher than the three-month LIBOR rate on the applicable interest determination date, the only relevant date for purposes of determining the interest payable on the floating rate notes is the three-month LIBOR rate as of the interest determination date for such interest period. Changes in the three-month LIBOR rates between interest determination dates will not affect the interest payable on the floating rate notes. As a result, changes in the three-month LIBOR rate may not result in a comparable change in the market value of the floating rate notes.</w:t>
      </w:r>
    </w:p>
    <w:p>
      <w:pPr>
        <w:spacing w:after="0" w:line="286" w:lineRule="exact"/>
        <w:rPr>
          <w:sz w:val="20"/>
          <w:szCs w:val="20"/>
          <w:color w:val="auto"/>
        </w:rPr>
      </w:pPr>
    </w:p>
    <w:p>
      <w:pPr>
        <w:ind w:left="200" w:right="160"/>
        <w:spacing w:after="0" w:line="282" w:lineRule="auto"/>
        <w:rPr>
          <w:sz w:val="20"/>
          <w:szCs w:val="20"/>
          <w:color w:val="auto"/>
        </w:rPr>
      </w:pPr>
      <w:r>
        <w:rPr>
          <w:rFonts w:ascii="Arial" w:cs="Arial" w:eastAsia="Arial" w:hAnsi="Arial"/>
          <w:sz w:val="18"/>
          <w:szCs w:val="18"/>
          <w:b w:val="1"/>
          <w:bCs w:val="1"/>
          <w:color w:val="auto"/>
        </w:rPr>
        <w:t>Uncertainty relating to the calculation of LIBOR and other reference rates and their potential discontinuance may materially adversely affect the value of the floating rate notes.</w:t>
      </w:r>
    </w:p>
    <w:p>
      <w:pPr>
        <w:spacing w:after="0" w:line="58"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National and international regulators and law enforcement agencies have conducted investigations into a number of rates or indices which are deemed to be “reference rates.” Actions by such regulators and law enforcement agencies may result in changes to the manner in which certain reference rates are determined, their discontinuance, or the establishment of alternative reference rates. In particular, on July 27, 2017, the Chief Executive of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Notwithstanding the foregoing, it appears highly likely that LIBOR will be discontinued or modified by 2021.</w:t>
      </w:r>
    </w:p>
    <w:p>
      <w:pPr>
        <w:spacing w:after="0" w:line="16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At this time, it is not possible to predict the effect that these developments, any discontinuance, modification or other reforms to LIBOR or any other reference rate, or the establishment of alternative reference rates may have on LIBOR, other benchmarks or floating rate debt securities, including the floating rate notes. Uncertainty as to the nature of such potential discontinuance, modification, alternative reference rates or other reforms may materially adversely affect the trading market for securities linked to such benchmarks, including the floating rate notes. Furthermore, the use of alternative reference rates or other reforms could cause the interest rate calculated for the floating rate notes to be materially different than expected.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If an alternative reference rate for LIBOR (as defined herein) is determined as described in “Description of the Notes—Interest Payments,” certain adjustments to such rate may be made, including applying a spread thereon or with respect to the business day convention, interest determination dates and related provisions and definitions, to make such alternative reference rate comparable to LIBOR, in a manner that is consistent with industry-accepted practices for such alternative reference rate. See “Description of the Notes—Interest Payments.”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 OF THE NOTES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18"/>
        </w:trPr>
        <w:tc>
          <w:tcPr>
            <w:tcW w:w="2020" w:type="dxa"/>
            <w:vAlign w:val="bottom"/>
            <w:gridSpan w:val="2"/>
          </w:tcPr>
          <w:p>
            <w:pPr>
              <w:ind w:left="640"/>
              <w:spacing w:after="0"/>
              <w:rPr>
                <w:sz w:val="20"/>
                <w:szCs w:val="20"/>
                <w:color w:val="auto"/>
              </w:rPr>
            </w:pPr>
            <w:r>
              <w:rPr>
                <w:rFonts w:ascii="Arial" w:cs="Arial" w:eastAsia="Arial" w:hAnsi="Arial"/>
                <w:sz w:val="18"/>
                <w:szCs w:val="18"/>
                <w:color w:val="auto"/>
                <w:w w:val="98"/>
              </w:rPr>
              <w:t>We are offering $</w:t>
            </w:r>
          </w:p>
        </w:tc>
        <w:tc>
          <w:tcPr>
            <w:tcW w:w="5240" w:type="dxa"/>
            <w:vAlign w:val="bottom"/>
            <w:gridSpan w:val="4"/>
          </w:tcPr>
          <w:p>
            <w:pPr>
              <w:jc w:val="center"/>
              <w:ind w:right="430"/>
              <w:spacing w:after="0"/>
              <w:rPr>
                <w:sz w:val="20"/>
                <w:szCs w:val="20"/>
                <w:color w:val="auto"/>
              </w:rPr>
            </w:pPr>
            <w:r>
              <w:rPr>
                <w:rFonts w:ascii="Arial" w:cs="Arial" w:eastAsia="Arial" w:hAnsi="Arial"/>
                <w:sz w:val="18"/>
                <w:szCs w:val="18"/>
                <w:color w:val="auto"/>
                <w:w w:val="90"/>
              </w:rPr>
              <w:t>aggregate principal amount of our Floating Rate Notes due</w:t>
            </w: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w w:val="94"/>
              </w:rPr>
              <w:t>, 20  (the “floating rate notes”) and $</w:t>
            </w:r>
          </w:p>
        </w:tc>
        <w:tc>
          <w:tcPr>
            <w:tcW w:w="1100" w:type="dxa"/>
            <w:vAlign w:val="bottom"/>
          </w:tcPr>
          <w:p>
            <w:pPr>
              <w:ind w:left="280"/>
              <w:spacing w:after="0"/>
              <w:rPr>
                <w:sz w:val="20"/>
                <w:szCs w:val="20"/>
                <w:color w:val="auto"/>
              </w:rPr>
            </w:pPr>
            <w:r>
              <w:rPr>
                <w:rFonts w:ascii="Arial" w:cs="Arial" w:eastAsia="Arial" w:hAnsi="Arial"/>
                <w:sz w:val="18"/>
                <w:szCs w:val="18"/>
                <w:color w:val="auto"/>
                <w:w w:val="98"/>
              </w:rPr>
              <w:t>aggregate</w:t>
            </w:r>
          </w:p>
        </w:tc>
      </w:tr>
      <w:tr>
        <w:trPr>
          <w:trHeight w:val="216"/>
        </w:trPr>
        <w:tc>
          <w:tcPr>
            <w:tcW w:w="2020" w:type="dxa"/>
            <w:vAlign w:val="bottom"/>
            <w:gridSpan w:val="2"/>
          </w:tcPr>
          <w:p>
            <w:pPr>
              <w:ind w:left="200"/>
              <w:spacing w:after="0"/>
              <w:rPr>
                <w:sz w:val="20"/>
                <w:szCs w:val="20"/>
                <w:color w:val="auto"/>
              </w:rPr>
            </w:pPr>
            <w:r>
              <w:rPr>
                <w:rFonts w:ascii="Arial" w:cs="Arial" w:eastAsia="Arial" w:hAnsi="Arial"/>
                <w:sz w:val="18"/>
                <w:szCs w:val="18"/>
                <w:color w:val="auto"/>
                <w:w w:val="98"/>
              </w:rPr>
              <w:t>principal amount of our</w:t>
            </w:r>
          </w:p>
        </w:tc>
        <w:tc>
          <w:tcPr>
            <w:tcW w:w="1640" w:type="dxa"/>
            <w:vAlign w:val="bottom"/>
          </w:tcPr>
          <w:p>
            <w:pPr>
              <w:ind w:left="120"/>
              <w:spacing w:after="0"/>
              <w:rPr>
                <w:sz w:val="20"/>
                <w:szCs w:val="20"/>
                <w:color w:val="auto"/>
              </w:rPr>
            </w:pPr>
            <w:r>
              <w:rPr>
                <w:rFonts w:ascii="Arial" w:cs="Arial" w:eastAsia="Arial" w:hAnsi="Arial"/>
                <w:sz w:val="18"/>
                <w:szCs w:val="18"/>
                <w:color w:val="auto"/>
              </w:rPr>
              <w:t>% Notes due</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580" w:type="dxa"/>
            <w:vAlign w:val="bottom"/>
          </w:tcPr>
          <w:p>
            <w:pPr>
              <w:jc w:val="center"/>
              <w:ind w:right="150"/>
              <w:spacing w:after="0"/>
              <w:rPr>
                <w:sz w:val="20"/>
                <w:szCs w:val="20"/>
                <w:color w:val="auto"/>
              </w:rPr>
            </w:pPr>
            <w:r>
              <w:rPr>
                <w:rFonts w:ascii="Arial" w:cs="Arial" w:eastAsia="Arial" w:hAnsi="Arial"/>
                <w:sz w:val="18"/>
                <w:szCs w:val="18"/>
                <w:color w:val="auto"/>
                <w:w w:val="89"/>
              </w:rPr>
              <w:t>, $</w:t>
            </w:r>
          </w:p>
        </w:tc>
        <w:tc>
          <w:tcPr>
            <w:tcW w:w="2500" w:type="dxa"/>
            <w:vAlign w:val="bottom"/>
          </w:tcPr>
          <w:p>
            <w:pPr>
              <w:ind w:left="40"/>
              <w:spacing w:after="0"/>
              <w:rPr>
                <w:sz w:val="20"/>
                <w:szCs w:val="20"/>
                <w:color w:val="auto"/>
              </w:rPr>
            </w:pPr>
            <w:r>
              <w:rPr>
                <w:rFonts w:ascii="Arial" w:cs="Arial" w:eastAsia="Arial" w:hAnsi="Arial"/>
                <w:sz w:val="18"/>
                <w:szCs w:val="18"/>
                <w:color w:val="auto"/>
                <w:w w:val="90"/>
              </w:rPr>
              <w:t>aggregate principal amount of our</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 Notes due</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100" w:type="dxa"/>
            <w:vAlign w:val="bottom"/>
          </w:tcPr>
          <w:p>
            <w:pPr>
              <w:ind w:left="80"/>
              <w:spacing w:after="0"/>
              <w:rPr>
                <w:sz w:val="20"/>
                <w:szCs w:val="20"/>
                <w:color w:val="auto"/>
              </w:rPr>
            </w:pPr>
            <w:r>
              <w:rPr>
                <w:rFonts w:ascii="Arial" w:cs="Arial" w:eastAsia="Arial" w:hAnsi="Arial"/>
                <w:sz w:val="18"/>
                <w:szCs w:val="18"/>
                <w:color w:val="auto"/>
              </w:rPr>
              <w:t>aggregate</w:t>
            </w:r>
          </w:p>
        </w:tc>
      </w:tr>
      <w:tr>
        <w:trPr>
          <w:trHeight w:val="216"/>
        </w:trPr>
        <w:tc>
          <w:tcPr>
            <w:tcW w:w="2020" w:type="dxa"/>
            <w:vAlign w:val="bottom"/>
            <w:gridSpan w:val="2"/>
          </w:tcPr>
          <w:p>
            <w:pPr>
              <w:ind w:left="200"/>
              <w:spacing w:after="0"/>
              <w:rPr>
                <w:sz w:val="20"/>
                <w:szCs w:val="20"/>
                <w:color w:val="auto"/>
              </w:rPr>
            </w:pPr>
            <w:r>
              <w:rPr>
                <w:rFonts w:ascii="Arial" w:cs="Arial" w:eastAsia="Arial" w:hAnsi="Arial"/>
                <w:sz w:val="18"/>
                <w:szCs w:val="18"/>
                <w:color w:val="auto"/>
                <w:w w:val="98"/>
              </w:rPr>
              <w:t>principal amount of our</w:t>
            </w:r>
          </w:p>
        </w:tc>
        <w:tc>
          <w:tcPr>
            <w:tcW w:w="1640" w:type="dxa"/>
            <w:vAlign w:val="bottom"/>
          </w:tcPr>
          <w:p>
            <w:pPr>
              <w:ind w:left="120"/>
              <w:spacing w:after="0"/>
              <w:rPr>
                <w:sz w:val="20"/>
                <w:szCs w:val="20"/>
                <w:color w:val="auto"/>
              </w:rPr>
            </w:pPr>
            <w:r>
              <w:rPr>
                <w:rFonts w:ascii="Arial" w:cs="Arial" w:eastAsia="Arial" w:hAnsi="Arial"/>
                <w:sz w:val="18"/>
                <w:szCs w:val="18"/>
                <w:color w:val="auto"/>
              </w:rPr>
              <w:t>% Notes due</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580" w:type="dxa"/>
            <w:vAlign w:val="bottom"/>
          </w:tcPr>
          <w:p>
            <w:pPr>
              <w:jc w:val="center"/>
              <w:ind w:right="150"/>
              <w:spacing w:after="0"/>
              <w:rPr>
                <w:sz w:val="20"/>
                <w:szCs w:val="20"/>
                <w:color w:val="auto"/>
              </w:rPr>
            </w:pPr>
            <w:r>
              <w:rPr>
                <w:rFonts w:ascii="Arial" w:cs="Arial" w:eastAsia="Arial" w:hAnsi="Arial"/>
                <w:sz w:val="18"/>
                <w:szCs w:val="18"/>
                <w:color w:val="auto"/>
                <w:w w:val="89"/>
              </w:rPr>
              <w:t>, $</w:t>
            </w:r>
          </w:p>
        </w:tc>
        <w:tc>
          <w:tcPr>
            <w:tcW w:w="2500" w:type="dxa"/>
            <w:vAlign w:val="bottom"/>
          </w:tcPr>
          <w:p>
            <w:pPr>
              <w:ind w:left="40"/>
              <w:spacing w:after="0"/>
              <w:rPr>
                <w:sz w:val="20"/>
                <w:szCs w:val="20"/>
                <w:color w:val="auto"/>
              </w:rPr>
            </w:pPr>
            <w:r>
              <w:rPr>
                <w:rFonts w:ascii="Arial" w:cs="Arial" w:eastAsia="Arial" w:hAnsi="Arial"/>
                <w:sz w:val="18"/>
                <w:szCs w:val="18"/>
                <w:color w:val="auto"/>
                <w:w w:val="90"/>
              </w:rPr>
              <w:t>aggregate principal amount of our</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 Notes due</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 20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 $</w:t>
            </w:r>
          </w:p>
        </w:tc>
        <w:tc>
          <w:tcPr>
            <w:tcW w:w="1100" w:type="dxa"/>
            <w:vAlign w:val="bottom"/>
          </w:tcPr>
          <w:p>
            <w:pPr>
              <w:ind w:left="80"/>
              <w:spacing w:after="0"/>
              <w:rPr>
                <w:sz w:val="20"/>
                <w:szCs w:val="20"/>
                <w:color w:val="auto"/>
              </w:rPr>
            </w:pPr>
            <w:r>
              <w:rPr>
                <w:rFonts w:ascii="Arial" w:cs="Arial" w:eastAsia="Arial" w:hAnsi="Arial"/>
                <w:sz w:val="18"/>
                <w:szCs w:val="18"/>
                <w:color w:val="auto"/>
              </w:rPr>
              <w:t>aggregate</w:t>
            </w:r>
          </w:p>
        </w:tc>
      </w:tr>
      <w:tr>
        <w:trPr>
          <w:trHeight w:val="216"/>
        </w:trPr>
        <w:tc>
          <w:tcPr>
            <w:tcW w:w="2020" w:type="dxa"/>
            <w:vAlign w:val="bottom"/>
            <w:gridSpan w:val="2"/>
          </w:tcPr>
          <w:p>
            <w:pPr>
              <w:ind w:left="200"/>
              <w:spacing w:after="0"/>
              <w:rPr>
                <w:sz w:val="20"/>
                <w:szCs w:val="20"/>
                <w:color w:val="auto"/>
              </w:rPr>
            </w:pPr>
            <w:r>
              <w:rPr>
                <w:rFonts w:ascii="Arial" w:cs="Arial" w:eastAsia="Arial" w:hAnsi="Arial"/>
                <w:sz w:val="18"/>
                <w:szCs w:val="18"/>
                <w:color w:val="auto"/>
                <w:w w:val="98"/>
              </w:rPr>
              <w:t>principal amount of our</w:t>
            </w:r>
          </w:p>
        </w:tc>
        <w:tc>
          <w:tcPr>
            <w:tcW w:w="1640" w:type="dxa"/>
            <w:vAlign w:val="bottom"/>
          </w:tcPr>
          <w:p>
            <w:pPr>
              <w:ind w:left="120"/>
              <w:spacing w:after="0"/>
              <w:rPr>
                <w:sz w:val="20"/>
                <w:szCs w:val="20"/>
                <w:color w:val="auto"/>
              </w:rPr>
            </w:pPr>
            <w:r>
              <w:rPr>
                <w:rFonts w:ascii="Arial" w:cs="Arial" w:eastAsia="Arial" w:hAnsi="Arial"/>
                <w:sz w:val="18"/>
                <w:szCs w:val="18"/>
                <w:color w:val="auto"/>
              </w:rPr>
              <w:t>% Notes due</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580" w:type="dxa"/>
            <w:vAlign w:val="bottom"/>
          </w:tcPr>
          <w:p>
            <w:pPr>
              <w:jc w:val="center"/>
              <w:ind w:right="150"/>
              <w:spacing w:after="0"/>
              <w:rPr>
                <w:sz w:val="20"/>
                <w:szCs w:val="20"/>
                <w:color w:val="auto"/>
              </w:rPr>
            </w:pPr>
            <w:r>
              <w:rPr>
                <w:rFonts w:ascii="Arial" w:cs="Arial" w:eastAsia="Arial" w:hAnsi="Arial"/>
                <w:sz w:val="18"/>
                <w:szCs w:val="18"/>
                <w:color w:val="auto"/>
                <w:w w:val="89"/>
              </w:rPr>
              <w:t>, $</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w w:val="98"/>
              </w:rPr>
              <w:t>aggregate principal amount of our</w:t>
            </w:r>
          </w:p>
        </w:tc>
        <w:tc>
          <w:tcPr>
            <w:tcW w:w="1400" w:type="dxa"/>
            <w:vAlign w:val="bottom"/>
          </w:tcPr>
          <w:p>
            <w:pPr>
              <w:spacing w:after="0"/>
              <w:rPr>
                <w:sz w:val="20"/>
                <w:szCs w:val="20"/>
                <w:color w:val="auto"/>
              </w:rPr>
            </w:pPr>
            <w:r>
              <w:rPr>
                <w:rFonts w:ascii="Arial" w:cs="Arial" w:eastAsia="Arial" w:hAnsi="Arial"/>
                <w:sz w:val="18"/>
                <w:szCs w:val="18"/>
                <w:color w:val="auto"/>
              </w:rPr>
              <w:t>% Notes due</w:t>
            </w:r>
          </w:p>
        </w:tc>
        <w:tc>
          <w:tcPr>
            <w:tcW w:w="640" w:type="dxa"/>
            <w:vAlign w:val="bottom"/>
          </w:tcPr>
          <w:p>
            <w:pPr>
              <w:jc w:val="right"/>
              <w:spacing w:after="0"/>
              <w:rPr>
                <w:sz w:val="20"/>
                <w:szCs w:val="20"/>
                <w:color w:val="auto"/>
              </w:rPr>
            </w:pPr>
            <w:r>
              <w:rPr>
                <w:rFonts w:ascii="Arial" w:cs="Arial" w:eastAsia="Arial" w:hAnsi="Arial"/>
                <w:sz w:val="18"/>
                <w:szCs w:val="18"/>
                <w:color w:val="auto"/>
              </w:rPr>
              <w:t>, 20</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100" w:type="dxa"/>
            <w:vAlign w:val="bottom"/>
          </w:tcPr>
          <w:p>
            <w:pPr>
              <w:ind w:left="120"/>
              <w:spacing w:after="0"/>
              <w:rPr>
                <w:sz w:val="20"/>
                <w:szCs w:val="20"/>
                <w:color w:val="auto"/>
              </w:rPr>
            </w:pPr>
            <w:r>
              <w:rPr>
                <w:rFonts w:ascii="Arial" w:cs="Arial" w:eastAsia="Arial" w:hAnsi="Arial"/>
                <w:sz w:val="18"/>
                <w:szCs w:val="18"/>
                <w:color w:val="auto"/>
              </w:rPr>
              <w:t>aggregate</w:t>
            </w:r>
          </w:p>
        </w:tc>
      </w:tr>
      <w:tr>
        <w:trPr>
          <w:trHeight w:val="216"/>
        </w:trPr>
        <w:tc>
          <w:tcPr>
            <w:tcW w:w="2020" w:type="dxa"/>
            <w:vAlign w:val="bottom"/>
            <w:gridSpan w:val="2"/>
          </w:tcPr>
          <w:p>
            <w:pPr>
              <w:ind w:left="200"/>
              <w:spacing w:after="0"/>
              <w:rPr>
                <w:sz w:val="20"/>
                <w:szCs w:val="20"/>
                <w:color w:val="auto"/>
              </w:rPr>
            </w:pPr>
            <w:r>
              <w:rPr>
                <w:rFonts w:ascii="Arial" w:cs="Arial" w:eastAsia="Arial" w:hAnsi="Arial"/>
                <w:sz w:val="18"/>
                <w:szCs w:val="18"/>
                <w:color w:val="auto"/>
                <w:w w:val="98"/>
              </w:rPr>
              <w:t>principal amount of our</w:t>
            </w:r>
          </w:p>
        </w:tc>
        <w:tc>
          <w:tcPr>
            <w:tcW w:w="1640" w:type="dxa"/>
            <w:vAlign w:val="bottom"/>
          </w:tcPr>
          <w:p>
            <w:pPr>
              <w:ind w:left="120"/>
              <w:spacing w:after="0"/>
              <w:rPr>
                <w:sz w:val="20"/>
                <w:szCs w:val="20"/>
                <w:color w:val="auto"/>
              </w:rPr>
            </w:pPr>
            <w:r>
              <w:rPr>
                <w:rFonts w:ascii="Arial" w:cs="Arial" w:eastAsia="Arial" w:hAnsi="Arial"/>
                <w:sz w:val="18"/>
                <w:szCs w:val="18"/>
                <w:color w:val="auto"/>
              </w:rPr>
              <w:t>% Notes due</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580" w:type="dxa"/>
            <w:vAlign w:val="bottom"/>
          </w:tcPr>
          <w:p>
            <w:pPr>
              <w:ind w:left="140"/>
              <w:spacing w:after="0"/>
              <w:rPr>
                <w:sz w:val="20"/>
                <w:szCs w:val="20"/>
                <w:color w:val="auto"/>
              </w:rPr>
            </w:pPr>
            <w:r>
              <w:rPr>
                <w:rFonts w:ascii="Arial" w:cs="Arial" w:eastAsia="Arial" w:hAnsi="Arial"/>
                <w:sz w:val="18"/>
                <w:szCs w:val="18"/>
                <w:color w:val="auto"/>
                <w:w w:val="93"/>
              </w:rPr>
              <w:t>and $</w:t>
            </w:r>
          </w:p>
        </w:tc>
        <w:tc>
          <w:tcPr>
            <w:tcW w:w="2760" w:type="dxa"/>
            <w:vAlign w:val="bottom"/>
            <w:gridSpan w:val="2"/>
          </w:tcPr>
          <w:p>
            <w:pPr>
              <w:ind w:left="300"/>
              <w:spacing w:after="0"/>
              <w:rPr>
                <w:sz w:val="20"/>
                <w:szCs w:val="20"/>
                <w:color w:val="auto"/>
              </w:rPr>
            </w:pPr>
            <w:r>
              <w:rPr>
                <w:rFonts w:ascii="Arial" w:cs="Arial" w:eastAsia="Arial" w:hAnsi="Arial"/>
                <w:sz w:val="18"/>
                <w:szCs w:val="18"/>
                <w:color w:val="auto"/>
                <w:w w:val="90"/>
              </w:rPr>
              <w:t>aggregate principal amount of our</w:t>
            </w:r>
          </w:p>
        </w:tc>
        <w:tc>
          <w:tcPr>
            <w:tcW w:w="1400" w:type="dxa"/>
            <w:vAlign w:val="bottom"/>
          </w:tcPr>
          <w:p>
            <w:pPr>
              <w:ind w:left="220"/>
              <w:spacing w:after="0"/>
              <w:rPr>
                <w:sz w:val="20"/>
                <w:szCs w:val="20"/>
                <w:color w:val="auto"/>
              </w:rPr>
            </w:pPr>
            <w:r>
              <w:rPr>
                <w:rFonts w:ascii="Arial" w:cs="Arial" w:eastAsia="Arial" w:hAnsi="Arial"/>
                <w:sz w:val="18"/>
                <w:szCs w:val="18"/>
                <w:color w:val="auto"/>
              </w:rPr>
              <w:t>% Notes due</w:t>
            </w:r>
          </w:p>
        </w:tc>
        <w:tc>
          <w:tcPr>
            <w:tcW w:w="2260" w:type="dxa"/>
            <w:vAlign w:val="bottom"/>
            <w:gridSpan w:val="3"/>
          </w:tcPr>
          <w:p>
            <w:pPr>
              <w:ind w:left="500"/>
              <w:spacing w:after="0"/>
              <w:rPr>
                <w:sz w:val="20"/>
                <w:szCs w:val="20"/>
                <w:color w:val="auto"/>
              </w:rPr>
            </w:pPr>
            <w:r>
              <w:rPr>
                <w:rFonts w:ascii="Arial" w:cs="Arial" w:eastAsia="Arial" w:hAnsi="Arial"/>
                <w:sz w:val="18"/>
                <w:szCs w:val="18"/>
                <w:color w:val="auto"/>
              </w:rPr>
              <w:t>, 20  (collectively, the</w:t>
            </w:r>
          </w:p>
        </w:tc>
      </w:tr>
      <w:tr>
        <w:trPr>
          <w:trHeight w:val="230"/>
        </w:trPr>
        <w:tc>
          <w:tcPr>
            <w:tcW w:w="8920" w:type="dxa"/>
            <w:vAlign w:val="bottom"/>
            <w:gridSpan w:val="8"/>
          </w:tcPr>
          <w:p>
            <w:pPr>
              <w:ind w:left="200"/>
              <w:spacing w:after="0"/>
              <w:rPr>
                <w:sz w:val="20"/>
                <w:szCs w:val="20"/>
                <w:color w:val="auto"/>
              </w:rPr>
            </w:pPr>
            <w:r>
              <w:rPr>
                <w:rFonts w:ascii="Arial" w:cs="Arial" w:eastAsia="Arial" w:hAnsi="Arial"/>
                <w:sz w:val="18"/>
                <w:szCs w:val="18"/>
                <w:color w:val="auto"/>
              </w:rPr>
              <w:t>“fixed rate notes”). We refer to the floating rate notes, collectively with the fixed rate notes, as the “notes.”</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3660" w:type="dxa"/>
            <w:vAlign w:val="bottom"/>
            <w:gridSpan w:val="3"/>
          </w:tcPr>
          <w:p>
            <w:pPr>
              <w:ind w:left="640"/>
              <w:spacing w:after="0"/>
              <w:rPr>
                <w:sz w:val="20"/>
                <w:szCs w:val="20"/>
                <w:color w:val="auto"/>
              </w:rPr>
            </w:pPr>
            <w:r>
              <w:rPr>
                <w:rFonts w:ascii="Arial" w:cs="Arial" w:eastAsia="Arial" w:hAnsi="Arial"/>
                <w:sz w:val="18"/>
                <w:szCs w:val="18"/>
                <w:color w:val="auto"/>
                <w:w w:val="91"/>
              </w:rPr>
              <w:t>The floating rate notes, the Notes due 20</w:t>
            </w:r>
          </w:p>
        </w:tc>
        <w:tc>
          <w:tcPr>
            <w:tcW w:w="5900" w:type="dxa"/>
            <w:vAlign w:val="bottom"/>
            <w:gridSpan w:val="6"/>
          </w:tcPr>
          <w:p>
            <w:pPr>
              <w:jc w:val="right"/>
              <w:spacing w:after="0"/>
              <w:rPr>
                <w:sz w:val="20"/>
                <w:szCs w:val="20"/>
                <w:color w:val="auto"/>
              </w:rPr>
            </w:pPr>
            <w:r>
              <w:rPr>
                <w:rFonts w:ascii="Arial" w:cs="Arial" w:eastAsia="Arial" w:hAnsi="Arial"/>
                <w:sz w:val="18"/>
                <w:szCs w:val="18"/>
                <w:color w:val="auto"/>
                <w:w w:val="94"/>
              </w:rPr>
              <w:t>, the Notes due 20  , the Notes due 20  , the Notes due 20  , the Notes due 20</w:t>
            </w: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w w:val="93"/>
              </w:rPr>
              <w:t>the Notes due 20  ,</w:t>
            </w:r>
          </w:p>
        </w:tc>
      </w:tr>
    </w:tbl>
    <w:p>
      <w:pPr>
        <w:ind w:left="2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Notes due 20 , and the Notes due 20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Basic Terms of the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60" w:right="36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guarantees described below;</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consummation of the Sky acquisition, will be structurally subordinated to all of Sky’s outstanding indebtedness;</w:t>
      </w:r>
    </w:p>
    <w:p>
      <w:pPr>
        <w:spacing w:after="0" w:line="131"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4560" w:type="dxa"/>
            <w:vAlign w:val="bottom"/>
            <w:gridSpan w:val="6"/>
          </w:tcPr>
          <w:p>
            <w:pPr>
              <w:spacing w:after="0"/>
              <w:rPr>
                <w:sz w:val="20"/>
                <w:szCs w:val="20"/>
                <w:color w:val="auto"/>
              </w:rPr>
            </w:pPr>
            <w:r>
              <w:rPr>
                <w:rFonts w:ascii="Arial" w:cs="Arial" w:eastAsia="Arial" w:hAnsi="Arial"/>
                <w:sz w:val="18"/>
                <w:szCs w:val="18"/>
                <w:color w:val="auto"/>
                <w:w w:val="95"/>
              </w:rPr>
              <w:t>•   will be issued in an initial aggregate principal amount of $</w:t>
            </w:r>
          </w:p>
        </w:tc>
        <w:tc>
          <w:tcPr>
            <w:tcW w:w="2560" w:type="dxa"/>
            <w:vAlign w:val="bottom"/>
            <w:gridSpan w:val="2"/>
          </w:tcPr>
          <w:p>
            <w:pPr>
              <w:ind w:left="320"/>
              <w:spacing w:after="0"/>
              <w:rPr>
                <w:sz w:val="20"/>
                <w:szCs w:val="20"/>
                <w:color w:val="auto"/>
              </w:rPr>
            </w:pPr>
            <w:r>
              <w:rPr>
                <w:rFonts w:ascii="Arial" w:cs="Arial" w:eastAsia="Arial" w:hAnsi="Arial"/>
                <w:sz w:val="18"/>
                <w:szCs w:val="18"/>
                <w:color w:val="auto"/>
              </w:rPr>
              <w:t>comprised as follows:</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3"/>
        </w:trPr>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w w:val="94"/>
              </w:rPr>
              <w:t>initial aggregate principal amount of floating rate notes due 20  , maturing on</w:t>
            </w:r>
          </w:p>
        </w:tc>
        <w:tc>
          <w:tcPr>
            <w:tcW w:w="50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w w:val="93"/>
              </w:rPr>
              <w:t>, with interest payable quarterly</w:t>
            </w:r>
          </w:p>
        </w:tc>
      </w:tr>
      <w:tr>
        <w:trPr>
          <w:trHeight w:val="216"/>
        </w:trPr>
        <w:tc>
          <w:tcPr>
            <w:tcW w:w="70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89"/>
              </w:rPr>
              <w:t>in arrears on each</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and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w w:val="99"/>
              </w:rPr>
              <w:t>of each year, beginning on</w:t>
            </w:r>
          </w:p>
        </w:tc>
        <w:tc>
          <w:tcPr>
            <w:tcW w:w="500" w:type="dxa"/>
            <w:vAlign w:val="bottom"/>
          </w:tcPr>
          <w:p>
            <w:pPr>
              <w:spacing w:after="0"/>
              <w:rPr>
                <w:sz w:val="18"/>
                <w:szCs w:val="18"/>
                <w:color w:val="auto"/>
              </w:rPr>
            </w:pPr>
          </w:p>
        </w:tc>
        <w:tc>
          <w:tcPr>
            <w:tcW w:w="2360" w:type="dxa"/>
            <w:vAlign w:val="bottom"/>
            <w:gridSpan w:val="2"/>
          </w:tcPr>
          <w:p>
            <w:pPr>
              <w:jc w:val="right"/>
              <w:ind w:right="110"/>
              <w:spacing w:after="0"/>
              <w:rPr>
                <w:sz w:val="20"/>
                <w:szCs w:val="20"/>
                <w:color w:val="auto"/>
              </w:rPr>
            </w:pPr>
            <w:r>
              <w:rPr>
                <w:rFonts w:ascii="Arial" w:cs="Arial" w:eastAsia="Arial" w:hAnsi="Arial"/>
                <w:sz w:val="18"/>
                <w:szCs w:val="18"/>
                <w:color w:val="auto"/>
              </w:rPr>
              <w:t>, 20  , to holders of record</w:t>
            </w:r>
          </w:p>
        </w:tc>
      </w:tr>
      <w:tr>
        <w:trPr>
          <w:trHeight w:val="230"/>
        </w:trPr>
        <w:tc>
          <w:tcPr>
            <w:tcW w:w="7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w w:val="96"/>
              </w:rPr>
              <w:t>on the preceding</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78"/>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and</w:t>
            </w:r>
          </w:p>
        </w:tc>
        <w:tc>
          <w:tcPr>
            <w:tcW w:w="1700" w:type="dxa"/>
            <w:vAlign w:val="bottom"/>
          </w:tcPr>
          <w:p>
            <w:pPr>
              <w:jc w:val="center"/>
              <w:ind w:right="450"/>
              <w:spacing w:after="0"/>
              <w:rPr>
                <w:sz w:val="20"/>
                <w:szCs w:val="20"/>
                <w:color w:val="auto"/>
              </w:rPr>
            </w:pPr>
            <w:r>
              <w:rPr>
                <w:rFonts w:ascii="Arial" w:cs="Arial" w:eastAsia="Arial" w:hAnsi="Arial"/>
                <w:sz w:val="18"/>
                <w:szCs w:val="18"/>
                <w:color w:val="auto"/>
                <w:w w:val="88"/>
              </w:rPr>
              <w:t>of each year;</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3"/>
        </w:trPr>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980" w:type="dxa"/>
            <w:vAlign w:val="bottom"/>
            <w:gridSpan w:val="3"/>
          </w:tcPr>
          <w:p>
            <w:pPr>
              <w:ind w:left="180"/>
              <w:spacing w:after="0"/>
              <w:rPr>
                <w:sz w:val="20"/>
                <w:szCs w:val="20"/>
                <w:color w:val="auto"/>
              </w:rPr>
            </w:pPr>
            <w:r>
              <w:rPr>
                <w:rFonts w:ascii="Arial" w:cs="Arial" w:eastAsia="Arial" w:hAnsi="Arial"/>
                <w:sz w:val="18"/>
                <w:szCs w:val="18"/>
                <w:color w:val="auto"/>
                <w:w w:val="97"/>
              </w:rPr>
              <w:t>initial aggregate principal amount of</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5"/>
              </w:rPr>
              <w:t>% Notes due 20</w:t>
            </w:r>
          </w:p>
        </w:tc>
        <w:tc>
          <w:tcPr>
            <w:tcW w:w="1700" w:type="dxa"/>
            <w:vAlign w:val="bottom"/>
          </w:tcPr>
          <w:p>
            <w:pPr>
              <w:jc w:val="center"/>
              <w:ind w:right="450"/>
              <w:spacing w:after="0"/>
              <w:rPr>
                <w:sz w:val="20"/>
                <w:szCs w:val="20"/>
                <w:color w:val="auto"/>
              </w:rPr>
            </w:pPr>
            <w:r>
              <w:rPr>
                <w:rFonts w:ascii="Arial" w:cs="Arial" w:eastAsia="Arial" w:hAnsi="Arial"/>
                <w:sz w:val="18"/>
                <w:szCs w:val="18"/>
                <w:color w:val="auto"/>
                <w:w w:val="91"/>
              </w:rPr>
              <w:t>, maturing on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286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7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on each</w:t>
            </w:r>
          </w:p>
        </w:tc>
        <w:tc>
          <w:tcPr>
            <w:tcW w:w="920" w:type="dxa"/>
            <w:vAlign w:val="bottom"/>
          </w:tcPr>
          <w:p>
            <w:pPr>
              <w:ind w:left="40"/>
              <w:spacing w:after="0"/>
              <w:rPr>
                <w:sz w:val="20"/>
                <w:szCs w:val="20"/>
                <w:color w:val="auto"/>
              </w:rPr>
            </w:pPr>
            <w:r>
              <w:rPr>
                <w:rFonts w:ascii="Arial" w:cs="Arial" w:eastAsia="Arial" w:hAnsi="Arial"/>
                <w:sz w:val="18"/>
                <w:szCs w:val="18"/>
                <w:color w:val="auto"/>
              </w:rPr>
              <w:t>and</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0"/>
              </w:rPr>
              <w:t>, beginning</w:t>
            </w:r>
          </w:p>
        </w:tc>
        <w:tc>
          <w:tcPr>
            <w:tcW w:w="420" w:type="dxa"/>
            <w:vAlign w:val="bottom"/>
          </w:tcPr>
          <w:p>
            <w:pPr>
              <w:spacing w:after="0"/>
              <w:rPr>
                <w:sz w:val="20"/>
                <w:szCs w:val="20"/>
                <w:color w:val="auto"/>
              </w:rPr>
            </w:pPr>
          </w:p>
        </w:tc>
        <w:tc>
          <w:tcPr>
            <w:tcW w:w="3560" w:type="dxa"/>
            <w:vAlign w:val="bottom"/>
            <w:gridSpan w:val="4"/>
          </w:tcPr>
          <w:p>
            <w:pPr>
              <w:ind w:left="280"/>
              <w:spacing w:after="0"/>
              <w:rPr>
                <w:sz w:val="20"/>
                <w:szCs w:val="20"/>
                <w:color w:val="auto"/>
              </w:rPr>
            </w:pPr>
            <w:r>
              <w:rPr>
                <w:rFonts w:ascii="Arial" w:cs="Arial" w:eastAsia="Arial" w:hAnsi="Arial"/>
                <w:sz w:val="18"/>
                <w:szCs w:val="18"/>
                <w:color w:val="auto"/>
                <w:w w:val="94"/>
              </w:rPr>
              <w:t>, 20  , to holders of record on the preceding</w:t>
            </w:r>
          </w:p>
        </w:tc>
        <w:tc>
          <w:tcPr>
            <w:tcW w:w="1380" w:type="dxa"/>
            <w:vAlign w:val="bottom"/>
          </w:tcPr>
          <w:p>
            <w:pPr>
              <w:jc w:val="center"/>
              <w:ind w:left="270"/>
              <w:spacing w:after="0"/>
              <w:rPr>
                <w:sz w:val="20"/>
                <w:szCs w:val="20"/>
                <w:color w:val="auto"/>
              </w:rPr>
            </w:pPr>
            <w:r>
              <w:rPr>
                <w:rFonts w:ascii="Arial" w:cs="Arial" w:eastAsia="Arial" w:hAnsi="Arial"/>
                <w:sz w:val="18"/>
                <w:szCs w:val="18"/>
                <w:color w:val="auto"/>
                <w:w w:val="86"/>
              </w:rPr>
              <w:t>and</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23"/>
        </w:trPr>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980" w:type="dxa"/>
            <w:vAlign w:val="bottom"/>
            <w:gridSpan w:val="3"/>
          </w:tcPr>
          <w:p>
            <w:pPr>
              <w:ind w:left="180"/>
              <w:spacing w:after="0"/>
              <w:rPr>
                <w:sz w:val="20"/>
                <w:szCs w:val="20"/>
                <w:color w:val="auto"/>
              </w:rPr>
            </w:pPr>
            <w:r>
              <w:rPr>
                <w:rFonts w:ascii="Arial" w:cs="Arial" w:eastAsia="Arial" w:hAnsi="Arial"/>
                <w:sz w:val="18"/>
                <w:szCs w:val="18"/>
                <w:color w:val="auto"/>
                <w:w w:val="97"/>
              </w:rPr>
              <w:t>initial aggregate principal amount of</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5"/>
              </w:rPr>
              <w:t>% Notes due 20</w:t>
            </w:r>
          </w:p>
        </w:tc>
        <w:tc>
          <w:tcPr>
            <w:tcW w:w="1700" w:type="dxa"/>
            <w:vAlign w:val="bottom"/>
          </w:tcPr>
          <w:p>
            <w:pPr>
              <w:jc w:val="center"/>
              <w:ind w:right="450"/>
              <w:spacing w:after="0"/>
              <w:rPr>
                <w:sz w:val="20"/>
                <w:szCs w:val="20"/>
                <w:color w:val="auto"/>
              </w:rPr>
            </w:pPr>
            <w:r>
              <w:rPr>
                <w:rFonts w:ascii="Arial" w:cs="Arial" w:eastAsia="Arial" w:hAnsi="Arial"/>
                <w:sz w:val="18"/>
                <w:szCs w:val="18"/>
                <w:color w:val="auto"/>
                <w:w w:val="91"/>
              </w:rPr>
              <w:t>, maturing on</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 20</w:t>
            </w:r>
          </w:p>
        </w:tc>
        <w:tc>
          <w:tcPr>
            <w:tcW w:w="286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7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color w:val="auto"/>
              </w:rPr>
              <w:t>on each</w:t>
            </w:r>
          </w:p>
        </w:tc>
        <w:tc>
          <w:tcPr>
            <w:tcW w:w="920" w:type="dxa"/>
            <w:vAlign w:val="bottom"/>
          </w:tcPr>
          <w:p>
            <w:pPr>
              <w:ind w:left="40"/>
              <w:spacing w:after="0"/>
              <w:rPr>
                <w:sz w:val="20"/>
                <w:szCs w:val="20"/>
                <w:color w:val="auto"/>
              </w:rPr>
            </w:pPr>
            <w:r>
              <w:rPr>
                <w:rFonts w:ascii="Arial" w:cs="Arial" w:eastAsia="Arial" w:hAnsi="Arial"/>
                <w:sz w:val="18"/>
                <w:szCs w:val="18"/>
                <w:color w:val="auto"/>
              </w:rPr>
              <w:t>and</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0"/>
              </w:rPr>
              <w:t>, beginning</w:t>
            </w:r>
          </w:p>
        </w:tc>
        <w:tc>
          <w:tcPr>
            <w:tcW w:w="420" w:type="dxa"/>
            <w:vAlign w:val="bottom"/>
          </w:tcPr>
          <w:p>
            <w:pPr>
              <w:spacing w:after="0"/>
              <w:rPr>
                <w:sz w:val="20"/>
                <w:szCs w:val="20"/>
                <w:color w:val="auto"/>
              </w:rPr>
            </w:pPr>
          </w:p>
        </w:tc>
        <w:tc>
          <w:tcPr>
            <w:tcW w:w="3560" w:type="dxa"/>
            <w:vAlign w:val="bottom"/>
            <w:gridSpan w:val="4"/>
          </w:tcPr>
          <w:p>
            <w:pPr>
              <w:ind w:left="280"/>
              <w:spacing w:after="0"/>
              <w:rPr>
                <w:sz w:val="20"/>
                <w:szCs w:val="20"/>
                <w:color w:val="auto"/>
              </w:rPr>
            </w:pPr>
            <w:r>
              <w:rPr>
                <w:rFonts w:ascii="Arial" w:cs="Arial" w:eastAsia="Arial" w:hAnsi="Arial"/>
                <w:sz w:val="18"/>
                <w:szCs w:val="18"/>
                <w:color w:val="auto"/>
                <w:w w:val="94"/>
              </w:rPr>
              <w:t>, 20  , to holders of record on the preceding</w:t>
            </w:r>
          </w:p>
        </w:tc>
        <w:tc>
          <w:tcPr>
            <w:tcW w:w="1380" w:type="dxa"/>
            <w:vAlign w:val="bottom"/>
          </w:tcPr>
          <w:p>
            <w:pPr>
              <w:jc w:val="center"/>
              <w:ind w:left="270"/>
              <w:spacing w:after="0"/>
              <w:rPr>
                <w:sz w:val="20"/>
                <w:szCs w:val="20"/>
                <w:color w:val="auto"/>
              </w:rPr>
            </w:pPr>
            <w:r>
              <w:rPr>
                <w:rFonts w:ascii="Arial" w:cs="Arial" w:eastAsia="Arial" w:hAnsi="Arial"/>
                <w:sz w:val="18"/>
                <w:szCs w:val="18"/>
                <w:color w:val="auto"/>
                <w:w w:val="86"/>
              </w:rPr>
              <w:t>and</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65"/>
        </w:trPr>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ind w:left="240"/>
              <w:spacing w:after="0"/>
              <w:rPr>
                <w:sz w:val="20"/>
                <w:szCs w:val="20"/>
                <w:color w:val="auto"/>
              </w:rPr>
            </w:pPr>
            <w:r>
              <w:rPr>
                <w:rFonts w:ascii="Arial" w:cs="Arial" w:eastAsia="Arial" w:hAnsi="Arial"/>
                <w:sz w:val="18"/>
                <w:szCs w:val="18"/>
                <w:color w:val="auto"/>
              </w:rPr>
              <w:t>S-12</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20"/>
          </w:cols>
          <w:pgMar w:left="240" w:top="446"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19"/>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3420" w:type="dxa"/>
            <w:vAlign w:val="bottom"/>
            <w:gridSpan w:val="4"/>
          </w:tcPr>
          <w:p>
            <w:pPr>
              <w:ind w:left="380"/>
              <w:spacing w:after="0"/>
              <w:rPr>
                <w:sz w:val="20"/>
                <w:szCs w:val="20"/>
                <w:color w:val="auto"/>
              </w:rPr>
            </w:pPr>
            <w:r>
              <w:rPr>
                <w:rFonts w:ascii="Arial" w:cs="Arial" w:eastAsia="Arial" w:hAnsi="Arial"/>
                <w:sz w:val="18"/>
                <w:szCs w:val="18"/>
                <w:color w:val="auto"/>
                <w:w w:val="93"/>
              </w:rPr>
              <w:t>, 20  ,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00"/>
              <w:spacing w:after="0"/>
              <w:rPr>
                <w:sz w:val="20"/>
                <w:szCs w:val="20"/>
                <w:color w:val="auto"/>
              </w:rPr>
            </w:pPr>
            <w:r>
              <w:rPr>
                <w:rFonts w:ascii="Arial" w:cs="Arial" w:eastAsia="Arial" w:hAnsi="Arial"/>
                <w:sz w:val="18"/>
                <w:szCs w:val="18"/>
                <w:color w:val="auto"/>
                <w:w w:val="97"/>
              </w:rPr>
              <w:t>, beginning</w:t>
            </w:r>
          </w:p>
        </w:tc>
        <w:tc>
          <w:tcPr>
            <w:tcW w:w="4320" w:type="dxa"/>
            <w:vAlign w:val="bottom"/>
            <w:gridSpan w:val="4"/>
          </w:tcPr>
          <w:p>
            <w:pPr>
              <w:ind w:left="680"/>
              <w:spacing w:after="0"/>
              <w:rPr>
                <w:sz w:val="20"/>
                <w:szCs w:val="20"/>
                <w:color w:val="auto"/>
              </w:rPr>
            </w:pPr>
            <w:r>
              <w:rPr>
                <w:rFonts w:ascii="Arial" w:cs="Arial" w:eastAsia="Arial" w:hAnsi="Arial"/>
                <w:sz w:val="18"/>
                <w:szCs w:val="18"/>
                <w:color w:val="auto"/>
              </w:rPr>
              <w:t>, 20  , to holders of record on the preceding</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23"/>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3420" w:type="dxa"/>
            <w:vAlign w:val="bottom"/>
            <w:gridSpan w:val="4"/>
          </w:tcPr>
          <w:p>
            <w:pPr>
              <w:ind w:left="380"/>
              <w:spacing w:after="0"/>
              <w:rPr>
                <w:sz w:val="20"/>
                <w:szCs w:val="20"/>
                <w:color w:val="auto"/>
              </w:rPr>
            </w:pPr>
            <w:r>
              <w:rPr>
                <w:rFonts w:ascii="Arial" w:cs="Arial" w:eastAsia="Arial" w:hAnsi="Arial"/>
                <w:sz w:val="18"/>
                <w:szCs w:val="18"/>
                <w:color w:val="auto"/>
                <w:w w:val="93"/>
              </w:rPr>
              <w:t>, 20  ,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00"/>
              <w:spacing w:after="0"/>
              <w:rPr>
                <w:sz w:val="20"/>
                <w:szCs w:val="20"/>
                <w:color w:val="auto"/>
              </w:rPr>
            </w:pPr>
            <w:r>
              <w:rPr>
                <w:rFonts w:ascii="Arial" w:cs="Arial" w:eastAsia="Arial" w:hAnsi="Arial"/>
                <w:sz w:val="18"/>
                <w:szCs w:val="18"/>
                <w:color w:val="auto"/>
                <w:w w:val="97"/>
              </w:rPr>
              <w:t>, beginning</w:t>
            </w:r>
          </w:p>
        </w:tc>
        <w:tc>
          <w:tcPr>
            <w:tcW w:w="4320" w:type="dxa"/>
            <w:vAlign w:val="bottom"/>
            <w:gridSpan w:val="4"/>
          </w:tcPr>
          <w:p>
            <w:pPr>
              <w:ind w:left="680"/>
              <w:spacing w:after="0"/>
              <w:rPr>
                <w:sz w:val="20"/>
                <w:szCs w:val="20"/>
                <w:color w:val="auto"/>
              </w:rPr>
            </w:pPr>
            <w:r>
              <w:rPr>
                <w:rFonts w:ascii="Arial" w:cs="Arial" w:eastAsia="Arial" w:hAnsi="Arial"/>
                <w:sz w:val="18"/>
                <w:szCs w:val="18"/>
                <w:color w:val="auto"/>
              </w:rPr>
              <w:t>, 20  , to holders of record on the preceding</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23"/>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740" w:type="dxa"/>
            <w:vAlign w:val="bottom"/>
          </w:tcPr>
          <w:p>
            <w:pPr>
              <w:ind w:left="380"/>
              <w:spacing w:after="0"/>
              <w:rPr>
                <w:sz w:val="20"/>
                <w:szCs w:val="20"/>
                <w:color w:val="auto"/>
              </w:rPr>
            </w:pPr>
            <w:r>
              <w:rPr>
                <w:rFonts w:ascii="Arial" w:cs="Arial" w:eastAsia="Arial" w:hAnsi="Arial"/>
                <w:sz w:val="18"/>
                <w:szCs w:val="18"/>
                <w:color w:val="auto"/>
              </w:rPr>
              <w:t>, 20</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00"/>
              <w:spacing w:after="0"/>
              <w:rPr>
                <w:sz w:val="20"/>
                <w:szCs w:val="20"/>
                <w:color w:val="auto"/>
              </w:rPr>
            </w:pPr>
            <w:r>
              <w:rPr>
                <w:rFonts w:ascii="Arial" w:cs="Arial" w:eastAsia="Arial" w:hAnsi="Arial"/>
                <w:sz w:val="18"/>
                <w:szCs w:val="18"/>
                <w:color w:val="auto"/>
                <w:w w:val="97"/>
              </w:rPr>
              <w:t>, beginning</w:t>
            </w:r>
          </w:p>
        </w:tc>
        <w:tc>
          <w:tcPr>
            <w:tcW w:w="4320" w:type="dxa"/>
            <w:vAlign w:val="bottom"/>
            <w:gridSpan w:val="4"/>
          </w:tcPr>
          <w:p>
            <w:pPr>
              <w:ind w:left="680"/>
              <w:spacing w:after="0"/>
              <w:rPr>
                <w:sz w:val="20"/>
                <w:szCs w:val="20"/>
                <w:color w:val="auto"/>
              </w:rPr>
            </w:pPr>
            <w:r>
              <w:rPr>
                <w:rFonts w:ascii="Arial" w:cs="Arial" w:eastAsia="Arial" w:hAnsi="Arial"/>
                <w:sz w:val="18"/>
                <w:szCs w:val="18"/>
                <w:color w:val="auto"/>
              </w:rPr>
              <w:t>, 20  , to holders of record on the preceding</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23"/>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740" w:type="dxa"/>
            <w:vAlign w:val="bottom"/>
          </w:tcPr>
          <w:p>
            <w:pPr>
              <w:ind w:left="380"/>
              <w:spacing w:after="0"/>
              <w:rPr>
                <w:sz w:val="20"/>
                <w:szCs w:val="20"/>
                <w:color w:val="auto"/>
              </w:rPr>
            </w:pPr>
            <w:r>
              <w:rPr>
                <w:rFonts w:ascii="Arial" w:cs="Arial" w:eastAsia="Arial" w:hAnsi="Arial"/>
                <w:sz w:val="18"/>
                <w:szCs w:val="18"/>
                <w:color w:val="auto"/>
              </w:rPr>
              <w:t>, 20</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00"/>
              <w:spacing w:after="0"/>
              <w:rPr>
                <w:sz w:val="20"/>
                <w:szCs w:val="20"/>
                <w:color w:val="auto"/>
              </w:rPr>
            </w:pPr>
            <w:r>
              <w:rPr>
                <w:rFonts w:ascii="Arial" w:cs="Arial" w:eastAsia="Arial" w:hAnsi="Arial"/>
                <w:sz w:val="18"/>
                <w:szCs w:val="18"/>
                <w:color w:val="auto"/>
                <w:w w:val="97"/>
              </w:rPr>
              <w:t>, beginning</w:t>
            </w:r>
          </w:p>
        </w:tc>
        <w:tc>
          <w:tcPr>
            <w:tcW w:w="4320" w:type="dxa"/>
            <w:vAlign w:val="bottom"/>
            <w:gridSpan w:val="4"/>
          </w:tcPr>
          <w:p>
            <w:pPr>
              <w:ind w:left="680"/>
              <w:spacing w:after="0"/>
              <w:rPr>
                <w:sz w:val="20"/>
                <w:szCs w:val="20"/>
                <w:color w:val="auto"/>
              </w:rPr>
            </w:pPr>
            <w:r>
              <w:rPr>
                <w:rFonts w:ascii="Arial" w:cs="Arial" w:eastAsia="Arial" w:hAnsi="Arial"/>
                <w:sz w:val="18"/>
                <w:szCs w:val="18"/>
                <w:color w:val="auto"/>
              </w:rPr>
              <w:t>, 20  , to holders of record on the preceding</w:t>
            </w:r>
          </w:p>
        </w:tc>
        <w:tc>
          <w:tcPr>
            <w:tcW w:w="104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76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323"/>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740" w:type="dxa"/>
            <w:vAlign w:val="bottom"/>
          </w:tcPr>
          <w:p>
            <w:pPr>
              <w:ind w:left="380"/>
              <w:spacing w:after="0"/>
              <w:rPr>
                <w:sz w:val="20"/>
                <w:szCs w:val="20"/>
                <w:color w:val="auto"/>
              </w:rPr>
            </w:pPr>
            <w:r>
              <w:rPr>
                <w:rFonts w:ascii="Arial" w:cs="Arial" w:eastAsia="Arial" w:hAnsi="Arial"/>
                <w:sz w:val="18"/>
                <w:szCs w:val="18"/>
                <w:color w:val="auto"/>
              </w:rPr>
              <w:t>, 20</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40"/>
              <w:spacing w:after="0"/>
              <w:rPr>
                <w:sz w:val="20"/>
                <w:szCs w:val="20"/>
                <w:color w:val="auto"/>
              </w:rPr>
            </w:pPr>
            <w:r>
              <w:rPr>
                <w:rFonts w:ascii="Arial" w:cs="Arial" w:eastAsia="Arial" w:hAnsi="Arial"/>
                <w:sz w:val="18"/>
                <w:szCs w:val="18"/>
                <w:color w:val="auto"/>
                <w:w w:val="93"/>
              </w:rPr>
              <w:t>, beginning</w:t>
            </w:r>
          </w:p>
        </w:tc>
        <w:tc>
          <w:tcPr>
            <w:tcW w:w="1180" w:type="dxa"/>
            <w:vAlign w:val="bottom"/>
          </w:tcPr>
          <w:p>
            <w:pPr>
              <w:ind w:left="740"/>
              <w:spacing w:after="0"/>
              <w:rPr>
                <w:sz w:val="20"/>
                <w:szCs w:val="20"/>
                <w:color w:val="auto"/>
              </w:rPr>
            </w:pPr>
            <w:r>
              <w:rPr>
                <w:rFonts w:ascii="Arial" w:cs="Arial" w:eastAsia="Arial" w:hAnsi="Arial"/>
                <w:sz w:val="18"/>
                <w:szCs w:val="18"/>
                <w:color w:val="auto"/>
              </w:rPr>
              <w:t>, 20</w:t>
            </w:r>
          </w:p>
        </w:tc>
        <w:tc>
          <w:tcPr>
            <w:tcW w:w="3140" w:type="dxa"/>
            <w:vAlign w:val="bottom"/>
            <w:gridSpan w:val="3"/>
          </w:tcPr>
          <w:p>
            <w:pPr>
              <w:spacing w:after="0"/>
              <w:rPr>
                <w:sz w:val="20"/>
                <w:szCs w:val="20"/>
                <w:color w:val="auto"/>
              </w:rPr>
            </w:pPr>
            <w:r>
              <w:rPr>
                <w:rFonts w:ascii="Arial" w:cs="Arial" w:eastAsia="Arial" w:hAnsi="Arial"/>
                <w:sz w:val="18"/>
                <w:szCs w:val="18"/>
                <w:color w:val="auto"/>
              </w:rPr>
              <w:t>, to holders of record on the preceding</w:t>
            </w:r>
          </w:p>
        </w:tc>
        <w:tc>
          <w:tcPr>
            <w:tcW w:w="1040" w:type="dxa"/>
            <w:vAlign w:val="bottom"/>
          </w:tcPr>
          <w:p>
            <w:pPr>
              <w:ind w:left="420"/>
              <w:spacing w:after="0"/>
              <w:rPr>
                <w:sz w:val="20"/>
                <w:szCs w:val="20"/>
                <w:color w:val="auto"/>
              </w:rPr>
            </w:pPr>
            <w:r>
              <w:rPr>
                <w:rFonts w:ascii="Arial" w:cs="Arial" w:eastAsia="Arial" w:hAnsi="Arial"/>
                <w:sz w:val="18"/>
                <w:szCs w:val="18"/>
                <w:color w:val="auto"/>
              </w:rPr>
              <w:t>and</w:t>
            </w:r>
          </w:p>
        </w:tc>
        <w:tc>
          <w:tcPr>
            <w:tcW w:w="760" w:type="dxa"/>
            <w:vAlign w:val="bottom"/>
          </w:tcPr>
          <w:p>
            <w:pPr>
              <w:jc w:val="right"/>
              <w:spacing w:after="0"/>
              <w:rPr>
                <w:sz w:val="20"/>
                <w:szCs w:val="20"/>
                <w:color w:val="auto"/>
              </w:rPr>
            </w:pPr>
            <w:r>
              <w:rPr>
                <w:rFonts w:ascii="Arial" w:cs="Arial" w:eastAsia="Arial" w:hAnsi="Arial"/>
                <w:sz w:val="18"/>
                <w:szCs w:val="18"/>
                <w:color w:val="auto"/>
              </w:rPr>
              <w:t>; and</w:t>
            </w:r>
          </w:p>
        </w:tc>
      </w:tr>
      <w:tr>
        <w:trPr>
          <w:trHeight w:val="323"/>
        </w:trPr>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3000" w:type="dxa"/>
            <w:vAlign w:val="bottom"/>
            <w:gridSpan w:val="3"/>
          </w:tcPr>
          <w:p>
            <w:pPr>
              <w:ind w:left="180"/>
              <w:spacing w:after="0"/>
              <w:rPr>
                <w:sz w:val="20"/>
                <w:szCs w:val="20"/>
                <w:color w:val="auto"/>
              </w:rPr>
            </w:pPr>
            <w:r>
              <w:rPr>
                <w:rFonts w:ascii="Arial" w:cs="Arial" w:eastAsia="Arial" w:hAnsi="Arial"/>
                <w:sz w:val="18"/>
                <w:szCs w:val="18"/>
                <w:color w:val="auto"/>
                <w:w w:val="98"/>
              </w:rPr>
              <w:t>initial aggregate principal amount of</w:t>
            </w:r>
          </w:p>
        </w:tc>
        <w:tc>
          <w:tcPr>
            <w:tcW w:w="1180" w:type="dxa"/>
            <w:vAlign w:val="bottom"/>
          </w:tcPr>
          <w:p>
            <w:pPr>
              <w:ind w:left="20"/>
              <w:spacing w:after="0"/>
              <w:rPr>
                <w:sz w:val="20"/>
                <w:szCs w:val="20"/>
                <w:color w:val="auto"/>
              </w:rPr>
            </w:pPr>
            <w:r>
              <w:rPr>
                <w:rFonts w:ascii="Arial" w:cs="Arial" w:eastAsia="Arial" w:hAnsi="Arial"/>
                <w:sz w:val="18"/>
                <w:szCs w:val="18"/>
                <w:color w:val="auto"/>
                <w:w w:val="88"/>
              </w:rPr>
              <w:t>% Notes due 20</w:t>
            </w:r>
          </w:p>
        </w:tc>
        <w:tc>
          <w:tcPr>
            <w:tcW w:w="1520" w:type="dxa"/>
            <w:vAlign w:val="bottom"/>
          </w:tcPr>
          <w:p>
            <w:pPr>
              <w:ind w:left="180"/>
              <w:spacing w:after="0"/>
              <w:rPr>
                <w:sz w:val="20"/>
                <w:szCs w:val="20"/>
                <w:color w:val="auto"/>
              </w:rPr>
            </w:pPr>
            <w:r>
              <w:rPr>
                <w:rFonts w:ascii="Arial" w:cs="Arial" w:eastAsia="Arial" w:hAnsi="Arial"/>
                <w:sz w:val="18"/>
                <w:szCs w:val="18"/>
                <w:color w:val="auto"/>
              </w:rPr>
              <w:t>, maturing on</w:t>
            </w:r>
          </w:p>
        </w:tc>
        <w:tc>
          <w:tcPr>
            <w:tcW w:w="740" w:type="dxa"/>
            <w:vAlign w:val="bottom"/>
          </w:tcPr>
          <w:p>
            <w:pPr>
              <w:ind w:left="380"/>
              <w:spacing w:after="0"/>
              <w:rPr>
                <w:sz w:val="20"/>
                <w:szCs w:val="20"/>
                <w:color w:val="auto"/>
              </w:rPr>
            </w:pPr>
            <w:r>
              <w:rPr>
                <w:rFonts w:ascii="Arial" w:cs="Arial" w:eastAsia="Arial" w:hAnsi="Arial"/>
                <w:sz w:val="18"/>
                <w:szCs w:val="18"/>
                <w:color w:val="auto"/>
              </w:rPr>
              <w:t>, 20</w:t>
            </w:r>
          </w:p>
        </w:tc>
        <w:tc>
          <w:tcPr>
            <w:tcW w:w="26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 with interest payable semiannually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on each</w:t>
            </w:r>
          </w:p>
        </w:tc>
        <w:tc>
          <w:tcPr>
            <w:tcW w:w="1040" w:type="dxa"/>
            <w:vAlign w:val="bottom"/>
          </w:tcPr>
          <w:p>
            <w:pPr>
              <w:ind w:left="400"/>
              <w:spacing w:after="0"/>
              <w:rPr>
                <w:sz w:val="20"/>
                <w:szCs w:val="20"/>
                <w:color w:val="auto"/>
              </w:rPr>
            </w:pPr>
            <w:r>
              <w:rPr>
                <w:rFonts w:ascii="Arial" w:cs="Arial" w:eastAsia="Arial" w:hAnsi="Arial"/>
                <w:sz w:val="18"/>
                <w:szCs w:val="18"/>
                <w:color w:val="auto"/>
              </w:rPr>
              <w:t>and</w:t>
            </w:r>
          </w:p>
        </w:tc>
        <w:tc>
          <w:tcPr>
            <w:tcW w:w="1280" w:type="dxa"/>
            <w:vAlign w:val="bottom"/>
          </w:tcPr>
          <w:p>
            <w:pPr>
              <w:ind w:left="440"/>
              <w:spacing w:after="0"/>
              <w:rPr>
                <w:sz w:val="20"/>
                <w:szCs w:val="20"/>
                <w:color w:val="auto"/>
              </w:rPr>
            </w:pPr>
            <w:r>
              <w:rPr>
                <w:rFonts w:ascii="Arial" w:cs="Arial" w:eastAsia="Arial" w:hAnsi="Arial"/>
                <w:sz w:val="18"/>
                <w:szCs w:val="18"/>
                <w:color w:val="auto"/>
                <w:w w:val="93"/>
              </w:rPr>
              <w:t>, beginning</w:t>
            </w:r>
          </w:p>
        </w:tc>
        <w:tc>
          <w:tcPr>
            <w:tcW w:w="1180" w:type="dxa"/>
            <w:vAlign w:val="bottom"/>
          </w:tcPr>
          <w:p>
            <w:pPr>
              <w:ind w:left="740"/>
              <w:spacing w:after="0"/>
              <w:rPr>
                <w:sz w:val="20"/>
                <w:szCs w:val="20"/>
                <w:color w:val="auto"/>
              </w:rPr>
            </w:pPr>
            <w:r>
              <w:rPr>
                <w:rFonts w:ascii="Arial" w:cs="Arial" w:eastAsia="Arial" w:hAnsi="Arial"/>
                <w:sz w:val="18"/>
                <w:szCs w:val="18"/>
                <w:color w:val="auto"/>
              </w:rPr>
              <w:t>, 20</w:t>
            </w:r>
          </w:p>
        </w:tc>
        <w:tc>
          <w:tcPr>
            <w:tcW w:w="3140" w:type="dxa"/>
            <w:vAlign w:val="bottom"/>
            <w:gridSpan w:val="3"/>
          </w:tcPr>
          <w:p>
            <w:pPr>
              <w:spacing w:after="0"/>
              <w:rPr>
                <w:sz w:val="20"/>
                <w:szCs w:val="20"/>
                <w:color w:val="auto"/>
              </w:rPr>
            </w:pPr>
            <w:r>
              <w:rPr>
                <w:rFonts w:ascii="Arial" w:cs="Arial" w:eastAsia="Arial" w:hAnsi="Arial"/>
                <w:sz w:val="18"/>
                <w:szCs w:val="18"/>
                <w:color w:val="auto"/>
              </w:rPr>
              <w:t>, to holders of record on the preceding</w:t>
            </w:r>
          </w:p>
        </w:tc>
        <w:tc>
          <w:tcPr>
            <w:tcW w:w="1040" w:type="dxa"/>
            <w:vAlign w:val="bottom"/>
          </w:tcPr>
          <w:p>
            <w:pPr>
              <w:ind w:left="420"/>
              <w:spacing w:after="0"/>
              <w:rPr>
                <w:sz w:val="20"/>
                <w:szCs w:val="20"/>
                <w:color w:val="auto"/>
              </w:rPr>
            </w:pPr>
            <w:r>
              <w:rPr>
                <w:rFonts w:ascii="Arial" w:cs="Arial" w:eastAsia="Arial" w:hAnsi="Arial"/>
                <w:sz w:val="18"/>
                <w:szCs w:val="18"/>
                <w:color w:val="auto"/>
              </w:rPr>
              <w:t>and</w:t>
            </w:r>
          </w:p>
        </w:tc>
        <w:tc>
          <w:tcPr>
            <w:tcW w:w="760" w:type="dxa"/>
            <w:vAlign w:val="bottom"/>
          </w:tcPr>
          <w:p>
            <w:pPr>
              <w:jc w:val="right"/>
              <w:spacing w:after="0"/>
              <w:rPr>
                <w:sz w:val="20"/>
                <w:szCs w:val="20"/>
                <w:color w:val="auto"/>
              </w:rPr>
            </w:pPr>
            <w:r>
              <w:rPr>
                <w:rFonts w:ascii="Arial" w:cs="Arial" w:eastAsia="Arial" w:hAnsi="Arial"/>
                <w:sz w:val="18"/>
                <w:szCs w:val="18"/>
                <w:color w:val="auto"/>
              </w:rPr>
              <w:t>; and</w:t>
            </w:r>
          </w:p>
        </w:tc>
      </w:tr>
    </w:tbl>
    <w:p>
      <w:pPr>
        <w:spacing w:after="0" w:line="107"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of June 30, 2018, Sky had outstanding indebtedness of approximately £8.2 billion (or approximately $10.8 billion using the exchange rate as of such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Floating Rate Notes</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The floating rate notes will bear interest from October , 2018 or from the most recent interest payment date (as defined below) on which we have paid or provided for interest on the floating rate notes. The interest rate per annum for each interest period (as defined below) will be equal to LIBOR (as defined below) plus %, as determined on the applicable interest determination date by the calculation agent (except for the first interest period (as defined below)). Following the first interest period, the interest rate per annum for the floating rate notes will be reset quarterly on the first day of each interest period. The Bank of New York Mellon is initially acting as calculation agent. The interest determination date for an interest period will be the second business day preceding such interest period (the “interest determination date”). The interest determination date for the first interest</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period will be</w:t>
            </w:r>
          </w:p>
        </w:tc>
        <w:tc>
          <w:tcPr>
            <w:tcW w:w="88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187" w:lineRule="exact"/>
        <w:rPr>
          <w:sz w:val="20"/>
          <w:szCs w:val="20"/>
          <w:color w:val="auto"/>
        </w:rPr>
      </w:pPr>
    </w:p>
    <w:p>
      <w:pPr>
        <w:jc w:val="both"/>
        <w:ind w:left="200" w:right="460" w:firstLine="441"/>
        <w:spacing w:after="0" w:line="259" w:lineRule="auto"/>
        <w:rPr>
          <w:sz w:val="20"/>
          <w:szCs w:val="20"/>
          <w:color w:val="auto"/>
        </w:rPr>
      </w:pPr>
      <w:r>
        <w:rPr>
          <w:rFonts w:ascii="Arial" w:cs="Arial" w:eastAsia="Arial" w:hAnsi="Arial"/>
          <w:sz w:val="18"/>
          <w:szCs w:val="18"/>
          <w:color w:val="auto"/>
        </w:rPr>
        <w:t>The amount of interest for each day the floating rate notes are outstanding, which we refer to as the “daily interest amount,” is calculated by dividing the interest rate in effect with respect to the floating rate notes for that day by 360 and multiplying the result by the principal amount. The amount of interest to be paid on the floating rate notes for each interest period is calculated by adding the daily interest amounts applicable to such floating rate notes for each day in the interest period.</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will pay interest on the floating rate notes on , , and of each year, beginning on , 20 , and at maturity. Each of these dates on which we will pay interest is referred to as an “interest payment date.” If any interest payment date would fall on a day that is not a business day, other than the interest payment date that is also the date of maturity for the floating rate notes, that interest payment date will be postponed to the following day that is a business day, except that if such next business day is in a different month, then that payment date will be the immediately preceding day that is a business day. If the date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46"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91" w:lineRule="auto"/>
        <w:rPr>
          <w:sz w:val="20"/>
          <w:szCs w:val="20"/>
          <w:color w:val="auto"/>
        </w:rPr>
      </w:pPr>
      <w:r>
        <w:rPr>
          <w:rFonts w:ascii="Arial" w:cs="Arial" w:eastAsia="Arial" w:hAnsi="Arial"/>
          <w:sz w:val="16"/>
          <w:szCs w:val="16"/>
          <w:color w:val="auto"/>
        </w:rPr>
        <w:t>of maturity for the floating rate notes is not a business day, payment of principal and interest on the floating rate notes will be made on the following day that is a business day and no interest will accrue for the period from and after such date of maturity. Interest on the floating rate notes will be paid to the</w:t>
      </w:r>
    </w:p>
    <w:p>
      <w:pPr>
        <w:jc w:val="both"/>
        <w:ind w:left="200" w:right="20"/>
        <w:spacing w:after="0" w:line="255" w:lineRule="auto"/>
        <w:rPr>
          <w:sz w:val="20"/>
          <w:szCs w:val="20"/>
          <w:color w:val="auto"/>
        </w:rPr>
      </w:pPr>
      <w:r>
        <w:rPr>
          <w:rFonts w:ascii="Arial" w:cs="Arial" w:eastAsia="Arial" w:hAnsi="Arial"/>
          <w:sz w:val="18"/>
          <w:szCs w:val="18"/>
          <w:color w:val="auto"/>
        </w:rPr>
        <w:t>person in whose name such floating rate note was registered at the close of business on , , or (whether or not such day is a business day) preceding the applicable interest payment date. However, interest that we pay on the maturity date will be payable to the person to whom the principal will be payable.</w:t>
      </w:r>
    </w:p>
    <w:p>
      <w:pPr>
        <w:spacing w:after="0" w:line="190"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Except as described below for the first interest period, on each interest payment date, we will pay interest for the period commencing on and including the immediately preceding interest payment date and ending on and including the next day preceding that interest payment date. We refer to</w:t>
      </w:r>
    </w:p>
    <w:p>
      <w:pPr>
        <w:ind w:left="200" w:right="100"/>
        <w:spacing w:after="0" w:line="250" w:lineRule="auto"/>
        <w:rPr>
          <w:sz w:val="20"/>
          <w:szCs w:val="20"/>
          <w:color w:val="auto"/>
        </w:rPr>
      </w:pPr>
      <w:r>
        <w:rPr>
          <w:rFonts w:ascii="Arial" w:cs="Arial" w:eastAsia="Arial" w:hAnsi="Arial"/>
          <w:sz w:val="18"/>
          <w:szCs w:val="18"/>
          <w:color w:val="auto"/>
        </w:rPr>
        <w:t>this period as an “interest period.” The “first interest period” will begin on and include October , 2018 and will end on but exclude , 20 .</w:t>
      </w:r>
    </w:p>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“LIBOR” will be determined by the calculation agent in accordance with the following provisions:</w:t>
      </w:r>
    </w:p>
    <w:p>
      <w:pPr>
        <w:spacing w:after="0" w:line="131" w:lineRule="exact"/>
        <w:rPr>
          <w:sz w:val="20"/>
          <w:szCs w:val="20"/>
          <w:color w:val="auto"/>
        </w:rPr>
      </w:pPr>
    </w:p>
    <w:p>
      <w:pPr>
        <w:ind w:left="1060" w:hanging="424"/>
        <w:spacing w:after="0" w:line="297"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respect to any interest determination date, LIBOR shall be the rate for deposits in United States dollars having a maturity of three-months beginning on the first day of the applicable interest period that appears on Bloomberg L.P.’s page “BBAM” as of 11:00 a.m., London time, on that interest determination date. If no rate appears on Bloomberg L.P.’s page “BBAM”, the calculation agent will obtain such rate from Reuters Screen LIBOR01 Page. If no rate appears on Bloomberg L.P.’s page “BBAM” or Reuters Screen LIBOR01 Page, then LIBOR, in respect of that interest determination date, will be determined in accordance with the provisions described in (ii) and (iii) below.</w:t>
      </w:r>
    </w:p>
    <w:p>
      <w:pPr>
        <w:spacing w:after="0" w:line="63" w:lineRule="exact"/>
        <w:rPr>
          <w:rFonts w:ascii="Arial" w:cs="Arial" w:eastAsia="Arial" w:hAnsi="Arial"/>
          <w:sz w:val="16"/>
          <w:szCs w:val="16"/>
          <w:color w:val="auto"/>
        </w:rPr>
      </w:pPr>
    </w:p>
    <w:p>
      <w:pPr>
        <w:ind w:left="1060" w:right="20" w:hanging="424"/>
        <w:spacing w:after="0" w:line="286"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With respect to an interest determination date on which no rate appears on Bloomberg L.P.’s page “BBAM” or Reuters Screen LIBOR01 Page, except as provided in clause (iii) below, as specified in (i) above, we will request the principal London offices of each of four major reference banks in the London interbank market, as selected by us, to provide the calculation agent with its offered quotation for deposits in United States dollars for the period of three months, commencing on the first day of the applicable interest period, to prime banks in the London interbank market at approximately 11:00 a.m., London time, on that interest determination date and in a principal amount that is representative for a single transaction in United States dollars in that market at that time. If at least two quotations are provided, then LIBOR on that interest determination date will be the arithmetic average of those quotations. If fewer than two quotations are provided, we will select three major banks in the City of New York and shall request each of them to provide to the calculation agent a quotation of the rate offered by them at approximately 11:00 a.m., in the City of New York, on the interest determination date for loans in United States dollars to leading European banks, having a three-month maturity and in a principal amount that is representative for a single transaction in United States dollars in that market at that time. If three quotations are provided, LIBOR will be the arithmetic average of the quotations provided;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the banks selected by us are not providing quotations in the manner described by this sentence, LIBOR will be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as the rate determined for the immediately preceding interest reset date.</w:t>
      </w:r>
    </w:p>
    <w:p>
      <w:pPr>
        <w:spacing w:after="0" w:line="80" w:lineRule="exact"/>
        <w:rPr>
          <w:rFonts w:ascii="Arial" w:cs="Arial" w:eastAsia="Arial" w:hAnsi="Arial"/>
          <w:sz w:val="16"/>
          <w:szCs w:val="16"/>
          <w:color w:val="auto"/>
        </w:rPr>
      </w:pPr>
    </w:p>
    <w:p>
      <w:pPr>
        <w:ind w:left="1060" w:right="20" w:hanging="424"/>
        <w:spacing w:after="0" w:line="25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Notwithstanding clause (ii) above, if we determine that LIBOR has been permanently discontinued, the calculation agent will use, as directed by us, as a substitute for LIBOR (the “Alternative Rate”) and for each future interest determination date, the alternative reference rate selected by the central bank, reserve bank, monetary authority or any similar institution (including any committee or working group thereof) that is consistent with accepted market practice. As part of such substitution, the calculation agent will, as directed by us, make such adjustments (“Adjustments”) to the Alternative Rate or the spread thereon, as well as the business day convention, interest determination dates and related provisions and definitions, in each case that are consistent with accepted market practice for the use of such Alternative Rate for debt obligations such as the floating rate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we determine that there is no alternative reference rate selected by the central bank, reserve bank, monetary authority or any similar institution (including any committee or working group thereof) that</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9" w:lineRule="auto"/>
        <w:rPr>
          <w:sz w:val="20"/>
          <w:szCs w:val="20"/>
          <w:color w:val="auto"/>
        </w:rPr>
      </w:pPr>
      <w:r>
        <w:rPr>
          <w:rFonts w:ascii="Arial" w:cs="Arial" w:eastAsia="Arial" w:hAnsi="Arial"/>
          <w:sz w:val="17"/>
          <w:szCs w:val="17"/>
          <w:color w:val="auto"/>
        </w:rPr>
        <w:t>is consistent with accepted market practice regarding a substitute for LIBOR, we will appoint in our sole discretion an independent financial advisor (the “IFA”) to determine the Alternative Rate and make any Adjustments thereon, and whose determinations will be binding on us, the trustee and the holders of the floating rate notes. If, however, we determine that LIBOR has been discontinued, but for any reason an Alternative Rate has not been determined, LIBOR will be equal to the rate of LIBOR for the current interest period.</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A “business day” is any Monday, Tuesday, Wednesday, Thursday or Friday that is not a day on which banking institutions in the City of New York are authorized or obligated by law or executive order to close,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the floating rate notes, the day is also a London Banking Day.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“London Banking Day” is any day in which dealings in United States dollars are transacted in the London interbank market.</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“Bloomberg L.P.’s page “BBAM”” means the display designated as Bloomberg L.P.’s page “BBAM” (or such other page as may replace page BBAM on that service or any successor service for the purpose of displaying London interbank offered rates for United States dollar deposits of major banks).</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“Reuters Screen LIBOR01 Page” means the display designated on page “LIBOR01” on Reuters (or such other page as may replace the LIBOR01 page on that service or any successor service for the purpose of displaying London interbank offered rates for United States dollar deposits of major banks).</w:t>
      </w:r>
    </w:p>
    <w:p>
      <w:pPr>
        <w:spacing w:after="0" w:line="181"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hundred-thousandth of a percentage point, with five one-millionths of a percentage point rounded upwards (e.g., 9.876545% (or .09876545) being rounded to 9.87655% (or .0987655)) and all dollar amounts used in or resulting from such calculations will be rounded to the nearest cent (with one-half cent being rounded upwards).</w:t>
      </w:r>
    </w:p>
    <w:p>
      <w:pPr>
        <w:spacing w:after="0" w:line="14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The interest rate on the floating rate notes will in no event be higher than the maximum rate permitted by New York law as the same may be modified by United States law of general application. Additionally, the interest rate on the floating rate notes will in no event be lower than zero.</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calculation agent will, upon the request of the holder of any floating rate note, provide the interest rate then in effect. All calculations of the calculation agent, in the absence of manifest error, shall be conclusive for all purposes and binding on us and holders of the floating rate notes. We may appoint a successor calculation agent without the consent of the holders of the floating rate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Fixed Rate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Interest on the fixed rate notes will be computed on the basis of a 360-day year consisting of twelve 30-day months. Interest on the fixed rate notes</w:t>
      </w:r>
    </w:p>
    <w:p>
      <w:pPr>
        <w:spacing w:after="0" w:line="46"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will accrue from (i) the earlier of October , 2018 and the date of original issuance or (ii) from the most recent interest payment date to which interest has been paid, and will be payable semiannually on interest payment dates described for each year.</w:t>
      </w:r>
    </w:p>
    <w:p>
      <w:pPr>
        <w:spacing w:after="0" w:line="184"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Floating Rate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floating rate notes are not redeemable at our option prior to maturity.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Fixed Rate Notes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will have the right at our option to redeem any of the fixed rate notes of each series in whole or in part, at any time or from time to time prior to their maturity, on at least 15 days, but not more than 30 days, prior notice delivered electronically (in the case of Global Notes) or mailed to the registered address of each holder of fixed rate notes, at the applicable Redemption Price. We will calculate the Redemption Price in connection with any redemption hereunder.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“Redemption Price” means:</w:t>
      </w:r>
    </w:p>
    <w:p>
      <w:pPr>
        <w:spacing w:after="0" w:line="117" w:lineRule="exact"/>
        <w:rPr>
          <w:sz w:val="20"/>
          <w:szCs w:val="20"/>
          <w:color w:val="auto"/>
        </w:rPr>
      </w:pPr>
    </w:p>
    <w:p>
      <w:pPr>
        <w:ind w:left="640"/>
        <w:spacing w:after="0"/>
        <w:tabs>
          <w:tab w:leader="none" w:pos="3360" w:val="left"/>
          <w:tab w:leader="none" w:pos="5600" w:val="left"/>
          <w:tab w:leader="none" w:pos="6060" w:val="left"/>
          <w:tab w:leader="none" w:pos="6300" w:val="left"/>
          <w:tab w:leader="none" w:pos="9960" w:val="left"/>
          <w:tab w:leader="none" w:pos="10820" w:val="left"/>
        </w:tabs>
        <w:rPr>
          <w:sz w:val="20"/>
          <w:szCs w:val="20"/>
          <w:color w:val="auto"/>
        </w:rPr>
      </w:pPr>
      <w:r>
        <w:rPr>
          <w:rFonts w:ascii="Arial" w:cs="Arial" w:eastAsia="Arial" w:hAnsi="Arial"/>
          <w:sz w:val="18"/>
          <w:szCs w:val="18"/>
          <w:color w:val="auto"/>
        </w:rPr>
        <w:t>(a)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tab/>
        <w:t>) (the “20</w:t>
      </w:r>
      <w:r>
        <w:rPr>
          <w:sz w:val="20"/>
          <w:szCs w:val="20"/>
          <w:color w:val="auto"/>
        </w:rPr>
        <w:tab/>
      </w:r>
      <w:r>
        <w:rPr>
          <w:rFonts w:ascii="Arial" w:cs="Arial" w:eastAsia="Arial" w:hAnsi="Arial"/>
          <w:sz w:val="15"/>
          <w:szCs w:val="15"/>
          <w:color w:val="auto"/>
        </w:rPr>
        <w:t>Par</w:t>
      </w:r>
    </w:p>
    <w:p>
      <w:pPr>
        <w:spacing w:after="0" w:line="23" w:lineRule="exact"/>
        <w:rPr>
          <w:sz w:val="20"/>
          <w:szCs w:val="20"/>
          <w:color w:val="auto"/>
        </w:rPr>
      </w:pPr>
    </w:p>
    <w:p>
      <w:pPr>
        <w:ind w:left="200"/>
        <w:spacing w:after="0" w:line="203" w:lineRule="auto"/>
        <w:rPr>
          <w:sz w:val="20"/>
          <w:szCs w:val="20"/>
          <w:color w:val="auto"/>
        </w:rPr>
      </w:pPr>
      <w:r>
        <w:rPr>
          <w:rFonts w:ascii="Arial" w:cs="Arial" w:eastAsia="Arial" w:hAnsi="Arial"/>
          <w:sz w:val="11"/>
          <w:szCs w:val="11"/>
          <w:color w:val="auto"/>
        </w:rPr>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70" w:lineRule="exact"/>
        <w:rPr>
          <w:sz w:val="20"/>
          <w:szCs w:val="20"/>
          <w:color w:val="auto"/>
        </w:rPr>
      </w:pPr>
    </w:p>
    <w:p>
      <w:pPr>
        <w:ind w:left="640"/>
        <w:spacing w:after="0"/>
        <w:tabs>
          <w:tab w:leader="none" w:pos="3380" w:val="left"/>
          <w:tab w:leader="none" w:pos="5620" w:val="left"/>
          <w:tab w:leader="none" w:pos="6060" w:val="left"/>
          <w:tab w:leader="none" w:pos="6300" w:val="left"/>
          <w:tab w:leader="none" w:pos="9960" w:val="left"/>
          <w:tab w:leader="none" w:pos="10840" w:val="left"/>
        </w:tabs>
        <w:rPr>
          <w:sz w:val="20"/>
          <w:szCs w:val="20"/>
          <w:color w:val="auto"/>
        </w:rPr>
      </w:pPr>
      <w:r>
        <w:rPr>
          <w:rFonts w:ascii="Arial" w:cs="Arial" w:eastAsia="Arial" w:hAnsi="Arial"/>
          <w:sz w:val="18"/>
          <w:szCs w:val="18"/>
          <w:color w:val="auto"/>
        </w:rPr>
        <w:t>(b)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tab/>
        <w:t>) (the “20</w:t>
      </w:r>
      <w:r>
        <w:rPr>
          <w:sz w:val="20"/>
          <w:szCs w:val="20"/>
          <w:color w:val="auto"/>
        </w:rPr>
        <w:tab/>
      </w:r>
      <w:r>
        <w:rPr>
          <w:rFonts w:ascii="Arial" w:cs="Arial" w:eastAsia="Arial" w:hAnsi="Arial"/>
          <w:sz w:val="15"/>
          <w:szCs w:val="15"/>
          <w:color w:val="auto"/>
        </w:rPr>
        <w:t>Par</w:t>
      </w:r>
    </w:p>
    <w:p>
      <w:pPr>
        <w:spacing w:after="0" w:line="23" w:lineRule="exact"/>
        <w:rPr>
          <w:sz w:val="20"/>
          <w:szCs w:val="20"/>
          <w:color w:val="auto"/>
        </w:rPr>
      </w:pPr>
    </w:p>
    <w:p>
      <w:pPr>
        <w:ind w:left="200"/>
        <w:spacing w:after="0" w:line="203" w:lineRule="auto"/>
        <w:rPr>
          <w:sz w:val="20"/>
          <w:szCs w:val="20"/>
          <w:color w:val="auto"/>
        </w:rPr>
      </w:pPr>
      <w:r>
        <w:rPr>
          <w:rFonts w:ascii="Arial" w:cs="Arial" w:eastAsia="Arial" w:hAnsi="Arial"/>
          <w:sz w:val="11"/>
          <w:szCs w:val="11"/>
          <w:color w:val="auto"/>
        </w:rPr>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70" w:lineRule="exact"/>
        <w:rPr>
          <w:sz w:val="20"/>
          <w:szCs w:val="20"/>
          <w:color w:val="auto"/>
        </w:rPr>
      </w:pPr>
    </w:p>
    <w:p>
      <w:pPr>
        <w:ind w:left="640"/>
        <w:spacing w:after="0"/>
        <w:tabs>
          <w:tab w:leader="none" w:pos="3360" w:val="left"/>
          <w:tab w:leader="none" w:pos="5600" w:val="left"/>
          <w:tab w:leader="none" w:pos="6060" w:val="left"/>
          <w:tab w:leader="none" w:pos="6300" w:val="left"/>
          <w:tab w:leader="none" w:pos="9960" w:val="left"/>
          <w:tab w:leader="none" w:pos="10820" w:val="left"/>
        </w:tabs>
        <w:rPr>
          <w:sz w:val="20"/>
          <w:szCs w:val="20"/>
          <w:color w:val="auto"/>
        </w:rPr>
      </w:pPr>
      <w:r>
        <w:rPr>
          <w:rFonts w:ascii="Arial" w:cs="Arial" w:eastAsia="Arial" w:hAnsi="Arial"/>
          <w:sz w:val="18"/>
          <w:szCs w:val="18"/>
          <w:color w:val="auto"/>
        </w:rPr>
        <w:t>(c)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tab/>
        <w:t>) (the “20</w:t>
      </w:r>
      <w:r>
        <w:rPr>
          <w:sz w:val="20"/>
          <w:szCs w:val="20"/>
          <w:color w:val="auto"/>
        </w:rPr>
        <w:tab/>
      </w:r>
      <w:r>
        <w:rPr>
          <w:rFonts w:ascii="Arial" w:cs="Arial" w:eastAsia="Arial" w:hAnsi="Arial"/>
          <w:sz w:val="15"/>
          <w:szCs w:val="15"/>
          <w:color w:val="auto"/>
        </w:rPr>
        <w:t>Par</w:t>
      </w:r>
    </w:p>
    <w:p>
      <w:pPr>
        <w:spacing w:after="0" w:line="23" w:lineRule="exact"/>
        <w:rPr>
          <w:sz w:val="20"/>
          <w:szCs w:val="20"/>
          <w:color w:val="auto"/>
        </w:rPr>
      </w:pPr>
    </w:p>
    <w:p>
      <w:pPr>
        <w:ind w:left="200"/>
        <w:spacing w:after="0" w:line="203" w:lineRule="auto"/>
        <w:rPr>
          <w:sz w:val="20"/>
          <w:szCs w:val="20"/>
          <w:color w:val="auto"/>
        </w:rPr>
      </w:pPr>
      <w:r>
        <w:rPr>
          <w:rFonts w:ascii="Arial" w:cs="Arial" w:eastAsia="Arial" w:hAnsi="Arial"/>
          <w:sz w:val="11"/>
          <w:szCs w:val="11"/>
          <w:color w:val="auto"/>
        </w:rPr>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70" w:lineRule="exact"/>
        <w:rPr>
          <w:sz w:val="20"/>
          <w:szCs w:val="20"/>
          <w:color w:val="auto"/>
        </w:rPr>
      </w:pPr>
    </w:p>
    <w:p>
      <w:pPr>
        <w:ind w:left="640"/>
        <w:spacing w:after="0"/>
        <w:tabs>
          <w:tab w:leader="none" w:pos="3380" w:val="left"/>
          <w:tab w:leader="none" w:pos="5620" w:val="left"/>
          <w:tab w:leader="none" w:pos="6060" w:val="left"/>
          <w:tab w:leader="none" w:pos="6300" w:val="left"/>
          <w:tab w:leader="none" w:pos="9960" w:val="left"/>
          <w:tab w:leader="none" w:pos="10840" w:val="left"/>
        </w:tabs>
        <w:rPr>
          <w:sz w:val="20"/>
          <w:szCs w:val="20"/>
          <w:color w:val="auto"/>
        </w:rPr>
      </w:pPr>
      <w:r>
        <w:rPr>
          <w:rFonts w:ascii="Arial" w:cs="Arial" w:eastAsia="Arial" w:hAnsi="Arial"/>
          <w:sz w:val="18"/>
          <w:szCs w:val="18"/>
          <w:color w:val="auto"/>
        </w:rPr>
        <w:t>(d)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tab/>
        <w:t>) (the “20</w:t>
      </w:r>
      <w:r>
        <w:rPr>
          <w:sz w:val="20"/>
          <w:szCs w:val="20"/>
          <w:color w:val="auto"/>
        </w:rPr>
        <w:tab/>
      </w:r>
      <w:r>
        <w:rPr>
          <w:rFonts w:ascii="Arial" w:cs="Arial" w:eastAsia="Arial" w:hAnsi="Arial"/>
          <w:sz w:val="15"/>
          <w:szCs w:val="15"/>
          <w:color w:val="auto"/>
        </w:rPr>
        <w:t>Par</w:t>
      </w:r>
    </w:p>
    <w:p>
      <w:pPr>
        <w:spacing w:after="0" w:line="23"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76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519"/>
        </w:trPr>
        <w:tc>
          <w:tcPr>
            <w:tcW w:w="5120" w:type="dxa"/>
            <w:vAlign w:val="bottom"/>
            <w:gridSpan w:val="2"/>
          </w:tcPr>
          <w:p>
            <w:pPr>
              <w:ind w:left="200"/>
              <w:spacing w:after="0"/>
              <w:rPr>
                <w:sz w:val="20"/>
                <w:szCs w:val="20"/>
                <w:color w:val="auto"/>
              </w:rPr>
            </w:pPr>
            <w:r>
              <w:rPr>
                <w:rFonts w:ascii="Arial" w:cs="Arial" w:eastAsia="Arial" w:hAnsi="Arial"/>
                <w:sz w:val="18"/>
                <w:szCs w:val="18"/>
                <w:color w:val="auto"/>
                <w:w w:val="99"/>
              </w:rPr>
              <w:t>consisting of twelve 30-day months) at the Treasury Rate plus</w:t>
            </w:r>
          </w:p>
        </w:tc>
        <w:tc>
          <w:tcPr>
            <w:tcW w:w="5960" w:type="dxa"/>
            <w:vAlign w:val="bottom"/>
          </w:tcPr>
          <w:p>
            <w:pPr>
              <w:ind w:left="280"/>
              <w:spacing w:after="0"/>
              <w:rPr>
                <w:sz w:val="20"/>
                <w:szCs w:val="20"/>
                <w:color w:val="auto"/>
              </w:rPr>
            </w:pPr>
            <w:r>
              <w:rPr>
                <w:rFonts w:ascii="Arial" w:cs="Arial" w:eastAsia="Arial" w:hAnsi="Arial"/>
                <w:sz w:val="18"/>
                <w:szCs w:val="18"/>
                <w:color w:val="auto"/>
                <w:w w:val="92"/>
              </w:rPr>
              <w:t xml:space="preserve">basis points;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 Notes due 20  are redeemed on or after the</w:t>
            </w:r>
          </w:p>
        </w:tc>
      </w:tr>
      <w:tr>
        <w:trPr>
          <w:trHeight w:val="230"/>
        </w:trPr>
        <w:tc>
          <w:tcPr>
            <w:tcW w:w="11080" w:type="dxa"/>
            <w:vAlign w:val="bottom"/>
            <w:gridSpan w:val="3"/>
          </w:tcPr>
          <w:p>
            <w:pPr>
              <w:ind w:left="200"/>
              <w:spacing w:after="0"/>
              <w:rPr>
                <w:sz w:val="20"/>
                <w:szCs w:val="20"/>
                <w:color w:val="auto"/>
              </w:rPr>
            </w:pPr>
            <w:r>
              <w:rPr>
                <w:rFonts w:ascii="Arial" w:cs="Arial" w:eastAsia="Arial" w:hAnsi="Arial"/>
                <w:sz w:val="18"/>
                <w:szCs w:val="18"/>
                <w:color w:val="auto"/>
              </w:rPr>
              <w:t>20  Par Call Date, the Redemption Price will equal 100% of the principal amount of such notes;</w:t>
            </w:r>
          </w:p>
        </w:tc>
      </w:tr>
      <w:tr>
        <w:trPr>
          <w:trHeight w:val="432"/>
        </w:trPr>
        <w:tc>
          <w:tcPr>
            <w:tcW w:w="5120" w:type="dxa"/>
            <w:vAlign w:val="bottom"/>
            <w:gridSpan w:val="2"/>
          </w:tcPr>
          <w:p>
            <w:pPr>
              <w:ind w:left="640"/>
              <w:spacing w:after="0"/>
              <w:rPr>
                <w:sz w:val="20"/>
                <w:szCs w:val="20"/>
                <w:color w:val="auto"/>
              </w:rPr>
            </w:pPr>
            <w:r>
              <w:rPr>
                <w:rFonts w:ascii="Arial" w:cs="Arial" w:eastAsia="Arial" w:hAnsi="Arial"/>
                <w:sz w:val="18"/>
                <w:szCs w:val="18"/>
                <w:color w:val="auto"/>
                <w:w w:val="98"/>
              </w:rPr>
              <w:t>(e) with respect to the Notes due 20  , at any time prior to</w:t>
            </w:r>
          </w:p>
        </w:tc>
        <w:tc>
          <w:tcPr>
            <w:tcW w:w="5960" w:type="dxa"/>
            <w:vAlign w:val="bottom"/>
          </w:tcPr>
          <w:p>
            <w:pPr>
              <w:ind w:left="500"/>
              <w:spacing w:after="0"/>
              <w:rPr>
                <w:sz w:val="20"/>
                <w:szCs w:val="20"/>
                <w:color w:val="auto"/>
              </w:rPr>
            </w:pPr>
            <w:r>
              <w:rPr>
                <w:rFonts w:ascii="Arial" w:cs="Arial" w:eastAsia="Arial" w:hAnsi="Arial"/>
                <w:sz w:val="18"/>
                <w:szCs w:val="18"/>
                <w:color w:val="auto"/>
                <w:w w:val="97"/>
              </w:rPr>
              <w:t>, 20  (  months prior to the maturity of the Notes due 20  ) (the “20  Par</w:t>
            </w:r>
          </w:p>
        </w:tc>
      </w:tr>
    </w:tbl>
    <w:p>
      <w:pPr>
        <w:ind w:left="200"/>
        <w:spacing w:after="0" w:line="20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70" w:lineRule="exact"/>
        <w:rPr>
          <w:sz w:val="20"/>
          <w:szCs w:val="20"/>
          <w:color w:val="auto"/>
        </w:rPr>
      </w:pPr>
    </w:p>
    <w:p>
      <w:pPr>
        <w:ind w:left="640"/>
        <w:spacing w:after="0"/>
        <w:tabs>
          <w:tab w:leader="none" w:pos="3340" w:val="left"/>
          <w:tab w:leader="none" w:pos="5580" w:val="left"/>
          <w:tab w:leader="none" w:pos="6040" w:val="left"/>
          <w:tab w:leader="none" w:pos="6280" w:val="left"/>
          <w:tab w:leader="none" w:pos="9940" w:val="left"/>
          <w:tab w:leader="none" w:pos="10800" w:val="left"/>
        </w:tabs>
        <w:rPr>
          <w:sz w:val="20"/>
          <w:szCs w:val="20"/>
          <w:color w:val="auto"/>
        </w:rPr>
      </w:pPr>
      <w:r>
        <w:rPr>
          <w:rFonts w:ascii="Arial" w:cs="Arial" w:eastAsia="Arial" w:hAnsi="Arial"/>
          <w:sz w:val="18"/>
          <w:szCs w:val="18"/>
          <w:color w:val="auto"/>
        </w:rPr>
        <w:t>(f)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tab/>
        <w:t>) (the “20</w:t>
      </w:r>
      <w:r>
        <w:rPr>
          <w:sz w:val="20"/>
          <w:szCs w:val="20"/>
          <w:color w:val="auto"/>
        </w:rPr>
        <w:tab/>
      </w:r>
      <w:r>
        <w:rPr>
          <w:rFonts w:ascii="Arial" w:cs="Arial" w:eastAsia="Arial" w:hAnsi="Arial"/>
          <w:sz w:val="15"/>
          <w:szCs w:val="15"/>
          <w:color w:val="auto"/>
        </w:rPr>
        <w:t>Par</w:t>
      </w:r>
    </w:p>
    <w:p>
      <w:pPr>
        <w:spacing w:after="0" w:line="23" w:lineRule="exact"/>
        <w:rPr>
          <w:sz w:val="20"/>
          <w:szCs w:val="20"/>
          <w:color w:val="auto"/>
        </w:rPr>
      </w:pPr>
    </w:p>
    <w:p>
      <w:pPr>
        <w:ind w:left="200"/>
        <w:spacing w:after="0" w:line="203" w:lineRule="auto"/>
        <w:rPr>
          <w:sz w:val="20"/>
          <w:szCs w:val="20"/>
          <w:color w:val="auto"/>
        </w:rPr>
      </w:pPr>
      <w:r>
        <w:rPr>
          <w:rFonts w:ascii="Arial" w:cs="Arial" w:eastAsia="Arial" w:hAnsi="Arial"/>
          <w:sz w:val="11"/>
          <w:szCs w:val="11"/>
          <w:color w:val="auto"/>
        </w:rPr>
        <w:t>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 xml:space="preserve">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70" w:lineRule="exact"/>
        <w:rPr>
          <w:sz w:val="20"/>
          <w:szCs w:val="20"/>
          <w:color w:val="auto"/>
        </w:rPr>
      </w:pPr>
    </w:p>
    <w:p>
      <w:pPr>
        <w:ind w:left="640"/>
        <w:spacing w:after="0"/>
        <w:tabs>
          <w:tab w:leader="none" w:pos="3420" w:val="left"/>
          <w:tab w:leader="none" w:pos="5660" w:val="left"/>
          <w:tab w:leader="none" w:pos="6160" w:val="left"/>
          <w:tab w:leader="none" w:pos="6480" w:val="left"/>
          <w:tab w:leader="none" w:pos="10200" w:val="left"/>
        </w:tabs>
        <w:rPr>
          <w:sz w:val="20"/>
          <w:szCs w:val="20"/>
          <w:color w:val="auto"/>
        </w:rPr>
      </w:pPr>
      <w:r>
        <w:rPr>
          <w:rFonts w:ascii="Arial" w:cs="Arial" w:eastAsia="Arial" w:hAnsi="Arial"/>
          <w:sz w:val="18"/>
          <w:szCs w:val="18"/>
          <w:color w:val="auto"/>
        </w:rPr>
        <w:t>(g)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r>
      <w:r>
        <w:rPr>
          <w:sz w:val="20"/>
          <w:szCs w:val="20"/>
          <w:color w:val="auto"/>
        </w:rPr>
        <w:tab/>
      </w:r>
      <w:r>
        <w:rPr>
          <w:rFonts w:ascii="Arial" w:cs="Arial" w:eastAsia="Arial" w:hAnsi="Arial"/>
          <w:sz w:val="16"/>
          <w:szCs w:val="16"/>
          <w:color w:val="auto"/>
        </w:rPr>
        <w:t>) (the “20</w:t>
      </w:r>
    </w:p>
    <w:p>
      <w:pPr>
        <w:spacing w:after="0" w:line="23" w:lineRule="exact"/>
        <w:rPr>
          <w:sz w:val="20"/>
          <w:szCs w:val="20"/>
          <w:color w:val="auto"/>
        </w:rPr>
      </w:pPr>
    </w:p>
    <w:p>
      <w:pPr>
        <w:ind w:left="200" w:right="20"/>
        <w:spacing w:after="0" w:line="203" w:lineRule="auto"/>
        <w:rPr>
          <w:sz w:val="20"/>
          <w:szCs w:val="20"/>
          <w:color w:val="auto"/>
        </w:rPr>
      </w:pPr>
      <w:r>
        <w:rPr>
          <w:rFonts w:ascii="Arial" w:cs="Arial" w:eastAsia="Arial" w:hAnsi="Arial"/>
          <w:sz w:val="11"/>
          <w:szCs w:val="11"/>
          <w:color w:val="auto"/>
        </w:rPr>
        <w:t>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 Par Call Date, in each case discounted to the redemption date on a semiannual basis (assuming a 360-day year consisting of twelve 30-day months)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 xml:space="preserve">Treasury 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 and</w:t>
      </w:r>
    </w:p>
    <w:p>
      <w:pPr>
        <w:spacing w:after="0" w:line="170" w:lineRule="exact"/>
        <w:rPr>
          <w:sz w:val="20"/>
          <w:szCs w:val="20"/>
          <w:color w:val="auto"/>
        </w:rPr>
      </w:pPr>
    </w:p>
    <w:p>
      <w:pPr>
        <w:ind w:left="640"/>
        <w:spacing w:after="0"/>
        <w:tabs>
          <w:tab w:leader="none" w:pos="3380" w:val="left"/>
          <w:tab w:leader="none" w:pos="5620" w:val="left"/>
          <w:tab w:leader="none" w:pos="6100" w:val="left"/>
          <w:tab w:leader="none" w:pos="6440" w:val="left"/>
          <w:tab w:leader="none" w:pos="10140" w:val="left"/>
        </w:tabs>
        <w:rPr>
          <w:sz w:val="20"/>
          <w:szCs w:val="20"/>
          <w:color w:val="auto"/>
        </w:rPr>
      </w:pPr>
      <w:r>
        <w:rPr>
          <w:rFonts w:ascii="Arial" w:cs="Arial" w:eastAsia="Arial" w:hAnsi="Arial"/>
          <w:sz w:val="18"/>
          <w:szCs w:val="18"/>
          <w:color w:val="auto"/>
        </w:rPr>
        <w:t>(h) with respect to the Notes due 20</w:t>
        <w:tab/>
        <w:t>, at any time prior to</w:t>
      </w:r>
      <w:r>
        <w:rPr>
          <w:sz w:val="20"/>
          <w:szCs w:val="20"/>
          <w:color w:val="auto"/>
        </w:rPr>
        <w:tab/>
      </w:r>
      <w:r>
        <w:rPr>
          <w:rFonts w:ascii="Arial" w:cs="Arial" w:eastAsia="Arial" w:hAnsi="Arial"/>
          <w:sz w:val="18"/>
          <w:szCs w:val="18"/>
          <w:color w:val="auto"/>
        </w:rPr>
        <w:t>, 20</w:t>
        <w:tab/>
        <w:t>(</w:t>
        <w:tab/>
        <w:t>months prior to the maturity of the Notes due 20</w:t>
      </w:r>
      <w:r>
        <w:rPr>
          <w:sz w:val="20"/>
          <w:szCs w:val="20"/>
          <w:color w:val="auto"/>
        </w:rPr>
        <w:tab/>
      </w:r>
      <w:r>
        <w:rPr>
          <w:rFonts w:ascii="Arial" w:cs="Arial" w:eastAsia="Arial" w:hAnsi="Arial"/>
          <w:sz w:val="17"/>
          <w:szCs w:val="17"/>
          <w:color w:val="auto"/>
        </w:rPr>
        <w:t>) (the</w:t>
      </w:r>
    </w:p>
    <w:p>
      <w:pPr>
        <w:spacing w:after="0" w:line="23" w:lineRule="exact"/>
        <w:rPr>
          <w:sz w:val="20"/>
          <w:szCs w:val="20"/>
          <w:color w:val="auto"/>
        </w:rPr>
      </w:pPr>
    </w:p>
    <w:p>
      <w:pPr>
        <w:ind w:left="200" w:right="340"/>
        <w:spacing w:after="0" w:line="281" w:lineRule="auto"/>
        <w:rPr>
          <w:sz w:val="20"/>
          <w:szCs w:val="20"/>
          <w:color w:val="auto"/>
        </w:rPr>
      </w:pPr>
      <w:r>
        <w:rPr>
          <w:rFonts w:ascii="Arial" w:cs="Arial" w:eastAsia="Arial" w:hAnsi="Arial"/>
          <w:sz w:val="16"/>
          <w:szCs w:val="16"/>
          <w:color w:val="auto"/>
        </w:rPr>
        <w:t>“20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w:t>
      </w:r>
    </w:p>
    <w:p>
      <w:pPr>
        <w:spacing w:after="0" w:line="1" w:lineRule="exact"/>
        <w:rPr>
          <w:sz w:val="20"/>
          <w:szCs w:val="20"/>
          <w:color w:val="auto"/>
        </w:rPr>
      </w:pPr>
    </w:p>
    <w:p>
      <w:pPr>
        <w:ind w:left="200"/>
        <w:spacing w:after="0"/>
        <w:tabs>
          <w:tab w:leader="none" w:pos="580" w:val="left"/>
        </w:tabs>
        <w:rPr>
          <w:sz w:val="20"/>
          <w:szCs w:val="20"/>
          <w:color w:val="auto"/>
        </w:rPr>
      </w:pPr>
      <w:r>
        <w:rPr>
          <w:rFonts w:ascii="Arial" w:cs="Arial" w:eastAsia="Arial" w:hAnsi="Arial"/>
          <w:sz w:val="16"/>
          <w:szCs w:val="16"/>
          <w:color w:val="auto"/>
        </w:rPr>
        <w:t>20</w:t>
        <w:tab/>
        <w:t>Par Call Date, in each case discounted to the redemption date on a semiannual basis (assuming a 360-day year consisting of twelve 30-day months)</w:t>
      </w:r>
    </w:p>
    <w:p>
      <w:pPr>
        <w:spacing w:after="0" w:line="32"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 xml:space="preserve">at the Treasury Rate plus basis points;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Notes due 20 are redeemed on or after the 20 Par Call Date, the Redemption Price will equal 100% of the principal amount of such notes;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trustee shall have no obligation to determine the Redemption Price for any of the notes.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fixed rate notes were the applicable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20"/>
          </w:cols>
          <w:pgMar w:left="240" w:top="446"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Par Call Date (the “Remaining Life”) that would be utilized, at the time of selection and in accordance with customary financial practice, in pricing new issues of corporate debt securities of comparable maturity to the Remaining Life of such fixed rate notes.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2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“Reference Treasury Dealer” means each of Merrill Lynch, Pierce, Fenner &amp; Smith Incorporated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“Primary Treasury Dealer”), we will substitute therefor another Primary Treasury Dealer.</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and after the redemption date, interest will cease to accrue on the fixed rate notes or any portion of the fixed rate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fixed rate notes to be redeemed on such date. If less than all of the fixed rate notes of any series are to be redeemed, the fixed rate notes to be redeemed shall be selected by the trustee by such method as the trustee shall deem fair and appropriate (provided that interests in fixed rate notes represented by a Global Note will be selected for redemption by The Depository Trust Company in accordance with its standard procedures therefor).</w:t>
      </w:r>
    </w:p>
    <w:p>
      <w:pPr>
        <w:spacing w:after="0" w:line="18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we may at any time repurchase floating rate notes or fixed rate notes in the open market and may hold or surrender such notes to the trustee for cancellation.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DTC</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7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6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79"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14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expect that DTC (or its nominee), upon receipt of any payment of principal of, premium, if any, or interest on the Global Notes will credit the accounts of their relevant participants or account holders, 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7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76" w:lineRule="exact"/>
        <w:rPr>
          <w:sz w:val="20"/>
          <w:szCs w:val="20"/>
          <w:color w:val="auto"/>
        </w:rPr>
      </w:pPr>
    </w:p>
    <w:p>
      <w:pPr>
        <w:ind w:left="10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1060" w:right="260" w:hanging="316"/>
        <w:spacing w:after="0" w:line="286"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70" w:lineRule="exact"/>
        <w:rPr>
          <w:rFonts w:ascii="Arial" w:cs="Arial" w:eastAsia="Arial" w:hAnsi="Arial"/>
          <w:sz w:val="17"/>
          <w:szCs w:val="17"/>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 or</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with respect to the notes to their financial statements under Section 451 of the United States Internal Revenue Code of 1986, as amended (the “Code”).</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1060" w:right="20" w:hanging="31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81"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We intend to offer the notes through the underwriters named below for which Merrill Lynch, Pierce, Fenner and Smith Incorporated and Wells Fargo Securities, LLC are serving as representatives.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5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Principal</w:t>
            </w:r>
          </w:p>
        </w:tc>
        <w:tc>
          <w:tcPr>
            <w:tcW w:w="12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0"/>
              </w:rPr>
              <w:t>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40" w:type="dxa"/>
            <w:vAlign w:val="bottom"/>
            <w:gridSpan w:val="2"/>
          </w:tcPr>
          <w:p>
            <w:pPr>
              <w:jc w:val="center"/>
              <w:ind w:left="1093"/>
              <w:spacing w:after="0" w:line="135" w:lineRule="exact"/>
              <w:rPr>
                <w:sz w:val="20"/>
                <w:szCs w:val="20"/>
                <w:color w:val="auto"/>
              </w:rPr>
            </w:pPr>
            <w:r>
              <w:rPr>
                <w:rFonts w:ascii="Arial" w:cs="Arial" w:eastAsia="Arial" w:hAnsi="Arial"/>
                <w:sz w:val="13"/>
                <w:szCs w:val="13"/>
                <w:b w:val="1"/>
                <w:bCs w:val="1"/>
                <w:color w:val="auto"/>
                <w:w w:val="89"/>
              </w:rPr>
              <w:t>Floating Rate</w:t>
            </w:r>
          </w:p>
        </w:tc>
        <w:tc>
          <w:tcPr>
            <w:tcW w:w="700" w:type="dxa"/>
            <w:vAlign w:val="bottom"/>
            <w:gridSpan w:val="2"/>
          </w:tcPr>
          <w:p>
            <w:pPr>
              <w:jc w:val="center"/>
              <w:ind w:left="13"/>
              <w:spacing w:after="0" w:line="135" w:lineRule="exact"/>
              <w:rPr>
                <w:sz w:val="20"/>
                <w:szCs w:val="20"/>
                <w:color w:val="auto"/>
              </w:rPr>
            </w:pPr>
            <w:r>
              <w:rPr>
                <w:rFonts w:ascii="Arial" w:cs="Arial" w:eastAsia="Arial" w:hAnsi="Arial"/>
                <w:sz w:val="13"/>
                <w:szCs w:val="13"/>
                <w:b w:val="1"/>
                <w:bCs w:val="1"/>
                <w:color w:val="auto"/>
                <w:w w:val="89"/>
              </w:rPr>
              <w:t>Amount of</w:t>
            </w:r>
          </w:p>
        </w:tc>
        <w:tc>
          <w:tcPr>
            <w:tcW w:w="700" w:type="dxa"/>
            <w:vAlign w:val="bottom"/>
            <w:gridSpan w:val="2"/>
          </w:tcPr>
          <w:p>
            <w:pPr>
              <w:jc w:val="center"/>
              <w:ind w:left="33"/>
              <w:spacing w:after="0" w:line="135" w:lineRule="exact"/>
              <w:rPr>
                <w:sz w:val="20"/>
                <w:szCs w:val="20"/>
                <w:color w:val="auto"/>
              </w:rPr>
            </w:pPr>
            <w:r>
              <w:rPr>
                <w:rFonts w:ascii="Arial" w:cs="Arial" w:eastAsia="Arial" w:hAnsi="Arial"/>
                <w:sz w:val="13"/>
                <w:szCs w:val="13"/>
                <w:b w:val="1"/>
                <w:bCs w:val="1"/>
                <w:color w:val="auto"/>
                <w:w w:val="86"/>
              </w:rPr>
              <w:t>Amount of</w:t>
            </w:r>
          </w:p>
        </w:tc>
        <w:tc>
          <w:tcPr>
            <w:tcW w:w="700" w:type="dxa"/>
            <w:vAlign w:val="bottom"/>
            <w:gridSpan w:val="2"/>
          </w:tcPr>
          <w:p>
            <w:pPr>
              <w:jc w:val="center"/>
              <w:ind w:left="53"/>
              <w:spacing w:after="0" w:line="135" w:lineRule="exact"/>
              <w:rPr>
                <w:sz w:val="20"/>
                <w:szCs w:val="20"/>
                <w:color w:val="auto"/>
              </w:rPr>
            </w:pPr>
            <w:r>
              <w:rPr>
                <w:rFonts w:ascii="Arial" w:cs="Arial" w:eastAsia="Arial" w:hAnsi="Arial"/>
                <w:sz w:val="13"/>
                <w:szCs w:val="13"/>
                <w:b w:val="1"/>
                <w:bCs w:val="1"/>
                <w:color w:val="auto"/>
                <w:w w:val="89"/>
              </w:rPr>
              <w:t>Amount of</w:t>
            </w:r>
          </w:p>
        </w:tc>
        <w:tc>
          <w:tcPr>
            <w:tcW w:w="700" w:type="dxa"/>
            <w:vAlign w:val="bottom"/>
            <w:gridSpan w:val="2"/>
          </w:tcPr>
          <w:p>
            <w:pPr>
              <w:jc w:val="center"/>
              <w:ind w:left="53"/>
              <w:spacing w:after="0" w:line="135" w:lineRule="exact"/>
              <w:rPr>
                <w:sz w:val="20"/>
                <w:szCs w:val="20"/>
                <w:color w:val="auto"/>
              </w:rPr>
            </w:pPr>
            <w:r>
              <w:rPr>
                <w:rFonts w:ascii="Arial" w:cs="Arial" w:eastAsia="Arial" w:hAnsi="Arial"/>
                <w:sz w:val="13"/>
                <w:szCs w:val="13"/>
                <w:b w:val="1"/>
                <w:bCs w:val="1"/>
                <w:color w:val="auto"/>
                <w:w w:val="89"/>
              </w:rPr>
              <w:t>Amount of</w:t>
            </w:r>
          </w:p>
        </w:tc>
        <w:tc>
          <w:tcPr>
            <w:tcW w:w="700" w:type="dxa"/>
            <w:vAlign w:val="bottom"/>
            <w:gridSpan w:val="2"/>
          </w:tcPr>
          <w:p>
            <w:pPr>
              <w:jc w:val="center"/>
              <w:ind w:left="53"/>
              <w:spacing w:after="0" w:line="135" w:lineRule="exact"/>
              <w:rPr>
                <w:sz w:val="20"/>
                <w:szCs w:val="20"/>
                <w:color w:val="auto"/>
              </w:rPr>
            </w:pPr>
            <w:r>
              <w:rPr>
                <w:rFonts w:ascii="Arial" w:cs="Arial" w:eastAsia="Arial" w:hAnsi="Arial"/>
                <w:sz w:val="13"/>
                <w:szCs w:val="13"/>
                <w:b w:val="1"/>
                <w:bCs w:val="1"/>
                <w:color w:val="auto"/>
                <w:w w:val="89"/>
              </w:rPr>
              <w:t>Amount of</w:t>
            </w:r>
          </w:p>
        </w:tc>
        <w:tc>
          <w:tcPr>
            <w:tcW w:w="700" w:type="dxa"/>
            <w:vAlign w:val="bottom"/>
            <w:gridSpan w:val="2"/>
          </w:tcPr>
          <w:p>
            <w:pPr>
              <w:jc w:val="center"/>
              <w:ind w:left="53"/>
              <w:spacing w:after="0" w:line="135" w:lineRule="exact"/>
              <w:rPr>
                <w:sz w:val="20"/>
                <w:szCs w:val="20"/>
                <w:color w:val="auto"/>
              </w:rPr>
            </w:pPr>
            <w:r>
              <w:rPr>
                <w:rFonts w:ascii="Arial" w:cs="Arial" w:eastAsia="Arial" w:hAnsi="Arial"/>
                <w:sz w:val="13"/>
                <w:szCs w:val="13"/>
                <w:b w:val="1"/>
                <w:bCs w:val="1"/>
                <w:color w:val="auto"/>
                <w:w w:val="89"/>
              </w:rPr>
              <w:t>Amount of</w:t>
            </w:r>
          </w:p>
        </w:tc>
        <w:tc>
          <w:tcPr>
            <w:tcW w:w="700" w:type="dxa"/>
            <w:vAlign w:val="bottom"/>
            <w:gridSpan w:val="2"/>
          </w:tcPr>
          <w:p>
            <w:pPr>
              <w:jc w:val="center"/>
              <w:ind w:left="53"/>
              <w:spacing w:after="0" w:line="135" w:lineRule="exact"/>
              <w:rPr>
                <w:sz w:val="20"/>
                <w:szCs w:val="20"/>
                <w:color w:val="auto"/>
              </w:rPr>
            </w:pPr>
            <w:r>
              <w:rPr>
                <w:rFonts w:ascii="Arial" w:cs="Arial" w:eastAsia="Arial" w:hAnsi="Arial"/>
                <w:sz w:val="13"/>
                <w:szCs w:val="13"/>
                <w:b w:val="1"/>
                <w:bCs w:val="1"/>
                <w:color w:val="auto"/>
                <w:w w:val="89"/>
              </w:rPr>
              <w:t>Amount of</w:t>
            </w:r>
          </w:p>
        </w:tc>
        <w:tc>
          <w:tcPr>
            <w:tcW w:w="7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Notes due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Notes due</w:t>
            </w:r>
          </w:p>
        </w:tc>
        <w:tc>
          <w:tcPr>
            <w:tcW w:w="12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5"/>
              </w:rPr>
              <w:t>Notes due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940" w:type="dxa"/>
            <w:vAlign w:val="bottom"/>
            <w:gridSpan w:val="2"/>
          </w:tcPr>
          <w:p>
            <w:pPr>
              <w:jc w:val="right"/>
              <w:ind w:right="31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217"/>
              <w:spacing w:after="0" w:line="135" w:lineRule="exact"/>
              <w:rPr>
                <w:sz w:val="20"/>
                <w:szCs w:val="20"/>
                <w:color w:val="auto"/>
              </w:rPr>
            </w:pPr>
            <w:r>
              <w:rPr>
                <w:rFonts w:ascii="Arial" w:cs="Arial" w:eastAsia="Arial" w:hAnsi="Arial"/>
                <w:sz w:val="13"/>
                <w:szCs w:val="13"/>
                <w:b w:val="1"/>
                <w:bCs w:val="1"/>
                <w:color w:val="auto"/>
              </w:rPr>
              <w:t>20</w:t>
            </w:r>
          </w:p>
        </w:tc>
        <w:tc>
          <w:tcPr>
            <w:tcW w:w="720" w:type="dxa"/>
            <w:vAlign w:val="bottom"/>
            <w:gridSpan w:val="2"/>
          </w:tcPr>
          <w:p>
            <w:pPr>
              <w:jc w:val="right"/>
              <w:ind w:right="237"/>
              <w:spacing w:after="0" w:line="135" w:lineRule="exact"/>
              <w:rPr>
                <w:sz w:val="20"/>
                <w:szCs w:val="20"/>
                <w:color w:val="auto"/>
              </w:rPr>
            </w:pPr>
            <w:r>
              <w:rPr>
                <w:rFonts w:ascii="Arial" w:cs="Arial" w:eastAsia="Arial" w:hAnsi="Arial"/>
                <w:sz w:val="13"/>
                <w:szCs w:val="13"/>
                <w:b w:val="1"/>
                <w:bCs w:val="1"/>
                <w:color w:val="auto"/>
              </w:rPr>
              <w:t>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Underwriter</w:t>
            </w:r>
          </w:p>
        </w:tc>
        <w:tc>
          <w:tcPr>
            <w:tcW w:w="11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To Be</w:t>
            </w:r>
          </w:p>
        </w:tc>
        <w:tc>
          <w:tcPr>
            <w:tcW w:w="1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To Be</w:t>
            </w:r>
          </w:p>
        </w:tc>
        <w:tc>
          <w:tcPr>
            <w:tcW w:w="12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2"/>
              </w:rPr>
              <w:t>To Be</w:t>
            </w:r>
          </w:p>
        </w:tc>
        <w:tc>
          <w:tcPr>
            <w:tcW w:w="0" w:type="dxa"/>
            <w:vAlign w:val="bottom"/>
          </w:tcPr>
          <w:p>
            <w:pPr>
              <w:spacing w:after="0"/>
              <w:rPr>
                <w:sz w:val="1"/>
                <w:szCs w:val="1"/>
                <w:color w:val="auto"/>
              </w:rPr>
            </w:pPr>
          </w:p>
        </w:tc>
      </w:tr>
      <w:tr>
        <w:trPr>
          <w:trHeight w:val="140"/>
        </w:trPr>
        <w:tc>
          <w:tcPr>
            <w:tcW w:w="344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Purchased</w:t>
            </w:r>
          </w:p>
        </w:tc>
        <w:tc>
          <w:tcPr>
            <w:tcW w:w="12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Purchased</w:t>
            </w:r>
          </w:p>
        </w:tc>
        <w:tc>
          <w:tcPr>
            <w:tcW w:w="120" w:type="dxa"/>
            <w:vAlign w:val="bottom"/>
          </w:tcPr>
          <w:p>
            <w:pPr>
              <w:spacing w:after="0"/>
              <w:rPr>
                <w:sz w:val="12"/>
                <w:szCs w:val="12"/>
                <w:color w:val="auto"/>
              </w:rPr>
            </w:pPr>
          </w:p>
        </w:tc>
        <w:tc>
          <w:tcPr>
            <w:tcW w:w="64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84"/>
              </w:rPr>
              <w:t>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42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Merrill Lynch, Pierce, Fenner &amp; Smith</w:t>
            </w:r>
          </w:p>
        </w:tc>
        <w:tc>
          <w:tcPr>
            <w:tcW w:w="1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Incorporated</w:t>
            </w:r>
          </w:p>
        </w:tc>
        <w:tc>
          <w:tcPr>
            <w:tcW w:w="1940" w:type="dxa"/>
            <w:vAlign w:val="bottom"/>
            <w:gridSpan w:val="2"/>
            <w:shd w:val="clear" w:color="auto" w:fill="CCEEFF"/>
          </w:tcPr>
          <w:p>
            <w:pPr>
              <w:jc w:val="right"/>
              <w:ind w:right="61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37"/>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37"/>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57"/>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Wells Fargo Securities, LLC</w:t>
            </w: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Suisse Securities (USA) LLC</w:t>
            </w:r>
          </w:p>
        </w:tc>
        <w:tc>
          <w:tcPr>
            <w:tcW w:w="1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Mizuho Securities USA LLC</w:t>
            </w: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MUFG Securities Americas Inc.</w:t>
            </w:r>
          </w:p>
        </w:tc>
        <w:tc>
          <w:tcPr>
            <w:tcW w:w="1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gridSpan w:val="2"/>
          </w:tcPr>
          <w:p>
            <w:pPr>
              <w:spacing w:after="0" w:line="149" w:lineRule="exact"/>
              <w:rPr>
                <w:sz w:val="20"/>
                <w:szCs w:val="20"/>
                <w:color w:val="auto"/>
              </w:rPr>
            </w:pPr>
            <w:r>
              <w:rPr>
                <w:rFonts w:ascii="Arial" w:cs="Arial" w:eastAsia="Arial" w:hAnsi="Arial"/>
                <w:sz w:val="14"/>
                <w:szCs w:val="14"/>
                <w:color w:val="auto"/>
              </w:rPr>
              <w:t>SMBC Nikko Securities America, Inc.</w:t>
            </w:r>
          </w:p>
        </w:tc>
        <w:tc>
          <w:tcPr>
            <w:tcW w:w="1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940" w:type="dxa"/>
            <w:vAlign w:val="bottom"/>
            <w:gridSpan w:val="2"/>
            <w:shd w:val="clear" w:color="auto" w:fill="CCEEFF"/>
          </w:tcPr>
          <w:p>
            <w:pPr>
              <w:jc w:val="right"/>
              <w:ind w:right="61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37"/>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37"/>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57"/>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70"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6800" w:type="dxa"/>
            <w:vAlign w:val="bottom"/>
            <w:gridSpan w:val="5"/>
          </w:tcPr>
          <w:p>
            <w:pPr>
              <w:ind w:left="120"/>
              <w:spacing w:after="0"/>
              <w:rPr>
                <w:sz w:val="20"/>
                <w:szCs w:val="20"/>
                <w:color w:val="auto"/>
              </w:rPr>
            </w:pPr>
            <w:r>
              <w:rPr>
                <w:rFonts w:ascii="Arial" w:cs="Arial" w:eastAsia="Arial" w:hAnsi="Arial"/>
                <w:sz w:val="18"/>
                <w:szCs w:val="18"/>
                <w:color w:val="auto"/>
                <w:w w:val="93"/>
              </w:rPr>
              <w:t>It is expected that delivery of the notes will be made against payment therefor on or about</w:t>
            </w:r>
          </w:p>
        </w:tc>
        <w:tc>
          <w:tcPr>
            <w:tcW w:w="3900" w:type="dxa"/>
            <w:vAlign w:val="bottom"/>
            <w:gridSpan w:val="4"/>
          </w:tcPr>
          <w:p>
            <w:pPr>
              <w:jc w:val="right"/>
              <w:ind w:right="330"/>
              <w:spacing w:after="0"/>
              <w:rPr>
                <w:sz w:val="20"/>
                <w:szCs w:val="20"/>
                <w:color w:val="auto"/>
              </w:rPr>
            </w:pPr>
            <w:r>
              <w:rPr>
                <w:rFonts w:ascii="Arial" w:cs="Arial" w:eastAsia="Arial" w:hAnsi="Arial"/>
                <w:sz w:val="18"/>
                <w:szCs w:val="18"/>
                <w:color w:val="auto"/>
              </w:rPr>
              <w:t>, 2018, which is the second business day</w:t>
            </w:r>
          </w:p>
        </w:tc>
      </w:t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following the date hereof.</w:t>
            </w:r>
          </w:p>
        </w:tc>
        <w:tc>
          <w:tcPr>
            <w:tcW w:w="1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40"/>
        </w:trPr>
        <w:tc>
          <w:tcPr>
            <w:tcW w:w="2160" w:type="dxa"/>
            <w:vAlign w:val="bottom"/>
            <w:gridSpan w:val="3"/>
          </w:tcPr>
          <w:p>
            <w:pPr>
              <w:spacing w:after="0"/>
              <w:rPr>
                <w:sz w:val="20"/>
                <w:szCs w:val="20"/>
                <w:color w:val="auto"/>
              </w:rPr>
            </w:pPr>
            <w:r>
              <w:rPr>
                <w:rFonts w:ascii="Arial" w:cs="Arial" w:eastAsia="Arial" w:hAnsi="Arial"/>
                <w:sz w:val="18"/>
                <w:szCs w:val="18"/>
                <w:b w:val="1"/>
                <w:bCs w:val="1"/>
                <w:color w:val="auto"/>
                <w:w w:val="86"/>
              </w:rPr>
              <w:t>Commissions and Discounts</w:t>
            </w:r>
          </w:p>
        </w:tc>
        <w:tc>
          <w:tcPr>
            <w:tcW w:w="1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0"/>
        </w:trPr>
        <w:tc>
          <w:tcPr>
            <w:tcW w:w="320" w:type="dxa"/>
            <w:vAlign w:val="bottom"/>
          </w:tcPr>
          <w:p>
            <w:pPr>
              <w:spacing w:after="0"/>
              <w:rPr>
                <w:sz w:val="24"/>
                <w:szCs w:val="24"/>
                <w:color w:val="auto"/>
              </w:rPr>
            </w:pPr>
          </w:p>
        </w:tc>
        <w:tc>
          <w:tcPr>
            <w:tcW w:w="10700" w:type="dxa"/>
            <w:vAlign w:val="bottom"/>
            <w:gridSpan w:val="9"/>
          </w:tcPr>
          <w:p>
            <w:pPr>
              <w:ind w:left="120"/>
              <w:spacing w:after="0"/>
              <w:rPr>
                <w:sz w:val="20"/>
                <w:szCs w:val="20"/>
                <w:color w:val="auto"/>
              </w:rPr>
            </w:pPr>
            <w:r>
              <w:rPr>
                <w:rFonts w:ascii="Arial" w:cs="Arial" w:eastAsia="Arial" w:hAnsi="Arial"/>
                <w:sz w:val="18"/>
                <w:szCs w:val="18"/>
                <w:color w:val="auto"/>
                <w:w w:val="93"/>
              </w:rPr>
              <w:t>The underwriters have advised us that they propose initially to offer the notes to the public at the public offering price on the cover page of this</w:t>
            </w:r>
          </w:p>
        </w:tc>
      </w:tr>
      <w:tr>
        <w:trPr>
          <w:trHeight w:val="216"/>
        </w:trPr>
        <w:tc>
          <w:tcPr>
            <w:tcW w:w="11020" w:type="dxa"/>
            <w:vAlign w:val="bottom"/>
            <w:gridSpan w:val="10"/>
          </w:tcPr>
          <w:p>
            <w:pPr>
              <w:spacing w:after="0"/>
              <w:rPr>
                <w:sz w:val="20"/>
                <w:szCs w:val="20"/>
                <w:color w:val="auto"/>
              </w:rPr>
            </w:pPr>
            <w:r>
              <w:rPr>
                <w:rFonts w:ascii="Arial" w:cs="Arial" w:eastAsia="Arial" w:hAnsi="Arial"/>
                <w:sz w:val="18"/>
                <w:szCs w:val="18"/>
                <w:color w:val="auto"/>
                <w:w w:val="99"/>
              </w:rPr>
              <w:t>prospectus supplement, and to dealers at that price less a concession not in excess of   % of the principal amount of the floating rate notes,</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and</w:t>
            </w:r>
          </w:p>
        </w:tc>
        <w:tc>
          <w:tcPr>
            <w:tcW w:w="1380" w:type="dxa"/>
            <w:vAlign w:val="bottom"/>
          </w:tcPr>
          <w:p>
            <w:pPr>
              <w:ind w:left="160"/>
              <w:spacing w:after="0"/>
              <w:rPr>
                <w:sz w:val="20"/>
                <w:szCs w:val="20"/>
                <w:color w:val="auto"/>
              </w:rPr>
            </w:pPr>
            <w:r>
              <w:rPr>
                <w:rFonts w:ascii="Arial" w:cs="Arial" w:eastAsia="Arial" w:hAnsi="Arial"/>
                <w:sz w:val="18"/>
                <w:szCs w:val="18"/>
                <w:color w:val="auto"/>
              </w:rPr>
              <w:t>%,   %,   %,</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   %,   % and</w:t>
            </w: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w w:val="93"/>
              </w:rPr>
              <w:t>% of the principal amount of the Notes due 20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 the Notes due 20</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w w:val="94"/>
              </w:rPr>
              <w:t>, the Notes due 20  , the Notes</w:t>
            </w:r>
          </w:p>
        </w:tc>
      </w:tr>
      <w:tr>
        <w:trPr>
          <w:trHeight w:val="216"/>
        </w:trPr>
        <w:tc>
          <w:tcPr>
            <w:tcW w:w="2160" w:type="dxa"/>
            <w:vAlign w:val="bottom"/>
            <w:gridSpan w:val="3"/>
          </w:tcPr>
          <w:p>
            <w:pPr>
              <w:spacing w:after="0"/>
              <w:rPr>
                <w:sz w:val="20"/>
                <w:szCs w:val="20"/>
                <w:color w:val="auto"/>
              </w:rPr>
            </w:pPr>
            <w:r>
              <w:rPr>
                <w:rFonts w:ascii="Arial" w:cs="Arial" w:eastAsia="Arial" w:hAnsi="Arial"/>
                <w:sz w:val="18"/>
                <w:szCs w:val="18"/>
                <w:color w:val="auto"/>
              </w:rPr>
              <w:t>due 20  , the Notes due 20</w:t>
            </w:r>
          </w:p>
        </w:tc>
        <w:tc>
          <w:tcPr>
            <w:tcW w:w="1360" w:type="dxa"/>
            <w:vAlign w:val="bottom"/>
          </w:tcPr>
          <w:p>
            <w:pPr>
              <w:jc w:val="right"/>
              <w:spacing w:after="0"/>
              <w:rPr>
                <w:sz w:val="20"/>
                <w:szCs w:val="20"/>
                <w:color w:val="auto"/>
              </w:rPr>
            </w:pPr>
            <w:r>
              <w:rPr>
                <w:rFonts w:ascii="Arial" w:cs="Arial" w:eastAsia="Arial" w:hAnsi="Arial"/>
                <w:sz w:val="18"/>
                <w:szCs w:val="18"/>
                <w:color w:val="auto"/>
                <w:w w:val="86"/>
              </w:rPr>
              <w:t>, the Notes due 20</w:t>
            </w:r>
          </w:p>
        </w:tc>
        <w:tc>
          <w:tcPr>
            <w:tcW w:w="3320" w:type="dxa"/>
            <w:vAlign w:val="bottom"/>
          </w:tcPr>
          <w:p>
            <w:pPr>
              <w:ind w:left="120"/>
              <w:spacing w:after="0"/>
              <w:rPr>
                <w:sz w:val="20"/>
                <w:szCs w:val="20"/>
                <w:color w:val="auto"/>
              </w:rPr>
            </w:pPr>
            <w:r>
              <w:rPr>
                <w:rFonts w:ascii="Arial" w:cs="Arial" w:eastAsia="Arial" w:hAnsi="Arial"/>
                <w:sz w:val="18"/>
                <w:szCs w:val="18"/>
                <w:color w:val="auto"/>
                <w:w w:val="95"/>
              </w:rPr>
              <w:t>, the Notes due 20   and the Notes due 20</w:t>
            </w:r>
          </w:p>
        </w:tc>
        <w:tc>
          <w:tcPr>
            <w:tcW w:w="4180" w:type="dxa"/>
            <w:vAlign w:val="bottom"/>
            <w:gridSpan w:val="5"/>
          </w:tcPr>
          <w:p>
            <w:pPr>
              <w:jc w:val="right"/>
              <w:ind w:right="390"/>
              <w:spacing w:after="0"/>
              <w:rPr>
                <w:sz w:val="20"/>
                <w:szCs w:val="20"/>
                <w:color w:val="auto"/>
              </w:rPr>
            </w:pPr>
            <w:r>
              <w:rPr>
                <w:rFonts w:ascii="Arial" w:cs="Arial" w:eastAsia="Arial" w:hAnsi="Arial"/>
                <w:sz w:val="18"/>
                <w:szCs w:val="18"/>
                <w:color w:val="auto"/>
                <w:w w:val="90"/>
              </w:rPr>
              <w:t>, respectively. The underwriters may allow, and the</w:t>
            </w:r>
          </w:p>
        </w:tc>
      </w:tr>
      <w:tr>
        <w:trPr>
          <w:trHeight w:val="216"/>
        </w:trPr>
        <w:tc>
          <w:tcPr>
            <w:tcW w:w="3520" w:type="dxa"/>
            <w:vAlign w:val="bottom"/>
            <w:gridSpan w:val="4"/>
          </w:tcPr>
          <w:p>
            <w:pPr>
              <w:spacing w:after="0"/>
              <w:rPr>
                <w:sz w:val="20"/>
                <w:szCs w:val="20"/>
                <w:color w:val="auto"/>
              </w:rPr>
            </w:pPr>
            <w:r>
              <w:rPr>
                <w:rFonts w:ascii="Arial" w:cs="Arial" w:eastAsia="Arial" w:hAnsi="Arial"/>
                <w:sz w:val="18"/>
                <w:szCs w:val="18"/>
                <w:color w:val="auto"/>
                <w:w w:val="91"/>
              </w:rPr>
              <w:t>dealers may reallow, a discount not in excess of</w:t>
            </w: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w w:val="96"/>
              </w:rPr>
              <w:t>% of the principal amount of the floating rate notes, and   %,</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   %,   %,</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   %</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w w:val="99"/>
              </w:rPr>
              <w:t>and</w:t>
            </w:r>
          </w:p>
        </w:tc>
        <w:tc>
          <w:tcPr>
            <w:tcW w:w="6520" w:type="dxa"/>
            <w:vAlign w:val="bottom"/>
            <w:gridSpan w:val="4"/>
          </w:tcPr>
          <w:p>
            <w:pPr>
              <w:ind w:left="160"/>
              <w:spacing w:after="0"/>
              <w:rPr>
                <w:sz w:val="20"/>
                <w:szCs w:val="20"/>
                <w:color w:val="auto"/>
              </w:rPr>
            </w:pPr>
            <w:r>
              <w:rPr>
                <w:rFonts w:ascii="Arial" w:cs="Arial" w:eastAsia="Arial" w:hAnsi="Arial"/>
                <w:sz w:val="18"/>
                <w:szCs w:val="18"/>
                <w:color w:val="auto"/>
                <w:w w:val="93"/>
              </w:rPr>
              <w:t>% of the principal amount of the Notes due 20  , the Notes due 20  , the Notes due 20</w:t>
            </w: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88"/>
              </w:rPr>
              <w:t>, the Notes due 20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 the Notes due 20</w:t>
            </w:r>
          </w:p>
        </w:tc>
        <w:tc>
          <w:tcPr>
            <w:tcW w:w="1160" w:type="dxa"/>
            <w:vAlign w:val="bottom"/>
          </w:tcPr>
          <w:p>
            <w:pPr>
              <w:jc w:val="right"/>
              <w:spacing w:after="0"/>
              <w:rPr>
                <w:sz w:val="20"/>
                <w:szCs w:val="20"/>
                <w:color w:val="auto"/>
              </w:rPr>
            </w:pPr>
            <w:r>
              <w:rPr>
                <w:rFonts w:ascii="Arial" w:cs="Arial" w:eastAsia="Arial" w:hAnsi="Arial"/>
                <w:sz w:val="18"/>
                <w:szCs w:val="18"/>
                <w:color w:val="auto"/>
                <w:w w:val="93"/>
              </w:rPr>
              <w:t>, the Notes due</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1380" w:type="dxa"/>
            <w:vAlign w:val="bottom"/>
          </w:tcPr>
          <w:p>
            <w:pPr>
              <w:ind w:left="40"/>
              <w:spacing w:after="0"/>
              <w:rPr>
                <w:sz w:val="20"/>
                <w:szCs w:val="20"/>
                <w:color w:val="auto"/>
              </w:rPr>
            </w:pPr>
            <w:r>
              <w:rPr>
                <w:rFonts w:ascii="Arial" w:cs="Arial" w:eastAsia="Arial" w:hAnsi="Arial"/>
                <w:sz w:val="18"/>
                <w:szCs w:val="18"/>
                <w:color w:val="auto"/>
                <w:w w:val="89"/>
              </w:rPr>
              <w:t>, the Notes due 20</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and the Notes due 20</w:t>
            </w:r>
          </w:p>
        </w:tc>
        <w:tc>
          <w:tcPr>
            <w:tcW w:w="7500" w:type="dxa"/>
            <w:vAlign w:val="bottom"/>
            <w:gridSpan w:val="6"/>
          </w:tcPr>
          <w:p>
            <w:pPr>
              <w:jc w:val="right"/>
              <w:ind w:right="30"/>
              <w:spacing w:after="0"/>
              <w:rPr>
                <w:sz w:val="20"/>
                <w:szCs w:val="20"/>
                <w:color w:val="auto"/>
              </w:rPr>
            </w:pPr>
            <w:r>
              <w:rPr>
                <w:rFonts w:ascii="Arial" w:cs="Arial" w:eastAsia="Arial" w:hAnsi="Arial"/>
                <w:sz w:val="18"/>
                <w:szCs w:val="18"/>
                <w:color w:val="auto"/>
                <w:w w:val="92"/>
              </w:rPr>
              <w:t>, respectively, to other dealers. After the initial public offering, the public offering prices, concessions</w:t>
            </w:r>
          </w:p>
        </w:tc>
      </w:tr>
      <w:tr>
        <w:trPr>
          <w:trHeight w:val="230"/>
        </w:trPr>
        <w:tc>
          <w:tcPr>
            <w:tcW w:w="3520" w:type="dxa"/>
            <w:vAlign w:val="bottom"/>
            <w:gridSpan w:val="4"/>
          </w:tcPr>
          <w:p>
            <w:pPr>
              <w:spacing w:after="0"/>
              <w:rPr>
                <w:sz w:val="20"/>
                <w:szCs w:val="20"/>
                <w:color w:val="auto"/>
              </w:rPr>
            </w:pPr>
            <w:r>
              <w:rPr>
                <w:rFonts w:ascii="Arial" w:cs="Arial" w:eastAsia="Arial" w:hAnsi="Arial"/>
                <w:sz w:val="18"/>
                <w:szCs w:val="18"/>
                <w:color w:val="auto"/>
              </w:rPr>
              <w:t>and discounts may be changed.</w:t>
            </w:r>
          </w:p>
        </w:tc>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6800" w:type="dxa"/>
            <w:vAlign w:val="bottom"/>
            <w:gridSpan w:val="5"/>
          </w:tcPr>
          <w:p>
            <w:pPr>
              <w:ind w:left="120"/>
              <w:spacing w:after="0"/>
              <w:rPr>
                <w:sz w:val="20"/>
                <w:szCs w:val="20"/>
                <w:color w:val="auto"/>
              </w:rPr>
            </w:pPr>
            <w:r>
              <w:rPr>
                <w:rFonts w:ascii="Arial" w:cs="Arial" w:eastAsia="Arial" w:hAnsi="Arial"/>
                <w:sz w:val="18"/>
                <w:szCs w:val="18"/>
                <w:color w:val="auto"/>
                <w:w w:val="92"/>
              </w:rPr>
              <w:t>The expenses of the offering, not including the underwriting discount, are estimated to be $</w:t>
            </w:r>
          </w:p>
        </w:tc>
        <w:tc>
          <w:tcPr>
            <w:tcW w:w="2740" w:type="dxa"/>
            <w:vAlign w:val="bottom"/>
            <w:gridSpan w:val="3"/>
          </w:tcPr>
          <w:p>
            <w:pPr>
              <w:jc w:val="right"/>
              <w:ind w:right="930"/>
              <w:spacing w:after="0"/>
              <w:rPr>
                <w:sz w:val="20"/>
                <w:szCs w:val="20"/>
                <w:color w:val="auto"/>
              </w:rPr>
            </w:pPr>
            <w:r>
              <w:rPr>
                <w:rFonts w:ascii="Arial" w:cs="Arial" w:eastAsia="Arial" w:hAnsi="Arial"/>
                <w:sz w:val="18"/>
                <w:szCs w:val="18"/>
                <w:color w:val="auto"/>
                <w:w w:val="93"/>
              </w:rPr>
              <w:t>and are payable by us.</w:t>
            </w:r>
          </w:p>
        </w:tc>
        <w:tc>
          <w:tcPr>
            <w:tcW w:w="1160" w:type="dxa"/>
            <w:vAlign w:val="bottom"/>
          </w:tcPr>
          <w:p>
            <w:pPr>
              <w:spacing w:after="0"/>
              <w:rPr>
                <w:sz w:val="24"/>
                <w:szCs w:val="24"/>
                <w:color w:val="auto"/>
              </w:rPr>
            </w:pPr>
          </w:p>
        </w:tc>
      </w:tr>
      <w:tr>
        <w:trPr>
          <w:trHeight w:val="365"/>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20" w:type="dxa"/>
            <w:vAlign w:val="bottom"/>
          </w:tcPr>
          <w:p>
            <w:pPr>
              <w:ind w:left="1820"/>
              <w:spacing w:after="0"/>
              <w:rPr>
                <w:sz w:val="20"/>
                <w:szCs w:val="20"/>
                <w:color w:val="auto"/>
              </w:rPr>
            </w:pPr>
            <w:r>
              <w:rPr>
                <w:rFonts w:ascii="Arial" w:cs="Arial" w:eastAsia="Arial" w:hAnsi="Arial"/>
                <w:sz w:val="18"/>
                <w:szCs w:val="18"/>
                <w:color w:val="auto"/>
              </w:rPr>
              <w:t>S-24</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Each series of notes are a new issue of securities with no established trading market. We do not intend to apply for listing of the notes on any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8"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 In addition, Merrill Lynch, Pierce, Fenner &amp; Smith Incorporated and Wells Fargo Securities, LLC are acting as financial advisors to us in connection with the Sky acquisition. Additionally, Bank of America, N.A., an affiliate of Merrill Lynch, Pierce, Fenner &amp; Smith Incorporated, is acting as administrative agent, Wells Fargo Bank, National Association, an affiliate of Wells Fargo Securities, LLC, is acting as syndication agent, and Merrill Lynch, Pierce, Fenner &amp; Smith Incorporated and Wells Fargo Securities LLC are acting as joint lead arrangers and joint bookrunners under our Credit Agreements, and such entities have received or will receive customary fees and expenses in connection therewith.</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The aforementioned underwriters and/or their affiliates and certain other underwriters and/or their affiliates have agreed to provide us with the commitments under the Bridge Loan Facility and/or are lenders under our Term Loan Facilities and the Revolving Credit Facility and have received or will receive customary fees and expenses in connection therewith. The commitments under the Bridge Term Loan Facility will be reduced by an amount equal to the aggregate gross proceeds of this offering.</w:t>
      </w:r>
    </w:p>
    <w:p>
      <w:pPr>
        <w:spacing w:after="0" w:line="18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described under “Use of Proceeds”, a portion of the net proceeds from the offering of the notes will be used to pay fees and expenses relating to the Sky acquisition and the Credit Agreements, and a portion of the net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proceeds from this offering of notes may also be used to repay commercial paper outstanding and amounts drawn under our Revolving Credit Facility, in each case, used in open market purchases of Sky Shares prior to the First Sky Settlement Date. Accordingly, certain of the underwriters and/or their respective affiliates may receive, directly or indirectly, a portion of the net proceeds from this offering.</w:t>
      </w:r>
    </w:p>
    <w:p>
      <w:pPr>
        <w:spacing w:after="0" w:line="181"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European Economic Area has been prepared and therefore offering or selling the notes or otherwise making them available to any retail investor in the European Economic Area may be unlawful under the PRIIPs Regulation. This Prospectus Supplement has been prepared on the basis that any offer of notes in any Member State of the EEA will be made pursuant to an exemption under the Prospectus Directive from the requirement to publish a prospectus for offers of notes. This Prospectus Supplement is not a prospectus for the purposes of the Prospectus Directive.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117" w:lineRule="exact"/>
        <w:rPr>
          <w:sz w:val="20"/>
          <w:szCs w:val="20"/>
          <w:color w:val="auto"/>
        </w:rPr>
      </w:pPr>
    </w:p>
    <w:p>
      <w:pPr>
        <w:ind w:left="640" w:right="80" w:firstLine="428"/>
        <w:spacing w:after="0" w:line="277" w:lineRule="auto"/>
        <w:tabs>
          <w:tab w:leader="none" w:pos="13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firstLine="428"/>
        <w:spacing w:after="0" w:line="276" w:lineRule="auto"/>
        <w:tabs>
          <w:tab w:leader="none" w:pos="13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w:t>
      </w:r>
    </w:p>
    <w:p>
      <w:pPr>
        <w:spacing w:after="0" w:line="39" w:lineRule="exact"/>
        <w:rPr>
          <w:sz w:val="20"/>
          <w:szCs w:val="20"/>
          <w:color w:val="auto"/>
        </w:rPr>
      </w:pPr>
    </w:p>
    <w:p>
      <w:pPr>
        <w:ind w:left="640" w:right="300" w:firstLine="428"/>
        <w:spacing w:after="0" w:line="277" w:lineRule="auto"/>
        <w:tabs>
          <w:tab w:leader="none" w:pos="13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 meet the criteria of a “Qualified Investor” as defined in the SCA Board of Directors Decision No. 3 R.M. of 2017 (but excluding subparagraph 1(d) in the “Qualified Investor” definition relating to natural persons);</w:t>
      </w:r>
    </w:p>
    <w:p>
      <w:pPr>
        <w:spacing w:after="0" w:line="62" w:lineRule="exact"/>
        <w:rPr>
          <w:rFonts w:ascii="Arial" w:cs="Arial" w:eastAsia="Arial" w:hAnsi="Arial"/>
          <w:sz w:val="18"/>
          <w:szCs w:val="18"/>
          <w:color w:val="auto"/>
        </w:rPr>
      </w:pPr>
    </w:p>
    <w:p>
      <w:pPr>
        <w:ind w:left="640" w:firstLine="428"/>
        <w:spacing w:after="0" w:line="277" w:lineRule="auto"/>
        <w:tabs>
          <w:tab w:leader="none" w:pos="1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their request and confirmation that they understand that the notes have not been approved or licensed by or registered with the UAE Central Bank, the SCA, DFSA or any other relevant licensing authorities or governmental agencies in the UAE; and</w:t>
      </w:r>
    </w:p>
    <w:p>
      <w:pPr>
        <w:spacing w:after="0" w:line="62" w:lineRule="exact"/>
        <w:rPr>
          <w:rFonts w:ascii="Arial" w:cs="Arial" w:eastAsia="Arial" w:hAnsi="Arial"/>
          <w:sz w:val="18"/>
          <w:szCs w:val="18"/>
          <w:color w:val="auto"/>
        </w:rPr>
      </w:pPr>
    </w:p>
    <w:p>
      <w:pPr>
        <w:ind w:left="640" w:right="200" w:firstLine="428"/>
        <w:spacing w:after="0" w:line="277" w:lineRule="auto"/>
        <w:tabs>
          <w:tab w:leader="none" w:pos="13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their confirmation that they understand that the prospectus supplement must not be provided to any person other than the original recipient, and may not be reproduced or used for any other purpose.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LLP, New York, New York, is representing the underwriters.</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Comcast Corporation and subsidiaries, incorporated herein by reference from Comcast Corporation’s Annual Report on Form 10-K for the year ended December 31, 2017,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9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2017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923925</wp:posOffset>
            </wp:positionV>
            <wp:extent cx="1466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Purchase contracts</w:t>
            </w:r>
          </w:p>
        </w:tc>
        <w:tc>
          <w:tcPr>
            <w:tcW w:w="1640" w:type="dxa"/>
            <w:vAlign w:val="bottom"/>
          </w:tcPr>
          <w:p>
            <w:pPr>
              <w:ind w:left="1520"/>
              <w:spacing w:after="0"/>
              <w:rPr>
                <w:sz w:val="20"/>
                <w:szCs w:val="20"/>
                <w:color w:val="auto"/>
              </w:rPr>
            </w:pPr>
            <w:r>
              <w:rPr>
                <w:rFonts w:ascii="Arial" w:cs="Arial" w:eastAsia="Arial" w:hAnsi="Arial"/>
                <w:sz w:val="18"/>
                <w:szCs w:val="18"/>
                <w:color w:val="auto"/>
              </w:rPr>
              <w:t>•</w:t>
            </w:r>
          </w:p>
        </w:tc>
        <w:tc>
          <w:tcPr>
            <w:tcW w:w="1660" w:type="dxa"/>
            <w:vAlign w:val="bottom"/>
          </w:tcPr>
          <w:p>
            <w:pPr>
              <w:ind w:left="40"/>
              <w:spacing w:after="0"/>
              <w:rPr>
                <w:sz w:val="20"/>
                <w:szCs w:val="20"/>
                <w:color w:val="auto"/>
              </w:rPr>
            </w:pPr>
            <w:r>
              <w:rPr>
                <w:rFonts w:ascii="Arial" w:cs="Arial" w:eastAsia="Arial" w:hAnsi="Arial"/>
                <w:sz w:val="18"/>
                <w:szCs w:val="18"/>
                <w:color w:val="auto"/>
                <w:w w:val="87"/>
              </w:rPr>
              <w:t>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40"/>
              <w:spacing w:after="0"/>
              <w:rPr>
                <w:sz w:val="20"/>
                <w:szCs w:val="20"/>
                <w:color w:val="auto"/>
              </w:rPr>
            </w:pPr>
            <w:r>
              <w:rPr>
                <w:rFonts w:ascii="Arial" w:cs="Arial" w:eastAsia="Arial" w:hAnsi="Arial"/>
                <w:sz w:val="18"/>
                <w:szCs w:val="18"/>
                <w:color w:val="auto"/>
              </w:rPr>
              <w:t>Units</w:t>
            </w:r>
          </w:p>
        </w:tc>
        <w:tc>
          <w:tcPr>
            <w:tcW w:w="164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37"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Dividends</w:t>
            </w:r>
          </w:p>
        </w:tc>
        <w:tc>
          <w:tcPr>
            <w:tcW w:w="2980" w:type="dxa"/>
            <w:vAlign w:val="bottom"/>
            <w:gridSpan w:val="2"/>
          </w:tcPr>
          <w:p>
            <w:pPr>
              <w:ind w:left="680"/>
              <w:spacing w:after="0"/>
              <w:rPr>
                <w:sz w:val="20"/>
                <w:szCs w:val="20"/>
                <w:color w:val="auto"/>
              </w:rPr>
            </w:pPr>
            <w:r>
              <w:rPr>
                <w:rFonts w:ascii="Arial" w:cs="Arial" w:eastAsia="Arial" w:hAnsi="Arial"/>
                <w:sz w:val="18"/>
                <w:szCs w:val="18"/>
                <w:color w:val="auto"/>
                <w:w w:val="89"/>
              </w:rPr>
              <w:t>• 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Listing on a securities exchange</w:t>
            </w:r>
          </w:p>
        </w:tc>
        <w:tc>
          <w:tcPr>
            <w:tcW w:w="780" w:type="dxa"/>
            <w:vAlign w:val="bottom"/>
          </w:tcPr>
          <w:p>
            <w:pPr>
              <w:ind w:left="68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2960" w:type="dxa"/>
            <w:vAlign w:val="bottom"/>
          </w:tcPr>
          <w:p>
            <w:pPr>
              <w:ind w:left="40"/>
              <w:spacing w:after="0"/>
              <w:rPr>
                <w:sz w:val="20"/>
                <w:szCs w:val="20"/>
                <w:color w:val="auto"/>
              </w:rPr>
            </w:pPr>
            <w:r>
              <w:rPr>
                <w:rFonts w:ascii="Arial" w:cs="Arial" w:eastAsia="Arial" w:hAnsi="Arial"/>
                <w:sz w:val="18"/>
                <w:szCs w:val="18"/>
                <w:color w:val="auto"/>
              </w:rPr>
              <w:t>Amount payable at maturity</w:t>
            </w: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233045</wp:posOffset>
            </wp:positionV>
            <wp:extent cx="1466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0" w:right="380" w:firstLine="441"/>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184785</wp:posOffset>
            </wp:positionV>
            <wp:extent cx="1466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0" w:right="20" w:firstLine="441"/>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6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35">
              <w:r>
                <w:rPr>
                  <w:rFonts w:ascii="Arial" w:cs="Arial" w:eastAsia="Arial" w:hAnsi="Arial"/>
                  <w:sz w:val="18"/>
                  <w:szCs w:val="18"/>
                  <w:color w:val="0000EE"/>
                  <w:w w:val="86"/>
                </w:rPr>
                <w:t>The Companies</w:t>
              </w:r>
            </w:hyperlink>
          </w:p>
        </w:tc>
        <w:tc>
          <w:tcPr>
            <w:tcW w:w="7960" w:type="dxa"/>
            <w:vAlign w:val="bottom"/>
            <w:gridSpan w:val="10"/>
            <w:vMerge w:val="restart"/>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7960" w:type="dxa"/>
            <w:vAlign w:val="bottom"/>
            <w:gridSpan w:val="10"/>
            <w:vMerge w:val="continue"/>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8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Caution Concerning Forward-Looking Statements</w:t>
              </w:r>
            </w:hyperlink>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5560" w:type="dxa"/>
            <w:vAlign w:val="bottom"/>
            <w:gridSpan w:val="2"/>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Dividend Policy</w:t>
              </w:r>
            </w:hyperlink>
          </w:p>
        </w:tc>
        <w:tc>
          <w:tcPr>
            <w:tcW w:w="7920" w:type="dxa"/>
            <w:vAlign w:val="bottom"/>
            <w:gridSpan w:val="8"/>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Ratios of Earnings to Fixed Charges and of Earnings to Combined Fixed Charges and Preferred Dividends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Debt Securities and Guarantees</w:t>
              </w:r>
            </w:hyperlink>
          </w:p>
        </w:tc>
        <w:tc>
          <w:tcPr>
            <w:tcW w:w="1600" w:type="dxa"/>
            <w:vAlign w:val="bottom"/>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Global Securities</w:t>
              </w:r>
            </w:hyperlink>
          </w:p>
        </w:tc>
        <w:tc>
          <w:tcPr>
            <w:tcW w:w="2040" w:type="dxa"/>
            <w:vAlign w:val="bottom"/>
            <w:tcBorders>
              <w:top w:val="single" w:sz="8" w:color="0000EE"/>
            </w:tcBorders>
            <w:gridSpan w:val="4"/>
          </w:tcPr>
          <w:p>
            <w:pPr>
              <w:spacing w:after="0"/>
              <w:rPr>
                <w:sz w:val="17"/>
                <w:szCs w:val="17"/>
                <w:color w:val="auto"/>
              </w:rPr>
            </w:pPr>
          </w:p>
        </w:tc>
        <w:tc>
          <w:tcPr>
            <w:tcW w:w="5820" w:type="dxa"/>
            <w:vAlign w:val="bottom"/>
            <w:gridSpan w:val="3"/>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Capital Stock</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Plan of Distribution</w:t>
              </w:r>
            </w:hyperlink>
          </w:p>
        </w:tc>
        <w:tc>
          <w:tcPr>
            <w:tcW w:w="600" w:type="dxa"/>
            <w:vAlign w:val="bottom"/>
            <w:tcBorders>
              <w:top w:val="single" w:sz="8" w:color="0000EE"/>
            </w:tcBorders>
            <w:gridSpan w:val="2"/>
          </w:tcPr>
          <w:p>
            <w:pPr>
              <w:spacing w:after="0"/>
              <w:rPr>
                <w:sz w:val="17"/>
                <w:szCs w:val="17"/>
                <w:color w:val="auto"/>
              </w:rPr>
            </w:pPr>
          </w:p>
        </w:tc>
        <w:tc>
          <w:tcPr>
            <w:tcW w:w="7080" w:type="dxa"/>
            <w:vAlign w:val="bottom"/>
            <w:gridSpan w:val="4"/>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8100" w:type="dxa"/>
            <w:vAlign w:val="bottom"/>
            <w:gridSpan w:val="11"/>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Available Information</w:t>
              </w:r>
            </w:hyperlink>
          </w:p>
        </w:tc>
        <w:tc>
          <w:tcPr>
            <w:tcW w:w="7520" w:type="dxa"/>
            <w:vAlign w:val="bottom"/>
            <w:gridSpan w:val="5"/>
          </w:tcPr>
          <w:p>
            <w:pPr>
              <w:spacing w:after="0"/>
              <w:rPr>
                <w:sz w:val="17"/>
                <w:szCs w:val="17"/>
                <w:color w:val="auto"/>
              </w:rPr>
            </w:pPr>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080" w:type="dxa"/>
            <w:vAlign w:val="bottom"/>
            <w:gridSpan w:val="1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of Certain Documents by Reference</w:t>
              </w:r>
            </w:hyperlink>
          </w:p>
        </w:tc>
        <w:tc>
          <w:tcPr>
            <w:tcW w:w="1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420" w:hanging="316"/>
        <w:spacing w:after="0" w:line="262"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200" w:hanging="316"/>
        <w:spacing w:after="0" w:line="27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620" w:hanging="316"/>
        <w:spacing w:after="0" w:line="27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w:t>
      </w:r>
      <w:r>
        <w:rPr>
          <w:rFonts w:ascii="Arial" w:cs="Arial" w:eastAsia="Arial" w:hAnsi="Arial"/>
          <w:sz w:val="18"/>
          <w:szCs w:val="18"/>
          <w:b w:val="1"/>
          <w:bCs w:val="1"/>
          <w:color w:val="auto"/>
        </w:rPr>
        <w:t xml:space="preserve"> </w:t>
      </w:r>
      <w:r>
        <w:rPr>
          <w:rFonts w:ascii="Arial" w:cs="Arial" w:eastAsia="Arial" w:hAnsi="Arial"/>
          <w:sz w:val="18"/>
          <w:szCs w:val="18"/>
          <w:color w:val="auto"/>
        </w:rPr>
        <w:t>broadcast television stations, and our broadcast television studio production operations.</w:t>
      </w:r>
    </w:p>
    <w:p>
      <w:pPr>
        <w:spacing w:after="0" w:line="38" w:lineRule="exact"/>
        <w:rPr>
          <w:rFonts w:ascii="Arial" w:cs="Arial" w:eastAsia="Arial" w:hAnsi="Arial"/>
          <w:sz w:val="18"/>
          <w:szCs w:val="18"/>
          <w:color w:val="auto"/>
        </w:rPr>
      </w:pPr>
    </w:p>
    <w:p>
      <w:pPr>
        <w:ind w:left="1060" w:right="240" w:hanging="316"/>
        <w:spacing w:after="0" w:line="27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1060" w:right="880" w:hanging="316"/>
        <w:spacing w:after="0" w:line="339"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Theme Parks</w:t>
      </w:r>
      <w:r>
        <w:rPr>
          <w:rFonts w:ascii="Arial" w:cs="Arial" w:eastAsia="Arial" w:hAnsi="Arial"/>
          <w:sz w:val="16"/>
          <w:szCs w:val="16"/>
          <w:color w:val="auto"/>
        </w:rPr>
        <w:t>: Consists primarily of our Universal theme parks in Orlando, Florida and Hollywood, California. In November 2015,</w:t>
      </w:r>
      <w:r>
        <w:rPr>
          <w:rFonts w:ascii="Arial" w:cs="Arial" w:eastAsia="Arial" w:hAnsi="Arial"/>
          <w:sz w:val="16"/>
          <w:szCs w:val="16"/>
          <w:b w:val="1"/>
          <w:bCs w:val="1"/>
          <w:color w:val="auto"/>
        </w:rPr>
        <w:t xml:space="preserve"> </w:t>
      </w:r>
      <w:r>
        <w:rPr>
          <w:rFonts w:ascii="Arial" w:cs="Arial" w:eastAsia="Arial" w:hAnsi="Arial"/>
          <w:sz w:val="16"/>
          <w:szCs w:val="16"/>
          <w:color w:val="auto"/>
        </w:rPr>
        <w:t>NBCUniversal acquired a 51% interest in the Universal Studios theme park located in Osaka, Japan.</w:t>
      </w:r>
    </w:p>
    <w:p>
      <w:pPr>
        <w:spacing w:after="0" w:line="80" w:lineRule="exact"/>
        <w:rPr>
          <w:sz w:val="20"/>
          <w:szCs w:val="20"/>
          <w:color w:val="auto"/>
        </w:rPr>
      </w:pPr>
    </w:p>
    <w:p>
      <w:pPr>
        <w:ind w:left="200" w:right="800" w:firstLine="441"/>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2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60" w:hanging="316"/>
        <w:spacing w:after="0" w:line="268"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left="200" w:right="380" w:firstLine="441"/>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97790</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0"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459"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1060" w:right="8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1060" w:right="28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1060" w:right="82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subject to regulation by federal, state, local and foreign authorities, which may impose additional costs and restrictions on our businesses;</w:t>
      </w:r>
    </w:p>
    <w:p>
      <w:pPr>
        <w:spacing w:after="0" w:line="50" w:lineRule="exact"/>
        <w:rPr>
          <w:rFonts w:ascii="Arial" w:cs="Arial" w:eastAsia="Arial" w:hAnsi="Arial"/>
          <w:sz w:val="18"/>
          <w:szCs w:val="18"/>
          <w:color w:val="auto"/>
        </w:rPr>
      </w:pPr>
    </w:p>
    <w:p>
      <w:pPr>
        <w:ind w:left="1060" w:right="74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existing statutes, rules, regulations, or interpretations thereof, or adoption of new ones, could have an adverse effect on our businesses;</w:t>
      </w:r>
    </w:p>
    <w:p>
      <w:pPr>
        <w:spacing w:after="0" w:line="50" w:lineRule="exact"/>
        <w:rPr>
          <w:rFonts w:ascii="Arial" w:cs="Arial" w:eastAsia="Arial" w:hAnsi="Arial"/>
          <w:sz w:val="18"/>
          <w:szCs w:val="18"/>
          <w:color w:val="auto"/>
        </w:rPr>
      </w:pPr>
    </w:p>
    <w:p>
      <w:pPr>
        <w:ind w:left="1060" w:right="66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Cable Communications segment’s video business;</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1060" w:right="14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1060" w:right="680" w:hanging="316"/>
        <w:spacing w:after="0" w:line="268"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acquisitions and other strategic initiatives present many risks, and we may not realize the financial and strategic goals that we had contemplated;</w:t>
      </w:r>
    </w:p>
    <w:p>
      <w:pPr>
        <w:spacing w:after="0" w:line="124" w:lineRule="exact"/>
        <w:rPr>
          <w:rFonts w:ascii="Arial" w:cs="Arial" w:eastAsia="Arial" w:hAnsi="Arial"/>
          <w:sz w:val="15"/>
          <w:szCs w:val="15"/>
          <w:color w:val="auto"/>
        </w:rPr>
      </w:pPr>
    </w:p>
    <w:p>
      <w:pPr>
        <w:ind w:left="1060" w:hanging="316"/>
        <w:spacing w:after="0"/>
        <w:tabs>
          <w:tab w:leader="none" w:pos="10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1060" w:hanging="316"/>
        <w:spacing w:after="0" w:line="332"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00"/>
          </w:cols>
          <w:pgMar w:left="240" w:top="459" w:right="8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RATIOS OF EARNINGS TO FIXED CHARGES AND OF EARNINGS TO COMBINED FIXED CHARGES AND PREFERRED DIVIDENDS</w:t>
      </w:r>
    </w:p>
    <w:p>
      <w:pPr>
        <w:spacing w:after="0" w:line="20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420" w:type="dxa"/>
        <w:tblCellMar>
          <w:top w:w="0" w:type="dxa"/>
          <w:left w:w="0" w:type="dxa"/>
          <w:bottom w:w="0" w:type="dxa"/>
          <w:right w:w="0" w:type="dxa"/>
        </w:tblCellMar>
      </w:tblPr>
      <w:tr>
        <w:trPr>
          <w:trHeight w:val="175"/>
        </w:trPr>
        <w:tc>
          <w:tcPr>
            <w:tcW w:w="20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For the Six Months Ended</w:t>
            </w:r>
          </w:p>
        </w:tc>
        <w:tc>
          <w:tcPr>
            <w:tcW w:w="1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For the Years Ended December 31,</w:t>
            </w:r>
          </w:p>
        </w:tc>
        <w:tc>
          <w:tcPr>
            <w:tcW w:w="1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62"/>
        </w:trPr>
        <w:tc>
          <w:tcPr>
            <w:tcW w:w="380" w:type="dxa"/>
            <w:vAlign w:val="bottom"/>
          </w:tcPr>
          <w:p>
            <w:pPr>
              <w:spacing w:after="0"/>
              <w:rPr>
                <w:sz w:val="14"/>
                <w:szCs w:val="14"/>
                <w:color w:val="auto"/>
              </w:rPr>
            </w:pPr>
          </w:p>
        </w:tc>
        <w:tc>
          <w:tcPr>
            <w:tcW w:w="1620" w:type="dxa"/>
            <w:vAlign w:val="bottom"/>
            <w:gridSpan w:val="2"/>
          </w:tcPr>
          <w:p>
            <w:pPr>
              <w:jc w:val="center"/>
              <w:ind w:right="840"/>
              <w:spacing w:after="0" w:line="142" w:lineRule="exact"/>
              <w:rPr>
                <w:sz w:val="20"/>
                <w:szCs w:val="20"/>
                <w:color w:val="auto"/>
              </w:rPr>
            </w:pPr>
            <w:r>
              <w:rPr>
                <w:rFonts w:ascii="Arial" w:cs="Arial" w:eastAsia="Arial" w:hAnsi="Arial"/>
                <w:sz w:val="14"/>
                <w:szCs w:val="14"/>
                <w:b w:val="1"/>
                <w:bCs w:val="1"/>
                <w:color w:val="auto"/>
                <w:w w:val="85"/>
              </w:rPr>
              <w:t>June 30, 2016</w:t>
            </w:r>
          </w:p>
        </w:tc>
        <w:tc>
          <w:tcPr>
            <w:tcW w:w="132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1340" w:type="dxa"/>
            <w:vAlign w:val="bottom"/>
          </w:tcPr>
          <w:p>
            <w:pPr>
              <w:jc w:val="right"/>
              <w:ind w:right="442"/>
              <w:spacing w:after="0" w:line="142" w:lineRule="exact"/>
              <w:rPr>
                <w:sz w:val="20"/>
                <w:szCs w:val="20"/>
                <w:color w:val="auto"/>
              </w:rPr>
            </w:pPr>
            <w:r>
              <w:rPr>
                <w:rFonts w:ascii="Arial" w:cs="Arial" w:eastAsia="Arial" w:hAnsi="Arial"/>
                <w:sz w:val="14"/>
                <w:szCs w:val="14"/>
                <w:b w:val="1"/>
                <w:bCs w:val="1"/>
                <w:color w:val="auto"/>
              </w:rPr>
              <w:t>2014</w:t>
            </w:r>
          </w:p>
        </w:tc>
        <w:tc>
          <w:tcPr>
            <w:tcW w:w="1820" w:type="dxa"/>
            <w:vAlign w:val="bottom"/>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36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1340" w:type="dxa"/>
            <w:vAlign w:val="bottom"/>
          </w:tcPr>
          <w:p>
            <w:pPr>
              <w:jc w:val="right"/>
              <w:ind w:right="462"/>
              <w:spacing w:after="0" w:line="142" w:lineRule="exact"/>
              <w:rPr>
                <w:sz w:val="20"/>
                <w:szCs w:val="20"/>
                <w:color w:val="auto"/>
              </w:rPr>
            </w:pPr>
            <w:r>
              <w:rPr>
                <w:rFonts w:ascii="Arial" w:cs="Arial" w:eastAsia="Arial" w:hAnsi="Arial"/>
                <w:sz w:val="14"/>
                <w:szCs w:val="14"/>
                <w:b w:val="1"/>
                <w:bCs w:val="1"/>
                <w:color w:val="auto"/>
              </w:rPr>
              <w:t>2011</w:t>
            </w:r>
          </w:p>
        </w:tc>
      </w:tr>
      <w:tr>
        <w:trPr>
          <w:trHeight w:val="203"/>
        </w:trPr>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5.20x</w:t>
            </w:r>
          </w:p>
        </w:tc>
        <w:tc>
          <w:tcPr>
            <w:tcW w:w="8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5.48x</w:t>
            </w:r>
          </w:p>
        </w:tc>
        <w:tc>
          <w:tcPr>
            <w:tcW w:w="4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4.85x</w:t>
            </w:r>
          </w:p>
        </w:tc>
        <w:tc>
          <w:tcPr>
            <w:tcW w:w="4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4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1060" w:right="200" w:hanging="316"/>
        <w:spacing w:after="0" w:line="259"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1060" w:hanging="316"/>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1060" w:right="34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1060" w:right="2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1060" w:right="42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1060" w:right="260" w:hanging="316"/>
        <w:spacing w:after="0" w:line="268"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left="200" w:right="200" w:firstLine="444"/>
        <w:spacing w:after="0" w:line="268" w:lineRule="auto"/>
        <w:tabs>
          <w:tab w:leader="none" w:pos="8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20" w:firstLine="444"/>
        <w:spacing w:after="0" w:line="268" w:lineRule="auto"/>
        <w:tabs>
          <w:tab w:leader="none" w:pos="8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left="200" w:right="120" w:firstLine="444"/>
        <w:spacing w:after="0" w:line="268" w:lineRule="auto"/>
        <w:tabs>
          <w:tab w:leader="none" w:pos="8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left="200" w:right="420" w:firstLine="444"/>
        <w:spacing w:after="0" w:line="306" w:lineRule="auto"/>
        <w:tabs>
          <w:tab w:leader="none" w:pos="88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01" w:lineRule="exact"/>
        <w:rPr>
          <w:sz w:val="20"/>
          <w:szCs w:val="20"/>
          <w:color w:val="auto"/>
        </w:rPr>
      </w:pPr>
    </w:p>
    <w:p>
      <w:pPr>
        <w:ind w:left="200" w:right="20" w:firstLine="441"/>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left="200" w:right="60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Worth</w:t>
      </w:r>
      <w:r>
        <w:rPr>
          <w:rFonts w:ascii="Arial" w:cs="Arial" w:eastAsia="Arial" w:hAnsi="Arial"/>
          <w:sz w:val="16"/>
          <w:szCs w:val="16"/>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74"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139"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Obligations</w:t>
      </w:r>
      <w:r>
        <w:rPr>
          <w:rFonts w:ascii="Arial" w:cs="Arial" w:eastAsia="Arial" w:hAnsi="Arial"/>
          <w:sz w:val="16"/>
          <w:szCs w:val="16"/>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13" w:lineRule="exact"/>
        <w:rPr>
          <w:sz w:val="20"/>
          <w:szCs w:val="20"/>
          <w:color w:val="auto"/>
        </w:rPr>
      </w:pPr>
    </w:p>
    <w:p>
      <w:pPr>
        <w:ind w:left="200" w:right="220" w:firstLine="44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left="200" w:right="30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jc w:val="both"/>
        <w:ind w:left="200" w:right="180" w:firstLine="444"/>
        <w:spacing w:after="0" w:line="259" w:lineRule="auto"/>
        <w:tabs>
          <w:tab w:leader="none" w:pos="8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200" w:right="840" w:firstLine="444"/>
        <w:spacing w:after="0" w:line="268" w:lineRule="auto"/>
        <w:tabs>
          <w:tab w:leader="none" w:pos="8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31" w:lineRule="exact"/>
        <w:rPr>
          <w:rFonts w:ascii="Arial" w:cs="Arial" w:eastAsia="Arial" w:hAnsi="Arial"/>
          <w:sz w:val="18"/>
          <w:szCs w:val="18"/>
          <w:color w:val="auto"/>
        </w:rPr>
      </w:pPr>
    </w:p>
    <w:p>
      <w:pPr>
        <w:ind w:left="200" w:right="460" w:firstLine="444"/>
        <w:spacing w:after="0" w:line="268" w:lineRule="auto"/>
        <w:tabs>
          <w:tab w:leader="none" w:pos="8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left="200" w:right="220" w:firstLine="444"/>
        <w:spacing w:after="0" w:line="268" w:lineRule="auto"/>
        <w:tabs>
          <w:tab w:leader="none" w:pos="87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left="200" w:right="400" w:firstLine="444"/>
        <w:spacing w:after="0" w:line="306"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06" w:lineRule="exact"/>
        <w:rPr>
          <w:rFonts w:ascii="Arial" w:cs="Arial" w:eastAsia="Arial" w:hAnsi="Arial"/>
          <w:sz w:val="16"/>
          <w:szCs w:val="16"/>
          <w:color w:val="auto"/>
        </w:rPr>
      </w:pPr>
    </w:p>
    <w:p>
      <w:pPr>
        <w:ind w:left="900" w:hanging="25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jc w:val="both"/>
        <w:ind w:left="200" w:right="160" w:firstLine="444"/>
        <w:spacing w:after="0" w:line="259" w:lineRule="auto"/>
        <w:tabs>
          <w:tab w:leader="none" w:pos="8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left="200" w:right="120" w:firstLine="444"/>
        <w:spacing w:after="0" w:line="268" w:lineRule="auto"/>
        <w:tabs>
          <w:tab w:leader="none" w:pos="8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left="200" w:firstLine="444"/>
        <w:spacing w:after="0" w:line="268" w:lineRule="auto"/>
        <w:tabs>
          <w:tab w:leader="none" w:pos="8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left="200" w:right="40" w:firstLine="444"/>
        <w:spacing w:after="0" w:line="259" w:lineRule="auto"/>
        <w:tabs>
          <w:tab w:leader="none" w:pos="8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60" w:hanging="21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left="200" w:firstLine="444"/>
        <w:spacing w:after="0" w:line="268" w:lineRule="auto"/>
        <w:tabs>
          <w:tab w:leader="none" w:pos="9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900" w:hanging="25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left="200" w:right="140" w:firstLine="444"/>
        <w:spacing w:after="0" w:line="268" w:lineRule="auto"/>
        <w:tabs>
          <w:tab w:leader="none" w:pos="8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left="200" w:right="240" w:firstLine="444"/>
        <w:spacing w:after="0" w:line="268" w:lineRule="auto"/>
        <w:tabs>
          <w:tab w:leader="none" w:pos="8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left="200" w:right="180" w:firstLine="444"/>
        <w:spacing w:after="0" w:line="370" w:lineRule="auto"/>
        <w:tabs>
          <w:tab w:leader="none" w:pos="889" w:val="left"/>
        </w:tabs>
        <w:numPr>
          <w:ilvl w:val="0"/>
          <w:numId w:val="30"/>
        </w:numPr>
        <w:rPr>
          <w:rFonts w:ascii="Arial" w:cs="Arial" w:eastAsia="Arial" w:hAnsi="Arial"/>
          <w:sz w:val="15"/>
          <w:szCs w:val="15"/>
          <w:color w:val="auto"/>
        </w:rPr>
      </w:pPr>
      <w:r>
        <w:rPr>
          <w:rFonts w:ascii="Arial" w:cs="Arial" w:eastAsia="Arial" w:hAnsi="Arial"/>
          <w:sz w:val="15"/>
          <w:szCs w:val="15"/>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62" w:lineRule="exact"/>
        <w:rPr>
          <w:rFonts w:ascii="Arial" w:cs="Arial" w:eastAsia="Arial" w:hAnsi="Arial"/>
          <w:sz w:val="15"/>
          <w:szCs w:val="15"/>
          <w:color w:val="auto"/>
        </w:rPr>
      </w:pPr>
    </w:p>
    <w:p>
      <w:pPr>
        <w:ind w:left="200" w:right="200" w:firstLine="444"/>
        <w:spacing w:after="0" w:line="306"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w:t>
      </w:r>
    </w:p>
    <w:p>
      <w:pPr>
        <w:spacing w:after="0" w:line="106" w:lineRule="exact"/>
        <w:rPr>
          <w:rFonts w:ascii="Arial" w:cs="Arial" w:eastAsia="Arial" w:hAnsi="Arial"/>
          <w:sz w:val="16"/>
          <w:szCs w:val="16"/>
          <w:color w:val="auto"/>
        </w:rPr>
      </w:pPr>
    </w:p>
    <w:p>
      <w:pPr>
        <w:ind w:left="880" w:hanging="236"/>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left="200" w:right="940" w:firstLine="441"/>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74" w:lineRule="exact"/>
        <w:rPr>
          <w:sz w:val="20"/>
          <w:szCs w:val="20"/>
          <w:color w:val="auto"/>
        </w:rPr>
      </w:pPr>
    </w:p>
    <w:p>
      <w:pPr>
        <w:ind w:left="200" w:right="320" w:firstLine="44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with respect to any Person any property or asset, whether real, personal or mixed, or tangible or intangible, including shares of capital stock.</w:t>
      </w:r>
    </w:p>
    <w:p>
      <w:pPr>
        <w:spacing w:after="0" w:line="120" w:lineRule="exact"/>
        <w:rPr>
          <w:sz w:val="20"/>
          <w:szCs w:val="20"/>
          <w:color w:val="auto"/>
        </w:rPr>
      </w:pPr>
    </w:p>
    <w:p>
      <w:pPr>
        <w:ind w:left="200" w:right="2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right="180" w:hanging="316"/>
        <w:spacing w:after="0" w:line="268"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61" w:lineRule="exact"/>
        <w:rPr>
          <w:rFonts w:ascii="Arial" w:cs="Arial" w:eastAsia="Arial" w:hAnsi="Arial"/>
          <w:sz w:val="18"/>
          <w:szCs w:val="18"/>
          <w:color w:val="auto"/>
        </w:rPr>
      </w:pPr>
    </w:p>
    <w:p>
      <w:pPr>
        <w:ind w:left="1060" w:hanging="316"/>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left="200" w:firstLine="441"/>
        <w:spacing w:after="0" w:line="312" w:lineRule="auto"/>
        <w:rPr>
          <w:sz w:val="20"/>
          <w:szCs w:val="20"/>
          <w:color w:val="auto"/>
        </w:rPr>
      </w:pPr>
      <w:r>
        <w:rPr>
          <w:rFonts w:ascii="Arial" w:cs="Arial" w:eastAsia="Arial" w:hAnsi="Arial"/>
          <w:sz w:val="15"/>
          <w:szCs w:val="15"/>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05" w:lineRule="exact"/>
        <w:rPr>
          <w:sz w:val="20"/>
          <w:szCs w:val="20"/>
          <w:color w:val="auto"/>
        </w:rPr>
      </w:pPr>
    </w:p>
    <w:p>
      <w:pPr>
        <w:jc w:val="both"/>
        <w:ind w:left="200" w:right="40" w:firstLine="441"/>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60" w:right="40" w:hanging="316"/>
        <w:spacing w:after="0" w:line="259"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1060" w:right="200" w:hanging="316"/>
        <w:spacing w:after="0" w:line="256"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left="200" w:right="380" w:firstLine="441"/>
        <w:spacing w:after="0" w:line="306"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We will not consolidate or combine with or merge with or into or, directly or indirectly, sell, assign,</w:t>
      </w:r>
      <w:r>
        <w:rPr>
          <w:rFonts w:ascii="Arial" w:cs="Arial" w:eastAsia="Arial" w:hAnsi="Arial"/>
          <w:sz w:val="16"/>
          <w:szCs w:val="16"/>
          <w:i w:val="1"/>
          <w:iCs w:val="1"/>
          <w:color w:val="auto"/>
        </w:rPr>
        <w:t xml:space="preserve"> </w:t>
      </w:r>
      <w:r>
        <w:rPr>
          <w:rFonts w:ascii="Arial" w:cs="Arial" w:eastAsia="Arial" w:hAnsi="Arial"/>
          <w:sz w:val="16"/>
          <w:szCs w:val="16"/>
          <w:color w:val="auto"/>
        </w:rPr>
        <w:t>convey, 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26" w:lineRule="exact"/>
        <w:rPr>
          <w:sz w:val="20"/>
          <w:szCs w:val="20"/>
          <w:color w:val="auto"/>
        </w:rPr>
      </w:pPr>
    </w:p>
    <w:p>
      <w:pPr>
        <w:ind w:left="1060" w:right="40" w:hanging="316"/>
        <w:spacing w:after="0" w:line="25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1060" w:right="860" w:hanging="316"/>
        <w:spacing w:after="0" w:line="268"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1060" w:right="40" w:hanging="316"/>
        <w:spacing w:after="0" w:line="259"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1060" w:right="440" w:hanging="316"/>
        <w:spacing w:after="0" w:line="268"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20"/>
        <w:spacing w:after="0" w:line="332" w:lineRule="auto"/>
        <w:rPr>
          <w:sz w:val="20"/>
          <w:szCs w:val="20"/>
          <w:color w:val="auto"/>
        </w:rPr>
      </w:pPr>
      <w:r>
        <w:rPr>
          <w:rFonts w:ascii="Arial" w:cs="Arial" w:eastAsia="Arial" w:hAnsi="Arial"/>
          <w:sz w:val="16"/>
          <w:szCs w:val="16"/>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85"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i w:val="1"/>
          <w:iCs w:val="1"/>
          <w:color w:val="auto"/>
        </w:rPr>
        <w:t>Existence</w:t>
      </w:r>
      <w:r>
        <w:rPr>
          <w:rFonts w:ascii="Arial" w:cs="Arial" w:eastAsia="Arial" w:hAnsi="Arial"/>
          <w:sz w:val="16"/>
          <w:szCs w:val="16"/>
          <w:color w:val="auto"/>
        </w:rPr>
        <w:t>. Except as permitted under “—</w:t>
      </w: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indenture requires us to do or cause to be done all things</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0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i w:val="1"/>
          <w:iCs w:val="1"/>
          <w:color w:val="auto"/>
        </w:rPr>
        <w:t xml:space="preserve">Information. </w:t>
      </w:r>
      <w:r>
        <w:rPr>
          <w:rFonts w:ascii="Arial" w:cs="Arial" w:eastAsia="Arial" w:hAnsi="Arial"/>
          <w:sz w:val="16"/>
          <w:szCs w:val="16"/>
          <w:color w:val="auto"/>
        </w:rPr>
        <w:t>We will furnish to the trustee any document or report we are required to file with the SEC pursuant to Section 13 or Section 15(d)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default in paying interest on the senior debt securities of such series when it becomes due and the default continues for a period of 30 days or</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w:t>
      </w:r>
    </w:p>
    <w:p>
      <w:pPr>
        <w:spacing w:after="0" w:line="165" w:lineRule="exact"/>
        <w:rPr>
          <w:sz w:val="20"/>
          <w:szCs w:val="20"/>
          <w:color w:val="auto"/>
        </w:rPr>
      </w:pPr>
    </w:p>
    <w:p>
      <w:pPr>
        <w:ind w:left="900" w:hanging="25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left="200" w:right="260" w:firstLine="444"/>
        <w:spacing w:after="0" w:line="298" w:lineRule="auto"/>
        <w:tabs>
          <w:tab w:leader="none" w:pos="879"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12" w:lineRule="exact"/>
        <w:rPr>
          <w:rFonts w:ascii="Arial" w:cs="Arial" w:eastAsia="Arial" w:hAnsi="Arial"/>
          <w:sz w:val="16"/>
          <w:szCs w:val="16"/>
          <w:color w:val="auto"/>
        </w:rPr>
      </w:pPr>
    </w:p>
    <w:p>
      <w:pPr>
        <w:ind w:left="900" w:hanging="25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880" w:hanging="236"/>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jc w:val="both"/>
        <w:ind w:left="200" w:right="180" w:firstLine="441"/>
        <w:spacing w:after="0" w:line="370" w:lineRule="auto"/>
        <w:rPr>
          <w:sz w:val="20"/>
          <w:szCs w:val="20"/>
          <w:color w:val="auto"/>
        </w:rPr>
      </w:pPr>
      <w:r>
        <w:rPr>
          <w:rFonts w:ascii="Arial" w:cs="Arial" w:eastAsia="Arial" w:hAnsi="Arial"/>
          <w:sz w:val="15"/>
          <w:szCs w:val="15"/>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62"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left="200" w:right="440" w:firstLine="441"/>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We may terminate our obligations and the obligations of the Guarantors under the indenture with respect to the senior debt securities of any series and the Guarantees of such series of senior debt securities, when:</w:t>
      </w:r>
    </w:p>
    <w:p>
      <w:pPr>
        <w:spacing w:after="0" w:line="51" w:lineRule="exact"/>
        <w:rPr>
          <w:sz w:val="20"/>
          <w:szCs w:val="20"/>
          <w:color w:val="auto"/>
        </w:rPr>
      </w:pPr>
    </w:p>
    <w:p>
      <w:pPr>
        <w:ind w:left="1060" w:hanging="316"/>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620" w:right="120" w:hanging="430"/>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620" w:right="220" w:hanging="430"/>
        <w:spacing w:after="0" w:line="268"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64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1060" w:right="400" w:hanging="316"/>
        <w:spacing w:after="0" w:line="268"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1060" w:right="120" w:hanging="316"/>
        <w:spacing w:after="0" w:line="370" w:lineRule="auto"/>
        <w:tabs>
          <w:tab w:leader="none" w:pos="10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1060" w:right="500" w:hanging="316"/>
        <w:spacing w:after="0" w:line="306"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25" w:lineRule="exact"/>
        <w:rPr>
          <w:rFonts w:ascii="Arial" w:cs="Arial" w:eastAsia="Arial" w:hAnsi="Arial"/>
          <w:sz w:val="16"/>
          <w:szCs w:val="16"/>
          <w:color w:val="auto"/>
        </w:rPr>
      </w:pPr>
    </w:p>
    <w:p>
      <w:pPr>
        <w:ind w:left="1060" w:right="220" w:hanging="316"/>
        <w:spacing w:after="0" w:line="268"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1060" w:right="80" w:hanging="316"/>
        <w:spacing w:after="0" w:line="332"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620" w:hanging="430"/>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620" w:hanging="430"/>
        <w:spacing w:after="0"/>
        <w:tabs>
          <w:tab w:leader="none" w:pos="1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jc w:val="both"/>
        <w:ind w:left="1080" w:right="18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1060" w:right="320" w:hanging="316"/>
        <w:spacing w:after="0" w:line="268"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1060" w:right="20" w:hanging="316"/>
        <w:spacing w:after="0" w:line="256"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62" w:lineRule="exact"/>
        <w:rPr>
          <w:rFonts w:ascii="Arial" w:cs="Arial" w:eastAsia="Arial" w:hAnsi="Arial"/>
          <w:sz w:val="18"/>
          <w:szCs w:val="18"/>
          <w:color w:val="auto"/>
        </w:rPr>
      </w:pPr>
    </w:p>
    <w:p>
      <w:pPr>
        <w:ind w:left="1060" w:hanging="316"/>
        <w:spacing w:after="0" w:line="255"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61" w:lineRule="exact"/>
        <w:rPr>
          <w:rFonts w:ascii="Arial" w:cs="Arial" w:eastAsia="Arial" w:hAnsi="Arial"/>
          <w:sz w:val="18"/>
          <w:szCs w:val="18"/>
          <w:color w:val="auto"/>
        </w:rPr>
      </w:pPr>
    </w:p>
    <w:p>
      <w:pPr>
        <w:ind w:left="1060" w:right="220" w:hanging="316"/>
        <w:spacing w:after="0" w:line="268"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ind w:left="1060" w:right="100" w:hanging="316"/>
        <w:spacing w:after="0" w:line="259"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1060" w:right="40" w:hanging="316"/>
        <w:spacing w:after="0" w:line="357" w:lineRule="auto"/>
        <w:tabs>
          <w:tab w:leader="none" w:pos="10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1060" w:right="60" w:hanging="316"/>
        <w:spacing w:after="0" w:line="268"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1060" w:right="6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1060" w:hanging="316"/>
        <w:spacing w:after="0" w:line="268"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7" w:lineRule="exact"/>
        <w:rPr>
          <w:sz w:val="20"/>
          <w:szCs w:val="20"/>
          <w:color w:val="auto"/>
        </w:rPr>
      </w:pPr>
    </w:p>
    <w:p>
      <w:pPr>
        <w:ind w:left="1060" w:right="6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1060" w:right="12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1060" w:right="40" w:hanging="316"/>
        <w:spacing w:after="0" w:line="268"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senior indenture, including any Guarantee, and each senior debt security is governed by and construed in accordance with the laws of the State of New York.</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left="200" w:right="360" w:firstLine="441"/>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2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jc w:val="both"/>
        <w:ind w:left="200" w:right="60" w:firstLine="441"/>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60"/>
        <w:spacing w:after="0" w:line="306" w:lineRule="auto"/>
        <w:rPr>
          <w:sz w:val="20"/>
          <w:szCs w:val="20"/>
          <w:color w:val="auto"/>
        </w:rPr>
      </w:pPr>
      <w:r>
        <w:rPr>
          <w:rFonts w:ascii="Arial" w:cs="Arial" w:eastAsia="Arial" w:hAnsi="Arial"/>
          <w:sz w:val="16"/>
          <w:szCs w:val="16"/>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 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transfer agent and registrar for our Class A common stock is Wells Fargo Shareowner Services, P.O. Box 64874, St. Paul, Minnesota 55164-0874.</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Its telephone number is (888) 883-8903.</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44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right"/>
        <w:ind w:right="4400"/>
        <w:spacing w:after="0"/>
        <w:rPr>
          <w:sz w:val="20"/>
          <w:szCs w:val="20"/>
          <w:color w:val="auto"/>
        </w:rPr>
      </w:pPr>
      <w:r>
        <w:rPr>
          <w:rFonts w:ascii="Arial" w:cs="Arial" w:eastAsia="Arial" w:hAnsi="Arial"/>
          <w:sz w:val="16"/>
          <w:szCs w:val="16"/>
          <w:color w:val="auto"/>
        </w:rPr>
        <w:t>We or selling security holders may sell the securities being offered hereby in four ways:</w:t>
      </w:r>
    </w:p>
    <w:p>
      <w:pPr>
        <w:spacing w:after="0" w:line="113"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jc w:val="both"/>
        <w:ind w:left="200" w:right="260" w:firstLine="441"/>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14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jc w:val="both"/>
        <w:ind w:left="200" w:right="40" w:firstLine="441"/>
        <w:spacing w:after="0" w:line="284"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w:t>
      </w:r>
    </w:p>
    <w:p>
      <w:pPr>
        <w:spacing w:after="0" w:line="1"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09"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1060" w:hanging="316"/>
        <w:spacing w:after="0"/>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1060" w:right="140" w:hanging="316"/>
        <w:spacing w:after="0" w:line="268"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1060" w:right="200" w:hanging="316"/>
        <w:spacing w:after="0" w:line="268"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1060" w:right="100" w:hanging="316"/>
        <w:spacing w:after="0" w:line="268"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1060" w:right="480" w:hanging="316"/>
        <w:spacing w:after="0" w:line="33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2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175260</wp:posOffset>
            </wp:positionV>
            <wp:extent cx="1397635" cy="488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80" w:hanging="687"/>
        <w:spacing w:after="0"/>
        <w:tabs>
          <w:tab w:leader="none" w:pos="4480" w:val="left"/>
        </w:tabs>
        <w:numPr>
          <w:ilvl w:val="0"/>
          <w:numId w:val="49"/>
        </w:numPr>
        <w:rPr>
          <w:rFonts w:ascii="Arial" w:cs="Arial" w:eastAsia="Arial" w:hAnsi="Arial"/>
          <w:sz w:val="25"/>
          <w:szCs w:val="25"/>
          <w:b w:val="1"/>
          <w:bCs w:val="1"/>
          <w:color w:val="auto"/>
        </w:rPr>
      </w:pPr>
      <w:r>
        <w:rPr>
          <w:rFonts w:ascii="Arial" w:cs="Arial" w:eastAsia="Arial" w:hAnsi="Arial"/>
          <w:sz w:val="25"/>
          <w:szCs w:val="25"/>
          <w:b w:val="1"/>
          <w:bCs w:val="1"/>
          <w:color w:val="auto"/>
        </w:rPr>
        <w:t>Floating Rate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117" w:lineRule="exact"/>
        <w:rPr>
          <w:rFonts w:ascii="Arial" w:cs="Arial" w:eastAsia="Arial" w:hAnsi="Arial"/>
          <w:sz w:val="25"/>
          <w:szCs w:val="25"/>
          <w:b w:val="1"/>
          <w:bCs w:val="1"/>
          <w:color w:val="auto"/>
        </w:rPr>
      </w:pPr>
    </w:p>
    <w:p>
      <w:pPr>
        <w:ind w:left="4300"/>
        <w:spacing w:after="0"/>
        <w:rPr>
          <w:rFonts w:ascii="Arial" w:cs="Arial" w:eastAsia="Arial" w:hAnsi="Arial"/>
          <w:sz w:val="25"/>
          <w:szCs w:val="25"/>
          <w:b w:val="1"/>
          <w:bCs w:val="1"/>
          <w:color w:val="auto"/>
        </w:rPr>
      </w:pPr>
      <w:r>
        <w:rPr>
          <w:rFonts w:ascii="Arial" w:cs="Arial" w:eastAsia="Arial" w:hAnsi="Arial"/>
          <w:sz w:val="25"/>
          <w:szCs w:val="25"/>
          <w:b w:val="1"/>
          <w:bCs w:val="1"/>
          <w:color w:val="auto"/>
        </w:rPr>
        <w:t>$</w:t>
      </w:r>
      <w:r>
        <w:rPr>
          <w:rFonts w:ascii="Arial" w:cs="Arial" w:eastAsia="Arial" w:hAnsi="Arial"/>
          <w:sz w:val="22"/>
          <w:szCs w:val="22"/>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406400</wp:posOffset>
            </wp:positionV>
            <wp:extent cx="14662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200" w:type="dxa"/>
        <w:tblCellMar>
          <w:top w:w="0" w:type="dxa"/>
          <w:left w:w="0" w:type="dxa"/>
          <w:bottom w:w="0" w:type="dxa"/>
          <w:right w:w="0" w:type="dxa"/>
        </w:tblCellMar>
      </w:tblPr>
      <w:tr>
        <w:trPr>
          <w:trHeight w:val="275"/>
        </w:trPr>
        <w:tc>
          <w:tcPr>
            <w:tcW w:w="3280" w:type="dxa"/>
            <w:vAlign w:val="bottom"/>
          </w:tcPr>
          <w:p>
            <w:pPr>
              <w:spacing w:after="0"/>
              <w:rPr>
                <w:sz w:val="23"/>
                <w:szCs w:val="23"/>
                <w:color w:val="auto"/>
              </w:rPr>
            </w:pPr>
          </w:p>
        </w:tc>
        <w:tc>
          <w:tcPr>
            <w:tcW w:w="7740" w:type="dxa"/>
            <w:vAlign w:val="bottom"/>
          </w:tcPr>
          <w:p>
            <w:pPr>
              <w:jc w:val="right"/>
              <w:ind w:right="3965"/>
              <w:spacing w:after="0"/>
              <w:rPr>
                <w:sz w:val="20"/>
                <w:szCs w:val="20"/>
                <w:color w:val="auto"/>
              </w:rPr>
            </w:pPr>
            <w:r>
              <w:rPr>
                <w:rFonts w:ascii="Arial" w:cs="Arial" w:eastAsia="Arial" w:hAnsi="Arial"/>
                <w:sz w:val="22"/>
                <w:szCs w:val="22"/>
                <w:b w:val="1"/>
                <w:bCs w:val="1"/>
                <w:i w:val="1"/>
                <w:iCs w:val="1"/>
                <w:color w:val="auto"/>
              </w:rPr>
              <w:t>Joint Book-Running Managers</w:t>
            </w:r>
          </w:p>
        </w:tc>
      </w:tr>
      <w:tr>
        <w:trPr>
          <w:trHeight w:val="832"/>
        </w:trPr>
        <w:tc>
          <w:tcPr>
            <w:tcW w:w="3280" w:type="dxa"/>
            <w:vAlign w:val="bottom"/>
          </w:tcPr>
          <w:p>
            <w:pPr>
              <w:spacing w:after="0"/>
              <w:rPr>
                <w:sz w:val="20"/>
                <w:szCs w:val="20"/>
                <w:color w:val="auto"/>
              </w:rPr>
            </w:pPr>
            <w:r>
              <w:rPr>
                <w:rFonts w:ascii="Arial" w:cs="Arial" w:eastAsia="Arial" w:hAnsi="Arial"/>
                <w:sz w:val="29"/>
                <w:szCs w:val="29"/>
                <w:b w:val="1"/>
                <w:bCs w:val="1"/>
                <w:color w:val="auto"/>
              </w:rPr>
              <w:t>BofA Merrill Lynch</w:t>
            </w:r>
          </w:p>
        </w:tc>
        <w:tc>
          <w:tcPr>
            <w:tcW w:w="7740" w:type="dxa"/>
            <w:vAlign w:val="bottom"/>
          </w:tcPr>
          <w:p>
            <w:pPr>
              <w:jc w:val="right"/>
              <w:spacing w:after="0"/>
              <w:rPr>
                <w:sz w:val="20"/>
                <w:szCs w:val="20"/>
                <w:color w:val="auto"/>
              </w:rPr>
            </w:pPr>
            <w:r>
              <w:rPr>
                <w:rFonts w:ascii="Arial" w:cs="Arial" w:eastAsia="Arial" w:hAnsi="Arial"/>
                <w:sz w:val="29"/>
                <w:szCs w:val="29"/>
                <w:b w:val="1"/>
                <w:bCs w:val="1"/>
                <w:color w:val="auto"/>
              </w:rPr>
              <w:t>Wells Fargo Securities</w:t>
            </w:r>
          </w:p>
        </w:tc>
      </w:tr>
      <w:tr>
        <w:trPr>
          <w:trHeight w:val="473"/>
        </w:trPr>
        <w:tc>
          <w:tcPr>
            <w:tcW w:w="3280" w:type="dxa"/>
            <w:vAlign w:val="bottom"/>
          </w:tcPr>
          <w:p>
            <w:pPr>
              <w:spacing w:after="0"/>
              <w:rPr>
                <w:sz w:val="20"/>
                <w:szCs w:val="20"/>
                <w:color w:val="auto"/>
              </w:rPr>
            </w:pPr>
            <w:r>
              <w:rPr>
                <w:rFonts w:ascii="Arial" w:cs="Arial" w:eastAsia="Arial" w:hAnsi="Arial"/>
                <w:sz w:val="29"/>
                <w:szCs w:val="29"/>
                <w:b w:val="1"/>
                <w:bCs w:val="1"/>
                <w:color w:val="auto"/>
              </w:rPr>
              <w:t>Credit Suisse</w:t>
            </w:r>
          </w:p>
        </w:tc>
        <w:tc>
          <w:tcPr>
            <w:tcW w:w="7740" w:type="dxa"/>
            <w:vAlign w:val="bottom"/>
          </w:tcPr>
          <w:p>
            <w:pPr>
              <w:jc w:val="right"/>
              <w:spacing w:after="0"/>
              <w:rPr>
                <w:sz w:val="20"/>
                <w:szCs w:val="20"/>
                <w:color w:val="auto"/>
              </w:rPr>
            </w:pPr>
            <w:r>
              <w:rPr>
                <w:rFonts w:ascii="Arial" w:cs="Arial" w:eastAsia="Arial" w:hAnsi="Arial"/>
                <w:sz w:val="29"/>
                <w:szCs w:val="29"/>
                <w:b w:val="1"/>
                <w:bCs w:val="1"/>
                <w:color w:val="auto"/>
              </w:rPr>
              <w:t>Mizuho Securities</w:t>
            </w:r>
          </w:p>
        </w:tc>
      </w:tr>
      <w:tr>
        <w:trPr>
          <w:trHeight w:val="473"/>
        </w:trPr>
        <w:tc>
          <w:tcPr>
            <w:tcW w:w="3280" w:type="dxa"/>
            <w:vAlign w:val="bottom"/>
          </w:tcPr>
          <w:p>
            <w:pPr>
              <w:spacing w:after="0"/>
              <w:rPr>
                <w:sz w:val="20"/>
                <w:szCs w:val="20"/>
                <w:color w:val="auto"/>
              </w:rPr>
            </w:pPr>
            <w:r>
              <w:rPr>
                <w:rFonts w:ascii="Arial" w:cs="Arial" w:eastAsia="Arial" w:hAnsi="Arial"/>
                <w:sz w:val="29"/>
                <w:szCs w:val="29"/>
                <w:b w:val="1"/>
                <w:bCs w:val="1"/>
                <w:color w:val="auto"/>
              </w:rPr>
              <w:t>MUFG</w:t>
            </w:r>
          </w:p>
        </w:tc>
        <w:tc>
          <w:tcPr>
            <w:tcW w:w="7740" w:type="dxa"/>
            <w:vAlign w:val="bottom"/>
          </w:tcPr>
          <w:p>
            <w:pPr>
              <w:jc w:val="right"/>
              <w:spacing w:after="0"/>
              <w:rPr>
                <w:sz w:val="20"/>
                <w:szCs w:val="20"/>
                <w:color w:val="auto"/>
              </w:rPr>
            </w:pPr>
            <w:r>
              <w:rPr>
                <w:rFonts w:ascii="Arial" w:cs="Arial" w:eastAsia="Arial" w:hAnsi="Arial"/>
                <w:sz w:val="29"/>
                <w:szCs w:val="29"/>
                <w:b w:val="1"/>
                <w:bCs w:val="1"/>
                <w:color w:val="auto"/>
              </w:rPr>
              <w:t>SMBC Nikko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314325</wp:posOffset>
            </wp:positionV>
            <wp:extent cx="14662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480695</wp:posOffset>
            </wp:positionV>
            <wp:extent cx="69977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Roman"/>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2"/>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2"/>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3"/>
    </w:lvl>
  </w:abstractNum>
  <w:abstractNum w:abstractNumId="29">
    <w:nsid w:val="51EAD36B"/>
    <w:multiLevelType w:val="hybridMultilevel"/>
    <w:lvl w:ilvl="0">
      <w:lvlJc w:val="left"/>
      <w:lvlText w:val="(%1)"/>
      <w:numFmt w:val="lowerLetter"/>
      <w:start w:val="12"/>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
      <w:numFmt w:val="bullet"/>
      <w:start w:val="1"/>
    </w:lvl>
    <w:lvl w:ilvl="1">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lvl w:ilvl="1">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2019-12-06T20:15:06Z</dcterms:created>
  <dcterms:modified xsi:type="dcterms:W3CDTF">2019-12-06T20:15:06Z</dcterms:modified>
</cp:coreProperties>
</file>