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605790</wp:posOffset>
            </wp:positionH>
            <wp:positionV relativeFrom="page">
              <wp:posOffset>471805</wp:posOffset>
            </wp:positionV>
            <wp:extent cx="6798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8310" cy="8255"/>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438150</wp:posOffset>
            </wp:positionV>
            <wp:extent cx="6798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831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4" w:lineRule="exact"/>
        <w:rPr>
          <w:sz w:val="24"/>
          <w:szCs w:val="24"/>
          <w:color w:val="auto"/>
        </w:rPr>
      </w:pPr>
    </w:p>
    <w:p>
      <w:pPr>
        <w:ind w:left="1100" w:hanging="938"/>
        <w:spacing w:after="0"/>
        <w:tabs>
          <w:tab w:leader="none" w:pos="11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7" w:lineRule="exact"/>
        <w:rPr>
          <w:sz w:val="24"/>
          <w:szCs w:val="24"/>
          <w:color w:val="auto"/>
        </w:rPr>
      </w:pPr>
    </w:p>
    <w:p>
      <w:pPr>
        <w:ind w:left="1060" w:hanging="891"/>
        <w:spacing w:after="0"/>
        <w:tabs>
          <w:tab w:leader="none" w:pos="10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3" w:lineRule="exact"/>
        <w:rPr>
          <w:sz w:val="24"/>
          <w:szCs w:val="24"/>
          <w:color w:val="auto"/>
        </w:rPr>
      </w:pPr>
    </w:p>
    <w:p>
      <w:pPr>
        <w:ind w:left="3780"/>
        <w:spacing w:after="0"/>
        <w:tabs>
          <w:tab w:leader="none" w:pos="70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1957705</wp:posOffset>
            </wp:positionH>
            <wp:positionV relativeFrom="paragraph">
              <wp:posOffset>153670</wp:posOffset>
            </wp:positionV>
            <wp:extent cx="3185795" cy="507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5795" cy="507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7"/>
                <w:szCs w:val="17"/>
                <w:color w:val="auto"/>
                <w:w w:val="93"/>
              </w:rPr>
              <w:t>Exact Name of Registrant; State of</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20" w:type="dxa"/>
            <w:vAlign w:val="bottom"/>
            <w:vMerge w:val="restart"/>
          </w:tcPr>
          <w:p>
            <w:pPr>
              <w:jc w:val="center"/>
              <w:ind w:right="933"/>
              <w:spacing w:after="0"/>
              <w:rPr>
                <w:sz w:val="20"/>
                <w:szCs w:val="20"/>
                <w:color w:val="auto"/>
              </w:rPr>
            </w:pPr>
            <w:r>
              <w:rPr>
                <w:rFonts w:ascii="Arial" w:cs="Arial" w:eastAsia="Arial" w:hAnsi="Arial"/>
                <w:sz w:val="17"/>
                <w:szCs w:val="17"/>
                <w:color w:val="auto"/>
                <w:w w:val="95"/>
              </w:rPr>
              <w:t>Commission File Number</w:t>
            </w:r>
          </w:p>
        </w:tc>
        <w:tc>
          <w:tcPr>
            <w:tcW w:w="2980" w:type="dxa"/>
            <w:vAlign w:val="bottom"/>
            <w:gridSpan w:val="6"/>
          </w:tcPr>
          <w:p>
            <w:pPr>
              <w:jc w:val="center"/>
              <w:ind w:right="20"/>
              <w:spacing w:after="0" w:line="171" w:lineRule="exact"/>
              <w:rPr>
                <w:sz w:val="20"/>
                <w:szCs w:val="20"/>
                <w:color w:val="auto"/>
              </w:rPr>
            </w:pPr>
            <w:r>
              <w:rPr>
                <w:rFonts w:ascii="Arial" w:cs="Arial" w:eastAsia="Arial" w:hAnsi="Arial"/>
                <w:sz w:val="17"/>
                <w:szCs w:val="17"/>
                <w:color w:val="auto"/>
                <w:w w:val="92"/>
              </w:rPr>
              <w:t>Incorporation; Address and Telephone</w:t>
            </w:r>
          </w:p>
        </w:tc>
        <w:tc>
          <w:tcPr>
            <w:tcW w:w="4100" w:type="dxa"/>
            <w:vAlign w:val="bottom"/>
            <w:vMerge w:val="restart"/>
          </w:tcPr>
          <w:p>
            <w:pPr>
              <w:jc w:val="center"/>
              <w:ind w:left="913"/>
              <w:spacing w:after="0"/>
              <w:rPr>
                <w:sz w:val="20"/>
                <w:szCs w:val="20"/>
                <w:color w:val="auto"/>
              </w:rPr>
            </w:pPr>
            <w:r>
              <w:rPr>
                <w:rFonts w:ascii="Arial" w:cs="Arial" w:eastAsia="Arial" w:hAnsi="Arial"/>
                <w:sz w:val="17"/>
                <w:szCs w:val="17"/>
                <w:color w:val="auto"/>
                <w:w w:val="96"/>
              </w:rPr>
              <w:t>I.R.S. Employer Identification No.</w:t>
            </w:r>
          </w:p>
        </w:tc>
        <w:tc>
          <w:tcPr>
            <w:tcW w:w="0" w:type="dxa"/>
            <w:vAlign w:val="bottom"/>
          </w:tcPr>
          <w:p>
            <w:pPr>
              <w:spacing w:after="0"/>
              <w:rPr>
                <w:sz w:val="1"/>
                <w:szCs w:val="1"/>
                <w:color w:val="auto"/>
              </w:rPr>
            </w:pPr>
          </w:p>
        </w:tc>
      </w:tr>
      <w:tr>
        <w:trPr>
          <w:trHeight w:val="222"/>
        </w:trPr>
        <w:tc>
          <w:tcPr>
            <w:tcW w:w="412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7"/>
                <w:szCs w:val="17"/>
                <w:color w:val="auto"/>
                <w:w w:val="96"/>
              </w:rPr>
              <w:t>Number of Principal Executive Offices</w:t>
            </w:r>
          </w:p>
        </w:tc>
        <w:tc>
          <w:tcPr>
            <w:tcW w:w="4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20" w:type="dxa"/>
            <w:vAlign w:val="bottom"/>
          </w:tcPr>
          <w:p>
            <w:pPr>
              <w:jc w:val="right"/>
              <w:ind w:right="2113"/>
              <w:spacing w:after="0"/>
              <w:rPr>
                <w:sz w:val="20"/>
                <w:szCs w:val="20"/>
                <w:color w:val="auto"/>
              </w:rPr>
            </w:pPr>
            <w:r>
              <w:rPr>
                <w:rFonts w:ascii="Arial" w:cs="Arial" w:eastAsia="Arial" w:hAnsi="Arial"/>
                <w:sz w:val="17"/>
                <w:szCs w:val="17"/>
                <w:b w:val="1"/>
                <w:bCs w:val="1"/>
                <w:color w:val="auto"/>
              </w:rPr>
              <w:t>001-32871</w:t>
            </w:r>
          </w:p>
        </w:tc>
        <w:tc>
          <w:tcPr>
            <w:tcW w:w="200" w:type="dxa"/>
            <w:vAlign w:val="bottom"/>
          </w:tcPr>
          <w:p>
            <w:pPr>
              <w:spacing w:after="0"/>
              <w:rPr>
                <w:sz w:val="19"/>
                <w:szCs w:val="19"/>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COMCAST CORPORATION</w:t>
            </w:r>
          </w:p>
        </w:tc>
        <w:tc>
          <w:tcPr>
            <w:tcW w:w="4100" w:type="dxa"/>
            <w:vAlign w:val="bottom"/>
          </w:tcPr>
          <w:p>
            <w:pPr>
              <w:jc w:val="right"/>
              <w:ind w:right="1053"/>
              <w:spacing w:after="0"/>
              <w:rPr>
                <w:sz w:val="20"/>
                <w:szCs w:val="20"/>
                <w:color w:val="auto"/>
              </w:rPr>
            </w:pPr>
            <w:r>
              <w:rPr>
                <w:rFonts w:ascii="Arial" w:cs="Arial" w:eastAsia="Arial" w:hAnsi="Arial"/>
                <w:sz w:val="17"/>
                <w:szCs w:val="17"/>
                <w:b w:val="1"/>
                <w:bCs w:val="1"/>
                <w:color w:val="auto"/>
              </w:rPr>
              <w:t>27-0000798</w:t>
            </w:r>
          </w:p>
        </w:tc>
        <w:tc>
          <w:tcPr>
            <w:tcW w:w="0" w:type="dxa"/>
            <w:vAlign w:val="bottom"/>
          </w:tcPr>
          <w:p>
            <w:pPr>
              <w:spacing w:after="0"/>
              <w:rPr>
                <w:sz w:val="1"/>
                <w:szCs w:val="1"/>
                <w:color w:val="auto"/>
              </w:rPr>
            </w:pPr>
          </w:p>
        </w:tc>
      </w:tr>
      <w:tr>
        <w:trPr>
          <w:trHeight w:val="278"/>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w w:val="91"/>
              </w:rPr>
              <w:t>Pennsylvania</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w w:val="92"/>
              </w:rPr>
              <w:t>One Comcast Center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93"/>
              </w:rPr>
              <w:t>Philadelphia, PA 19103-2838</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center"/>
              <w:ind w:left="373"/>
              <w:spacing w:after="0"/>
              <w:rPr>
                <w:sz w:val="20"/>
                <w:szCs w:val="20"/>
                <w:color w:val="auto"/>
              </w:rPr>
            </w:pPr>
            <w:r>
              <w:rPr>
                <w:rFonts w:ascii="Arial" w:cs="Arial" w:eastAsia="Arial" w:hAnsi="Arial"/>
                <w:sz w:val="17"/>
                <w:szCs w:val="17"/>
                <w:b w:val="1"/>
                <w:bCs w:val="1"/>
                <w:color w:val="auto"/>
                <w:w w:val="92"/>
              </w:rPr>
              <w:t>(215) 286-1700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120" w:type="dxa"/>
            <w:vAlign w:val="bottom"/>
          </w:tcPr>
          <w:p>
            <w:pPr>
              <w:spacing w:after="0"/>
              <w:rPr>
                <w:sz w:val="20"/>
                <w:szCs w:val="20"/>
                <w:color w:val="auto"/>
              </w:rPr>
            </w:pPr>
            <w:r>
              <w:rPr>
                <w:rFonts w:ascii="Arial" w:cs="Arial" w:eastAsia="Arial" w:hAnsi="Arial"/>
                <w:sz w:val="17"/>
                <w:szCs w:val="17"/>
                <w:color w:val="auto"/>
                <w:w w:val="94"/>
              </w:rPr>
              <w:t>Securities registered pursuant to Section 12(b) of the Act: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120" w:type="dxa"/>
            <w:vAlign w:val="bottom"/>
            <w:tcBorders>
              <w:bottom w:val="single" w:sz="8" w:color="auto"/>
            </w:tcBorders>
          </w:tcPr>
          <w:p>
            <w:pPr>
              <w:jc w:val="center"/>
              <w:ind w:left="473"/>
              <w:spacing w:after="0"/>
              <w:rPr>
                <w:sz w:val="20"/>
                <w:szCs w:val="20"/>
                <w:color w:val="auto"/>
              </w:rPr>
            </w:pPr>
            <w:r>
              <w:rPr>
                <w:rFonts w:ascii="Arial" w:cs="Arial" w:eastAsia="Arial" w:hAnsi="Arial"/>
                <w:sz w:val="17"/>
                <w:szCs w:val="17"/>
                <w:b w:val="1"/>
                <w:bCs w:val="1"/>
                <w:color w:val="auto"/>
                <w:w w:val="90"/>
              </w:rPr>
              <w:t>Title of each class</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45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0" w:type="dxa"/>
            <w:vAlign w:val="bottom"/>
          </w:tcPr>
          <w:p>
            <w:pPr>
              <w:spacing w:after="0"/>
              <w:rPr>
                <w:sz w:val="1"/>
                <w:szCs w:val="1"/>
                <w:color w:val="auto"/>
              </w:rPr>
            </w:pPr>
          </w:p>
        </w:tc>
      </w:tr>
      <w:tr>
        <w:trPr>
          <w:trHeight w:val="216"/>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Class A Common Stock, $0.01 par value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rPr>
              <w:t>CMCSA</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0.000% Notes due 2026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CMCS26</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0.250% Notes due 2027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CMCS27</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1.500%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CMCS29</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0.250%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7"/>
              </w:rPr>
              <w:t>CMCS29A</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0.750% Notes due 2032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CMCS32</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1.875% Notes due 2036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CMCS36</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1.250% Notes due 2040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CMCS40</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0"/>
              </w:rPr>
              <w:t>9.455% Guaranteed Notes due 2022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6"/>
              </w:rPr>
              <w:t>CMCSA/22</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3"/>
              </w:rPr>
              <w:t>New York Stock Exchange</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5.50%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3"/>
              </w:rPr>
              <w:t>CCGBP29</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3"/>
              </w:rPr>
              <w:t>New York Stock Exchange</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auto"/>
            </w:tcBorders>
            <w:gridSpan w:val="2"/>
          </w:tcPr>
          <w:p>
            <w:pPr>
              <w:jc w:val="center"/>
              <w:ind w:left="273"/>
              <w:spacing w:after="0"/>
              <w:rPr>
                <w:sz w:val="20"/>
                <w:szCs w:val="20"/>
                <w:color w:val="auto"/>
              </w:rPr>
            </w:pPr>
            <w:r>
              <w:rPr>
                <w:rFonts w:ascii="Arial" w:cs="Arial" w:eastAsia="Arial" w:hAnsi="Arial"/>
                <w:sz w:val="17"/>
                <w:szCs w:val="17"/>
                <w:color w:val="auto"/>
                <w:w w:val="91"/>
              </w:rPr>
              <w:t>2.0% Exchangeable Subordinated Debentures due 2029</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CCZ</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center"/>
              <w:ind w:right="453"/>
              <w:spacing w:after="0"/>
              <w:rPr>
                <w:sz w:val="20"/>
                <w:szCs w:val="20"/>
                <w:color w:val="auto"/>
              </w:rPr>
            </w:pPr>
            <w:r>
              <w:rPr>
                <w:rFonts w:ascii="Arial" w:cs="Arial" w:eastAsia="Arial" w:hAnsi="Arial"/>
                <w:sz w:val="17"/>
                <w:szCs w:val="17"/>
                <w:color w:val="auto"/>
                <w:w w:val="93"/>
              </w:rPr>
              <w:t>New York Stock Exchange</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both"/>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5" w:lineRule="exact"/>
        <w:rPr>
          <w:sz w:val="24"/>
          <w:szCs w:val="24"/>
          <w:color w:val="auto"/>
        </w:rPr>
      </w:pPr>
    </w:p>
    <w:p>
      <w:pPr>
        <w:jc w:val="both"/>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7" w:lineRule="exact"/>
        <w:rPr>
          <w:sz w:val="24"/>
          <w:szCs w:val="24"/>
          <w:color w:val="auto"/>
        </w:rPr>
      </w:pPr>
    </w:p>
    <w:p>
      <w:pPr>
        <w:ind w:left="20"/>
        <w:spacing w:after="0" w:line="196" w:lineRule="exact"/>
        <w:tabs>
          <w:tab w:leader="none" w:pos="1680" w:val="left"/>
          <w:tab w:leader="none" w:pos="3340" w:val="left"/>
          <w:tab w:leader="none" w:pos="528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Smaller reporting company</w:t>
      </w:r>
      <w:r>
        <w:rPr>
          <w:rFonts w:ascii="MS PGothic" w:cs="MS PGothic" w:eastAsia="MS PGothic" w:hAnsi="MS PGothic"/>
          <w:sz w:val="15"/>
          <w:szCs w:val="15"/>
          <w:color w:val="auto"/>
        </w:rPr>
        <w:t xml:space="preserve">  ☐ </w:t>
      </w:r>
      <w:r>
        <w:rPr>
          <w:rFonts w:ascii="Arial" w:cs="Arial" w:eastAsia="Arial" w:hAnsi="Arial"/>
          <w:sz w:val="15"/>
          <w:szCs w:val="15"/>
          <w:color w:val="auto"/>
        </w:rPr>
        <w:t>Emerging growth company</w:t>
      </w:r>
      <w:r>
        <w:rPr>
          <w:rFonts w:ascii="MS PGothic" w:cs="MS PGothic" w:eastAsia="MS PGothic" w:hAnsi="MS PGothic"/>
          <w:sz w:val="15"/>
          <w:szCs w:val="15"/>
          <w:color w:val="auto"/>
        </w:rPr>
        <w:t xml:space="preserve">  ☐</w:t>
      </w:r>
    </w:p>
    <w:p>
      <w:pPr>
        <w:spacing w:after="0" w:line="215" w:lineRule="exact"/>
        <w:rPr>
          <w:sz w:val="24"/>
          <w:szCs w:val="24"/>
          <w:color w:val="auto"/>
        </w:rPr>
      </w:pPr>
    </w:p>
    <w:p>
      <w:pPr>
        <w:jc w:val="both"/>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As of March 31, 2022, there were 4,471,872,439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520700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200660</wp:posOffset>
            </wp:positionV>
            <wp:extent cx="701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167005</wp:posOffset>
            </wp:positionV>
            <wp:extent cx="7019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9925" cy="825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tcPr>
          <w:p>
            <w:pPr>
              <w:jc w:val="right"/>
              <w:ind w:right="19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80" w:type="dxa"/>
            <w:vAlign w:val="bottom"/>
            <w:tcBorders>
              <w:bottom w:val="single" w:sz="8" w:color="0000FF"/>
            </w:tcBorders>
            <w:gridSpan w:val="9"/>
          </w:tcPr>
          <w:p>
            <w:pPr>
              <w:spacing w:after="0" w:line="179" w:lineRule="exact"/>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FINANCIAL INFORMATION</w:t>
              </w:r>
            </w:hyperlink>
          </w:p>
        </w:tc>
        <w:tc>
          <w:tcPr>
            <w:tcW w:w="6120" w:type="dxa"/>
            <w:vAlign w:val="bottom"/>
            <w:gridSpan w:val="11"/>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1460" w:type="dxa"/>
            <w:vAlign w:val="bottom"/>
            <w:tcBorders>
              <w:bottom w:val="single" w:sz="8" w:color="0000FF"/>
            </w:tcBorders>
            <w:gridSpan w:val="6"/>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Financial Statements</w:t>
              </w:r>
            </w:hyperlink>
          </w:p>
        </w:tc>
        <w:tc>
          <w:tcPr>
            <w:tcW w:w="6240" w:type="dxa"/>
            <w:vAlign w:val="bottom"/>
            <w:gridSpan w:val="12"/>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3">
              <w:r>
                <w:rPr>
                  <w:rFonts w:ascii="Arial" w:cs="Arial" w:eastAsia="Arial" w:hAnsi="Arial"/>
                  <w:sz w:val="17"/>
                  <w:szCs w:val="17"/>
                  <w:color w:val="2C2C2C"/>
                </w:rPr>
                <w:t>1</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2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Condensed Consolidated Statement of Income (Unaudited)</w:t>
              </w:r>
            </w:hyperlink>
          </w:p>
        </w:tc>
        <w:tc>
          <w:tcPr>
            <w:tcW w:w="3580" w:type="dxa"/>
            <w:vAlign w:val="bottom"/>
            <w:gridSpan w:val="8"/>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4">
              <w:r>
                <w:rPr>
                  <w:rFonts w:ascii="Arial" w:cs="Arial" w:eastAsia="Arial" w:hAnsi="Arial"/>
                  <w:sz w:val="17"/>
                  <w:szCs w:val="17"/>
                  <w:color w:val="2C2C2C"/>
                </w:rPr>
                <w:t>1</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Borders>
              <w:bottom w:val="single" w:sz="8" w:color="0000FF"/>
            </w:tcBorders>
            <w:gridSpan w:val="16"/>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Condensed Consolidated Statement of Comprehensive Income (Unaudited)</w:t>
              </w:r>
            </w:hyperlink>
          </w:p>
        </w:tc>
        <w:tc>
          <w:tcPr>
            <w:tcW w:w="2440" w:type="dxa"/>
            <w:vAlign w:val="bottom"/>
            <w:gridSpan w:val="2"/>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4">
              <w:r>
                <w:rPr>
                  <w:rFonts w:ascii="Arial" w:cs="Arial" w:eastAsia="Arial" w:hAnsi="Arial"/>
                  <w:sz w:val="17"/>
                  <w:szCs w:val="17"/>
                  <w:color w:val="2C2C2C"/>
                </w:rPr>
                <w:t>2</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Borders>
              <w:bottom w:val="single" w:sz="8" w:color="0000FF"/>
            </w:tcBorders>
            <w:gridSpan w:val="13"/>
          </w:tcPr>
          <w:p>
            <w:pPr>
              <w:spacing w:after="0"/>
              <w:rPr>
                <w:rFonts w:ascii="Arial" w:cs="Arial" w:eastAsia="Arial" w:hAnsi="Arial"/>
                <w:sz w:val="17"/>
                <w:szCs w:val="17"/>
                <w:color w:val="0000FF"/>
                <w:w w:val="91"/>
              </w:rPr>
            </w:pPr>
            <w:hyperlink w:anchor="page5">
              <w:r>
                <w:rPr>
                  <w:rFonts w:ascii="Arial" w:cs="Arial" w:eastAsia="Arial" w:hAnsi="Arial"/>
                  <w:sz w:val="17"/>
                  <w:szCs w:val="17"/>
                  <w:color w:val="0000FF"/>
                  <w:w w:val="91"/>
                </w:rPr>
                <w:t>Condensed Consolidated Statement of Cash Flows (Unaudited)</w:t>
              </w:r>
            </w:hyperlink>
          </w:p>
        </w:tc>
        <w:tc>
          <w:tcPr>
            <w:tcW w:w="3280" w:type="dxa"/>
            <w:vAlign w:val="bottom"/>
            <w:gridSpan w:val="5"/>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5">
              <w:r>
                <w:rPr>
                  <w:rFonts w:ascii="Arial" w:cs="Arial" w:eastAsia="Arial" w:hAnsi="Arial"/>
                  <w:sz w:val="17"/>
                  <w:szCs w:val="17"/>
                  <w:color w:val="2C2C2C"/>
                </w:rPr>
                <w:t>3</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Borders>
              <w:bottom w:val="single" w:sz="8" w:color="0000FF"/>
            </w:tcBorders>
            <w:gridSpan w:val="9"/>
          </w:tcPr>
          <w:p>
            <w:pPr>
              <w:spacing w:after="0"/>
              <w:rPr>
                <w:rFonts w:ascii="Arial" w:cs="Arial" w:eastAsia="Arial" w:hAnsi="Arial"/>
                <w:sz w:val="17"/>
                <w:szCs w:val="17"/>
                <w:color w:val="0000FF"/>
                <w:w w:val="91"/>
              </w:rPr>
            </w:pPr>
            <w:hyperlink w:anchor="page6">
              <w:r>
                <w:rPr>
                  <w:rFonts w:ascii="Arial" w:cs="Arial" w:eastAsia="Arial" w:hAnsi="Arial"/>
                  <w:sz w:val="17"/>
                  <w:szCs w:val="17"/>
                  <w:color w:val="0000FF"/>
                  <w:w w:val="91"/>
                </w:rPr>
                <w:t>Condensed Consolidated Balance Sheet (Unaudited)</w:t>
              </w:r>
            </w:hyperlink>
          </w:p>
        </w:tc>
        <w:tc>
          <w:tcPr>
            <w:tcW w:w="4040" w:type="dxa"/>
            <w:vAlign w:val="bottom"/>
            <w:gridSpan w:val="9"/>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6">
              <w:r>
                <w:rPr>
                  <w:rFonts w:ascii="Arial" w:cs="Arial" w:eastAsia="Arial" w:hAnsi="Arial"/>
                  <w:sz w:val="17"/>
                  <w:szCs w:val="17"/>
                  <w:color w:val="2C2C2C"/>
                </w:rPr>
                <w:t>4</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0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 of Changes in Equity (Unaudited)</w:t>
              </w:r>
            </w:hyperlink>
          </w:p>
        </w:tc>
        <w:tc>
          <w:tcPr>
            <w:tcW w:w="2100" w:type="dxa"/>
            <w:vAlign w:val="bottom"/>
          </w:tcPr>
          <w:p>
            <w:pPr>
              <w:jc w:val="right"/>
              <w:spacing w:after="0"/>
              <w:rPr>
                <w:rFonts w:ascii="Arial" w:cs="Arial" w:eastAsia="Arial" w:hAnsi="Arial"/>
                <w:sz w:val="17"/>
                <w:szCs w:val="17"/>
                <w:color w:val="2C2C2C"/>
              </w:rPr>
            </w:pPr>
            <w:hyperlink w:anchor="page7">
              <w:r>
                <w:rPr>
                  <w:rFonts w:ascii="Arial" w:cs="Arial" w:eastAsia="Arial" w:hAnsi="Arial"/>
                  <w:sz w:val="17"/>
                  <w:szCs w:val="17"/>
                  <w:color w:val="2C2C2C"/>
                </w:rPr>
                <w:t>5</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Item 2.</w:t>
            </w:r>
          </w:p>
        </w:tc>
        <w:tc>
          <w:tcPr>
            <w:tcW w:w="4760" w:type="dxa"/>
            <w:vAlign w:val="bottom"/>
            <w:tcBorders>
              <w:top w:val="single" w:sz="8" w:color="0000FF"/>
              <w:bottom w:val="single" w:sz="8" w:color="0000FF"/>
            </w:tcBorders>
            <w:gridSpan w:val="14"/>
          </w:tcPr>
          <w:p>
            <w:pPr>
              <w:spacing w:after="0"/>
              <w:rPr>
                <w:rFonts w:ascii="Arial" w:cs="Arial" w:eastAsia="Arial" w:hAnsi="Arial"/>
                <w:sz w:val="17"/>
                <w:szCs w:val="17"/>
                <w:color w:val="0000FF"/>
                <w:w w:val="91"/>
              </w:rPr>
            </w:pPr>
            <w:hyperlink w:anchor="page8">
              <w:r>
                <w:rPr>
                  <w:rFonts w:ascii="Arial" w:cs="Arial" w:eastAsia="Arial" w:hAnsi="Arial"/>
                  <w:sz w:val="17"/>
                  <w:szCs w:val="17"/>
                  <w:color w:val="0000FF"/>
                  <w:w w:val="91"/>
                </w:rPr>
                <w:t>Notes to Condensed Consolidated Financial Statements (Unaudited)</w:t>
              </w:r>
            </w:hyperlink>
          </w:p>
        </w:tc>
        <w:tc>
          <w:tcPr>
            <w:tcW w:w="120" w:type="dxa"/>
            <w:vAlign w:val="bottom"/>
            <w:tcBorders>
              <w:top w:val="single" w:sz="8" w:color="0000FF"/>
            </w:tcBorders>
          </w:tcPr>
          <w:p>
            <w:pPr>
              <w:spacing w:after="0"/>
              <w:rPr>
                <w:sz w:val="17"/>
                <w:szCs w:val="17"/>
                <w:color w:val="auto"/>
              </w:rPr>
            </w:pPr>
          </w:p>
        </w:tc>
        <w:tc>
          <w:tcPr>
            <w:tcW w:w="2820" w:type="dxa"/>
            <w:vAlign w:val="bottom"/>
            <w:gridSpan w:val="3"/>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8">
              <w:r>
                <w:rPr>
                  <w:rFonts w:ascii="Arial" w:cs="Arial" w:eastAsia="Arial" w:hAnsi="Arial"/>
                  <w:sz w:val="17"/>
                  <w:szCs w:val="17"/>
                  <w:color w:val="2C2C2C"/>
                </w:rPr>
                <w:t>6</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260" w:type="dxa"/>
            <w:vAlign w:val="bottom"/>
            <w:tcBorders>
              <w:bottom w:val="single" w:sz="8" w:color="0000FF"/>
            </w:tcBorders>
            <w:gridSpan w:val="17"/>
          </w:tcPr>
          <w:p>
            <w:pPr>
              <w:spacing w:after="0"/>
              <w:rPr>
                <w:rFonts w:ascii="Arial" w:cs="Arial" w:eastAsia="Arial" w:hAnsi="Arial"/>
                <w:sz w:val="17"/>
                <w:szCs w:val="17"/>
                <w:color w:val="0000FF"/>
                <w:w w:val="93"/>
              </w:rPr>
            </w:pPr>
            <w:hyperlink w:anchor="page16">
              <w:r>
                <w:rPr>
                  <w:rFonts w:ascii="Arial" w:cs="Arial" w:eastAsia="Arial" w:hAnsi="Arial"/>
                  <w:sz w:val="17"/>
                  <w:szCs w:val="17"/>
                  <w:color w:val="0000FF"/>
                  <w:w w:val="93"/>
                </w:rPr>
                <w:t>Management’s Discussion and Analysis of Financial Condition and Results of Operations</w:t>
              </w:r>
            </w:hyperlink>
          </w:p>
        </w:tc>
        <w:tc>
          <w:tcPr>
            <w:tcW w:w="1440" w:type="dxa"/>
            <w:vAlign w:val="bottom"/>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16">
              <w:r>
                <w:rPr>
                  <w:rFonts w:ascii="Arial" w:cs="Arial" w:eastAsia="Arial" w:hAnsi="Arial"/>
                  <w:sz w:val="17"/>
                  <w:szCs w:val="17"/>
                  <w:color w:val="auto"/>
                </w:rPr>
                <w:t>14</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3.</w:t>
            </w:r>
          </w:p>
        </w:tc>
        <w:tc>
          <w:tcPr>
            <w:tcW w:w="4220" w:type="dxa"/>
            <w:vAlign w:val="bottom"/>
            <w:tcBorders>
              <w:bottom w:val="single" w:sz="8" w:color="0000FF"/>
            </w:tcBorders>
            <w:gridSpan w:val="12"/>
          </w:tcPr>
          <w:p>
            <w:pPr>
              <w:spacing w:after="0"/>
              <w:rPr>
                <w:rFonts w:ascii="Arial" w:cs="Arial" w:eastAsia="Arial" w:hAnsi="Arial"/>
                <w:sz w:val="17"/>
                <w:szCs w:val="17"/>
                <w:color w:val="0000FF"/>
                <w:w w:val="94"/>
              </w:rPr>
            </w:pPr>
            <w:hyperlink w:anchor="page32">
              <w:r>
                <w:rPr>
                  <w:rFonts w:ascii="Arial" w:cs="Arial" w:eastAsia="Arial" w:hAnsi="Arial"/>
                  <w:sz w:val="17"/>
                  <w:szCs w:val="17"/>
                  <w:color w:val="0000FF"/>
                  <w:w w:val="94"/>
                </w:rPr>
                <w:t>Quantitative and Qualitative Disclosures About Market Risk</w:t>
              </w:r>
            </w:hyperlink>
          </w:p>
        </w:tc>
        <w:tc>
          <w:tcPr>
            <w:tcW w:w="3480" w:type="dxa"/>
            <w:vAlign w:val="bottom"/>
            <w:gridSpan w:val="6"/>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32">
              <w:r>
                <w:rPr>
                  <w:rFonts w:ascii="Arial" w:cs="Arial" w:eastAsia="Arial" w:hAnsi="Arial"/>
                  <w:sz w:val="17"/>
                  <w:szCs w:val="17"/>
                  <w:color w:val="auto"/>
                </w:rPr>
                <w:t>29</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4.</w:t>
            </w:r>
          </w:p>
        </w:tc>
        <w:tc>
          <w:tcPr>
            <w:tcW w:w="7700" w:type="dxa"/>
            <w:vAlign w:val="bottom"/>
            <w:gridSpan w:val="18"/>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Controls and Procedures</w:t>
              </w:r>
            </w:hyperlink>
          </w:p>
        </w:tc>
        <w:tc>
          <w:tcPr>
            <w:tcW w:w="2100" w:type="dxa"/>
            <w:vAlign w:val="bottom"/>
          </w:tcPr>
          <w:p>
            <w:pPr>
              <w:jc w:val="right"/>
              <w:spacing w:after="0"/>
              <w:rPr>
                <w:rFonts w:ascii="Arial" w:cs="Arial" w:eastAsia="Arial" w:hAnsi="Arial"/>
                <w:sz w:val="17"/>
                <w:szCs w:val="17"/>
                <w:color w:val="auto"/>
              </w:rPr>
            </w:pPr>
            <w:hyperlink w:anchor="page32">
              <w:r>
                <w:rPr>
                  <w:rFonts w:ascii="Arial" w:cs="Arial" w:eastAsia="Arial" w:hAnsi="Arial"/>
                  <w:sz w:val="17"/>
                  <w:szCs w:val="17"/>
                  <w:color w:val="auto"/>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rPr>
                <w:rFonts w:ascii="Arial" w:cs="Arial" w:eastAsia="Arial" w:hAnsi="Arial"/>
                <w:sz w:val="17"/>
                <w:szCs w:val="17"/>
                <w:b w:val="1"/>
                <w:bCs w:val="1"/>
                <w:color w:val="0000FF"/>
              </w:rPr>
            </w:pPr>
            <w:hyperlink w:anchor="page32">
              <w:r>
                <w:rPr>
                  <w:rFonts w:ascii="Arial" w:cs="Arial" w:eastAsia="Arial" w:hAnsi="Arial"/>
                  <w:sz w:val="17"/>
                  <w:szCs w:val="17"/>
                  <w:b w:val="1"/>
                  <w:bCs w:val="1"/>
                  <w:color w:val="0000FF"/>
                </w:rPr>
                <w:t>PART II. OTHER INFORMATION</w:t>
              </w:r>
            </w:hyperlink>
          </w:p>
        </w:tc>
        <w:tc>
          <w:tcPr>
            <w:tcW w:w="6400" w:type="dxa"/>
            <w:vAlign w:val="bottom"/>
            <w:gridSpan w:val="13"/>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7700" w:type="dxa"/>
            <w:vAlign w:val="bottom"/>
            <w:gridSpan w:val="18"/>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Legal Proceedings</w:t>
              </w:r>
            </w:hyperlink>
          </w:p>
        </w:tc>
        <w:tc>
          <w:tcPr>
            <w:tcW w:w="210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30</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1A.</w:t>
            </w:r>
          </w:p>
        </w:tc>
        <w:tc>
          <w:tcPr>
            <w:tcW w:w="1280" w:type="dxa"/>
            <w:vAlign w:val="bottom"/>
            <w:tcBorders>
              <w:top w:val="single" w:sz="8" w:color="0000FF"/>
            </w:tcBorders>
            <w:gridSpan w:val="4"/>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Risk Factors</w:t>
              </w:r>
            </w:hyperlink>
          </w:p>
        </w:tc>
        <w:tc>
          <w:tcPr>
            <w:tcW w:w="6420" w:type="dxa"/>
            <w:vAlign w:val="bottom"/>
            <w:gridSpan w:val="14"/>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Item 2.</w:t>
            </w: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7700" w:type="dxa"/>
            <w:vAlign w:val="bottom"/>
            <w:gridSpan w:val="18"/>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Unregistered Sales of Equity Securities and Use of Proceeds</w:t>
              </w:r>
            </w:hyperlink>
          </w:p>
        </w:tc>
        <w:tc>
          <w:tcPr>
            <w:tcW w:w="210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30</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6.</w:t>
            </w:r>
          </w:p>
        </w:tc>
        <w:tc>
          <w:tcPr>
            <w:tcW w:w="4200" w:type="dxa"/>
            <w:vAlign w:val="bottom"/>
            <w:tcBorders>
              <w:top w:val="single" w:sz="8" w:color="0000FF"/>
            </w:tcBorders>
            <w:gridSpan w:val="11"/>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Exhibits</w:t>
              </w:r>
            </w:hyperlink>
          </w:p>
        </w:tc>
        <w:tc>
          <w:tcPr>
            <w:tcW w:w="3500" w:type="dxa"/>
            <w:vAlign w:val="bottom"/>
            <w:gridSpan w:val="7"/>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30</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spacing w:after="0"/>
              <w:rPr>
                <w:rFonts w:ascii="Arial" w:cs="Arial" w:eastAsia="Arial" w:hAnsi="Arial"/>
                <w:sz w:val="17"/>
                <w:szCs w:val="17"/>
                <w:b w:val="1"/>
                <w:bCs w:val="1"/>
                <w:color w:val="0000FF"/>
              </w:rPr>
            </w:pPr>
            <w:hyperlink w:anchor="page33">
              <w:r>
                <w:rPr>
                  <w:rFonts w:ascii="Arial" w:cs="Arial" w:eastAsia="Arial" w:hAnsi="Arial"/>
                  <w:sz w:val="17"/>
                  <w:szCs w:val="17"/>
                  <w:b w:val="1"/>
                  <w:bCs w:val="1"/>
                  <w:color w:val="0000FF"/>
                </w:rPr>
                <w:t>SIGNATURES</w:t>
              </w:r>
            </w:hyperlink>
          </w:p>
        </w:tc>
        <w:tc>
          <w:tcPr>
            <w:tcW w:w="2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31</w:t>
              </w:r>
            </w:hyperlink>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Quarterly Report on Form 10-Q is for the three months ended March 31, 2022.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Media, LLC and its consolidated subsidiaries as “NBCUniversal;” and Sky Limited and its consolidated subsidiaries as “Sky.”</w:t>
      </w:r>
    </w:p>
    <w:p>
      <w:pPr>
        <w:spacing w:after="0" w:line="1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Numerical information in this report is presented on a rounded basis using actual amounts. Minor differences in totals and percentage calculations may exist due to rounding.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 CONCERNING FORWARD-LOOKING STATEMENTS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w:t>
      </w:r>
    </w:p>
    <w:p>
      <w:pPr>
        <w:spacing w:after="0" w:line="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evaluating forward-looking statements, you should consider various factors, including the risks and uncertainties we describe in the “Risk Factors” sections of our Forms 10-K and 10-Q and other reports we file with the SEC. 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the ability to develop and protect intellectual property rights. Any of these factors could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530225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 w:name="page3"/>
    <w:bookmarkEnd w:id="2"/>
    <w:p>
      <w:pPr>
        <w:jc w:val="both"/>
        <w:spacing w:after="0" w:line="297" w:lineRule="auto"/>
        <w:rPr>
          <w:sz w:val="20"/>
          <w:szCs w:val="20"/>
          <w:color w:val="auto"/>
        </w:rPr>
      </w:pPr>
      <w:r>
        <w:rPr>
          <w:rFonts w:ascii="Arial" w:cs="Arial" w:eastAsia="Arial" w:hAnsi="Arial"/>
          <w:sz w:val="16"/>
          <w:szCs w:val="16"/>
          <w:color w:val="auto"/>
        </w:rPr>
        <w:t>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Our businesses may be affected by, among other things, the following:</w:t>
      </w:r>
    </w:p>
    <w:p>
      <w:pPr>
        <w:spacing w:after="0" w:line="66" w:lineRule="exact"/>
        <w:rPr>
          <w:sz w:val="20"/>
          <w:szCs w:val="20"/>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has had, and may continue to have, a material adverse effect on our businesses and results of operations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operate in highly competitive and dynamic industries, and our businesses and results of operations could be adversely affected if we do not compete effectively</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consumer behavior continue to adversely affect our businesses and challenge existing business models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decline in advertisers’ expenditures or changes in advertising markets could negatively impact our businesses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programming expenses for our video services are increasing, which could adversely affect Cable Communications’ video businesses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ind w:left="640" w:right="96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programming distribution and licensing agreements, or the renewal of these agreements on less favorable terms, could adversely affect our businesses</w:t>
      </w:r>
    </w:p>
    <w:p>
      <w:pPr>
        <w:ind w:left="640" w:right="960" w:hanging="321"/>
        <w:spacing w:after="0" w:line="307"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obtain necessary hardware, software and operational support</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keeping pace with technological developments</w:t>
      </w:r>
    </w:p>
    <w:p>
      <w:pPr>
        <w:spacing w:after="0" w:line="66" w:lineRule="exact"/>
        <w:rPr>
          <w:rFonts w:ascii="Arial" w:cs="Arial" w:eastAsia="Arial" w:hAnsi="Arial"/>
          <w:sz w:val="17"/>
          <w:szCs w:val="17"/>
          <w:color w:val="auto"/>
        </w:rPr>
      </w:pPr>
    </w:p>
    <w:p>
      <w:pPr>
        <w:jc w:val="both"/>
        <w:ind w:left="640" w:right="940" w:hanging="321"/>
        <w:spacing w:after="0" w:line="27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weak economic conditions may have a negative impact on our businesses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and other strategic initiatives present many risks, and we may not realize the financial and strategic goals that we had contemplated</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risks relating to doing business internationally that could adversely affect our businesses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natural disasters, severe weather and other uncontrollable events could adversely affect our business, reputation and results of operations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management personnel or popular on-air and creative talent could have an adverse effect on our businesses</w:t>
      </w:r>
    </w:p>
    <w:p>
      <w:pPr>
        <w:spacing w:after="0" w:line="66" w:lineRule="exact"/>
        <w:rPr>
          <w:rFonts w:ascii="Arial" w:cs="Arial" w:eastAsia="Arial" w:hAnsi="Arial"/>
          <w:sz w:val="17"/>
          <w:szCs w:val="17"/>
          <w:color w:val="auto"/>
        </w:rPr>
      </w:pPr>
    </w:p>
    <w:p>
      <w:pPr>
        <w:ind w:left="640" w:right="96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litigation or governmental investigation results could require us to pay significant amounts or lead to onerous operating procedures</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labor disputes, whether involving employees or sports organizations, may disrupt our operations and adversely affect our businesses</w:t>
      </w:r>
    </w:p>
    <w:p>
      <w:pPr>
        <w:spacing w:after="0" w:line="66" w:lineRule="exact"/>
        <w:rPr>
          <w:rFonts w:ascii="Arial" w:cs="Arial" w:eastAsia="Arial" w:hAnsi="Arial"/>
          <w:sz w:val="17"/>
          <w:szCs w:val="17"/>
          <w:color w:val="auto"/>
        </w:rPr>
      </w:pPr>
    </w:p>
    <w:p>
      <w:pPr>
        <w:ind w:left="640" w:right="940" w:hanging="321"/>
        <w:spacing w:after="0" w:line="322"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729615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jc w:val="center"/>
        <w:spacing w:after="0"/>
        <w:rPr>
          <w:sz w:val="20"/>
          <w:szCs w:val="20"/>
          <w:color w:val="auto"/>
        </w:rPr>
      </w:pPr>
      <w:r>
        <w:rPr>
          <w:rFonts w:ascii="Arial" w:cs="Arial" w:eastAsia="Arial" w:hAnsi="Arial"/>
          <w:sz w:val="17"/>
          <w:szCs w:val="17"/>
          <w:b w:val="1"/>
          <w:bCs w:val="1"/>
          <w:color w:val="auto"/>
        </w:rPr>
        <w:t>Condensed Consolidated Statement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2021</w:t>
            </w:r>
          </w:p>
        </w:tc>
      </w:tr>
      <w:tr>
        <w:trPr>
          <w:trHeight w:val="21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31,010</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27,205</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10,570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8,919</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9,260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8,269</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Advertising, marketing and promotion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2,062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1,616</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2,213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2,117</w:t>
            </w:r>
          </w:p>
        </w:tc>
      </w:tr>
      <w:tr>
        <w:trPr>
          <w:trHeight w:val="223"/>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1,335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w:t>
            </w:r>
          </w:p>
        </w:tc>
      </w:tr>
      <w:tr>
        <w:trPr>
          <w:trHeight w:val="21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25,440</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22,166</w:t>
            </w: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34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5,569</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5,039</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(993)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 and other income (loss),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4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4,764</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4,411</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(1,288)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3,476</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3,292</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attributable to Comcast Corporation</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3,549</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3,329</w:t>
            </w: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Basic earnings per common share attributable to Comcast Corporation shareholders</w:t>
            </w: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75"/>
              <w:spacing w:after="0"/>
              <w:rPr>
                <w:sz w:val="20"/>
                <w:szCs w:val="20"/>
                <w:color w:val="auto"/>
              </w:rPr>
            </w:pPr>
            <w:r>
              <w:rPr>
                <w:rFonts w:ascii="Arial" w:cs="Arial" w:eastAsia="Arial" w:hAnsi="Arial"/>
                <w:sz w:val="17"/>
                <w:szCs w:val="17"/>
                <w:b w:val="1"/>
                <w:bCs w:val="1"/>
                <w:color w:val="auto"/>
              </w:rPr>
              <w:t>0.79</w:t>
            </w:r>
          </w:p>
        </w:tc>
        <w:tc>
          <w:tcPr>
            <w:tcW w:w="640" w:type="dxa"/>
            <w:vAlign w:val="bottom"/>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0.73</w:t>
            </w:r>
          </w:p>
        </w:tc>
      </w:tr>
      <w:tr>
        <w:trPr>
          <w:trHeight w:val="234"/>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Diluted earnings per common share attributable to Comcast Corporation shareholders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0.78</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0.71</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Comprehensive Income</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2021</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3,476</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3,292</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Currency translation adjustments, net of deferred taxes of $247 and $(92)</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(916)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180"/>
              <w:spacing w:after="0"/>
              <w:rPr>
                <w:sz w:val="20"/>
                <w:szCs w:val="20"/>
                <w:color w:val="auto"/>
              </w:rPr>
            </w:pPr>
            <w:r>
              <w:rPr>
                <w:rFonts w:ascii="Arial" w:cs="Arial" w:eastAsia="Arial" w:hAnsi="Arial"/>
                <w:sz w:val="17"/>
                <w:szCs w:val="17"/>
                <w:color w:val="auto"/>
              </w:rPr>
              <w:t>Deferred gains (losses), net of deferred taxes of $(37) and $(19)</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165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23"/>
        </w:trPr>
        <w:tc>
          <w:tcPr>
            <w:tcW w:w="8180" w:type="dxa"/>
            <w:vAlign w:val="bottom"/>
          </w:tcPr>
          <w:p>
            <w:pPr>
              <w:ind w:left="180"/>
              <w:spacing w:after="0"/>
              <w:rPr>
                <w:sz w:val="20"/>
                <w:szCs w:val="20"/>
                <w:color w:val="auto"/>
              </w:rPr>
            </w:pPr>
            <w:r>
              <w:rPr>
                <w:rFonts w:ascii="Arial" w:cs="Arial" w:eastAsia="Arial" w:hAnsi="Arial"/>
                <w:sz w:val="17"/>
                <w:szCs w:val="17"/>
                <w:color w:val="auto"/>
              </w:rPr>
              <w:t>Realized (gains) losses reclassified to net income, net of deferred taxes of $(5) and $—</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Employee benefit obligations and other, net of deferred taxes of $3 and $2</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340" w:type="dxa"/>
            <w:vAlign w:val="bottom"/>
          </w:tcPr>
          <w:p>
            <w:pPr>
              <w:spacing w:after="0"/>
              <w:rPr>
                <w:sz w:val="18"/>
                <w:szCs w:val="18"/>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2,699</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3,366</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(73)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Other comprehensive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28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Comprehensive income attributable to Comcast Corporation</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2,744</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3,417</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96"/>
              </w:rPr>
              <w:t>2021</w:t>
            </w:r>
          </w:p>
        </w:tc>
      </w:tr>
      <w:tr>
        <w:trPr>
          <w:trHeight w:val="21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3,476</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3,292</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3,548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3,362</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376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373</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93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(113)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106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(527)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554</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363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314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23"/>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operating assets and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(379)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r>
      <w:tr>
        <w:trPr>
          <w:trHeight w:val="21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7,257</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7,751</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(1,856)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(1,859)</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(641)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(147)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(428)</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Acquisitions, net of cash acquired</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69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388</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3"/>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r>
        <w:trPr>
          <w:trHeight w:val="21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(2,597)</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(2,612)</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(104)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(3,223)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(1,166)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(1,080)</w:t>
            </w:r>
          </w:p>
        </w:tc>
      </w:tr>
      <w:tr>
        <w:trPr>
          <w:trHeight w:val="223"/>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w:t>
            </w:r>
          </w:p>
        </w:tc>
      </w:tr>
      <w:tr>
        <w:trPr>
          <w:trHeight w:val="21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(4,490)</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(1,898)</w:t>
            </w:r>
          </w:p>
        </w:tc>
      </w:tr>
      <w:tr>
        <w:trPr>
          <w:trHeight w:val="215"/>
        </w:trPr>
        <w:tc>
          <w:tcPr>
            <w:tcW w:w="8180" w:type="dxa"/>
            <w:vAlign w:val="bottom"/>
          </w:tcPr>
          <w:p>
            <w:pPr>
              <w:ind w:left="20"/>
              <w:spacing w:after="0"/>
              <w:rPr>
                <w:sz w:val="20"/>
                <w:szCs w:val="20"/>
                <w:color w:val="auto"/>
              </w:rPr>
            </w:pPr>
            <w:r>
              <w:rPr>
                <w:rFonts w:ascii="Arial" w:cs="Arial" w:eastAsia="Arial" w:hAnsi="Arial"/>
                <w:sz w:val="17"/>
                <w:szCs w:val="17"/>
                <w:color w:val="auto"/>
              </w:rPr>
              <w:t>Impact of foreign currency on cash, cash equivalents and restricted cash</w:t>
            </w:r>
          </w:p>
        </w:tc>
        <w:tc>
          <w:tcPr>
            <w:tcW w:w="3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(35)</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135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3,208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8,778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11,768</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8,914</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14,976</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share data)</w:t>
            </w:r>
          </w:p>
        </w:tc>
        <w:tc>
          <w:tcPr>
            <w:tcW w:w="420" w:type="dxa"/>
            <w:vAlign w:val="bottom"/>
          </w:tcPr>
          <w:p>
            <w:pPr>
              <w:spacing w:after="0"/>
              <w:rPr>
                <w:sz w:val="14"/>
                <w:szCs w:val="14"/>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80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42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8,880</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8,711</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12,300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12,008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current assets</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4,201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4,088</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42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25,381</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24,807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Film and television costs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12,360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12,806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8,287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8,082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Investment securing collateralized obligation</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646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of $56,274 and $55,611</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53,820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54,047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Goodwill</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69,052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70,189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Franchise rights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59,365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Other intangible assets, net of accumulated amortization of $24,525 and $23,545</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32,468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33,580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noncurrent assets, net</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12,694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assets</w:t>
            </w:r>
          </w:p>
        </w:tc>
        <w:tc>
          <w:tcPr>
            <w:tcW w:w="4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274,074</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275,905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42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12,707</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12,455</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Accrued participations and residuals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1,744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Deferred revenue</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3,018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3,040</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10,071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9,899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2,117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42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29,657</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29,348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Long-term debt, less current portion</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92,443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92,718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Collateralized obligation</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5,171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5,170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29,857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30,041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20,441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20,620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Redeemable noncontrolling interests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513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Equity:</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Preferred stock—authorized, 20,000,000 shares; issued, zero</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8020" w:type="dxa"/>
            <w:vAlign w:val="bottom"/>
          </w:tcPr>
          <w:p>
            <w:pPr>
              <w:ind w:left="340"/>
              <w:spacing w:after="0" w:line="172" w:lineRule="exact"/>
              <w:rPr>
                <w:sz w:val="20"/>
                <w:szCs w:val="20"/>
                <w:color w:val="auto"/>
              </w:rPr>
            </w:pPr>
            <w:r>
              <w:rPr>
                <w:rFonts w:ascii="Arial" w:cs="Arial" w:eastAsia="Arial" w:hAnsi="Arial"/>
                <w:sz w:val="17"/>
                <w:szCs w:val="17"/>
                <w:color w:val="auto"/>
                <w:w w:val="98"/>
              </w:rPr>
              <w:t>Class A common stock, $0.01 par value—authorized, 7,500,000,000 shares; issued, 5,344,663,467 and</w:t>
            </w:r>
          </w:p>
        </w:tc>
        <w:tc>
          <w:tcPr>
            <w:tcW w:w="420" w:type="dxa"/>
            <w:vAlign w:val="bottom"/>
          </w:tcPr>
          <w:p>
            <w:pPr>
              <w:spacing w:after="0"/>
              <w:rPr>
                <w:sz w:val="14"/>
                <w:szCs w:val="14"/>
                <w:color w:val="auto"/>
              </w:rPr>
            </w:pPr>
          </w:p>
        </w:tc>
        <w:tc>
          <w:tcPr>
            <w:tcW w:w="1260" w:type="dxa"/>
            <w:vAlign w:val="bottom"/>
            <w:vMerge w:val="restart"/>
          </w:tcPr>
          <w:p>
            <w:pPr>
              <w:jc w:val="right"/>
              <w:ind w:right="74"/>
              <w:spacing w:after="0"/>
              <w:rPr>
                <w:sz w:val="20"/>
                <w:szCs w:val="20"/>
                <w:color w:val="auto"/>
              </w:rPr>
            </w:pPr>
            <w:r>
              <w:rPr>
                <w:rFonts w:ascii="Arial" w:cs="Arial" w:eastAsia="Arial" w:hAnsi="Arial"/>
                <w:sz w:val="17"/>
                <w:szCs w:val="17"/>
                <w:color w:val="auto"/>
              </w:rPr>
              <w:t>53</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2"/>
        </w:trPr>
        <w:tc>
          <w:tcPr>
            <w:tcW w:w="8020" w:type="dxa"/>
            <w:vAlign w:val="bottom"/>
          </w:tcPr>
          <w:p>
            <w:pPr>
              <w:ind w:left="500"/>
              <w:spacing w:after="0"/>
              <w:rPr>
                <w:sz w:val="20"/>
                <w:szCs w:val="20"/>
                <w:color w:val="auto"/>
              </w:rPr>
            </w:pPr>
            <w:r>
              <w:rPr>
                <w:rFonts w:ascii="Arial" w:cs="Arial" w:eastAsia="Arial" w:hAnsi="Arial"/>
                <w:sz w:val="17"/>
                <w:szCs w:val="17"/>
                <w:color w:val="auto"/>
              </w:rPr>
              <w:t>5,396,576,978; outstanding, 4,471,872,439 and 4,523,785,950</w:t>
            </w:r>
          </w:p>
        </w:tc>
        <w:tc>
          <w:tcPr>
            <w:tcW w:w="4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w w:val="93"/>
              </w:rPr>
              <w:t>Class B common stock, $0.01 par value—authorized, 75,000,000 shares; issued and outstanding, 9,444,375</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39,926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40,173</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4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61,555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61,902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Treasury stock, 872,791,028 Class A common shares</w:t>
            </w:r>
          </w:p>
        </w:tc>
        <w:tc>
          <w:tcPr>
            <w:tcW w:w="42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Accumulated other comprehensive income (loss)</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674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Comcast Corporation shareholders’ equity</w:t>
            </w:r>
          </w:p>
        </w:tc>
        <w:tc>
          <w:tcPr>
            <w:tcW w:w="42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94,693</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96,092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Noncontrolling interests</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1,300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equity</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95,992</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97,490</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4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274,074</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275,905</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Changes in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right"/>
              <w:ind w:right="753"/>
              <w:spacing w:after="0"/>
              <w:rPr>
                <w:sz w:val="20"/>
                <w:szCs w:val="20"/>
                <w:color w:val="auto"/>
              </w:rPr>
            </w:pPr>
            <w:r>
              <w:rPr>
                <w:rFonts w:ascii="Arial" w:cs="Arial" w:eastAsia="Arial" w:hAnsi="Arial"/>
                <w:sz w:val="14"/>
                <w:szCs w:val="14"/>
                <w:color w:val="auto"/>
              </w:rPr>
              <w:t>Three Months Ended</w:t>
            </w:r>
          </w:p>
        </w:tc>
      </w:tr>
      <w:tr>
        <w:trPr>
          <w:trHeight w:val="178"/>
        </w:trPr>
        <w:tc>
          <w:tcPr>
            <w:tcW w:w="8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March 31,</w:t>
            </w:r>
          </w:p>
        </w:tc>
        <w:tc>
          <w:tcPr>
            <w:tcW w:w="1000" w:type="dxa"/>
            <w:vAlign w:val="bottom"/>
            <w:tcBorders>
              <w:bottom w:val="single" w:sz="8" w:color="auto"/>
            </w:tcBorders>
          </w:tcPr>
          <w:p>
            <w:pPr>
              <w:spacing w:after="0"/>
              <w:rPr>
                <w:sz w:val="15"/>
                <w:szCs w:val="15"/>
                <w:color w:val="auto"/>
              </w:rPr>
            </w:pPr>
          </w:p>
        </w:tc>
      </w:tr>
      <w:tr>
        <w:trPr>
          <w:trHeight w:val="17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r>
      <w:tr>
        <w:trPr>
          <w:trHeight w:val="219"/>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Redeemable Noncontrolling Interests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2"/>
        </w:trPr>
        <w:tc>
          <w:tcPr>
            <w:tcW w:w="838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519</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1,280</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Redemption of subsidiary preferred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(725)</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22"/>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513</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546</w:t>
            </w:r>
          </w:p>
        </w:tc>
      </w:tr>
      <w:tr>
        <w:trPr>
          <w:trHeight w:val="262"/>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Class A Common Stock</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54</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Issuances (repurchases) of common stock under repurchase program and employee plans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r>
      <w:tr>
        <w:trPr>
          <w:trHeight w:val="255"/>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40,173</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39,464</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Stock compensation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286</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Repurchases of common stock under repurchase program and employee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(595)</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Employee stock purchase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39,926</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39,744</w:t>
            </w:r>
          </w:p>
        </w:tc>
      </w:tr>
      <w:tr>
        <w:trPr>
          <w:trHeight w:val="255"/>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Retained Earnings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61,902</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56,438</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Repurchases of common stock under repurchase program and employee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(2,670)</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Dividends declared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(1,225)</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(1,161)</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3,549</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3,329</w:t>
            </w:r>
          </w:p>
        </w:tc>
      </w:tr>
      <w:tr>
        <w:trPr>
          <w:trHeight w:val="216"/>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61,555</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58,321</w:t>
            </w:r>
          </w:p>
        </w:tc>
      </w:tr>
      <w:tr>
        <w:trPr>
          <w:trHeight w:val="255"/>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r>
      <w:tr>
        <w:trPr>
          <w:trHeight w:val="216"/>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r>
      <w:tr>
        <w:trPr>
          <w:trHeight w:val="255"/>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Accumulated Other Comprehensive Income (Loss)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1,480</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1,884</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16"/>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674</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1,972</w:t>
            </w:r>
          </w:p>
        </w:tc>
      </w:tr>
      <w:tr>
        <w:trPr>
          <w:trHeight w:val="255"/>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1,398</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1,415</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1,300</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1,525</w:t>
            </w:r>
          </w:p>
        </w:tc>
      </w:tr>
      <w:tr>
        <w:trPr>
          <w:trHeight w:val="20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equity</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95,992</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94,100</w:t>
            </w:r>
          </w:p>
        </w:tc>
      </w:tr>
      <w:tr>
        <w:trPr>
          <w:trHeight w:val="22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dividends declared per common share</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0.27</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0.25</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71" w:lineRule="exact"/>
        <w:rPr>
          <w:sz w:val="20"/>
          <w:szCs w:val="20"/>
          <w:color w:val="auto"/>
        </w:rPr>
      </w:pPr>
    </w:p>
    <w:p>
      <w:pPr>
        <w:ind w:right="4420"/>
        <w:spacing w:after="0" w:line="283" w:lineRule="auto"/>
        <w:rPr>
          <w:sz w:val="20"/>
          <w:szCs w:val="20"/>
          <w:color w:val="auto"/>
        </w:rPr>
      </w:pPr>
      <w:r>
        <w:rPr>
          <w:rFonts w:ascii="Arial" w:cs="Arial" w:eastAsia="Arial" w:hAnsi="Arial"/>
          <w:sz w:val="21"/>
          <w:szCs w:val="21"/>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2021 Annual Report on Form 10-K and the notes within this Form 10-Q.</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Segment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We present our operations in five reportable business segments: (1) Comcast Cable in one reportable business segment, referred to as Cable Communications;</w:t>
      </w:r>
    </w:p>
    <w:p>
      <w:pPr>
        <w:spacing w:after="0" w:line="49" w:lineRule="exact"/>
        <w:rPr>
          <w:sz w:val="20"/>
          <w:szCs w:val="20"/>
          <w:color w:val="auto"/>
        </w:rPr>
      </w:pPr>
    </w:p>
    <w:p>
      <w:pPr>
        <w:ind w:firstLine="5"/>
        <w:spacing w:after="0" w:line="274" w:lineRule="auto"/>
        <w:tabs>
          <w:tab w:leader="none" w:pos="263" w:val="left"/>
        </w:tabs>
        <w:numPr>
          <w:ilvl w:val="0"/>
          <w:numId w:val="4"/>
        </w:numPr>
        <w:rPr>
          <w:rFonts w:ascii="Arial" w:cs="Arial" w:eastAsia="Arial" w:hAnsi="Arial"/>
          <w:sz w:val="17"/>
          <w:szCs w:val="17"/>
          <w:color w:val="auto"/>
        </w:rPr>
      </w:pPr>
      <w:r>
        <w:rPr>
          <w:rFonts w:ascii="Arial" w:cs="Arial" w:eastAsia="Arial" w:hAnsi="Arial"/>
          <w:sz w:val="17"/>
          <w:szCs w:val="17"/>
          <w:color w:val="auto"/>
        </w:rPr>
        <w:t>NBCUniversal in three reportable business segments: Media, Studios and Theme Parks (collectively, the “NBCUniversal segments”); and (3) Sky in one reportable business segment.</w:t>
      </w:r>
    </w:p>
    <w:p>
      <w:pPr>
        <w:spacing w:after="0" w:line="6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Cable Communications is a leading provider of broadband, video, voice, wireless, and other services to residential customers in the United States under the Xfinity brand. We also provide these and other services to business customers and sell advertising.</w:t>
      </w:r>
    </w:p>
    <w:p>
      <w:pPr>
        <w:spacing w:after="0" w:line="53"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Media consists primarily of NBCUniversal’s television and streaming platforms, including national, regional and international cable networks; the NBC and Telemundo broadcast networks; NBC and Telemundo owned local broadcast television stations; and Peacock, our direct-to-consumer streaming service.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Studios consists primarily of NBCUniversal’s film and television studio production and distribution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Theme Parks consists primarily of our Universal theme parks in Orlando, Florida; Hollywood, California; Osaka, Japan; and Beijing, China.</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Sky is one of Europe</w:t>
      </w:r>
      <w:r>
        <w:rPr>
          <w:rFonts w:ascii="Arial" w:cs="Arial" w:eastAsia="Arial" w:hAnsi="Arial"/>
          <w:sz w:val="16"/>
          <w:szCs w:val="16"/>
          <w:color w:val="auto"/>
        </w:rPr>
        <w:t>’</w:t>
      </w:r>
      <w:r>
        <w:rPr>
          <w:rFonts w:ascii="Arial" w:cs="Arial" w:eastAsia="Arial" w:hAnsi="Arial"/>
          <w:sz w:val="17"/>
          <w:szCs w:val="17"/>
          <w:color w:val="auto"/>
        </w:rPr>
        <w:t>s leading entertainment companies, which primarily includes a direct-to-consumer business, providing video, broadband, voice and wireless phone services, and a content business, operating entertainment networks, the Sky News broadcast network and Sky Sports networks.</w:t>
      </w:r>
    </w:p>
    <w:p>
      <w:pPr>
        <w:spacing w:after="0" w:line="5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Our other business interests consist primarily of the operations of Comcast Spectacor, which owns the Philadelphia Flyers and the Wells Fargo Center arena in Philadelphia, Pennsylvania, and other business initiatives, including Sky Glass and XClass TV smart televisions.</w:t>
      </w:r>
    </w:p>
    <w:p>
      <w:pPr>
        <w:spacing w:after="0" w:line="5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reportable segment is presented in the tables below.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5"/>
          </w:tcPr>
          <w:p>
            <w:pPr>
              <w:jc w:val="center"/>
              <w:ind w:right="335"/>
              <w:spacing w:after="0"/>
              <w:rPr>
                <w:sz w:val="20"/>
                <w:szCs w:val="20"/>
                <w:color w:val="auto"/>
              </w:rPr>
            </w:pPr>
            <w:r>
              <w:rPr>
                <w:rFonts w:ascii="Arial" w:cs="Arial" w:eastAsia="Arial" w:hAnsi="Arial"/>
                <w:sz w:val="14"/>
                <w:szCs w:val="14"/>
                <w:color w:val="auto"/>
                <w:w w:val="90"/>
              </w:rPr>
              <w:t>Three Months Ended March 31, 2022</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4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color w:val="auto"/>
                <w:w w:val="98"/>
              </w:rPr>
              <w:t>Revenue</w:t>
            </w:r>
            <w:r>
              <w:rPr>
                <w:rFonts w:ascii="Arial" w:cs="Arial" w:eastAsia="Arial" w:hAnsi="Arial"/>
                <w:sz w:val="18"/>
                <w:szCs w:val="18"/>
                <w:color w:val="auto"/>
                <w:w w:val="98"/>
                <w:vertAlign w:val="superscript"/>
              </w:rPr>
              <w:t>(a)</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160" w:type="dxa"/>
            <w:vAlign w:val="bottom"/>
          </w:tcPr>
          <w:p>
            <w:pPr>
              <w:spacing w:after="0"/>
              <w:rPr>
                <w:sz w:val="11"/>
                <w:szCs w:val="11"/>
                <w:color w:val="auto"/>
              </w:rPr>
            </w:pPr>
          </w:p>
        </w:tc>
        <w:tc>
          <w:tcPr>
            <w:tcW w:w="1160" w:type="dxa"/>
            <w:vAlign w:val="bottom"/>
          </w:tcPr>
          <w:p>
            <w:pPr>
              <w:jc w:val="right"/>
              <w:ind w:right="55"/>
              <w:spacing w:after="0" w:line="129" w:lineRule="exact"/>
              <w:rPr>
                <w:sz w:val="20"/>
                <w:szCs w:val="20"/>
                <w:color w:val="auto"/>
              </w:rPr>
            </w:pPr>
            <w:r>
              <w:rPr>
                <w:rFonts w:ascii="Arial" w:cs="Arial" w:eastAsia="Arial" w:hAnsi="Arial"/>
                <w:sz w:val="14"/>
                <w:szCs w:val="14"/>
                <w:color w:val="auto"/>
                <w:w w:val="94"/>
              </w:rPr>
              <w:t>Depreciation and</w:t>
            </w:r>
          </w:p>
        </w:tc>
        <w:tc>
          <w:tcPr>
            <w:tcW w:w="200" w:type="dxa"/>
            <w:vAlign w:val="bottom"/>
          </w:tcPr>
          <w:p>
            <w:pPr>
              <w:spacing w:after="0"/>
              <w:rPr>
                <w:sz w:val="11"/>
                <w:szCs w:val="11"/>
                <w:color w:val="auto"/>
              </w:rPr>
            </w:pPr>
          </w:p>
        </w:tc>
        <w:tc>
          <w:tcPr>
            <w:tcW w:w="1000" w:type="dxa"/>
            <w:vAlign w:val="bottom"/>
          </w:tcPr>
          <w:p>
            <w:pPr>
              <w:jc w:val="right"/>
              <w:ind w:right="255"/>
              <w:spacing w:after="0" w:line="12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1"/>
                <w:szCs w:val="11"/>
                <w:color w:val="auto"/>
              </w:rPr>
            </w:pP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w w:val="89"/>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55"/>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5"/>
                <w:szCs w:val="15"/>
                <w:color w:val="auto"/>
              </w:rPr>
            </w:pPr>
          </w:p>
        </w:tc>
        <w:tc>
          <w:tcPr>
            <w:tcW w:w="1000" w:type="dxa"/>
            <w:vAlign w:val="bottom"/>
          </w:tcPr>
          <w:p>
            <w:pPr>
              <w:jc w:val="right"/>
              <w:ind w:right="95"/>
              <w:spacing w:after="0"/>
              <w:rPr>
                <w:sz w:val="20"/>
                <w:szCs w:val="20"/>
                <w:color w:val="auto"/>
              </w:rPr>
            </w:pPr>
            <w:r>
              <w:rPr>
                <w:rFonts w:ascii="Arial" w:cs="Arial" w:eastAsia="Arial" w:hAnsi="Arial"/>
                <w:sz w:val="14"/>
                <w:szCs w:val="14"/>
                <w:color w:val="auto"/>
                <w:w w:val="97"/>
              </w:rPr>
              <w:t>Expenditures</w:t>
            </w:r>
          </w:p>
        </w:tc>
        <w:tc>
          <w:tcPr>
            <w:tcW w:w="16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Intangible Assets</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Cable Communications</w:t>
            </w:r>
          </w:p>
        </w:tc>
        <w:tc>
          <w:tcPr>
            <w:tcW w:w="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16,540</w:t>
            </w: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7,272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6,865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1,159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2,757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Headquarters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480" w:type="dxa"/>
            <w:vAlign w:val="bottom"/>
          </w:tcPr>
          <w:p>
            <w:pPr>
              <w:spacing w:after="0"/>
              <w:rPr>
                <w:sz w:val="18"/>
                <w:szCs w:val="18"/>
                <w:color w:val="auto"/>
              </w:rPr>
            </w:pPr>
          </w:p>
        </w:tc>
        <w:tc>
          <w:tcPr>
            <w:tcW w:w="960" w:type="dxa"/>
            <w:vAlign w:val="bottom"/>
            <w:gridSpan w:val="2"/>
          </w:tcPr>
          <w:p>
            <w:pPr>
              <w:jc w:val="right"/>
              <w:ind w:right="53"/>
              <w:spacing w:after="0"/>
              <w:rPr>
                <w:sz w:val="20"/>
                <w:szCs w:val="20"/>
                <w:color w:val="auto"/>
              </w:rPr>
            </w:pPr>
            <w:r>
              <w:rPr>
                <w:rFonts w:ascii="Arial" w:cs="Arial" w:eastAsia="Arial" w:hAnsi="Arial"/>
                <w:sz w:val="17"/>
                <w:szCs w:val="17"/>
                <w:color w:val="auto"/>
              </w:rPr>
              <w:t>(191)</w:t>
            </w:r>
          </w:p>
        </w:tc>
        <w:tc>
          <w:tcPr>
            <w:tcW w:w="1160" w:type="dxa"/>
            <w:vAlign w:val="bottom"/>
          </w:tcPr>
          <w:p>
            <w:pPr>
              <w:jc w:val="right"/>
              <w:spacing w:after="0"/>
              <w:rPr>
                <w:sz w:val="20"/>
                <w:szCs w:val="20"/>
                <w:color w:val="auto"/>
              </w:rPr>
            </w:pPr>
            <w:r>
              <w:rPr>
                <w:rFonts w:ascii="Arial" w:cs="Arial" w:eastAsia="Arial" w:hAnsi="Arial"/>
                <w:sz w:val="17"/>
                <w:szCs w:val="17"/>
                <w:color w:val="auto"/>
              </w:rPr>
              <w:t>118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60" w:type="dxa"/>
            <w:vAlign w:val="bottom"/>
          </w:tcPr>
          <w:p>
            <w:pPr>
              <w:ind w:left="3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79"/>
              <w:spacing w:after="0"/>
              <w:rPr>
                <w:sz w:val="20"/>
                <w:szCs w:val="20"/>
                <w:color w:val="auto"/>
              </w:rPr>
            </w:pPr>
            <w:r>
              <w:rPr>
                <w:rFonts w:ascii="Arial" w:cs="Arial" w:eastAsia="Arial" w:hAnsi="Arial"/>
                <w:sz w:val="17"/>
                <w:szCs w:val="17"/>
                <w:color w:val="auto"/>
              </w:rPr>
              <w:t>(901)</w:t>
            </w:r>
          </w:p>
        </w:tc>
        <w:tc>
          <w:tcPr>
            <w:tcW w:w="960" w:type="dxa"/>
            <w:vAlign w:val="bottom"/>
            <w:gridSpan w:val="2"/>
          </w:tcPr>
          <w:p>
            <w:pPr>
              <w:jc w:val="right"/>
              <w:ind w:right="53"/>
              <w:spacing w:after="0"/>
              <w:rPr>
                <w:sz w:val="20"/>
                <w:szCs w:val="20"/>
                <w:color w:val="auto"/>
              </w:rPr>
            </w:pPr>
            <w:r>
              <w:rPr>
                <w:rFonts w:ascii="Arial" w:cs="Arial" w:eastAsia="Arial" w:hAnsi="Arial"/>
                <w:sz w:val="17"/>
                <w:szCs w:val="17"/>
                <w:color w:val="auto"/>
              </w:rPr>
              <w:t>(62)</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NBCUniversal</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10,296</w:t>
            </w: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1,601</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662</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306</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4,775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622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870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Corporate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238</w:t>
            </w:r>
          </w:p>
        </w:tc>
        <w:tc>
          <w:tcPr>
            <w:tcW w:w="480" w:type="dxa"/>
            <w:vAlign w:val="bottom"/>
          </w:tcPr>
          <w:p>
            <w:pPr>
              <w:spacing w:after="0"/>
              <w:rPr>
                <w:sz w:val="18"/>
                <w:szCs w:val="18"/>
                <w:color w:val="auto"/>
              </w:rPr>
            </w:pPr>
          </w:p>
        </w:tc>
        <w:tc>
          <w:tcPr>
            <w:tcW w:w="960" w:type="dxa"/>
            <w:vAlign w:val="bottom"/>
            <w:gridSpan w:val="2"/>
          </w:tcPr>
          <w:p>
            <w:pPr>
              <w:jc w:val="right"/>
              <w:ind w:right="53"/>
              <w:spacing w:after="0"/>
              <w:rPr>
                <w:sz w:val="20"/>
                <w:szCs w:val="20"/>
                <w:color w:val="auto"/>
              </w:rPr>
            </w:pPr>
            <w:r>
              <w:rPr>
                <w:rFonts w:ascii="Arial" w:cs="Arial" w:eastAsia="Arial" w:hAnsi="Arial"/>
                <w:sz w:val="17"/>
                <w:szCs w:val="17"/>
                <w:color w:val="auto"/>
              </w:rPr>
              <w:t>(262)</w:t>
            </w:r>
          </w:p>
        </w:tc>
        <w:tc>
          <w:tcPr>
            <w:tcW w:w="1160" w:type="dxa"/>
            <w:vAlign w:val="bottom"/>
          </w:tcPr>
          <w:p>
            <w:pPr>
              <w:jc w:val="right"/>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60" w:type="dxa"/>
            <w:vAlign w:val="bottom"/>
          </w:tcPr>
          <w:p>
            <w:pPr>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79"/>
              <w:spacing w:after="0"/>
              <w:rPr>
                <w:sz w:val="20"/>
                <w:szCs w:val="20"/>
                <w:color w:val="auto"/>
              </w:rPr>
            </w:pPr>
            <w:r>
              <w:rPr>
                <w:rFonts w:ascii="Arial" w:cs="Arial" w:eastAsia="Arial" w:hAnsi="Arial"/>
                <w:sz w:val="17"/>
                <w:szCs w:val="17"/>
                <w:color w:val="auto"/>
              </w:rPr>
              <w:t>(840)</w:t>
            </w:r>
          </w:p>
        </w:tc>
        <w:tc>
          <w:tcPr>
            <w:tcW w:w="960" w:type="dxa"/>
            <w:vAlign w:val="bottom"/>
            <w:gridSpan w:val="2"/>
          </w:tcPr>
          <w:p>
            <w:pPr>
              <w:jc w:val="right"/>
              <w:ind w:right="53"/>
              <w:spacing w:after="0"/>
              <w:rPr>
                <w:sz w:val="20"/>
                <w:szCs w:val="20"/>
                <w:color w:val="auto"/>
              </w:rPr>
            </w:pPr>
            <w:r>
              <w:rPr>
                <w:rFonts w:ascii="Arial" w:cs="Arial" w:eastAsia="Arial" w:hAnsi="Arial"/>
                <w:sz w:val="17"/>
                <w:szCs w:val="17"/>
                <w:color w:val="auto"/>
              </w:rPr>
              <w:t>(82)</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31,010</w:t>
            </w:r>
          </w:p>
        </w:tc>
        <w:tc>
          <w:tcPr>
            <w:tcW w:w="4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9,150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3,548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641</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right"/>
              <w:ind w:right="775"/>
              <w:spacing w:after="0"/>
              <w:rPr>
                <w:sz w:val="20"/>
                <w:szCs w:val="20"/>
                <w:color w:val="auto"/>
              </w:rPr>
            </w:pPr>
            <w:r>
              <w:rPr>
                <w:rFonts w:ascii="Arial" w:cs="Arial" w:eastAsia="Arial" w:hAnsi="Arial"/>
                <w:sz w:val="14"/>
                <w:szCs w:val="14"/>
                <w:color w:val="auto"/>
              </w:rPr>
              <w:t>Three Months Ended March 31, 2021</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color w:val="auto"/>
                <w:w w:val="93"/>
              </w:rPr>
              <w:t>Revenue</w:t>
            </w:r>
            <w:r>
              <w:rPr>
                <w:rFonts w:ascii="Arial" w:cs="Arial" w:eastAsia="Arial" w:hAnsi="Arial"/>
                <w:sz w:val="18"/>
                <w:szCs w:val="18"/>
                <w:color w:val="auto"/>
                <w:w w:val="93"/>
                <w:vertAlign w:val="superscript"/>
              </w:rPr>
              <w:t>(a)</w:t>
            </w: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(b)</w:t>
            </w:r>
          </w:p>
        </w:tc>
        <w:tc>
          <w:tcPr>
            <w:tcW w:w="160" w:type="dxa"/>
            <w:vAlign w:val="bottom"/>
          </w:tcPr>
          <w:p>
            <w:pPr>
              <w:spacing w:after="0"/>
              <w:rPr>
                <w:sz w:val="11"/>
                <w:szCs w:val="11"/>
                <w:color w:val="auto"/>
              </w:rPr>
            </w:pPr>
          </w:p>
        </w:tc>
        <w:tc>
          <w:tcPr>
            <w:tcW w:w="1160" w:type="dxa"/>
            <w:vAlign w:val="bottom"/>
          </w:tcPr>
          <w:p>
            <w:pPr>
              <w:jc w:val="center"/>
              <w:ind w:right="75"/>
              <w:spacing w:after="0" w:line="129" w:lineRule="exact"/>
              <w:rPr>
                <w:sz w:val="20"/>
                <w:szCs w:val="20"/>
                <w:color w:val="auto"/>
              </w:rPr>
            </w:pPr>
            <w:r>
              <w:rPr>
                <w:rFonts w:ascii="Arial" w:cs="Arial" w:eastAsia="Arial" w:hAnsi="Arial"/>
                <w:sz w:val="14"/>
                <w:szCs w:val="14"/>
                <w:color w:val="auto"/>
                <w:w w:val="90"/>
              </w:rPr>
              <w:t>Depreciation and</w:t>
            </w:r>
          </w:p>
        </w:tc>
        <w:tc>
          <w:tcPr>
            <w:tcW w:w="200" w:type="dxa"/>
            <w:vAlign w:val="bottom"/>
          </w:tcPr>
          <w:p>
            <w:pPr>
              <w:spacing w:after="0"/>
              <w:rPr>
                <w:sz w:val="11"/>
                <w:szCs w:val="11"/>
                <w:color w:val="auto"/>
              </w:rPr>
            </w:pPr>
          </w:p>
        </w:tc>
        <w:tc>
          <w:tcPr>
            <w:tcW w:w="1000" w:type="dxa"/>
            <w:vAlign w:val="bottom"/>
          </w:tcPr>
          <w:p>
            <w:pPr>
              <w:jc w:val="right"/>
              <w:ind w:right="295"/>
              <w:spacing w:after="0" w:line="12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1"/>
                <w:szCs w:val="11"/>
                <w:color w:val="auto"/>
              </w:rPr>
            </w:pPr>
          </w:p>
        </w:tc>
        <w:tc>
          <w:tcPr>
            <w:tcW w:w="1040" w:type="dxa"/>
            <w:vAlign w:val="bottom"/>
          </w:tcPr>
          <w:p>
            <w:pPr>
              <w:jc w:val="right"/>
              <w:ind w:right="135"/>
              <w:spacing w:after="0" w:line="129" w:lineRule="exact"/>
              <w:rPr>
                <w:sz w:val="20"/>
                <w:szCs w:val="20"/>
                <w:color w:val="auto"/>
              </w:rPr>
            </w:pPr>
            <w:r>
              <w:rPr>
                <w:rFonts w:ascii="Arial" w:cs="Arial" w:eastAsia="Arial" w:hAnsi="Arial"/>
                <w:sz w:val="14"/>
                <w:szCs w:val="14"/>
                <w:color w:val="auto"/>
                <w:w w:val="94"/>
              </w:rPr>
              <w:t>Cash Paid for</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color w:val="auto"/>
                <w:w w:val="97"/>
              </w:rPr>
              <w:t>Amortization</w:t>
            </w:r>
          </w:p>
        </w:tc>
        <w:tc>
          <w:tcPr>
            <w:tcW w:w="200" w:type="dxa"/>
            <w:vAlign w:val="bottom"/>
          </w:tcPr>
          <w:p>
            <w:pPr>
              <w:spacing w:after="0"/>
              <w:rPr>
                <w:sz w:val="15"/>
                <w:szCs w:val="15"/>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color w:val="auto"/>
                <w:w w:val="92"/>
              </w:rPr>
              <w:t>Expenditures</w:t>
            </w:r>
          </w:p>
        </w:tc>
        <w:tc>
          <w:tcPr>
            <w:tcW w:w="1280" w:type="dxa"/>
            <w:vAlign w:val="bottom"/>
            <w:gridSpan w:val="4"/>
          </w:tcPr>
          <w:p>
            <w:pPr>
              <w:ind w:left="120"/>
              <w:spacing w:after="0"/>
              <w:rPr>
                <w:sz w:val="20"/>
                <w:szCs w:val="20"/>
                <w:color w:val="auto"/>
              </w:rPr>
            </w:pPr>
            <w:r>
              <w:rPr>
                <w:rFonts w:ascii="Arial" w:cs="Arial" w:eastAsia="Arial" w:hAnsi="Arial"/>
                <w:sz w:val="14"/>
                <w:szCs w:val="14"/>
                <w:color w:val="auto"/>
              </w:rPr>
              <w:t>Intangible Assets</w:t>
            </w:r>
          </w:p>
        </w:tc>
        <w:tc>
          <w:tcPr>
            <w:tcW w:w="0" w:type="dxa"/>
            <w:vAlign w:val="bottom"/>
          </w:tcPr>
          <w:p>
            <w:pPr>
              <w:spacing w:after="0"/>
              <w:rPr>
                <w:sz w:val="1"/>
                <w:szCs w:val="1"/>
                <w:color w:val="auto"/>
              </w:rPr>
            </w:pPr>
          </w:p>
        </w:tc>
      </w:tr>
      <w:tr>
        <w:trPr>
          <w:trHeight w:val="215"/>
        </w:trPr>
        <w:tc>
          <w:tcPr>
            <w:tcW w:w="49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Cable Communications</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15,805</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6,830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5,036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2,396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619</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Headquarters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60" w:type="dxa"/>
            <w:vAlign w:val="bottom"/>
          </w:tcPr>
          <w:p>
            <w:pPr>
              <w:ind w:left="28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9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NBCUniversal</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7,024</w:t>
            </w: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1,490</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4,997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814</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Corporate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color w:val="auto"/>
              </w:rPr>
              <w:t>Comcast Consolidated</w:t>
            </w: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27,205</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3,362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2"/>
        </w:trPr>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414"/>
              <w:spacing w:after="0"/>
              <w:rPr>
                <w:sz w:val="20"/>
                <w:szCs w:val="20"/>
                <w:color w:val="auto"/>
              </w:rPr>
            </w:pPr>
            <w:r>
              <w:rPr>
                <w:rFonts w:ascii="Arial" w:cs="Arial" w:eastAsia="Arial" w:hAnsi="Arial"/>
                <w:sz w:val="17"/>
                <w:szCs w:val="17"/>
                <w:color w:val="auto"/>
              </w:rPr>
              <w:t>7</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27" w:lineRule="exact"/>
        <w:rPr>
          <w:sz w:val="20"/>
          <w:szCs w:val="20"/>
          <w:color w:val="auto"/>
        </w:rPr>
      </w:pPr>
    </w:p>
    <w:p>
      <w:pPr>
        <w:jc w:val="both"/>
        <w:ind w:left="320" w:hanging="315"/>
        <w:spacing w:after="0" w:line="258" w:lineRule="auto"/>
        <w:tabs>
          <w:tab w:leader="none" w:pos="317"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content licensing revenue in Studios for licenses of owned content to Media and Sky; distribution revenue in Media for fees received from Cable Communications for the sale of cable network programming and under retransmission consent agreements; and advertising revenue in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in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128"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780" w:type="dxa"/>
            <w:vAlign w:val="bottom"/>
          </w:tcPr>
          <w:p>
            <w:pPr>
              <w:spacing w:after="0"/>
              <w:rPr>
                <w:sz w:val="14"/>
                <w:szCs w:val="14"/>
                <w:color w:val="auto"/>
              </w:rPr>
            </w:pPr>
          </w:p>
        </w:tc>
      </w:tr>
      <w:tr>
        <w:trPr>
          <w:trHeight w:val="178"/>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780" w:type="dxa"/>
            <w:vAlign w:val="bottom"/>
            <w:tcBorders>
              <w:bottom w:val="single" w:sz="8" w:color="auto"/>
            </w:tcBorders>
          </w:tcPr>
          <w:p>
            <w:pPr>
              <w:spacing w:after="0"/>
              <w:rPr>
                <w:sz w:val="15"/>
                <w:szCs w:val="15"/>
                <w:color w:val="auto"/>
              </w:rPr>
            </w:pPr>
          </w:p>
        </w:tc>
      </w:tr>
      <w:tr>
        <w:trPr>
          <w:trHeight w:val="179"/>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2022</w:t>
            </w: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w w:val="83"/>
              </w:rPr>
              <w:t>2021</w:t>
            </w:r>
          </w:p>
        </w:tc>
      </w:tr>
      <w:tr>
        <w:trPr>
          <w:trHeight w:val="174"/>
        </w:trPr>
        <w:tc>
          <w:tcPr>
            <w:tcW w:w="7740" w:type="dxa"/>
            <w:vAlign w:val="bottom"/>
          </w:tcPr>
          <w:p>
            <w:pPr>
              <w:ind w:left="20"/>
              <w:spacing w:after="0"/>
              <w:rPr>
                <w:sz w:val="20"/>
                <w:szCs w:val="20"/>
                <w:color w:val="auto"/>
              </w:rPr>
            </w:pPr>
            <w:r>
              <w:rPr>
                <w:rFonts w:ascii="Arial" w:cs="Arial" w:eastAsia="Arial" w:hAnsi="Arial"/>
                <w:sz w:val="14"/>
                <w:szCs w:val="14"/>
                <w:color w:val="auto"/>
              </w:rPr>
              <w:t>Cable Communications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56</w:t>
            </w:r>
          </w:p>
        </w:tc>
        <w:tc>
          <w:tcPr>
            <w:tcW w:w="62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NBCUniversal</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7740" w:type="dxa"/>
            <w:vAlign w:val="bottom"/>
          </w:tcPr>
          <w:p>
            <w:pPr>
              <w:ind w:left="220"/>
              <w:spacing w:after="0"/>
              <w:rPr>
                <w:sz w:val="20"/>
                <w:szCs w:val="20"/>
                <w:color w:val="auto"/>
              </w:rPr>
            </w:pPr>
            <w:r>
              <w:rPr>
                <w:rFonts w:ascii="Arial" w:cs="Arial" w:eastAsia="Arial" w:hAnsi="Arial"/>
                <w:sz w:val="14"/>
                <w:szCs w:val="14"/>
                <w:color w:val="auto"/>
              </w:rPr>
              <w:t>Media</w:t>
            </w:r>
          </w:p>
        </w:tc>
        <w:tc>
          <w:tcPr>
            <w:tcW w:w="30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669</w:t>
            </w:r>
          </w:p>
        </w:tc>
        <w:tc>
          <w:tcPr>
            <w:tcW w:w="6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183"/>
        </w:trPr>
        <w:tc>
          <w:tcPr>
            <w:tcW w:w="7740" w:type="dxa"/>
            <w:vAlign w:val="bottom"/>
          </w:tcPr>
          <w:p>
            <w:pPr>
              <w:ind w:left="220"/>
              <w:spacing w:after="0"/>
              <w:rPr>
                <w:sz w:val="20"/>
                <w:szCs w:val="20"/>
                <w:color w:val="auto"/>
              </w:rPr>
            </w:pPr>
            <w:r>
              <w:rPr>
                <w:rFonts w:ascii="Arial" w:cs="Arial" w:eastAsia="Arial" w:hAnsi="Arial"/>
                <w:sz w:val="14"/>
                <w:szCs w:val="14"/>
                <w:color w:val="auto"/>
              </w:rPr>
              <w:t>Studios</w:t>
            </w:r>
          </w:p>
        </w:tc>
        <w:tc>
          <w:tcPr>
            <w:tcW w:w="30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939</w:t>
            </w:r>
          </w:p>
        </w:tc>
        <w:tc>
          <w:tcPr>
            <w:tcW w:w="6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1,089</w:t>
            </w:r>
          </w:p>
        </w:tc>
      </w:tr>
      <w:tr>
        <w:trPr>
          <w:trHeight w:val="183"/>
        </w:trPr>
        <w:tc>
          <w:tcPr>
            <w:tcW w:w="7740" w:type="dxa"/>
            <w:vAlign w:val="bottom"/>
          </w:tcPr>
          <w:p>
            <w:pPr>
              <w:ind w:left="220"/>
              <w:spacing w:after="0"/>
              <w:rPr>
                <w:sz w:val="20"/>
                <w:szCs w:val="20"/>
                <w:color w:val="auto"/>
              </w:rPr>
            </w:pPr>
            <w:r>
              <w:rPr>
                <w:rFonts w:ascii="Arial" w:cs="Arial" w:eastAsia="Arial" w:hAnsi="Arial"/>
                <w:sz w:val="14"/>
                <w:szCs w:val="14"/>
                <w:color w:val="auto"/>
              </w:rPr>
              <w:t>Theme Parks</w:t>
            </w:r>
          </w:p>
        </w:tc>
        <w:tc>
          <w:tcPr>
            <w:tcW w:w="30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774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30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6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Sky</w:t>
            </w:r>
          </w:p>
        </w:tc>
        <w:tc>
          <w:tcPr>
            <w:tcW w:w="30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6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Other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58</w:t>
            </w: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8"/>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intersegment revenue</w:t>
            </w: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1,741</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r>
    </w:tbl>
    <w:p>
      <w:pPr>
        <w:spacing w:after="0" w:line="283" w:lineRule="exact"/>
        <w:rPr>
          <w:sz w:val="20"/>
          <w:szCs w:val="20"/>
          <w:color w:val="auto"/>
        </w:rPr>
      </w:pPr>
    </w:p>
    <w:p>
      <w:pPr>
        <w:jc w:val="both"/>
        <w:ind w:left="320" w:hanging="315"/>
        <w:spacing w:after="0" w:line="247" w:lineRule="auto"/>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reportable segments to consolidated income before income taxes is presented in the table below.</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780" w:type="dxa"/>
            <w:vAlign w:val="bottom"/>
          </w:tcPr>
          <w:p>
            <w:pPr>
              <w:spacing w:after="0"/>
              <w:rPr>
                <w:sz w:val="14"/>
                <w:szCs w:val="14"/>
                <w:color w:val="auto"/>
              </w:rPr>
            </w:pPr>
          </w:p>
        </w:tc>
      </w:tr>
      <w:tr>
        <w:trPr>
          <w:trHeight w:val="178"/>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780" w:type="dxa"/>
            <w:vAlign w:val="bottom"/>
            <w:tcBorders>
              <w:bottom w:val="single" w:sz="8" w:color="auto"/>
            </w:tcBorders>
          </w:tcPr>
          <w:p>
            <w:pPr>
              <w:spacing w:after="0"/>
              <w:rPr>
                <w:sz w:val="15"/>
                <w:szCs w:val="15"/>
                <w:color w:val="auto"/>
              </w:rPr>
            </w:pPr>
          </w:p>
        </w:tc>
      </w:tr>
      <w:tr>
        <w:trPr>
          <w:trHeight w:val="179"/>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rPr>
              <w:t>2022</w:t>
            </w: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w w:val="83"/>
              </w:rPr>
              <w:t>2021</w:t>
            </w:r>
          </w:p>
        </w:tc>
      </w:tr>
      <w:tr>
        <w:trPr>
          <w:trHeight w:val="174"/>
        </w:trPr>
        <w:tc>
          <w:tcPr>
            <w:tcW w:w="77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9,150</w:t>
            </w:r>
          </w:p>
        </w:tc>
        <w:tc>
          <w:tcPr>
            <w:tcW w:w="60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8,413</w:t>
            </w: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(33)</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(2,213)</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(2,117)</w:t>
            </w: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(1,335)</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(1,245)</w:t>
            </w: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(993)</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(1,018)</w:t>
            </w:r>
          </w:p>
        </w:tc>
      </w:tr>
      <w:tr>
        <w:trPr>
          <w:trHeight w:val="189"/>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188</w:t>
            </w: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r>
      <w:tr>
        <w:trPr>
          <w:trHeight w:val="188"/>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4,764</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4,411</w:t>
            </w:r>
          </w:p>
        </w:tc>
      </w:tr>
    </w:tbl>
    <w:p>
      <w:pPr>
        <w:spacing w:after="0" w:line="112" w:lineRule="exact"/>
        <w:rPr>
          <w:sz w:val="20"/>
          <w:szCs w:val="20"/>
          <w:color w:val="auto"/>
        </w:rPr>
      </w:pPr>
    </w:p>
    <w:p>
      <w:pPr>
        <w:ind w:left="320" w:right="620"/>
        <w:spacing w:after="0" w:line="260" w:lineRule="auto"/>
        <w:rPr>
          <w:sz w:val="20"/>
          <w:szCs w:val="20"/>
          <w:color w:val="auto"/>
        </w:rPr>
      </w:pPr>
      <w:r>
        <w:rPr>
          <w:rFonts w:ascii="Arial" w:cs="Arial" w:eastAsia="Arial" w:hAnsi="Arial"/>
          <w:sz w:val="14"/>
          <w:szCs w:val="14"/>
          <w:color w:val="auto"/>
        </w:rPr>
        <w:t>Adjustments represent the impact of certain events, gains, losses or other charges that are excluded from Adjusted EBITDA, including costs related to our investment portfolio, and Sky transaction-related costs in 2021.</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00" w:type="dxa"/>
            <w:vAlign w:val="bottom"/>
          </w:tcPr>
          <w:p>
            <w:pPr>
              <w:spacing w:after="0"/>
              <w:rPr>
                <w:sz w:val="14"/>
                <w:szCs w:val="14"/>
                <w:color w:val="auto"/>
              </w:rPr>
            </w:pPr>
          </w:p>
        </w:tc>
      </w:tr>
      <w:tr>
        <w:trPr>
          <w:trHeight w:val="178"/>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color w:val="auto"/>
              </w:rPr>
              <w:t>March 31,</w:t>
            </w:r>
          </w:p>
        </w:tc>
        <w:tc>
          <w:tcPr>
            <w:tcW w:w="800" w:type="dxa"/>
            <w:vAlign w:val="bottom"/>
            <w:tcBorders>
              <w:bottom w:val="single" w:sz="8" w:color="auto"/>
            </w:tcBorders>
          </w:tcPr>
          <w:p>
            <w:pPr>
              <w:spacing w:after="0"/>
              <w:rPr>
                <w:sz w:val="15"/>
                <w:szCs w:val="15"/>
                <w:color w:val="auto"/>
              </w:rPr>
            </w:pPr>
          </w:p>
        </w:tc>
      </w:tr>
      <w:tr>
        <w:trPr>
          <w:trHeight w:val="17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2022</w:t>
            </w:r>
          </w:p>
        </w:tc>
        <w:tc>
          <w:tcPr>
            <w:tcW w:w="6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w w:val="83"/>
              </w:rPr>
              <w:t>2021</w:t>
            </w:r>
          </w:p>
        </w:tc>
      </w:tr>
      <w:tr>
        <w:trPr>
          <w:trHeight w:val="218"/>
        </w:trPr>
        <w:tc>
          <w:tcPr>
            <w:tcW w:w="84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8420" w:type="dxa"/>
            <w:vAlign w:val="bottom"/>
          </w:tcPr>
          <w:p>
            <w:pPr>
              <w:ind w:left="140"/>
              <w:spacing w:after="0"/>
              <w:rPr>
                <w:sz w:val="20"/>
                <w:szCs w:val="20"/>
                <w:color w:val="auto"/>
              </w:rPr>
            </w:pPr>
            <w:r>
              <w:rPr>
                <w:rFonts w:ascii="Arial" w:cs="Arial" w:eastAsia="Arial" w:hAnsi="Arial"/>
                <w:sz w:val="17"/>
                <w:szCs w:val="17"/>
                <w:color w:val="auto"/>
              </w:rPr>
              <w:t>Broadband</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6,050</w:t>
            </w:r>
          </w:p>
        </w:tc>
        <w:tc>
          <w:tcPr>
            <w:tcW w:w="6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5,600</w:t>
            </w:r>
          </w:p>
        </w:tc>
      </w:tr>
      <w:tr>
        <w:trPr>
          <w:trHeight w:val="223"/>
        </w:trPr>
        <w:tc>
          <w:tcPr>
            <w:tcW w:w="8420" w:type="dxa"/>
            <w:vAlign w:val="bottom"/>
          </w:tcPr>
          <w:p>
            <w:pPr>
              <w:ind w:left="140"/>
              <w:spacing w:after="0"/>
              <w:rPr>
                <w:sz w:val="20"/>
                <w:szCs w:val="20"/>
                <w:color w:val="auto"/>
              </w:rPr>
            </w:pPr>
            <w:r>
              <w:rPr>
                <w:rFonts w:ascii="Arial" w:cs="Arial" w:eastAsia="Arial" w:hAnsi="Arial"/>
                <w:sz w:val="17"/>
                <w:szCs w:val="17"/>
                <w:color w:val="auto"/>
              </w:rPr>
              <w:t>Video</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5,536</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5,623</w:t>
            </w:r>
          </w:p>
        </w:tc>
      </w:tr>
      <w:tr>
        <w:trPr>
          <w:trHeight w:val="223"/>
        </w:trPr>
        <w:tc>
          <w:tcPr>
            <w:tcW w:w="8420" w:type="dxa"/>
            <w:vAlign w:val="bottom"/>
          </w:tcPr>
          <w:p>
            <w:pPr>
              <w:ind w:left="140"/>
              <w:spacing w:after="0"/>
              <w:rPr>
                <w:sz w:val="20"/>
                <w:szCs w:val="20"/>
                <w:color w:val="auto"/>
              </w:rPr>
            </w:pPr>
            <w:r>
              <w:rPr>
                <w:rFonts w:ascii="Arial" w:cs="Arial" w:eastAsia="Arial" w:hAnsi="Arial"/>
                <w:sz w:val="17"/>
                <w:szCs w:val="17"/>
                <w:color w:val="auto"/>
              </w:rPr>
              <w:t>Voice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786</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871</w:t>
            </w:r>
          </w:p>
        </w:tc>
      </w:tr>
      <w:tr>
        <w:trPr>
          <w:trHeight w:val="223"/>
        </w:trPr>
        <w:tc>
          <w:tcPr>
            <w:tcW w:w="8420" w:type="dxa"/>
            <w:vAlign w:val="bottom"/>
          </w:tcPr>
          <w:p>
            <w:pPr>
              <w:ind w:left="140"/>
              <w:spacing w:after="0"/>
              <w:rPr>
                <w:sz w:val="20"/>
                <w:szCs w:val="20"/>
                <w:color w:val="auto"/>
              </w:rPr>
            </w:pPr>
            <w:r>
              <w:rPr>
                <w:rFonts w:ascii="Arial" w:cs="Arial" w:eastAsia="Arial" w:hAnsi="Arial"/>
                <w:sz w:val="17"/>
                <w:szCs w:val="17"/>
                <w:color w:val="auto"/>
              </w:rPr>
              <w:t>Wireless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677</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513</w:t>
            </w:r>
          </w:p>
        </w:tc>
      </w:tr>
      <w:tr>
        <w:trPr>
          <w:trHeight w:val="223"/>
        </w:trPr>
        <w:tc>
          <w:tcPr>
            <w:tcW w:w="8420" w:type="dxa"/>
            <w:vAlign w:val="bottom"/>
          </w:tcPr>
          <w:p>
            <w:pPr>
              <w:ind w:left="20"/>
              <w:spacing w:after="0"/>
              <w:rPr>
                <w:sz w:val="20"/>
                <w:szCs w:val="20"/>
                <w:color w:val="auto"/>
              </w:rPr>
            </w:pPr>
            <w:r>
              <w:rPr>
                <w:rFonts w:ascii="Arial" w:cs="Arial" w:eastAsia="Arial" w:hAnsi="Arial"/>
                <w:sz w:val="17"/>
                <w:szCs w:val="17"/>
                <w:color w:val="auto"/>
              </w:rPr>
              <w:t>Business services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2,396</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2,167</w:t>
            </w:r>
          </w:p>
        </w:tc>
      </w:tr>
      <w:tr>
        <w:trPr>
          <w:trHeight w:val="223"/>
        </w:trPr>
        <w:tc>
          <w:tcPr>
            <w:tcW w:w="842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671</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618</w:t>
            </w:r>
          </w:p>
        </w:tc>
      </w:tr>
      <w:tr>
        <w:trPr>
          <w:trHeight w:val="22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424</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w:t>
            </w:r>
          </w:p>
        </w:tc>
      </w:tr>
      <w:tr>
        <w:trPr>
          <w:trHeight w:val="216"/>
        </w:trPr>
        <w:tc>
          <w:tcPr>
            <w:tcW w:w="8420" w:type="dxa"/>
            <w:vAlign w:val="bottom"/>
          </w:tcPr>
          <w:p>
            <w:pPr>
              <w:ind w:left="20"/>
              <w:spacing w:after="0"/>
              <w:rPr>
                <w:sz w:val="20"/>
                <w:szCs w:val="20"/>
                <w:color w:val="auto"/>
              </w:rPr>
            </w:pPr>
            <w:r>
              <w:rPr>
                <w:rFonts w:ascii="Arial" w:cs="Arial" w:eastAsia="Arial" w:hAnsi="Arial"/>
                <w:sz w:val="17"/>
                <w:szCs w:val="17"/>
                <w:color w:val="auto"/>
              </w:rPr>
              <w:t>Total Cable Communications</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16,540</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15,805</w:t>
            </w:r>
          </w:p>
        </w:tc>
      </w:tr>
      <w:tr>
        <w:trPr>
          <w:trHeight w:val="327"/>
        </w:trPr>
        <w:tc>
          <w:tcPr>
            <w:tcW w:w="842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3,332</w:t>
            </w:r>
          </w:p>
        </w:tc>
        <w:tc>
          <w:tcPr>
            <w:tcW w:w="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2,094</w:t>
            </w:r>
          </w:p>
        </w:tc>
      </w:tr>
      <w:tr>
        <w:trPr>
          <w:trHeight w:val="223"/>
        </w:trPr>
        <w:tc>
          <w:tcPr>
            <w:tcW w:w="8420" w:type="dxa"/>
            <w:vAlign w:val="bottom"/>
          </w:tcPr>
          <w:p>
            <w:pPr>
              <w:ind w:left="20"/>
              <w:spacing w:after="0"/>
              <w:rPr>
                <w:sz w:val="20"/>
                <w:szCs w:val="20"/>
                <w:color w:val="auto"/>
              </w:rPr>
            </w:pPr>
            <w:r>
              <w:rPr>
                <w:rFonts w:ascii="Arial" w:cs="Arial" w:eastAsia="Arial" w:hAnsi="Arial"/>
                <w:sz w:val="17"/>
                <w:szCs w:val="17"/>
                <w:color w:val="auto"/>
              </w:rPr>
              <w:t>Distribution</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3,033</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2,495</w:t>
            </w:r>
          </w:p>
        </w:tc>
      </w:tr>
      <w:tr>
        <w:trPr>
          <w:trHeight w:val="22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499</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r>
      <w:tr>
        <w:trPr>
          <w:trHeight w:val="216"/>
        </w:trPr>
        <w:tc>
          <w:tcPr>
            <w:tcW w:w="8420" w:type="dxa"/>
            <w:vAlign w:val="bottom"/>
          </w:tcPr>
          <w:p>
            <w:pPr>
              <w:ind w:left="20"/>
              <w:spacing w:after="0"/>
              <w:rPr>
                <w:sz w:val="20"/>
                <w:szCs w:val="20"/>
                <w:color w:val="auto"/>
              </w:rPr>
            </w:pPr>
            <w:r>
              <w:rPr>
                <w:rFonts w:ascii="Arial" w:cs="Arial" w:eastAsia="Arial" w:hAnsi="Arial"/>
                <w:sz w:val="17"/>
                <w:szCs w:val="17"/>
                <w:color w:val="auto"/>
              </w:rPr>
              <w:t>Total Media</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6,865</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5,036</w:t>
            </w:r>
          </w:p>
        </w:tc>
      </w:tr>
      <w:tr>
        <w:trPr>
          <w:trHeight w:val="327"/>
        </w:trPr>
        <w:tc>
          <w:tcPr>
            <w:tcW w:w="8420" w:type="dxa"/>
            <w:vAlign w:val="bottom"/>
          </w:tcPr>
          <w:p>
            <w:pPr>
              <w:ind w:left="20"/>
              <w:spacing w:after="0"/>
              <w:rPr>
                <w:sz w:val="20"/>
                <w:szCs w:val="20"/>
                <w:color w:val="auto"/>
              </w:rPr>
            </w:pPr>
            <w:r>
              <w:rPr>
                <w:rFonts w:ascii="Arial" w:cs="Arial" w:eastAsia="Arial" w:hAnsi="Arial"/>
                <w:sz w:val="17"/>
                <w:szCs w:val="17"/>
                <w:color w:val="auto"/>
              </w:rPr>
              <w:t>Content licensing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2,279</w:t>
            </w:r>
          </w:p>
        </w:tc>
        <w:tc>
          <w:tcPr>
            <w:tcW w:w="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2,075</w:t>
            </w:r>
          </w:p>
        </w:tc>
      </w:tr>
      <w:tr>
        <w:trPr>
          <w:trHeight w:val="223"/>
        </w:trPr>
        <w:tc>
          <w:tcPr>
            <w:tcW w:w="8420" w:type="dxa"/>
            <w:vAlign w:val="bottom"/>
          </w:tcPr>
          <w:p>
            <w:pPr>
              <w:ind w:left="20"/>
              <w:spacing w:after="0"/>
              <w:rPr>
                <w:sz w:val="20"/>
                <w:szCs w:val="20"/>
                <w:color w:val="auto"/>
              </w:rPr>
            </w:pPr>
            <w:r>
              <w:rPr>
                <w:rFonts w:ascii="Arial" w:cs="Arial" w:eastAsia="Arial" w:hAnsi="Arial"/>
                <w:sz w:val="17"/>
                <w:szCs w:val="17"/>
                <w:color w:val="auto"/>
              </w:rPr>
              <w:t>Theatrical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168</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Home entertainment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310</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r>
      <w:tr>
        <w:trPr>
          <w:trHeight w:val="216"/>
        </w:trPr>
        <w:tc>
          <w:tcPr>
            <w:tcW w:w="8420" w:type="dxa"/>
            <w:vAlign w:val="bottom"/>
          </w:tcPr>
          <w:p>
            <w:pPr>
              <w:ind w:left="20"/>
              <w:spacing w:after="0"/>
              <w:rPr>
                <w:sz w:val="20"/>
                <w:szCs w:val="20"/>
                <w:color w:val="auto"/>
              </w:rPr>
            </w:pPr>
            <w:r>
              <w:rPr>
                <w:rFonts w:ascii="Arial" w:cs="Arial" w:eastAsia="Arial" w:hAnsi="Arial"/>
                <w:sz w:val="17"/>
                <w:szCs w:val="17"/>
                <w:color w:val="auto"/>
              </w:rPr>
              <w:t>Total Studios</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2,757</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2,396</w:t>
            </w:r>
          </w:p>
        </w:tc>
      </w:tr>
      <w:tr>
        <w:trPr>
          <w:trHeight w:val="327"/>
        </w:trPr>
        <w:tc>
          <w:tcPr>
            <w:tcW w:w="8420" w:type="dxa"/>
            <w:vAlign w:val="bottom"/>
          </w:tcPr>
          <w:p>
            <w:pPr>
              <w:ind w:left="20"/>
              <w:spacing w:after="0"/>
              <w:rPr>
                <w:sz w:val="20"/>
                <w:szCs w:val="20"/>
                <w:color w:val="auto"/>
              </w:rPr>
            </w:pPr>
            <w:r>
              <w:rPr>
                <w:rFonts w:ascii="Arial" w:cs="Arial" w:eastAsia="Arial" w:hAnsi="Arial"/>
                <w:sz w:val="17"/>
                <w:szCs w:val="17"/>
                <w:color w:val="auto"/>
              </w:rPr>
              <w:t>Total Theme Parks</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1,560</w:t>
            </w:r>
          </w:p>
        </w:tc>
        <w:tc>
          <w:tcPr>
            <w:tcW w:w="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619</w:t>
            </w:r>
          </w:p>
        </w:tc>
      </w:tr>
      <w:tr>
        <w:trPr>
          <w:trHeight w:val="217"/>
        </w:trPr>
        <w:tc>
          <w:tcPr>
            <w:tcW w:w="8420" w:type="dxa"/>
            <w:vAlign w:val="bottom"/>
          </w:tcPr>
          <w:p>
            <w:pPr>
              <w:ind w:left="20"/>
              <w:spacing w:after="0"/>
              <w:rPr>
                <w:sz w:val="20"/>
                <w:szCs w:val="20"/>
                <w:color w:val="auto"/>
              </w:rPr>
            </w:pPr>
            <w:r>
              <w:rPr>
                <w:rFonts w:ascii="Arial" w:cs="Arial" w:eastAsia="Arial" w:hAnsi="Arial"/>
                <w:sz w:val="17"/>
                <w:szCs w:val="17"/>
                <w:color w:val="auto"/>
              </w:rPr>
              <w:t>Headquarters and Other</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16</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9"/>
        </w:trPr>
        <w:tc>
          <w:tcPr>
            <w:tcW w:w="842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(901)</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w:t>
            </w:r>
          </w:p>
        </w:tc>
      </w:tr>
      <w:tr>
        <w:trPr>
          <w:trHeight w:val="215"/>
        </w:trPr>
        <w:tc>
          <w:tcPr>
            <w:tcW w:w="8420" w:type="dxa"/>
            <w:vAlign w:val="bottom"/>
          </w:tcPr>
          <w:p>
            <w:pPr>
              <w:ind w:left="20"/>
              <w:spacing w:after="0"/>
              <w:rPr>
                <w:sz w:val="20"/>
                <w:szCs w:val="20"/>
                <w:color w:val="auto"/>
              </w:rPr>
            </w:pPr>
            <w:r>
              <w:rPr>
                <w:rFonts w:ascii="Arial" w:cs="Arial" w:eastAsia="Arial" w:hAnsi="Arial"/>
                <w:sz w:val="17"/>
                <w:szCs w:val="17"/>
                <w:color w:val="auto"/>
              </w:rPr>
              <w:t>Total NBCUniversal</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10,296</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7,024</w:t>
            </w:r>
          </w:p>
        </w:tc>
      </w:tr>
      <w:tr>
        <w:trPr>
          <w:trHeight w:val="327"/>
        </w:trPr>
        <w:tc>
          <w:tcPr>
            <w:tcW w:w="8420" w:type="dxa"/>
            <w:vAlign w:val="bottom"/>
          </w:tcPr>
          <w:p>
            <w:pPr>
              <w:ind w:left="20"/>
              <w:spacing w:after="0"/>
              <w:rPr>
                <w:sz w:val="20"/>
                <w:szCs w:val="20"/>
                <w:color w:val="auto"/>
              </w:rPr>
            </w:pPr>
            <w:r>
              <w:rPr>
                <w:rFonts w:ascii="Arial" w:cs="Arial" w:eastAsia="Arial" w:hAnsi="Arial"/>
                <w:sz w:val="17"/>
                <w:szCs w:val="17"/>
                <w:color w:val="auto"/>
              </w:rPr>
              <w:t>Direct-to-consumer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3,884</w:t>
            </w:r>
          </w:p>
        </w:tc>
        <w:tc>
          <w:tcPr>
            <w:tcW w:w="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4,065</w:t>
            </w:r>
          </w:p>
        </w:tc>
      </w:tr>
      <w:tr>
        <w:trPr>
          <w:trHeight w:val="223"/>
        </w:trPr>
        <w:tc>
          <w:tcPr>
            <w:tcW w:w="8420" w:type="dxa"/>
            <w:vAlign w:val="bottom"/>
          </w:tcPr>
          <w:p>
            <w:pPr>
              <w:ind w:left="20"/>
              <w:spacing w:after="0"/>
              <w:rPr>
                <w:sz w:val="20"/>
                <w:szCs w:val="20"/>
                <w:color w:val="auto"/>
              </w:rPr>
            </w:pPr>
            <w:r>
              <w:rPr>
                <w:rFonts w:ascii="Arial" w:cs="Arial" w:eastAsia="Arial" w:hAnsi="Arial"/>
                <w:sz w:val="17"/>
                <w:szCs w:val="17"/>
                <w:color w:val="auto"/>
              </w:rPr>
              <w:t>Content</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295</w:t>
            </w: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2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Advertising</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596</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w:t>
            </w:r>
          </w:p>
        </w:tc>
      </w:tr>
      <w:tr>
        <w:trPr>
          <w:trHeight w:val="216"/>
        </w:trPr>
        <w:tc>
          <w:tcPr>
            <w:tcW w:w="8420" w:type="dxa"/>
            <w:vAlign w:val="bottom"/>
          </w:tcPr>
          <w:p>
            <w:pPr>
              <w:ind w:left="20"/>
              <w:spacing w:after="0"/>
              <w:rPr>
                <w:sz w:val="20"/>
                <w:szCs w:val="20"/>
                <w:color w:val="auto"/>
              </w:rPr>
            </w:pPr>
            <w:r>
              <w:rPr>
                <w:rFonts w:ascii="Arial" w:cs="Arial" w:eastAsia="Arial" w:hAnsi="Arial"/>
                <w:sz w:val="17"/>
                <w:szCs w:val="17"/>
                <w:color w:val="auto"/>
              </w:rPr>
              <w:t>Total Sky</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4,775</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4,997</w:t>
            </w:r>
          </w:p>
        </w:tc>
      </w:tr>
      <w:tr>
        <w:trPr>
          <w:trHeight w:val="322"/>
        </w:trPr>
        <w:tc>
          <w:tcPr>
            <w:tcW w:w="8420" w:type="dxa"/>
            <w:vAlign w:val="bottom"/>
          </w:tcPr>
          <w:p>
            <w:pPr>
              <w:ind w:left="20"/>
              <w:spacing w:after="0"/>
              <w:rPr>
                <w:sz w:val="20"/>
                <w:szCs w:val="20"/>
                <w:color w:val="auto"/>
              </w:rPr>
            </w:pPr>
            <w:r>
              <w:rPr>
                <w:rFonts w:ascii="Arial" w:cs="Arial" w:eastAsia="Arial" w:hAnsi="Arial"/>
                <w:sz w:val="17"/>
                <w:szCs w:val="17"/>
                <w:color w:val="auto"/>
              </w:rPr>
              <w:t>Corporate and Other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238</w:t>
            </w:r>
          </w:p>
        </w:tc>
        <w:tc>
          <w:tcPr>
            <w:tcW w:w="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9"/>
        </w:trPr>
        <w:tc>
          <w:tcPr>
            <w:tcW w:w="842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(840)</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r>
      <w:tr>
        <w:trPr>
          <w:trHeight w:val="222"/>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31,010</w:t>
            </w:r>
          </w:p>
        </w:tc>
        <w:tc>
          <w:tcPr>
            <w:tcW w:w="6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27,205</w:t>
            </w:r>
          </w:p>
        </w:tc>
      </w:tr>
    </w:tbl>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Included in Eliminations are transactions that our segments enter into with one another. See Note 2 for a description of these transactions.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129"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The following tables summarize our accounts receivable and other balances that are not separately presented in our condensed consolidated balance sheet that relate to the recognition of revenue and collection of the related cash, as well as the deferred costs associated with our contracts with customers.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00" w:type="dxa"/>
            <w:vAlign w:val="bottom"/>
          </w:tcPr>
          <w:p>
            <w:pPr>
              <w:jc w:val="center"/>
              <w:ind w:left="3390"/>
              <w:spacing w:after="0"/>
              <w:rPr>
                <w:sz w:val="20"/>
                <w:szCs w:val="20"/>
                <w:color w:val="auto"/>
              </w:rPr>
            </w:pPr>
            <w:r>
              <w:rPr>
                <w:rFonts w:ascii="Arial" w:cs="Arial" w:eastAsia="Arial" w:hAnsi="Arial"/>
                <w:sz w:val="14"/>
                <w:szCs w:val="14"/>
                <w:color w:val="auto"/>
                <w:w w:val="93"/>
              </w:rPr>
              <w:t>March 31,</w:t>
            </w:r>
          </w:p>
        </w:tc>
        <w:tc>
          <w:tcPr>
            <w:tcW w:w="1260" w:type="dxa"/>
            <w:vAlign w:val="bottom"/>
          </w:tcPr>
          <w:p>
            <w:pPr>
              <w:jc w:val="center"/>
              <w:ind w:left="41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78"/>
        </w:trPr>
        <w:tc>
          <w:tcPr>
            <w:tcW w:w="4640" w:type="dxa"/>
            <w:vAlign w:val="bottom"/>
            <w:vMerge w:val="continue"/>
          </w:tcPr>
          <w:p>
            <w:pPr>
              <w:spacing w:after="0"/>
              <w:rPr>
                <w:sz w:val="15"/>
                <w:szCs w:val="15"/>
                <w:color w:val="auto"/>
              </w:rPr>
            </w:pPr>
          </w:p>
        </w:tc>
        <w:tc>
          <w:tcPr>
            <w:tcW w:w="5000" w:type="dxa"/>
            <w:vAlign w:val="bottom"/>
          </w:tcPr>
          <w:p>
            <w:pPr>
              <w:jc w:val="right"/>
              <w:ind w:right="550"/>
              <w:spacing w:after="0"/>
              <w:rPr>
                <w:sz w:val="20"/>
                <w:szCs w:val="20"/>
                <w:color w:val="auto"/>
              </w:rPr>
            </w:pPr>
            <w:r>
              <w:rPr>
                <w:rFonts w:ascii="Arial" w:cs="Arial" w:eastAsia="Arial" w:hAnsi="Arial"/>
                <w:sz w:val="14"/>
                <w:szCs w:val="14"/>
                <w:color w:val="auto"/>
              </w:rPr>
              <w:t>2022</w:t>
            </w:r>
          </w:p>
        </w:tc>
        <w:tc>
          <w:tcPr>
            <w:tcW w:w="1260" w:type="dxa"/>
            <w:vAlign w:val="bottom"/>
          </w:tcPr>
          <w:p>
            <w:pPr>
              <w:jc w:val="right"/>
              <w:ind w:right="19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Receivables, gross</w:t>
            </w: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13,026</w:t>
            </w: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12,666</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Allowance for doubtful accounts</w:t>
            </w:r>
          </w:p>
        </w:tc>
        <w:tc>
          <w:tcPr>
            <w:tcW w:w="1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726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Receivables, net</w:t>
            </w: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12,300</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12,008</w:t>
            </w:r>
          </w:p>
        </w:tc>
        <w:tc>
          <w:tcPr>
            <w:tcW w:w="0" w:type="dxa"/>
            <w:vAlign w:val="bottom"/>
          </w:tcPr>
          <w:p>
            <w:pPr>
              <w:spacing w:after="0"/>
              <w:rPr>
                <w:sz w:val="1"/>
                <w:szCs w:val="1"/>
                <w:color w:val="auto"/>
              </w:rPr>
            </w:pPr>
          </w:p>
        </w:tc>
      </w:tr>
      <w:tr>
        <w:trPr>
          <w:trHeight w:val="301"/>
        </w:trPr>
        <w:tc>
          <w:tcPr>
            <w:tcW w:w="7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40" w:type="dxa"/>
            <w:vAlign w:val="bottom"/>
          </w:tcPr>
          <w:p>
            <w:pPr>
              <w:spacing w:after="0"/>
              <w:rPr>
                <w:sz w:val="24"/>
                <w:szCs w:val="24"/>
                <w:color w:val="auto"/>
              </w:rPr>
            </w:pPr>
          </w:p>
        </w:tc>
        <w:tc>
          <w:tcPr>
            <w:tcW w:w="1240" w:type="dxa"/>
            <w:vAlign w:val="bottom"/>
          </w:tcPr>
          <w:p>
            <w:pPr>
              <w:jc w:val="right"/>
              <w:ind w:right="417"/>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24"/>
                <w:szCs w:val="2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700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8"/>
        </w:trPr>
        <w:tc>
          <w:tcPr>
            <w:tcW w:w="7000" w:type="dxa"/>
            <w:vAlign w:val="bottom"/>
          </w:tcPr>
          <w:p>
            <w:pPr>
              <w:ind w:left="20"/>
              <w:spacing w:after="0"/>
              <w:rPr>
                <w:sz w:val="20"/>
                <w:szCs w:val="20"/>
                <w:color w:val="auto"/>
              </w:rPr>
            </w:pPr>
            <w:r>
              <w:rPr>
                <w:rFonts w:ascii="Arial" w:cs="Arial" w:eastAsia="Arial" w:hAnsi="Arial"/>
                <w:sz w:val="17"/>
                <w:szCs w:val="17"/>
                <w:color w:val="auto"/>
              </w:rPr>
              <w:t>Noncurrent receivables, net (included in other noncurrent assets, net)</w:t>
            </w:r>
          </w:p>
        </w:tc>
        <w:tc>
          <w:tcPr>
            <w:tcW w:w="1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7"/>
              <w:spacing w:after="0"/>
              <w:rPr>
                <w:sz w:val="20"/>
                <w:szCs w:val="20"/>
                <w:color w:val="auto"/>
              </w:rPr>
            </w:pPr>
            <w:r>
              <w:rPr>
                <w:rFonts w:ascii="Arial" w:cs="Arial" w:eastAsia="Arial" w:hAnsi="Arial"/>
                <w:sz w:val="17"/>
                <w:szCs w:val="17"/>
                <w:color w:val="auto"/>
              </w:rPr>
              <w:t>1,775</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1,632</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7"/>
                <w:szCs w:val="17"/>
                <w:color w:val="auto"/>
              </w:rPr>
              <w:t>Contract acquisition and fulfillment costs (included in other noncurrent assets, net)</w:t>
            </w:r>
          </w:p>
        </w:tc>
        <w:tc>
          <w:tcPr>
            <w:tcW w:w="1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7"/>
              <w:spacing w:after="0"/>
              <w:rPr>
                <w:sz w:val="20"/>
                <w:szCs w:val="20"/>
                <w:color w:val="auto"/>
              </w:rPr>
            </w:pPr>
            <w:r>
              <w:rPr>
                <w:rFonts w:ascii="Arial" w:cs="Arial" w:eastAsia="Arial" w:hAnsi="Arial"/>
                <w:sz w:val="17"/>
                <w:szCs w:val="17"/>
                <w:color w:val="auto"/>
              </w:rPr>
              <w:t>1,089</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deferred revenue (included in other noncurrent liabilities)</w:t>
            </w: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682</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Programming and Production Costs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00" w:type="dxa"/>
            <w:vAlign w:val="bottom"/>
          </w:tcPr>
          <w:p>
            <w:pPr>
              <w:spacing w:after="0"/>
              <w:rPr>
                <w:sz w:val="14"/>
                <w:szCs w:val="14"/>
                <w:color w:val="auto"/>
              </w:rPr>
            </w:pPr>
          </w:p>
        </w:tc>
      </w:tr>
      <w:tr>
        <w:trPr>
          <w:trHeight w:val="178"/>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color w:val="auto"/>
              </w:rPr>
              <w:t>March 31,</w:t>
            </w:r>
          </w:p>
        </w:tc>
        <w:tc>
          <w:tcPr>
            <w:tcW w:w="800" w:type="dxa"/>
            <w:vAlign w:val="bottom"/>
            <w:tcBorders>
              <w:bottom w:val="single" w:sz="8" w:color="auto"/>
            </w:tcBorders>
          </w:tcPr>
          <w:p>
            <w:pPr>
              <w:spacing w:after="0"/>
              <w:rPr>
                <w:sz w:val="15"/>
                <w:szCs w:val="15"/>
                <w:color w:val="auto"/>
              </w:rPr>
            </w:pPr>
          </w:p>
        </w:tc>
      </w:tr>
      <w:tr>
        <w:trPr>
          <w:trHeight w:val="17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83"/>
              </w:rPr>
              <w:t>2021</w:t>
            </w:r>
          </w:p>
        </w:tc>
      </w:tr>
      <w:tr>
        <w:trPr>
          <w:trHeight w:val="218"/>
        </w:trPr>
        <w:tc>
          <w:tcPr>
            <w:tcW w:w="8420" w:type="dxa"/>
            <w:vAlign w:val="bottom"/>
          </w:tcPr>
          <w:p>
            <w:pPr>
              <w:ind w:left="20"/>
              <w:spacing w:after="0"/>
              <w:rPr>
                <w:sz w:val="20"/>
                <w:szCs w:val="20"/>
                <w:color w:val="auto"/>
              </w:rPr>
            </w:pPr>
            <w:r>
              <w:rPr>
                <w:rFonts w:ascii="Arial" w:cs="Arial" w:eastAsia="Arial" w:hAnsi="Arial"/>
                <w:sz w:val="17"/>
                <w:szCs w:val="17"/>
                <w:color w:val="auto"/>
              </w:rPr>
              <w:t>Video distribution programming</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3,426</w:t>
            </w:r>
          </w:p>
        </w:tc>
        <w:tc>
          <w:tcPr>
            <w:tcW w:w="64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3,515</w:t>
            </w:r>
          </w:p>
        </w:tc>
      </w:tr>
      <w:tr>
        <w:trPr>
          <w:trHeight w:val="217"/>
        </w:trPr>
        <w:tc>
          <w:tcPr>
            <w:tcW w:w="8420" w:type="dxa"/>
            <w:vAlign w:val="bottom"/>
          </w:tcPr>
          <w:p>
            <w:pPr>
              <w:ind w:left="20"/>
              <w:spacing w:after="0"/>
              <w:rPr>
                <w:sz w:val="20"/>
                <w:szCs w:val="20"/>
                <w:color w:val="auto"/>
              </w:rPr>
            </w:pPr>
            <w:r>
              <w:rPr>
                <w:rFonts w:ascii="Arial" w:cs="Arial" w:eastAsia="Arial" w:hAnsi="Arial"/>
                <w:sz w:val="17"/>
                <w:szCs w:val="17"/>
                <w:color w:val="auto"/>
              </w:rPr>
              <w:t>Film and television content: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420" w:type="dxa"/>
            <w:vAlign w:val="bottom"/>
          </w:tcPr>
          <w:p>
            <w:pPr>
              <w:ind w:left="120"/>
              <w:spacing w:after="0" w:line="229" w:lineRule="exact"/>
              <w:rPr>
                <w:sz w:val="20"/>
                <w:szCs w:val="20"/>
                <w:color w:val="auto"/>
              </w:rPr>
            </w:pPr>
            <w:r>
              <w:rPr>
                <w:rFonts w:ascii="Arial" w:cs="Arial" w:eastAsia="Arial" w:hAnsi="Arial"/>
                <w:sz w:val="17"/>
                <w:szCs w:val="17"/>
                <w:color w:val="auto"/>
              </w:rPr>
              <w:t>Owned</w:t>
            </w:r>
            <w:r>
              <w:rPr>
                <w:rFonts w:ascii="Arial" w:cs="Arial" w:eastAsia="Arial" w:hAnsi="Arial"/>
                <w:sz w:val="22"/>
                <w:szCs w:val="22"/>
                <w:color w:val="auto"/>
                <w:vertAlign w:val="superscript"/>
              </w:rPr>
              <w:t>(a)</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2,508</w:t>
            </w: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1,964</w:t>
            </w:r>
          </w:p>
        </w:tc>
      </w:tr>
      <w:tr>
        <w:trPr>
          <w:trHeight w:val="222"/>
        </w:trPr>
        <w:tc>
          <w:tcPr>
            <w:tcW w:w="8420" w:type="dxa"/>
            <w:vAlign w:val="bottom"/>
          </w:tcPr>
          <w:p>
            <w:pPr>
              <w:ind w:left="160"/>
              <w:spacing w:after="0"/>
              <w:rPr>
                <w:sz w:val="20"/>
                <w:szCs w:val="20"/>
                <w:color w:val="auto"/>
              </w:rPr>
            </w:pPr>
            <w:r>
              <w:rPr>
                <w:rFonts w:ascii="Arial" w:cs="Arial" w:eastAsia="Arial" w:hAnsi="Arial"/>
                <w:sz w:val="17"/>
                <w:szCs w:val="17"/>
                <w:color w:val="auto"/>
              </w:rPr>
              <w:t>Licensed, including sports rights</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4,325</w:t>
            </w: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3,175</w:t>
            </w:r>
          </w:p>
        </w:tc>
      </w:tr>
      <w:tr>
        <w:trPr>
          <w:trHeight w:val="22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311</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r>
      <w:tr>
        <w:trPr>
          <w:trHeight w:val="222"/>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programming and production costs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10,570</w:t>
            </w: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8,919</w:t>
            </w:r>
          </w:p>
        </w:tc>
      </w:tr>
    </w:tbl>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(a) Amount includes amortization of owned content of $2.0 billion and $1.6 billion for the three months ended March 31, 2022 and 2021, respectively, as well as participations and residuals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Capitalized Film and Television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40" w:type="dxa"/>
            <w:vAlign w:val="bottom"/>
          </w:tcPr>
          <w:p>
            <w:pPr>
              <w:spacing w:after="0"/>
              <w:rPr>
                <w:sz w:val="14"/>
                <w:szCs w:val="14"/>
                <w:color w:val="auto"/>
              </w:rPr>
            </w:pPr>
          </w:p>
        </w:tc>
        <w:tc>
          <w:tcPr>
            <w:tcW w:w="1240" w:type="dxa"/>
            <w:vAlign w:val="bottom"/>
          </w:tcPr>
          <w:p>
            <w:pPr>
              <w:jc w:val="right"/>
              <w:ind w:right="417"/>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5400" w:type="dxa"/>
            <w:vAlign w:val="bottom"/>
            <w:tcBorders>
              <w:bottom w:val="single" w:sz="8" w:color="auto"/>
            </w:tcBorders>
            <w:vMerge w:val="continue"/>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Owned:</w:t>
            </w:r>
          </w:p>
        </w:tc>
        <w:tc>
          <w:tcPr>
            <w:tcW w:w="3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7"/>
                <w:szCs w:val="17"/>
                <w:color w:val="auto"/>
              </w:rPr>
              <w:t>Released, less amortization</w:t>
            </w:r>
          </w:p>
        </w:tc>
        <w:tc>
          <w:tcPr>
            <w:tcW w:w="30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7"/>
              <w:spacing w:after="0"/>
              <w:rPr>
                <w:sz w:val="20"/>
                <w:szCs w:val="20"/>
                <w:color w:val="auto"/>
              </w:rPr>
            </w:pPr>
            <w:r>
              <w:rPr>
                <w:rFonts w:ascii="Arial" w:cs="Arial" w:eastAsia="Arial" w:hAnsi="Arial"/>
                <w:sz w:val="17"/>
                <w:szCs w:val="17"/>
                <w:color w:val="auto"/>
              </w:rPr>
              <w:t>3,900</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3,726</w:t>
            </w: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7"/>
                <w:szCs w:val="17"/>
                <w:color w:val="auto"/>
              </w:rPr>
              <w:t>Completed, not released</w:t>
            </w:r>
          </w:p>
        </w:tc>
        <w:tc>
          <w:tcPr>
            <w:tcW w:w="3040" w:type="dxa"/>
            <w:vAlign w:val="bottom"/>
          </w:tcPr>
          <w:p>
            <w:pPr>
              <w:spacing w:after="0"/>
              <w:rPr>
                <w:sz w:val="19"/>
                <w:szCs w:val="19"/>
                <w:color w:val="auto"/>
              </w:rPr>
            </w:pPr>
          </w:p>
        </w:tc>
        <w:tc>
          <w:tcPr>
            <w:tcW w:w="1240" w:type="dxa"/>
            <w:vAlign w:val="bottom"/>
          </w:tcPr>
          <w:p>
            <w:pPr>
              <w:jc w:val="right"/>
              <w:ind w:right="57"/>
              <w:spacing w:after="0"/>
              <w:rPr>
                <w:sz w:val="20"/>
                <w:szCs w:val="20"/>
                <w:color w:val="auto"/>
              </w:rPr>
            </w:pPr>
            <w:r>
              <w:rPr>
                <w:rFonts w:ascii="Arial" w:cs="Arial" w:eastAsia="Arial" w:hAnsi="Arial"/>
                <w:sz w:val="17"/>
                <w:szCs w:val="17"/>
                <w:color w:val="auto"/>
              </w:rPr>
              <w:t>597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 production and in development</w:t>
            </w:r>
          </w:p>
        </w:tc>
        <w:tc>
          <w:tcPr>
            <w:tcW w:w="3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2,706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40" w:type="dxa"/>
            <w:vAlign w:val="bottom"/>
          </w:tcPr>
          <w:p>
            <w:pPr>
              <w:jc w:val="right"/>
              <w:ind w:right="57"/>
              <w:spacing w:after="0"/>
              <w:rPr>
                <w:sz w:val="20"/>
                <w:szCs w:val="20"/>
                <w:color w:val="auto"/>
              </w:rPr>
            </w:pPr>
            <w:r>
              <w:rPr>
                <w:rFonts w:ascii="Arial" w:cs="Arial" w:eastAsia="Arial" w:hAnsi="Arial"/>
                <w:sz w:val="17"/>
                <w:szCs w:val="17"/>
                <w:color w:val="auto"/>
              </w:rPr>
              <w:t>7,202</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6,994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Licensed, including sports advances</w:t>
            </w:r>
          </w:p>
        </w:tc>
        <w:tc>
          <w:tcPr>
            <w:tcW w:w="3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5,158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5,811</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Film and television costs</w:t>
            </w:r>
          </w:p>
        </w:tc>
        <w:tc>
          <w:tcPr>
            <w:tcW w:w="30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12,360</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12,806</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 Long-Term Debt</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March 31, 2022, our debt had a carrying value of $94.6 billion and an estimated fair value of $99.8 billion. As of December 31, 2021, our debt had a carrying value of $94.8 billion and an estimated fair value of $109.3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Significant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October 2021, we acquired Masergy, a provider of software-defined networking and cloud platforms for global enterprises, for total cash consideration of $1.2 billion. The acquisition accelerates our growth in serving large and mid-sized companies, particularly U.S.-based organizations with multi-site global enterprises. Masergy’s results of operations are included in our consolidated results of operations since the acquisition date and are reported in our Cable Communications segment. We have recorded a preliminary estimate of Masergy’s assets and liabilities with approximately $850 million recorded to goodwill and the remainder primarily attributed to software and customer relationship intangible assets. These estimates are not yet final and are subject to change. The acquisition was not material to our consolidated results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 Investments and Variable Interest Entities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and Other Income (Loss),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left="480"/>
              <w:spacing w:after="0"/>
              <w:rPr>
                <w:sz w:val="20"/>
                <w:szCs w:val="20"/>
                <w:color w:val="auto"/>
              </w:rPr>
            </w:pPr>
            <w:r>
              <w:rPr>
                <w:rFonts w:ascii="Arial" w:cs="Arial" w:eastAsia="Arial" w:hAnsi="Arial"/>
                <w:sz w:val="14"/>
                <w:szCs w:val="14"/>
                <w:color w:val="auto"/>
                <w:w w:val="90"/>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left="480"/>
              <w:spacing w:after="0"/>
              <w:rPr>
                <w:sz w:val="20"/>
                <w:szCs w:val="20"/>
                <w:color w:val="auto"/>
              </w:rPr>
            </w:pPr>
            <w:r>
              <w:rPr>
                <w:rFonts w:ascii="Arial" w:cs="Arial" w:eastAsia="Arial" w:hAnsi="Arial"/>
                <w:sz w:val="14"/>
                <w:szCs w:val="14"/>
                <w:color w:val="auto"/>
                <w:w w:val="93"/>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2021</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Equity in net income (losses) of investees, net</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760"/>
              <w:spacing w:after="0"/>
              <w:rPr>
                <w:sz w:val="20"/>
                <w:szCs w:val="20"/>
                <w:color w:val="auto"/>
              </w:rPr>
            </w:pPr>
            <w:r>
              <w:rPr>
                <w:rFonts w:ascii="Arial" w:cs="Arial" w:eastAsia="Arial" w:hAnsi="Arial"/>
                <w:sz w:val="17"/>
                <w:szCs w:val="17"/>
                <w:color w:val="auto"/>
              </w:rPr>
              <w:t>133</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Realized and unrealized gains (losses) on equity securities, net</w:t>
            </w:r>
          </w:p>
        </w:tc>
        <w:tc>
          <w:tcPr>
            <w:tcW w:w="34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7"/>
                <w:szCs w:val="17"/>
                <w:color w:val="auto"/>
              </w:rPr>
              <w:t>117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(loss),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(62)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Investment and other income (loss), net</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188</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w:t>
            </w:r>
          </w:p>
        </w:tc>
      </w:tr>
    </w:tbl>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amount of unrealized gains (losses), net recognized in the three months ended March 31, 2022 and 2021 that related to marketable and nonmarketable equity securities still held as of the end of each reporting period was $90 million and $98 million, respectively.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560" w:type="dxa"/>
            <w:vAlign w:val="bottom"/>
          </w:tcPr>
          <w:p>
            <w:pPr>
              <w:spacing w:after="0"/>
              <w:rPr>
                <w:sz w:val="14"/>
                <w:szCs w:val="14"/>
                <w:color w:val="auto"/>
              </w:rPr>
            </w:pPr>
          </w:p>
        </w:tc>
        <w:tc>
          <w:tcPr>
            <w:tcW w:w="1240" w:type="dxa"/>
            <w:vAlign w:val="bottom"/>
          </w:tcPr>
          <w:p>
            <w:pPr>
              <w:jc w:val="right"/>
              <w:ind w:right="416"/>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5880" w:type="dxa"/>
            <w:vAlign w:val="bottom"/>
            <w:tcBorders>
              <w:bottom w:val="single" w:sz="8" w:color="auto"/>
            </w:tcBorders>
            <w:vMerge w:val="continue"/>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8"/>
        </w:trPr>
        <w:tc>
          <w:tcPr>
            <w:tcW w:w="5880" w:type="dxa"/>
            <w:vAlign w:val="bottom"/>
          </w:tcPr>
          <w:p>
            <w:pPr>
              <w:ind w:left="20"/>
              <w:spacing w:after="0"/>
              <w:rPr>
                <w:sz w:val="20"/>
                <w:szCs w:val="20"/>
                <w:color w:val="auto"/>
              </w:rPr>
            </w:pPr>
            <w:r>
              <w:rPr>
                <w:rFonts w:ascii="Arial" w:cs="Arial" w:eastAsia="Arial" w:hAnsi="Arial"/>
                <w:sz w:val="17"/>
                <w:szCs w:val="17"/>
                <w:color w:val="auto"/>
              </w:rPr>
              <w:t>Equity method</w:t>
            </w:r>
          </w:p>
        </w:tc>
        <w:tc>
          <w:tcPr>
            <w:tcW w:w="2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6"/>
              <w:spacing w:after="0"/>
              <w:rPr>
                <w:sz w:val="20"/>
                <w:szCs w:val="20"/>
                <w:color w:val="auto"/>
              </w:rPr>
            </w:pPr>
            <w:r>
              <w:rPr>
                <w:rFonts w:ascii="Arial" w:cs="Arial" w:eastAsia="Arial" w:hAnsi="Arial"/>
                <w:sz w:val="17"/>
                <w:szCs w:val="17"/>
                <w:color w:val="auto"/>
              </w:rPr>
              <w:t>5,852</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6,111</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7"/>
                <w:szCs w:val="17"/>
                <w:color w:val="auto"/>
              </w:rPr>
              <w:t>Marketable equity securities</w:t>
            </w:r>
          </w:p>
        </w:tc>
        <w:tc>
          <w:tcPr>
            <w:tcW w:w="256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7"/>
                <w:szCs w:val="17"/>
                <w:color w:val="auto"/>
              </w:rPr>
              <w:t>323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7"/>
                <w:szCs w:val="17"/>
                <w:color w:val="auto"/>
              </w:rPr>
              <w:t>Nonmarketable equity securities</w:t>
            </w:r>
          </w:p>
        </w:tc>
        <w:tc>
          <w:tcPr>
            <w:tcW w:w="256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7"/>
                <w:szCs w:val="17"/>
                <w:color w:val="auto"/>
              </w:rPr>
              <w:t>1,897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1,735</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investments</w:t>
            </w:r>
          </w:p>
        </w:tc>
        <w:tc>
          <w:tcPr>
            <w:tcW w:w="2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1,166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256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Arial" w:cs="Arial" w:eastAsia="Arial" w:hAnsi="Arial"/>
                <w:sz w:val="17"/>
                <w:szCs w:val="17"/>
                <w:color w:val="auto"/>
              </w:rPr>
              <w:t>9,238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9,055</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7"/>
                <w:szCs w:val="17"/>
                <w:color w:val="auto"/>
              </w:rPr>
              <w:t>Less: Current investments</w:t>
            </w:r>
          </w:p>
        </w:tc>
        <w:tc>
          <w:tcPr>
            <w:tcW w:w="256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7"/>
                <w:szCs w:val="17"/>
                <w:color w:val="auto"/>
              </w:rPr>
              <w:t>306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Investment securing collateralized obligation</w:t>
            </w:r>
          </w:p>
        </w:tc>
        <w:tc>
          <w:tcPr>
            <w:tcW w:w="2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646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22"/>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Noncurrent investments</w:t>
            </w:r>
          </w:p>
        </w:tc>
        <w:tc>
          <w:tcPr>
            <w:tcW w:w="25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8,287</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8,082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amount of cash distributions received from equity method investments presented within operating activities in the condensed consolidated statement of cash flows in the three months ended March 31, 2022 and 2021 was $32 million and $115 million,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Atairos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months ended March 31, 2022 and 2021, we made cash capital contributions to Atairos totaling $13 million and $12 million, respectively. As of March 31, 2022 and December 31, 2021, our investment in Atairos, inclusive of certain distributions retained by Atairos on our behalf and classified as advances within other investments, was $4.8 billion and $4.7 billion, respectively. As of March 31, 2022, our remaining unfunded capital commitment was $1.5 billion.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Hulu and Collateralized Obligation</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2019, we borrowed $5.2 billion under a term loan facility due March 2024 which is fully collateralized by the minimum guaranteed proceeds of the put/call option related to our investment in Hulu. As of March 31, 2022 and December 31, 2021, the carrying value and estimated fair value of our collateralized obligation were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Beijing Resort</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own a 30% interest in a Universal theme park and resort in Beijing, China (“Universal Beijing Resort”), which opened in September 2021. Universal Beijing Resort is a consolidated VIE with the remaining interest owned by a consortium of Chinese state-owned companies. The construction was funded through a combination of debt financing and equity contributions from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4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partners in accordance with their equity interests. As of March 31, 2022, Universal Beijing Resort had $3.7 billion of debt outstanding, including $3.3 billion principal amount of a term loan outstanding under the debt financing agreement.</w:t>
      </w:r>
    </w:p>
    <w:p>
      <w:pPr>
        <w:spacing w:after="0" w:line="5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As of March 31, 2022, our condensed consolidated balance sheet included assets and liabilities of Universal Beijing Resort totaling $9.6 billion and $8.1 billion, respectively. The assets and liabilities of Universal Beijing Resort primarily consist of property and equipment, operating lease assets and liabilities, and debt.</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 Equity and Share-Based Compensation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Weighted-Average Common Shares Outstanding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78"/>
        </w:trPr>
        <w:tc>
          <w:tcPr>
            <w:tcW w:w="8120" w:type="dxa"/>
            <w:vAlign w:val="bottom"/>
          </w:tcPr>
          <w:p>
            <w:pPr>
              <w:spacing w:after="0"/>
              <w:rPr>
                <w:sz w:val="15"/>
                <w:szCs w:val="15"/>
                <w:color w:val="auto"/>
              </w:rPr>
            </w:pPr>
          </w:p>
        </w:tc>
        <w:tc>
          <w:tcPr>
            <w:tcW w:w="21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jc w:val="right"/>
              <w:ind w:right="1241"/>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w w:val="96"/>
              </w:rPr>
              <w:t>2021</w:t>
            </w:r>
          </w:p>
        </w:tc>
      </w:tr>
      <w:tr>
        <w:trPr>
          <w:trHeight w:val="218"/>
        </w:trPr>
        <w:tc>
          <w:tcPr>
            <w:tcW w:w="8120" w:type="dxa"/>
            <w:vAlign w:val="bottom"/>
          </w:tcPr>
          <w:p>
            <w:pPr>
              <w:ind w:left="20"/>
              <w:spacing w:after="0"/>
              <w:rPr>
                <w:sz w:val="20"/>
                <w:szCs w:val="20"/>
                <w:color w:val="auto"/>
              </w:rPr>
            </w:pPr>
            <w:r>
              <w:rPr>
                <w:rFonts w:ascii="Arial" w:cs="Arial" w:eastAsia="Arial" w:hAnsi="Arial"/>
                <w:sz w:val="17"/>
                <w:szCs w:val="17"/>
                <w:color w:val="auto"/>
              </w:rPr>
              <w:t>Weighted-average number of common shares outstanding – basic</w:t>
            </w:r>
          </w:p>
        </w:tc>
        <w:tc>
          <w:tcPr>
            <w:tcW w:w="2180" w:type="dxa"/>
            <w:vAlign w:val="bottom"/>
          </w:tcPr>
          <w:p>
            <w:pPr>
              <w:jc w:val="right"/>
              <w:ind w:right="741"/>
              <w:spacing w:after="0"/>
              <w:rPr>
                <w:sz w:val="20"/>
                <w:szCs w:val="20"/>
                <w:color w:val="auto"/>
              </w:rPr>
            </w:pPr>
            <w:r>
              <w:rPr>
                <w:rFonts w:ascii="Arial" w:cs="Arial" w:eastAsia="Arial" w:hAnsi="Arial"/>
                <w:sz w:val="17"/>
                <w:szCs w:val="17"/>
                <w:color w:val="auto"/>
              </w:rPr>
              <w:t>4,512</w:t>
            </w:r>
          </w:p>
        </w:tc>
        <w:tc>
          <w:tcPr>
            <w:tcW w:w="900" w:type="dxa"/>
            <w:vAlign w:val="bottom"/>
          </w:tcPr>
          <w:p>
            <w:pPr>
              <w:jc w:val="right"/>
              <w:spacing w:after="0"/>
              <w:rPr>
                <w:sz w:val="20"/>
                <w:szCs w:val="20"/>
                <w:color w:val="auto"/>
              </w:rPr>
            </w:pPr>
            <w:r>
              <w:rPr>
                <w:rFonts w:ascii="Arial" w:cs="Arial" w:eastAsia="Arial" w:hAnsi="Arial"/>
                <w:sz w:val="17"/>
                <w:szCs w:val="17"/>
                <w:color w:val="auto"/>
              </w:rPr>
              <w:t>4,591</w:t>
            </w: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180" w:type="dxa"/>
            <w:vAlign w:val="bottom"/>
          </w:tcPr>
          <w:p>
            <w:pPr>
              <w:jc w:val="right"/>
              <w:ind w:right="741"/>
              <w:spacing w:after="0"/>
              <w:rPr>
                <w:sz w:val="20"/>
                <w:szCs w:val="20"/>
                <w:color w:val="auto"/>
              </w:rPr>
            </w:pPr>
            <w:r>
              <w:rPr>
                <w:rFonts w:ascii="Arial" w:cs="Arial" w:eastAsia="Arial" w:hAnsi="Arial"/>
                <w:sz w:val="17"/>
                <w:szCs w:val="17"/>
                <w:color w:val="auto"/>
              </w:rPr>
              <w:t>46</w:t>
            </w: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2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number of common shares outstanding – diluted</w:t>
            </w:r>
          </w:p>
        </w:tc>
        <w:tc>
          <w:tcPr>
            <w:tcW w:w="2180" w:type="dxa"/>
            <w:vAlign w:val="bottom"/>
            <w:tcBorders>
              <w:bottom w:val="single" w:sz="8" w:color="auto"/>
            </w:tcBorders>
          </w:tcPr>
          <w:p>
            <w:pPr>
              <w:jc w:val="right"/>
              <w:ind w:right="741"/>
              <w:spacing w:after="0"/>
              <w:rPr>
                <w:sz w:val="20"/>
                <w:szCs w:val="20"/>
                <w:color w:val="auto"/>
              </w:rPr>
            </w:pPr>
            <w:r>
              <w:rPr>
                <w:rFonts w:ascii="Arial" w:cs="Arial" w:eastAsia="Arial" w:hAnsi="Arial"/>
                <w:sz w:val="17"/>
                <w:szCs w:val="17"/>
                <w:color w:val="auto"/>
              </w:rPr>
              <w:t>4,558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4,665</w:t>
            </w:r>
          </w:p>
        </w:tc>
      </w:tr>
    </w:tbl>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The amount of potential common shares related to our share-based compensation plans that were excluded from diluted EPS because their effect would have been antidilutive was not material in any of the periods presented.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500" w:type="dxa"/>
            <w:vAlign w:val="bottom"/>
          </w:tcPr>
          <w:p>
            <w:pPr>
              <w:jc w:val="right"/>
              <w:spacing w:after="0"/>
              <w:rPr>
                <w:sz w:val="20"/>
                <w:szCs w:val="20"/>
                <w:color w:val="auto"/>
              </w:rPr>
            </w:pPr>
            <w:r>
              <w:rPr>
                <w:rFonts w:ascii="Arial" w:cs="Arial" w:eastAsia="Arial" w:hAnsi="Arial"/>
                <w:sz w:val="14"/>
                <w:szCs w:val="14"/>
                <w:color w:val="auto"/>
              </w:rPr>
              <w:t>March 31,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6720" w:type="dxa"/>
            <w:vAlign w:val="bottom"/>
            <w:tcBorders>
              <w:bottom w:val="single" w:sz="8" w:color="auto"/>
            </w:tcBorders>
            <w:vMerge w:val="continue"/>
          </w:tcPr>
          <w:p>
            <w:pPr>
              <w:spacing w:after="0"/>
              <w:rPr>
                <w:sz w:val="15"/>
                <w:szCs w:val="15"/>
                <w:color w:val="auto"/>
              </w:rPr>
            </w:pPr>
          </w:p>
        </w:tc>
        <w:tc>
          <w:tcPr>
            <w:tcW w:w="2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Cumulative translation adjustments</w:t>
            </w:r>
          </w:p>
        </w:tc>
        <w:tc>
          <w:tcPr>
            <w:tcW w:w="2500" w:type="dxa"/>
            <w:vAlign w:val="bottom"/>
          </w:tcPr>
          <w:p>
            <w:pPr>
              <w:jc w:val="right"/>
              <w:ind w:right="861"/>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53"/>
              <w:spacing w:after="0"/>
              <w:rPr>
                <w:sz w:val="20"/>
                <w:szCs w:val="20"/>
                <w:color w:val="auto"/>
              </w:rPr>
            </w:pPr>
            <w:r>
              <w:rPr>
                <w:rFonts w:ascii="Arial" w:cs="Arial" w:eastAsia="Arial" w:hAnsi="Arial"/>
                <w:sz w:val="17"/>
                <w:szCs w:val="17"/>
                <w:color w:val="auto"/>
              </w:rPr>
              <w:t>174</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1,119</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Deferred gains (losses) on cash flow hedges</w:t>
            </w:r>
          </w:p>
        </w:tc>
        <w:tc>
          <w:tcPr>
            <w:tcW w:w="2500" w:type="dxa"/>
            <w:vAlign w:val="bottom"/>
          </w:tcPr>
          <w:p>
            <w:pPr>
              <w:spacing w:after="0"/>
              <w:rPr>
                <w:sz w:val="19"/>
                <w:szCs w:val="19"/>
                <w:color w:val="auto"/>
              </w:rPr>
            </w:pPr>
          </w:p>
        </w:tc>
        <w:tc>
          <w:tcPr>
            <w:tcW w:w="460" w:type="dxa"/>
            <w:vAlign w:val="bottom"/>
          </w:tcPr>
          <w:p>
            <w:pPr>
              <w:jc w:val="right"/>
              <w:ind w:right="53"/>
              <w:spacing w:after="0"/>
              <w:rPr>
                <w:sz w:val="20"/>
                <w:szCs w:val="20"/>
                <w:color w:val="auto"/>
              </w:rPr>
            </w:pPr>
            <w:r>
              <w:rPr>
                <w:rFonts w:ascii="Arial" w:cs="Arial" w:eastAsia="Arial" w:hAnsi="Arial"/>
                <w:sz w:val="17"/>
                <w:szCs w:val="17"/>
                <w:color w:val="auto"/>
              </w:rPr>
              <w:t>252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Unrecognized gains (losses) on employee benefit obligations and other</w:t>
            </w:r>
          </w:p>
        </w:tc>
        <w:tc>
          <w:tcPr>
            <w:tcW w:w="2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248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Accumulated other comprehensive income (loss), net of deferred taxes</w:t>
            </w:r>
          </w:p>
        </w:tc>
        <w:tc>
          <w:tcPr>
            <w:tcW w:w="2500" w:type="dxa"/>
            <w:vAlign w:val="bottom"/>
            <w:tcBorders>
              <w:bottom w:val="single" w:sz="8" w:color="auto"/>
            </w:tcBorders>
          </w:tcPr>
          <w:p>
            <w:pPr>
              <w:jc w:val="right"/>
              <w:ind w:right="861"/>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674</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2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March 2022, we granted 16 million RSUs and 51 million stock options related to our annual management awards. The weighted-average fair values associated with these grants were $46.46 per RSU and $8.81 per stock option.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Recognized Share-Based Compensation Expense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2022</w:t>
            </w: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2021</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Restricted share units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60"/>
              <w:spacing w:after="0"/>
              <w:rPr>
                <w:sz w:val="20"/>
                <w:szCs w:val="20"/>
                <w:color w:val="auto"/>
              </w:rPr>
            </w:pPr>
            <w:r>
              <w:rPr>
                <w:rFonts w:ascii="Arial" w:cs="Arial" w:eastAsia="Arial" w:hAnsi="Arial"/>
                <w:sz w:val="17"/>
                <w:szCs w:val="17"/>
                <w:color w:val="auto"/>
              </w:rPr>
              <w:t>197</w:t>
            </w:r>
          </w:p>
        </w:tc>
        <w:tc>
          <w:tcPr>
            <w:tcW w:w="66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206</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Stock options</w:t>
            </w:r>
          </w:p>
        </w:tc>
        <w:tc>
          <w:tcPr>
            <w:tcW w:w="34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7"/>
                <w:szCs w:val="17"/>
                <w:color w:val="auto"/>
              </w:rPr>
              <w:t>91</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Employee stock purchase plans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12</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b w:val="1"/>
                <w:bCs w:val="1"/>
                <w:color w:val="auto"/>
              </w:rPr>
              <w:t>300</w:t>
            </w:r>
          </w:p>
        </w:tc>
        <w:tc>
          <w:tcPr>
            <w:tcW w:w="6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w:t>
            </w:r>
          </w:p>
        </w:tc>
      </w:tr>
    </w:tbl>
    <w:p>
      <w:pPr>
        <w:spacing w:after="0" w:line="14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As of March 31, 2022, we had unrecognized pretax compensation expense of $1.7 billion and $868 million related to nonvested RSUs and nonvested stock options,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Supplemental Financial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Cash Payments for Interest and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w w:val="91"/>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w w:val="96"/>
              </w:rPr>
              <w:t>2021</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Interest</w:t>
            </w:r>
          </w:p>
        </w:tc>
        <w:tc>
          <w:tcPr>
            <w:tcW w:w="900" w:type="dxa"/>
            <w:vAlign w:val="bottom"/>
          </w:tcPr>
          <w:p>
            <w:pPr>
              <w:jc w:val="right"/>
              <w:ind w:right="719"/>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61"/>
              <w:spacing w:after="0"/>
              <w:rPr>
                <w:sz w:val="20"/>
                <w:szCs w:val="20"/>
                <w:color w:val="auto"/>
              </w:rPr>
            </w:pPr>
            <w:r>
              <w:rPr>
                <w:rFonts w:ascii="Arial" w:cs="Arial" w:eastAsia="Arial" w:hAnsi="Arial"/>
                <w:sz w:val="17"/>
                <w:szCs w:val="17"/>
                <w:color w:val="auto"/>
              </w:rPr>
              <w:t>747</w:t>
            </w:r>
          </w:p>
        </w:tc>
        <w:tc>
          <w:tcPr>
            <w:tcW w:w="66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911</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taxes</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90</w:t>
            </w:r>
          </w:p>
        </w:tc>
        <w:tc>
          <w:tcPr>
            <w:tcW w:w="6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2022:</w:t>
      </w:r>
    </w:p>
    <w:p>
      <w:pPr>
        <w:spacing w:after="0" w:line="80" w:lineRule="exact"/>
        <w:rPr>
          <w:sz w:val="20"/>
          <w:szCs w:val="20"/>
          <w:color w:val="auto"/>
        </w:rPr>
      </w:pPr>
    </w:p>
    <w:p>
      <w:pPr>
        <w:ind w:left="620" w:hanging="30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acquired $1.9 billion of property and equipment and intangible assets that were accrued but unpaid</w:t>
      </w:r>
    </w:p>
    <w:p>
      <w:pPr>
        <w:spacing w:after="0" w:line="79" w:lineRule="exact"/>
        <w:rPr>
          <w:rFonts w:ascii="Arial" w:cs="Arial" w:eastAsia="Arial" w:hAnsi="Arial"/>
          <w:sz w:val="17"/>
          <w:szCs w:val="17"/>
          <w:color w:val="auto"/>
        </w:rPr>
      </w:pPr>
    </w:p>
    <w:p>
      <w:pPr>
        <w:ind w:right="2660" w:firstLine="319"/>
        <w:spacing w:after="0" w:line="337" w:lineRule="auto"/>
        <w:tabs>
          <w:tab w:leader="none" w:pos="624"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a liability of $1.2 billion for a quarterly cash dividend of $0.27 per common share paid in April 2022 During the three months ended March 31, 2021:</w:t>
      </w:r>
    </w:p>
    <w:p>
      <w:pPr>
        <w:spacing w:after="0" w:line="1" w:lineRule="exact"/>
        <w:rPr>
          <w:rFonts w:ascii="Arial" w:cs="Arial" w:eastAsia="Arial" w:hAnsi="Arial"/>
          <w:sz w:val="17"/>
          <w:szCs w:val="17"/>
          <w:color w:val="auto"/>
        </w:rPr>
      </w:pPr>
    </w:p>
    <w:p>
      <w:pPr>
        <w:ind w:left="620" w:hanging="30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recognized operating lease assets and liabilities of $2.8 billion related to Universal Beijing Resort</w:t>
      </w:r>
    </w:p>
    <w:p>
      <w:pPr>
        <w:spacing w:after="0" w:line="79" w:lineRule="exact"/>
        <w:rPr>
          <w:rFonts w:ascii="Arial" w:cs="Arial" w:eastAsia="Arial" w:hAnsi="Arial"/>
          <w:sz w:val="17"/>
          <w:szCs w:val="17"/>
          <w:color w:val="auto"/>
        </w:rPr>
      </w:pPr>
    </w:p>
    <w:p>
      <w:pPr>
        <w:ind w:left="620" w:hanging="30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acquired $1.6 billion of property and equipment and intangible assets that were accrued but unpaid</w:t>
      </w:r>
    </w:p>
    <w:p>
      <w:pPr>
        <w:spacing w:after="0" w:line="79" w:lineRule="exact"/>
        <w:rPr>
          <w:rFonts w:ascii="Arial" w:cs="Arial" w:eastAsia="Arial" w:hAnsi="Arial"/>
          <w:sz w:val="17"/>
          <w:szCs w:val="17"/>
          <w:color w:val="auto"/>
        </w:rPr>
      </w:pPr>
    </w:p>
    <w:p>
      <w:pPr>
        <w:ind w:left="620" w:hanging="30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a liability of $1.2 billion for a quarterly cash dividend of $0.25 per common share paid in April 2021</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20" w:type="dxa"/>
            <w:vAlign w:val="bottom"/>
          </w:tcPr>
          <w:p>
            <w:pPr>
              <w:spacing w:after="0"/>
              <w:rPr>
                <w:sz w:val="14"/>
                <w:szCs w:val="14"/>
                <w:color w:val="auto"/>
              </w:rPr>
            </w:pPr>
          </w:p>
        </w:tc>
        <w:tc>
          <w:tcPr>
            <w:tcW w:w="1240" w:type="dxa"/>
            <w:vAlign w:val="bottom"/>
          </w:tcPr>
          <w:p>
            <w:pPr>
              <w:jc w:val="right"/>
              <w:ind w:right="419"/>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622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8"/>
        </w:trPr>
        <w:tc>
          <w:tcPr>
            <w:tcW w:w="62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2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9"/>
              <w:spacing w:after="0"/>
              <w:rPr>
                <w:sz w:val="20"/>
                <w:szCs w:val="20"/>
                <w:color w:val="auto"/>
              </w:rPr>
            </w:pPr>
            <w:r>
              <w:rPr>
                <w:rFonts w:ascii="Arial" w:cs="Arial" w:eastAsia="Arial" w:hAnsi="Arial"/>
                <w:sz w:val="17"/>
                <w:szCs w:val="17"/>
                <w:color w:val="auto"/>
              </w:rPr>
              <w:t>8,880</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8,711</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7"/>
                <w:szCs w:val="17"/>
                <w:color w:val="auto"/>
              </w:rPr>
              <w:t>Restricted cash included in other current assets</w:t>
            </w:r>
          </w:p>
        </w:tc>
        <w:tc>
          <w:tcPr>
            <w:tcW w:w="2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7"/>
                <w:szCs w:val="17"/>
                <w:color w:val="auto"/>
              </w:rPr>
              <w:t>21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included in other noncurrent assets, net</w:t>
            </w:r>
          </w:p>
        </w:tc>
        <w:tc>
          <w:tcPr>
            <w:tcW w:w="2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22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8,914</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8,778</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10: Commitments and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Subsidiary Preferred Stock</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the first quarter of 2021, we redeemed all of the NBCUniversal Enterprise, Inc. preferred stock and made cash payments equal to the aggregate liquidation preference of $725 million. The redeemable subsidiary preferred stock was presented in redeemable noncontrolling interests.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80"/>
        <w:spacing w:after="0" w:line="276" w:lineRule="auto"/>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discussion is provided as a supplement to, and should be read in conjunction with, the condensed consolidated financial statements and related notes included in this Quarterly Report on Form 10-Q and our 2021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rPr>
          <w:sz w:val="20"/>
          <w:szCs w:val="20"/>
          <w:color w:val="auto"/>
        </w:rPr>
      </w:pPr>
      <w:r>
        <w:rPr>
          <w:rFonts w:ascii="Arial" w:cs="Arial" w:eastAsia="Arial" w:hAnsi="Arial"/>
          <w:sz w:val="17"/>
          <w:szCs w:val="17"/>
          <w:b w:val="1"/>
          <w:bCs w:val="1"/>
          <w:color w:val="auto"/>
        </w:rPr>
        <w:t>Impacts of COVID-19</w:t>
      </w:r>
    </w:p>
    <w:p>
      <w:pPr>
        <w:spacing w:after="0" w:line="12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COVID-19 and measures taken to prevent its spread across the globe have impacted our businesses in a number of ways, affecting the comparability of periods included in this report. The most significant continuing impacts to our businesses from COVID-19 have resulted from temporary restrictions at our international theme parks. We expect the effects of the COVID-19 pandemic will continue to adversely impact our results of operations over the near to medium term, although the extent of such impact will depend on restrictive governmental measures, U.S. and global economic conditions, and consumer behavior.</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Operating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854"/>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180" w:type="dxa"/>
            <w:vAlign w:val="bottom"/>
          </w:tcPr>
          <w:p>
            <w:pPr>
              <w:spacing w:after="0"/>
              <w:rPr>
                <w:sz w:val="14"/>
                <w:szCs w:val="14"/>
                <w:color w:val="auto"/>
              </w:rPr>
            </w:pP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180" w:type="dxa"/>
            <w:vAlign w:val="bottom"/>
            <w:tcBorders>
              <w:bottom w:val="single" w:sz="8" w:color="auto"/>
            </w:tcBorders>
          </w:tcPr>
          <w:p>
            <w:pPr>
              <w:spacing w:after="0"/>
              <w:rPr>
                <w:sz w:val="15"/>
                <w:szCs w:val="15"/>
                <w:color w:val="auto"/>
              </w:rPr>
            </w:pP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5"/>
                <w:szCs w:val="15"/>
                <w:color w:val="auto"/>
              </w:rPr>
            </w:pP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31,010</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27,205</w:t>
            </w:r>
          </w:p>
        </w:tc>
        <w:tc>
          <w:tcPr>
            <w:tcW w:w="1080" w:type="dxa"/>
            <w:vAlign w:val="bottom"/>
          </w:tcPr>
          <w:p>
            <w:pPr>
              <w:jc w:val="right"/>
              <w:spacing w:after="0"/>
              <w:rPr>
                <w:sz w:val="20"/>
                <w:szCs w:val="20"/>
                <w:color w:val="auto"/>
              </w:rPr>
            </w:pPr>
            <w:r>
              <w:rPr>
                <w:rFonts w:ascii="Arial" w:cs="Arial" w:eastAsia="Arial" w:hAnsi="Arial"/>
                <w:sz w:val="17"/>
                <w:szCs w:val="17"/>
                <w:color w:val="auto"/>
              </w:rPr>
              <w:t>14.0</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22"/>
        </w:trPr>
        <w:tc>
          <w:tcPr>
            <w:tcW w:w="716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3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10,570</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8,919</w:t>
            </w:r>
          </w:p>
        </w:tc>
        <w:tc>
          <w:tcPr>
            <w:tcW w:w="1080" w:type="dxa"/>
            <w:vAlign w:val="bottom"/>
          </w:tcPr>
          <w:p>
            <w:pPr>
              <w:jc w:val="right"/>
              <w:spacing w:after="0"/>
              <w:rPr>
                <w:sz w:val="20"/>
                <w:szCs w:val="20"/>
                <w:color w:val="auto"/>
              </w:rPr>
            </w:pPr>
            <w:r>
              <w:rPr>
                <w:rFonts w:ascii="Arial" w:cs="Arial" w:eastAsia="Arial" w:hAnsi="Arial"/>
                <w:sz w:val="17"/>
                <w:szCs w:val="17"/>
                <w:color w:val="auto"/>
              </w:rPr>
              <w:t>18.5</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3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9,260</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8,269</w:t>
            </w:r>
          </w:p>
        </w:tc>
        <w:tc>
          <w:tcPr>
            <w:tcW w:w="1080" w:type="dxa"/>
            <w:vAlign w:val="bottom"/>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Advertising, marketing and promotion</w:t>
            </w:r>
          </w:p>
        </w:tc>
        <w:tc>
          <w:tcPr>
            <w:tcW w:w="3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2,062</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1,616</w:t>
            </w:r>
          </w:p>
        </w:tc>
        <w:tc>
          <w:tcPr>
            <w:tcW w:w="1080" w:type="dxa"/>
            <w:vAlign w:val="bottom"/>
          </w:tcPr>
          <w:p>
            <w:pPr>
              <w:jc w:val="right"/>
              <w:spacing w:after="0"/>
              <w:rPr>
                <w:sz w:val="20"/>
                <w:szCs w:val="20"/>
                <w:color w:val="auto"/>
              </w:rPr>
            </w:pPr>
            <w:r>
              <w:rPr>
                <w:rFonts w:ascii="Arial" w:cs="Arial" w:eastAsia="Arial" w:hAnsi="Arial"/>
                <w:sz w:val="17"/>
                <w:szCs w:val="17"/>
                <w:color w:val="auto"/>
              </w:rPr>
              <w:t>27.6</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3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2,213</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2,117</w:t>
            </w:r>
          </w:p>
        </w:tc>
        <w:tc>
          <w:tcPr>
            <w:tcW w:w="1080" w:type="dxa"/>
            <w:vAlign w:val="bottom"/>
          </w:tcPr>
          <w:p>
            <w:pPr>
              <w:jc w:val="right"/>
              <w:spacing w:after="0"/>
              <w:rPr>
                <w:sz w:val="20"/>
                <w:szCs w:val="20"/>
                <w:color w:val="auto"/>
              </w:rPr>
            </w:pPr>
            <w:r>
              <w:rPr>
                <w:rFonts w:ascii="Arial" w:cs="Arial" w:eastAsia="Arial" w:hAnsi="Arial"/>
                <w:sz w:val="17"/>
                <w:szCs w:val="17"/>
                <w:color w:val="auto"/>
              </w:rPr>
              <w:t>4.5</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Amortization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1,335</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1,245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80" w:type="dxa"/>
            <w:vAlign w:val="bottom"/>
            <w:tcBorders>
              <w:bottom w:val="single" w:sz="8" w:color="auto"/>
            </w:tcBorders>
          </w:tcPr>
          <w:p>
            <w:pPr>
              <w:spacing w:after="0"/>
              <w:rPr>
                <w:sz w:val="19"/>
                <w:szCs w:val="19"/>
                <w:color w:val="auto"/>
              </w:rPr>
            </w:pPr>
          </w:p>
        </w:tc>
      </w:tr>
      <w:tr>
        <w:trPr>
          <w:trHeight w:val="21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25,440</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22,166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80" w:type="dxa"/>
            <w:vAlign w:val="bottom"/>
            <w:tcBorders>
              <w:bottom w:val="single" w:sz="8" w:color="auto"/>
            </w:tcBorders>
          </w:tcPr>
          <w:p>
            <w:pPr>
              <w:spacing w:after="0"/>
              <w:rPr>
                <w:sz w:val="18"/>
                <w:szCs w:val="18"/>
                <w:color w:val="auto"/>
              </w:rPr>
            </w:pPr>
          </w:p>
        </w:tc>
      </w:tr>
      <w:tr>
        <w:trPr>
          <w:trHeight w:val="217"/>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3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5,569</w:t>
            </w:r>
          </w:p>
        </w:tc>
        <w:tc>
          <w:tcPr>
            <w:tcW w:w="42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5,039</w:t>
            </w:r>
          </w:p>
        </w:tc>
        <w:tc>
          <w:tcPr>
            <w:tcW w:w="1080" w:type="dxa"/>
            <w:vAlign w:val="bottom"/>
          </w:tcPr>
          <w:p>
            <w:pPr>
              <w:jc w:val="right"/>
              <w:spacing w:after="0"/>
              <w:rPr>
                <w:sz w:val="20"/>
                <w:szCs w:val="20"/>
                <w:color w:val="auto"/>
              </w:rPr>
            </w:pPr>
            <w:r>
              <w:rPr>
                <w:rFonts w:ascii="Arial" w:cs="Arial" w:eastAsia="Arial" w:hAnsi="Arial"/>
                <w:sz w:val="17"/>
                <w:szCs w:val="17"/>
                <w:color w:val="auto"/>
              </w:rPr>
              <w:t>10.5</w:t>
            </w:r>
          </w:p>
        </w:tc>
        <w:tc>
          <w:tcPr>
            <w:tcW w:w="180" w:type="dxa"/>
            <w:vAlign w:val="bottom"/>
          </w:tcPr>
          <w:p>
            <w:pPr>
              <w:spacing w:after="0"/>
              <w:rPr>
                <w:sz w:val="18"/>
                <w:szCs w:val="18"/>
                <w:color w:val="auto"/>
              </w:rPr>
            </w:pPr>
          </w:p>
        </w:tc>
      </w:tr>
      <w:tr>
        <w:trPr>
          <w:trHeight w:val="222"/>
        </w:trPr>
        <w:tc>
          <w:tcPr>
            <w:tcW w:w="71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(993)</w:t>
            </w:r>
          </w:p>
        </w:tc>
        <w:tc>
          <w:tcPr>
            <w:tcW w:w="42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(1,018)</w:t>
            </w:r>
          </w:p>
        </w:tc>
        <w:tc>
          <w:tcPr>
            <w:tcW w:w="1080" w:type="dxa"/>
            <w:vAlign w:val="bottom"/>
          </w:tcPr>
          <w:p>
            <w:pPr>
              <w:jc w:val="right"/>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 and other income (loss),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188</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390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w:t>
            </w:r>
          </w:p>
        </w:tc>
        <w:tc>
          <w:tcPr>
            <w:tcW w:w="180" w:type="dxa"/>
            <w:vAlign w:val="bottom"/>
            <w:tcBorders>
              <w:bottom w:val="single" w:sz="8" w:color="auto"/>
            </w:tcBorders>
          </w:tcPr>
          <w:p>
            <w:pPr>
              <w:spacing w:after="0"/>
              <w:rPr>
                <w:sz w:val="19"/>
                <w:szCs w:val="19"/>
                <w:color w:val="auto"/>
              </w:rPr>
            </w:pPr>
          </w:p>
        </w:tc>
      </w:tr>
      <w:tr>
        <w:trPr>
          <w:trHeight w:val="216"/>
        </w:trPr>
        <w:tc>
          <w:tcPr>
            <w:tcW w:w="716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4,764</w:t>
            </w:r>
          </w:p>
        </w:tc>
        <w:tc>
          <w:tcPr>
            <w:tcW w:w="42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4,411</w:t>
            </w:r>
          </w:p>
        </w:tc>
        <w:tc>
          <w:tcPr>
            <w:tcW w:w="1080" w:type="dxa"/>
            <w:vAlign w:val="bottom"/>
          </w:tcPr>
          <w:p>
            <w:pPr>
              <w:jc w:val="right"/>
              <w:spacing w:after="0"/>
              <w:rPr>
                <w:sz w:val="20"/>
                <w:szCs w:val="20"/>
                <w:color w:val="auto"/>
              </w:rPr>
            </w:pPr>
            <w:r>
              <w:rPr>
                <w:rFonts w:ascii="Arial" w:cs="Arial" w:eastAsia="Arial" w:hAnsi="Arial"/>
                <w:sz w:val="17"/>
                <w:szCs w:val="17"/>
                <w:color w:val="auto"/>
              </w:rPr>
              <w:t>8.0</w:t>
            </w:r>
          </w:p>
        </w:tc>
        <w:tc>
          <w:tcPr>
            <w:tcW w:w="180" w:type="dxa"/>
            <w:vAlign w:val="bottom"/>
          </w:tcPr>
          <w:p>
            <w:pPr>
              <w:spacing w:after="0"/>
              <w:rPr>
                <w:sz w:val="18"/>
                <w:szCs w:val="18"/>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(1,288)</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(1,119)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80" w:type="dxa"/>
            <w:vAlign w:val="bottom"/>
            <w:tcBorders>
              <w:bottom w:val="single" w:sz="8" w:color="auto"/>
            </w:tcBorders>
          </w:tcPr>
          <w:p>
            <w:pPr>
              <w:spacing w:after="0"/>
              <w:rPr>
                <w:sz w:val="19"/>
                <w:szCs w:val="19"/>
                <w:color w:val="auto"/>
              </w:rPr>
            </w:pPr>
          </w:p>
        </w:tc>
      </w:tr>
      <w:tr>
        <w:trPr>
          <w:trHeight w:val="216"/>
        </w:trPr>
        <w:tc>
          <w:tcPr>
            <w:tcW w:w="71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3,476</w:t>
            </w:r>
          </w:p>
        </w:tc>
        <w:tc>
          <w:tcPr>
            <w:tcW w:w="42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3,292</w:t>
            </w:r>
          </w:p>
        </w:tc>
        <w:tc>
          <w:tcPr>
            <w:tcW w:w="108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8"/>
                <w:szCs w:val="18"/>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(37)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w:t>
            </w:r>
          </w:p>
        </w:tc>
        <w:tc>
          <w:tcPr>
            <w:tcW w:w="180" w:type="dxa"/>
            <w:vAlign w:val="bottom"/>
            <w:tcBorders>
              <w:bottom w:val="single" w:sz="8" w:color="auto"/>
            </w:tcBorders>
          </w:tcPr>
          <w:p>
            <w:pPr>
              <w:spacing w:after="0"/>
              <w:rPr>
                <w:sz w:val="19"/>
                <w:szCs w:val="19"/>
                <w:color w:val="auto"/>
              </w:rPr>
            </w:pP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attributable to Comcast Corporation</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3,549</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3,329</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6.6 %</w:t>
            </w:r>
          </w:p>
        </w:tc>
      </w:tr>
      <w:tr>
        <w:trPr>
          <w:trHeight w:val="217"/>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Basic earnings per common share attributable to Comcast Corporation shareholders</w:t>
            </w:r>
          </w:p>
        </w:tc>
        <w:tc>
          <w:tcPr>
            <w:tcW w:w="30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0.79</w:t>
            </w:r>
          </w:p>
        </w:tc>
        <w:tc>
          <w:tcPr>
            <w:tcW w:w="420" w:type="dxa"/>
            <w:vAlign w:val="bottom"/>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34"/>
              <w:spacing w:after="0"/>
              <w:rPr>
                <w:sz w:val="20"/>
                <w:szCs w:val="20"/>
                <w:color w:val="auto"/>
              </w:rPr>
            </w:pPr>
            <w:r>
              <w:rPr>
                <w:rFonts w:ascii="Arial" w:cs="Arial" w:eastAsia="Arial" w:hAnsi="Arial"/>
                <w:sz w:val="17"/>
                <w:szCs w:val="17"/>
                <w:b w:val="1"/>
                <w:bCs w:val="1"/>
                <w:color w:val="auto"/>
              </w:rPr>
              <w:t>0.73</w:t>
            </w:r>
          </w:p>
        </w:tc>
        <w:tc>
          <w:tcPr>
            <w:tcW w:w="1260" w:type="dxa"/>
            <w:vAlign w:val="bottom"/>
            <w:gridSpan w:val="2"/>
          </w:tcPr>
          <w:p>
            <w:pPr>
              <w:jc w:val="right"/>
              <w:spacing w:after="0"/>
              <w:rPr>
                <w:sz w:val="20"/>
                <w:szCs w:val="20"/>
                <w:color w:val="auto"/>
              </w:rPr>
            </w:pPr>
            <w:r>
              <w:rPr>
                <w:rFonts w:ascii="Arial" w:cs="Arial" w:eastAsia="Arial" w:hAnsi="Arial"/>
                <w:sz w:val="17"/>
                <w:szCs w:val="17"/>
                <w:b w:val="1"/>
                <w:bCs w:val="1"/>
                <w:color w:val="auto"/>
              </w:rPr>
              <w:t>8.2 %</w:t>
            </w:r>
          </w:p>
        </w:tc>
      </w:tr>
      <w:tr>
        <w:trPr>
          <w:trHeight w:val="234"/>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Diluted earnings per common share attributable to Comcast Corporation shareholders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0.78</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0.71</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9.9 %</w:t>
            </w:r>
          </w:p>
        </w:tc>
      </w:tr>
      <w:tr>
        <w:trPr>
          <w:trHeight w:val="92"/>
        </w:trPr>
        <w:tc>
          <w:tcPr>
            <w:tcW w:w="71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22"/>
        </w:trPr>
        <w:tc>
          <w:tcPr>
            <w:tcW w:w="71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color w:val="auto"/>
                <w:vertAlign w:val="superscript"/>
              </w:rPr>
              <w:t>(a)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9,150</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8,413</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8.8 %</w:t>
            </w:r>
          </w:p>
        </w:tc>
      </w:tr>
    </w:tbl>
    <w:p>
      <w:pPr>
        <w:spacing w:after="0" w:line="112" w:lineRule="exact"/>
        <w:rPr>
          <w:sz w:val="20"/>
          <w:szCs w:val="20"/>
          <w:color w:val="auto"/>
        </w:rPr>
      </w:pPr>
    </w:p>
    <w:p>
      <w:pPr>
        <w:ind w:left="240" w:hanging="235"/>
        <w:spacing w:after="0" w:line="260" w:lineRule="auto"/>
        <w:tabs>
          <w:tab w:leader="none" w:pos="238"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24 for additional information, including our definition and our use of Adjusted EBITDA, and for a reconciliation from net income attributable to Comcast Corporation to Adjusted EBITDA.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Revenue</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Consolidated revenue increased for the three months ended March 31, 2022, driven by Media, Theme Parks, Cable Communications and Studios, partially offset by decreases in revenue in Sky.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Revenue for our segments and other businesses is discussed separately below under the heading “Segment Operating Results.”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Costs and Expenses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operating costs and expenses, which is comprised of total costs and expenses excluding depreciation and amortization expense, increased for the three months ended March 31, 2022, driven by Media, Studios, Theme Parks and Cable Communications, partially offset by decreases in operating costs and expenses in Sky.</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Operating costs and expenses for our segments and our corporate operations, businesses development initiatives and other businesses are discussed separately below under the heading “Segment Operating Results.”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Depreciation and Amortization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836"/>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jc w:val="center"/>
              <w:ind w:left="19"/>
              <w:spacing w:after="0"/>
              <w:rPr>
                <w:sz w:val="20"/>
                <w:szCs w:val="20"/>
                <w:color w:val="auto"/>
              </w:rPr>
            </w:pPr>
            <w:r>
              <w:rPr>
                <w:rFonts w:ascii="Arial" w:cs="Arial" w:eastAsia="Arial" w:hAnsi="Arial"/>
                <w:sz w:val="14"/>
                <w:szCs w:val="14"/>
                <w:color w:val="auto"/>
                <w:w w:val="86"/>
              </w:rPr>
              <w:t>Increase/</w:t>
            </w:r>
          </w:p>
        </w:tc>
        <w:tc>
          <w:tcPr>
            <w:tcW w:w="200" w:type="dxa"/>
            <w:vAlign w:val="bottom"/>
          </w:tcPr>
          <w:p>
            <w:pPr>
              <w:spacing w:after="0"/>
              <w:rPr>
                <w:sz w:val="14"/>
                <w:szCs w:val="14"/>
                <w:color w:val="auto"/>
              </w:rPr>
            </w:pP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200" w:type="dxa"/>
            <w:vAlign w:val="bottom"/>
            <w:tcBorders>
              <w:bottom w:val="single" w:sz="8" w:color="auto"/>
            </w:tcBorders>
          </w:tcPr>
          <w:p>
            <w:pPr>
              <w:spacing w:after="0"/>
              <w:rPr>
                <w:sz w:val="15"/>
                <w:szCs w:val="15"/>
                <w:color w:val="auto"/>
              </w:rPr>
            </w:pP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auto"/>
            </w:tcBorders>
          </w:tcPr>
          <w:p>
            <w:pPr>
              <w:spacing w:after="0"/>
              <w:rPr>
                <w:sz w:val="15"/>
                <w:szCs w:val="15"/>
                <w:color w:val="auto"/>
              </w:rPr>
            </w:pPr>
          </w:p>
        </w:tc>
      </w:tr>
      <w:tr>
        <w:trPr>
          <w:trHeight w:val="218"/>
        </w:trPr>
        <w:tc>
          <w:tcPr>
            <w:tcW w:w="7160" w:type="dxa"/>
            <w:vAlign w:val="bottom"/>
          </w:tcPr>
          <w:p>
            <w:pPr>
              <w:ind w:left="20"/>
              <w:spacing w:after="0"/>
              <w:rPr>
                <w:sz w:val="20"/>
                <w:szCs w:val="20"/>
                <w:color w:val="auto"/>
              </w:rPr>
            </w:pPr>
            <w:r>
              <w:rPr>
                <w:rFonts w:ascii="Arial" w:cs="Arial" w:eastAsia="Arial" w:hAnsi="Arial"/>
                <w:sz w:val="17"/>
                <w:szCs w:val="17"/>
                <w:color w:val="auto"/>
              </w:rPr>
              <w:t>Cable Communications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1,960</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6"/>
              <w:spacing w:after="0"/>
              <w:rPr>
                <w:sz w:val="20"/>
                <w:szCs w:val="20"/>
                <w:color w:val="auto"/>
              </w:rPr>
            </w:pPr>
            <w:r>
              <w:rPr>
                <w:rFonts w:ascii="Arial" w:cs="Arial" w:eastAsia="Arial" w:hAnsi="Arial"/>
                <w:sz w:val="17"/>
                <w:szCs w:val="17"/>
                <w:color w:val="auto"/>
              </w:rPr>
              <w:t>1,929</w:t>
            </w:r>
          </w:p>
        </w:tc>
        <w:tc>
          <w:tcPr>
            <w:tcW w:w="108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160" w:type="dxa"/>
            <w:vAlign w:val="bottom"/>
          </w:tcPr>
          <w:p>
            <w:pPr>
              <w:ind w:left="20"/>
              <w:spacing w:after="0"/>
              <w:rPr>
                <w:sz w:val="20"/>
                <w:szCs w:val="20"/>
                <w:color w:val="auto"/>
              </w:rPr>
            </w:pPr>
            <w:r>
              <w:rPr>
                <w:rFonts w:ascii="Arial" w:cs="Arial" w:eastAsia="Arial" w:hAnsi="Arial"/>
                <w:sz w:val="17"/>
                <w:szCs w:val="17"/>
                <w:color w:val="auto"/>
              </w:rPr>
              <w:t>NBCUniversal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662</w:t>
            </w:r>
          </w:p>
        </w:tc>
        <w:tc>
          <w:tcPr>
            <w:tcW w:w="440" w:type="dxa"/>
            <w:vAlign w:val="bottom"/>
          </w:tcPr>
          <w:p>
            <w:pPr>
              <w:spacing w:after="0"/>
              <w:rPr>
                <w:sz w:val="19"/>
                <w:szCs w:val="19"/>
                <w:color w:val="auto"/>
              </w:rPr>
            </w:pPr>
          </w:p>
        </w:tc>
        <w:tc>
          <w:tcPr>
            <w:tcW w:w="1100" w:type="dxa"/>
            <w:vAlign w:val="bottom"/>
          </w:tcPr>
          <w:p>
            <w:pPr>
              <w:jc w:val="right"/>
              <w:ind w:right="216"/>
              <w:spacing w:after="0"/>
              <w:rPr>
                <w:sz w:val="20"/>
                <w:szCs w:val="20"/>
                <w:color w:val="auto"/>
              </w:rPr>
            </w:pPr>
            <w:r>
              <w:rPr>
                <w:rFonts w:ascii="Arial" w:cs="Arial" w:eastAsia="Arial" w:hAnsi="Arial"/>
                <w:sz w:val="17"/>
                <w:szCs w:val="17"/>
                <w:color w:val="auto"/>
              </w:rPr>
              <w:t>583</w:t>
            </w:r>
          </w:p>
        </w:tc>
        <w:tc>
          <w:tcPr>
            <w:tcW w:w="1080" w:type="dxa"/>
            <w:vAlign w:val="bottom"/>
          </w:tcPr>
          <w:p>
            <w:pPr>
              <w:jc w:val="right"/>
              <w:spacing w:after="0"/>
              <w:rPr>
                <w:sz w:val="20"/>
                <w:szCs w:val="20"/>
                <w:color w:val="auto"/>
              </w:rPr>
            </w:pPr>
            <w:r>
              <w:rPr>
                <w:rFonts w:ascii="Arial" w:cs="Arial" w:eastAsia="Arial" w:hAnsi="Arial"/>
                <w:sz w:val="17"/>
                <w:szCs w:val="17"/>
                <w:color w:val="auto"/>
              </w:rPr>
              <w:t>13.6</w:t>
            </w:r>
          </w:p>
        </w:tc>
        <w:tc>
          <w:tcPr>
            <w:tcW w:w="200" w:type="dxa"/>
            <w:vAlign w:val="bottom"/>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7"/>
                <w:szCs w:val="17"/>
                <w:color w:val="auto"/>
              </w:rPr>
              <w:t>Sky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870</w:t>
            </w:r>
          </w:p>
        </w:tc>
        <w:tc>
          <w:tcPr>
            <w:tcW w:w="440" w:type="dxa"/>
            <w:vAlign w:val="bottom"/>
          </w:tcPr>
          <w:p>
            <w:pPr>
              <w:spacing w:after="0"/>
              <w:rPr>
                <w:sz w:val="19"/>
                <w:szCs w:val="19"/>
                <w:color w:val="auto"/>
              </w:rPr>
            </w:pPr>
          </w:p>
        </w:tc>
        <w:tc>
          <w:tcPr>
            <w:tcW w:w="1100" w:type="dxa"/>
            <w:vAlign w:val="bottom"/>
          </w:tcPr>
          <w:p>
            <w:pPr>
              <w:jc w:val="right"/>
              <w:ind w:right="216"/>
              <w:spacing w:after="0"/>
              <w:rPr>
                <w:sz w:val="20"/>
                <w:szCs w:val="20"/>
                <w:color w:val="auto"/>
              </w:rPr>
            </w:pPr>
            <w:r>
              <w:rPr>
                <w:rFonts w:ascii="Arial" w:cs="Arial" w:eastAsia="Arial" w:hAnsi="Arial"/>
                <w:sz w:val="17"/>
                <w:szCs w:val="17"/>
                <w:color w:val="auto"/>
              </w:rPr>
              <w:t>814</w:t>
            </w: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20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Corporate and 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36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w:t>
            </w:r>
          </w:p>
        </w:tc>
        <w:tc>
          <w:tcPr>
            <w:tcW w:w="200" w:type="dxa"/>
            <w:vAlign w:val="bottom"/>
            <w:tcBorders>
              <w:bottom w:val="single" w:sz="8" w:color="auto"/>
            </w:tcBorders>
          </w:tcPr>
          <w:p>
            <w:pPr>
              <w:spacing w:after="0"/>
              <w:rPr>
                <w:sz w:val="19"/>
                <w:szCs w:val="19"/>
                <w:color w:val="auto"/>
              </w:rPr>
            </w:pP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Comcast Consolidated</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3,548</w:t>
            </w:r>
          </w:p>
        </w:tc>
        <w:tc>
          <w:tcPr>
            <w:tcW w:w="4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3,362</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5.5 %</w:t>
            </w:r>
          </w:p>
        </w:tc>
      </w:tr>
    </w:tbl>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depreciation and amortization expense increased for the three months ended March 31, 2022 compared to the same period in 2021 primarily due to increased depreciation at NBCUniversal driven by the opening of Universal Beijing Resort and increased amortization at Sky driven by increased amortization of software.</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Amortization expense from acquisition-related intangible assets totaled $592 million for both the three months ended March 31, 2022 and 2021. Amounts primarily relate to customer relationship intangible assets recorded in connection with the Sky transaction in the fourth quarter of 2018 and the NBCUniversal transaction in 2011.</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Interest Expense</w:t>
      </w:r>
    </w:p>
    <w:p>
      <w:pPr>
        <w:spacing w:after="0" w:line="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Interest expense decreased for the three months ended March 31, 2022 compared to the same period in 2021 primarily due to a decrease in average debt outstanding in the current year period.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Investment and Other Income (Loss), Net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88"/>
              </w:rPr>
              <w:t>Three Months Ended</w:t>
            </w:r>
          </w:p>
        </w:tc>
        <w:tc>
          <w:tcPr>
            <w:tcW w:w="1500" w:type="dxa"/>
            <w:vAlign w:val="bottom"/>
          </w:tcPr>
          <w:p>
            <w:pPr>
              <w:jc w:val="center"/>
              <w:ind w:left="10"/>
              <w:spacing w:after="0"/>
              <w:rPr>
                <w:sz w:val="20"/>
                <w:szCs w:val="20"/>
                <w:color w:val="auto"/>
              </w:rPr>
            </w:pPr>
            <w:r>
              <w:rPr>
                <w:rFonts w:ascii="Arial" w:cs="Arial" w:eastAsia="Arial" w:hAnsi="Arial"/>
                <w:sz w:val="14"/>
                <w:szCs w:val="14"/>
                <w:color w:val="auto"/>
                <w:w w:val="86"/>
              </w:rPr>
              <w:t>Increase/</w:t>
            </w:r>
          </w:p>
        </w:tc>
      </w:tr>
      <w:tr>
        <w:trPr>
          <w:trHeight w:val="178"/>
        </w:trPr>
        <w:tc>
          <w:tcPr>
            <w:tcW w:w="7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830"/>
              <w:spacing w:after="0"/>
              <w:rPr>
                <w:sz w:val="20"/>
                <w:szCs w:val="20"/>
                <w:color w:val="auto"/>
              </w:rPr>
            </w:pPr>
            <w:r>
              <w:rPr>
                <w:rFonts w:ascii="Arial" w:cs="Arial" w:eastAsia="Arial" w:hAnsi="Arial"/>
                <w:sz w:val="14"/>
                <w:szCs w:val="14"/>
                <w:color w:val="auto"/>
                <w:w w:val="89"/>
              </w:rPr>
              <w:t>March 31,</w:t>
            </w:r>
          </w:p>
        </w:tc>
        <w:tc>
          <w:tcPr>
            <w:tcW w:w="150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w w:val="86"/>
              </w:rPr>
              <w:t>(Decrease)</w:t>
            </w:r>
          </w:p>
        </w:tc>
      </w:tr>
      <w:tr>
        <w:trPr>
          <w:trHeight w:val="176"/>
        </w:trPr>
        <w:tc>
          <w:tcPr>
            <w:tcW w:w="714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2022</w:t>
            </w:r>
          </w:p>
        </w:tc>
        <w:tc>
          <w:tcPr>
            <w:tcW w:w="1700" w:type="dxa"/>
            <w:vAlign w:val="bottom"/>
          </w:tcPr>
          <w:p>
            <w:pPr>
              <w:jc w:val="right"/>
              <w:ind w:right="430"/>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30"/>
              <w:spacing w:after="0"/>
              <w:rPr>
                <w:sz w:val="20"/>
                <w:szCs w:val="20"/>
                <w:color w:val="auto"/>
              </w:rPr>
            </w:pPr>
            <w:r>
              <w:rPr>
                <w:rFonts w:ascii="Arial" w:cs="Arial" w:eastAsia="Arial" w:hAnsi="Arial"/>
                <w:sz w:val="14"/>
                <w:szCs w:val="14"/>
                <w:color w:val="auto"/>
                <w:w w:val="96"/>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Equity in net income (losses) of investees, net</w:t>
            </w:r>
          </w:p>
        </w:tc>
        <w:tc>
          <w:tcPr>
            <w:tcW w:w="1880" w:type="dxa"/>
            <w:vAlign w:val="bottom"/>
            <w:tcBorders>
              <w:top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ind w:left="400"/>
              <w:spacing w:after="0"/>
              <w:rPr>
                <w:sz w:val="20"/>
                <w:szCs w:val="20"/>
                <w:color w:val="auto"/>
              </w:rPr>
            </w:pPr>
            <w:r>
              <w:rPr>
                <w:rFonts w:ascii="Arial" w:cs="Arial" w:eastAsia="Arial" w:hAnsi="Arial"/>
                <w:sz w:val="17"/>
                <w:szCs w:val="17"/>
                <w:color w:val="auto"/>
              </w:rPr>
              <w:t>133</w:t>
            </w:r>
          </w:p>
        </w:tc>
        <w:tc>
          <w:tcPr>
            <w:tcW w:w="560" w:type="dxa"/>
            <w:vAlign w:val="bottom"/>
            <w:tcBorders>
              <w:top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393"/>
              <w:spacing w:after="0"/>
              <w:rPr>
                <w:sz w:val="20"/>
                <w:szCs w:val="20"/>
                <w:color w:val="auto"/>
              </w:rPr>
            </w:pPr>
            <w:r>
              <w:rPr>
                <w:rFonts w:ascii="Arial" w:cs="Arial" w:eastAsia="Arial" w:hAnsi="Arial"/>
                <w:sz w:val="17"/>
                <w:szCs w:val="17"/>
                <w:color w:val="auto"/>
              </w:rPr>
              <w:t>136</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 %</w:t>
            </w:r>
          </w:p>
        </w:tc>
      </w:tr>
      <w:tr>
        <w:trPr>
          <w:trHeight w:val="222"/>
        </w:trPr>
        <w:tc>
          <w:tcPr>
            <w:tcW w:w="5780" w:type="dxa"/>
            <w:vAlign w:val="bottom"/>
          </w:tcPr>
          <w:p>
            <w:pPr>
              <w:ind w:left="20"/>
              <w:spacing w:after="0"/>
              <w:rPr>
                <w:sz w:val="20"/>
                <w:szCs w:val="20"/>
                <w:color w:val="auto"/>
              </w:rPr>
            </w:pPr>
            <w:r>
              <w:rPr>
                <w:rFonts w:ascii="Arial" w:cs="Arial" w:eastAsia="Arial" w:hAnsi="Arial"/>
                <w:sz w:val="17"/>
                <w:szCs w:val="17"/>
                <w:color w:val="auto"/>
              </w:rPr>
              <w:t>Realized and unrealized gains (losses) on equity securities, net</w:t>
            </w:r>
          </w:p>
        </w:tc>
        <w:tc>
          <w:tcPr>
            <w:tcW w:w="188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Arial" w:cs="Arial" w:eastAsia="Arial" w:hAnsi="Arial"/>
                <w:sz w:val="17"/>
                <w:szCs w:val="17"/>
                <w:color w:val="auto"/>
              </w:rPr>
              <w:t>117</w:t>
            </w:r>
          </w:p>
        </w:tc>
        <w:tc>
          <w:tcPr>
            <w:tcW w:w="560" w:type="dxa"/>
            <w:vAlign w:val="bottom"/>
          </w:tcPr>
          <w:p>
            <w:pPr>
              <w:spacing w:after="0"/>
              <w:rPr>
                <w:sz w:val="19"/>
                <w:szCs w:val="19"/>
                <w:color w:val="auto"/>
              </w:rPr>
            </w:pPr>
          </w:p>
        </w:tc>
        <w:tc>
          <w:tcPr>
            <w:tcW w:w="1140" w:type="dxa"/>
            <w:vAlign w:val="bottom"/>
          </w:tcPr>
          <w:p>
            <w:pPr>
              <w:jc w:val="right"/>
              <w:ind w:right="393"/>
              <w:spacing w:after="0"/>
              <w:rPr>
                <w:sz w:val="20"/>
                <w:szCs w:val="20"/>
                <w:color w:val="auto"/>
              </w:rPr>
            </w:pPr>
            <w:r>
              <w:rPr>
                <w:rFonts w:ascii="Arial" w:cs="Arial" w:eastAsia="Arial" w:hAnsi="Arial"/>
                <w:sz w:val="17"/>
                <w:szCs w:val="17"/>
                <w:color w:val="auto"/>
              </w:rPr>
              <w:t>237</w:t>
            </w: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(50.7)</w:t>
            </w: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(loss), net</w:t>
            </w:r>
          </w:p>
        </w:tc>
        <w:tc>
          <w:tcPr>
            <w:tcW w:w="1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(62)</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17</w:t>
            </w: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NM</w:t>
            </w:r>
          </w:p>
        </w:tc>
      </w:tr>
      <w:tr>
        <w:trPr>
          <w:trHeight w:val="222"/>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investment and other income (loss), net</w:t>
            </w:r>
          </w:p>
        </w:tc>
        <w:tc>
          <w:tcPr>
            <w:tcW w:w="1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188</w:t>
            </w:r>
          </w:p>
        </w:tc>
        <w:tc>
          <w:tcPr>
            <w:tcW w:w="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390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change in investment and other income (loss), net for the three months ended March 31, 2022 compared to the same period in 2021 was primarily due to realized and unrealized gains (losses) on equity securities, net and other income (loss), net. The change in realized and unrealized gains (losses) on equity securities, net for the three months ended March 31, 2022 compared to the same period in 2021 primarily resulted from losses on marketable securities in the current year period compared to gains in the prior year period, partially offset by increased gains from fair value adjustments for nonmarketable equity securities in the current year period. The change in other income (loss), net for the three months ended March 31, 2022 compared to the same period in 2021 primarily resulted from losses on insurance contracts and net losses on foreign exchange remeasurement in the current year period. Equity in net income (losses) of investees, net was consistent with the prior year period and included income for our investment in Atairos of $78 million and $77 million for the three months ended March 31, 2022 and 2021,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Tax Expense</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Income tax expense for the three months ended March 31, 2022 and 2021 reflects an effective income tax rate that differs from the federal statutory rate primarily due to state and foreign income taxes and adjustments associated with uncertain tax positions. The increase in income tax expense for the three months ended March 31, 2022 compared to the same period in 2021 was primarily driven by tax benefits recognized on share-based compensation plans and higher income before income taxes.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Income (Loss) Attributable to Noncontrolling Interests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changes in net income (loss) attributable to noncontrolling interests for the three months ended March 31, 2022 compared to the same period in 2021 was primarily due to decreased losses at Universal Beijing Resort due to operations in the current year period compared to pre-opening costs in the prior year period in advance of the park</w:t>
      </w:r>
      <w:r>
        <w:rPr>
          <w:rFonts w:ascii="Arial" w:cs="Arial" w:eastAsia="Arial" w:hAnsi="Arial"/>
          <w:sz w:val="16"/>
          <w:szCs w:val="16"/>
          <w:color w:val="auto"/>
        </w:rPr>
        <w:t>’</w:t>
      </w:r>
      <w:r>
        <w:rPr>
          <w:rFonts w:ascii="Arial" w:cs="Arial" w:eastAsia="Arial" w:hAnsi="Arial"/>
          <w:sz w:val="17"/>
          <w:szCs w:val="17"/>
          <w:color w:val="auto"/>
        </w:rPr>
        <w:t>s opening in September 2021 (see Note 7).</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Operating Results</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See Note 2 for our definition of Adjusted EBITDA and a reconciliation from the aggregate amount of Adjusted EBITDA for our reportable business segments to consolidated income before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Cable Communications Segment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834"/>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180" w:type="dxa"/>
            <w:vAlign w:val="bottom"/>
          </w:tcPr>
          <w:p>
            <w:pPr>
              <w:spacing w:after="0"/>
              <w:rPr>
                <w:sz w:val="14"/>
                <w:szCs w:val="14"/>
                <w:color w:val="auto"/>
              </w:rPr>
            </w:pP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180" w:type="dxa"/>
            <w:vAlign w:val="bottom"/>
            <w:tcBorders>
              <w:bottom w:val="single" w:sz="8" w:color="auto"/>
            </w:tcBorders>
          </w:tcPr>
          <w:p>
            <w:pPr>
              <w:spacing w:after="0"/>
              <w:rPr>
                <w:sz w:val="15"/>
                <w:szCs w:val="15"/>
                <w:color w:val="auto"/>
              </w:rPr>
            </w:pP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2021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5"/>
                <w:szCs w:val="15"/>
                <w:color w:val="auto"/>
              </w:rPr>
            </w:pP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7160" w:type="dxa"/>
            <w:vAlign w:val="bottom"/>
          </w:tcPr>
          <w:p>
            <w:pPr>
              <w:ind w:left="340"/>
              <w:spacing w:after="0"/>
              <w:rPr>
                <w:sz w:val="20"/>
                <w:szCs w:val="20"/>
                <w:color w:val="auto"/>
              </w:rPr>
            </w:pPr>
            <w:r>
              <w:rPr>
                <w:rFonts w:ascii="Arial" w:cs="Arial" w:eastAsia="Arial" w:hAnsi="Arial"/>
                <w:sz w:val="17"/>
                <w:szCs w:val="17"/>
                <w:color w:val="auto"/>
              </w:rPr>
              <w:t>Residential:</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160" w:type="dxa"/>
            <w:vAlign w:val="bottom"/>
          </w:tcPr>
          <w:p>
            <w:pPr>
              <w:ind w:left="660"/>
              <w:spacing w:after="0"/>
              <w:rPr>
                <w:sz w:val="20"/>
                <w:szCs w:val="20"/>
                <w:color w:val="auto"/>
              </w:rPr>
            </w:pPr>
            <w:r>
              <w:rPr>
                <w:rFonts w:ascii="Arial" w:cs="Arial" w:eastAsia="Arial" w:hAnsi="Arial"/>
                <w:sz w:val="17"/>
                <w:szCs w:val="17"/>
                <w:color w:val="auto"/>
              </w:rPr>
              <w:t>Broadband</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6,050</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5,600</w:t>
            </w:r>
          </w:p>
        </w:tc>
        <w:tc>
          <w:tcPr>
            <w:tcW w:w="1100" w:type="dxa"/>
            <w:vAlign w:val="bottom"/>
          </w:tcPr>
          <w:p>
            <w:pPr>
              <w:jc w:val="right"/>
              <w:spacing w:after="0"/>
              <w:rPr>
                <w:sz w:val="20"/>
                <w:szCs w:val="20"/>
                <w:color w:val="auto"/>
              </w:rPr>
            </w:pPr>
            <w:r>
              <w:rPr>
                <w:rFonts w:ascii="Arial" w:cs="Arial" w:eastAsia="Arial" w:hAnsi="Arial"/>
                <w:sz w:val="17"/>
                <w:szCs w:val="17"/>
                <w:color w:val="auto"/>
              </w:rPr>
              <w:t>8.0</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23"/>
        </w:trPr>
        <w:tc>
          <w:tcPr>
            <w:tcW w:w="7160" w:type="dxa"/>
            <w:vAlign w:val="bottom"/>
          </w:tcPr>
          <w:p>
            <w:pPr>
              <w:ind w:left="660"/>
              <w:spacing w:after="0"/>
              <w:rPr>
                <w:sz w:val="20"/>
                <w:szCs w:val="20"/>
                <w:color w:val="auto"/>
              </w:rPr>
            </w:pPr>
            <w:r>
              <w:rPr>
                <w:rFonts w:ascii="Arial" w:cs="Arial" w:eastAsia="Arial" w:hAnsi="Arial"/>
                <w:sz w:val="17"/>
                <w:szCs w:val="17"/>
                <w:color w:val="auto"/>
              </w:rPr>
              <w:t>Video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5,536</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5,623</w:t>
            </w: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r>
      <w:tr>
        <w:trPr>
          <w:trHeight w:val="223"/>
        </w:trPr>
        <w:tc>
          <w:tcPr>
            <w:tcW w:w="7160" w:type="dxa"/>
            <w:vAlign w:val="bottom"/>
          </w:tcPr>
          <w:p>
            <w:pPr>
              <w:ind w:left="660"/>
              <w:spacing w:after="0"/>
              <w:rPr>
                <w:sz w:val="20"/>
                <w:szCs w:val="20"/>
                <w:color w:val="auto"/>
              </w:rPr>
            </w:pPr>
            <w:r>
              <w:rPr>
                <w:rFonts w:ascii="Arial" w:cs="Arial" w:eastAsia="Arial" w:hAnsi="Arial"/>
                <w:sz w:val="17"/>
                <w:szCs w:val="17"/>
                <w:color w:val="auto"/>
              </w:rPr>
              <w:t>Voice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786</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871</w:t>
            </w:r>
          </w:p>
        </w:tc>
        <w:tc>
          <w:tcPr>
            <w:tcW w:w="1100" w:type="dxa"/>
            <w:vAlign w:val="bottom"/>
          </w:tcPr>
          <w:p>
            <w:pPr>
              <w:jc w:val="right"/>
              <w:spacing w:after="0"/>
              <w:rPr>
                <w:sz w:val="20"/>
                <w:szCs w:val="20"/>
                <w:color w:val="auto"/>
              </w:rPr>
            </w:pPr>
            <w:r>
              <w:rPr>
                <w:rFonts w:ascii="Arial" w:cs="Arial" w:eastAsia="Arial" w:hAnsi="Arial"/>
                <w:sz w:val="17"/>
                <w:szCs w:val="17"/>
                <w:color w:val="auto"/>
              </w:rPr>
              <w:t>(9.8)</w:t>
            </w:r>
          </w:p>
        </w:tc>
        <w:tc>
          <w:tcPr>
            <w:tcW w:w="180" w:type="dxa"/>
            <w:vAlign w:val="bottom"/>
          </w:tcPr>
          <w:p>
            <w:pPr>
              <w:spacing w:after="0"/>
              <w:rPr>
                <w:sz w:val="19"/>
                <w:szCs w:val="19"/>
                <w:color w:val="auto"/>
              </w:rPr>
            </w:pPr>
          </w:p>
        </w:tc>
      </w:tr>
      <w:tr>
        <w:trPr>
          <w:trHeight w:val="223"/>
        </w:trPr>
        <w:tc>
          <w:tcPr>
            <w:tcW w:w="7160" w:type="dxa"/>
            <w:vAlign w:val="bottom"/>
          </w:tcPr>
          <w:p>
            <w:pPr>
              <w:ind w:left="660"/>
              <w:spacing w:after="0"/>
              <w:rPr>
                <w:sz w:val="20"/>
                <w:szCs w:val="20"/>
                <w:color w:val="auto"/>
              </w:rPr>
            </w:pPr>
            <w:r>
              <w:rPr>
                <w:rFonts w:ascii="Arial" w:cs="Arial" w:eastAsia="Arial" w:hAnsi="Arial"/>
                <w:sz w:val="17"/>
                <w:szCs w:val="17"/>
                <w:color w:val="auto"/>
              </w:rPr>
              <w:t>Wireless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677</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513</w:t>
            </w:r>
          </w:p>
        </w:tc>
        <w:tc>
          <w:tcPr>
            <w:tcW w:w="1100" w:type="dxa"/>
            <w:vAlign w:val="bottom"/>
          </w:tcPr>
          <w:p>
            <w:pPr>
              <w:jc w:val="right"/>
              <w:spacing w:after="0"/>
              <w:rPr>
                <w:sz w:val="20"/>
                <w:szCs w:val="20"/>
                <w:color w:val="auto"/>
              </w:rPr>
            </w:pPr>
            <w:r>
              <w:rPr>
                <w:rFonts w:ascii="Arial" w:cs="Arial" w:eastAsia="Arial" w:hAnsi="Arial"/>
                <w:sz w:val="17"/>
                <w:szCs w:val="17"/>
                <w:color w:val="auto"/>
              </w:rPr>
              <w:t>32.0</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Business services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2,396</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2,167</w:t>
            </w:r>
          </w:p>
        </w:tc>
        <w:tc>
          <w:tcPr>
            <w:tcW w:w="1100" w:type="dxa"/>
            <w:vAlign w:val="bottom"/>
          </w:tcPr>
          <w:p>
            <w:pPr>
              <w:jc w:val="right"/>
              <w:spacing w:after="0"/>
              <w:rPr>
                <w:sz w:val="20"/>
                <w:szCs w:val="20"/>
                <w:color w:val="auto"/>
              </w:rPr>
            </w:pPr>
            <w:r>
              <w:rPr>
                <w:rFonts w:ascii="Arial" w:cs="Arial" w:eastAsia="Arial" w:hAnsi="Arial"/>
                <w:sz w:val="17"/>
                <w:szCs w:val="17"/>
                <w:color w:val="auto"/>
              </w:rPr>
              <w:t>10.6</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Advertising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671</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618</w:t>
            </w:r>
          </w:p>
        </w:tc>
        <w:tc>
          <w:tcPr>
            <w:tcW w:w="1100" w:type="dxa"/>
            <w:vAlign w:val="bottom"/>
          </w:tcPr>
          <w:p>
            <w:pPr>
              <w:jc w:val="right"/>
              <w:spacing w:after="0"/>
              <w:rPr>
                <w:sz w:val="20"/>
                <w:szCs w:val="20"/>
                <w:color w:val="auto"/>
              </w:rPr>
            </w:pPr>
            <w:r>
              <w:rPr>
                <w:rFonts w:ascii="Arial" w:cs="Arial" w:eastAsia="Arial" w:hAnsi="Arial"/>
                <w:sz w:val="17"/>
                <w:szCs w:val="17"/>
                <w:color w:val="auto"/>
              </w:rPr>
              <w:t>8.6</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413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80" w:type="dxa"/>
            <w:vAlign w:val="bottom"/>
            <w:tcBorders>
              <w:bottom w:val="single" w:sz="8" w:color="auto"/>
            </w:tcBorders>
          </w:tcPr>
          <w:p>
            <w:pPr>
              <w:spacing w:after="0"/>
              <w:rPr>
                <w:sz w:val="19"/>
                <w:szCs w:val="19"/>
                <w:color w:val="auto"/>
              </w:rPr>
            </w:pPr>
          </w:p>
        </w:tc>
      </w:tr>
      <w:tr>
        <w:trPr>
          <w:trHeight w:val="211"/>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16,540</w:t>
            </w:r>
          </w:p>
        </w:tc>
        <w:tc>
          <w:tcPr>
            <w:tcW w:w="44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b w:val="1"/>
                <w:bCs w:val="1"/>
                <w:color w:val="auto"/>
              </w:rPr>
              <w:t>15,805</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80" w:type="dxa"/>
            <w:vAlign w:val="bottom"/>
          </w:tcPr>
          <w:p>
            <w:pPr>
              <w:spacing w:after="0"/>
              <w:rPr>
                <w:sz w:val="18"/>
                <w:szCs w:val="18"/>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Programming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3,628</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3,670</w:t>
            </w: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Technical and product support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2,228</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2,021</w:t>
            </w:r>
          </w:p>
        </w:tc>
        <w:tc>
          <w:tcPr>
            <w:tcW w:w="1100" w:type="dxa"/>
            <w:vAlign w:val="bottom"/>
          </w:tcPr>
          <w:p>
            <w:pPr>
              <w:jc w:val="right"/>
              <w:spacing w:after="0"/>
              <w:rPr>
                <w:sz w:val="20"/>
                <w:szCs w:val="20"/>
                <w:color w:val="auto"/>
              </w:rPr>
            </w:pPr>
            <w:r>
              <w:rPr>
                <w:rFonts w:ascii="Arial" w:cs="Arial" w:eastAsia="Arial" w:hAnsi="Arial"/>
                <w:sz w:val="17"/>
                <w:szCs w:val="17"/>
                <w:color w:val="auto"/>
              </w:rPr>
              <w:t>10.3</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Customer service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581</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602</w:t>
            </w:r>
          </w:p>
        </w:tc>
        <w:tc>
          <w:tcPr>
            <w:tcW w:w="1100" w:type="dxa"/>
            <w:vAlign w:val="bottom"/>
          </w:tcPr>
          <w:p>
            <w:pPr>
              <w:jc w:val="right"/>
              <w:spacing w:after="0"/>
              <w:rPr>
                <w:sz w:val="20"/>
                <w:szCs w:val="20"/>
                <w:color w:val="auto"/>
              </w:rPr>
            </w:pPr>
            <w:r>
              <w:rPr>
                <w:rFonts w:ascii="Arial" w:cs="Arial" w:eastAsia="Arial" w:hAnsi="Arial"/>
                <w:sz w:val="17"/>
                <w:szCs w:val="17"/>
                <w:color w:val="auto"/>
              </w:rPr>
              <w:t>(3.6)</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Advertising, marketing and promotion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1,012</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905</w:t>
            </w:r>
          </w:p>
        </w:tc>
        <w:tc>
          <w:tcPr>
            <w:tcW w:w="1100" w:type="dxa"/>
            <w:vAlign w:val="bottom"/>
          </w:tcPr>
          <w:p>
            <w:pPr>
              <w:jc w:val="right"/>
              <w:spacing w:after="0"/>
              <w:rPr>
                <w:sz w:val="20"/>
                <w:szCs w:val="20"/>
                <w:color w:val="auto"/>
              </w:rPr>
            </w:pPr>
            <w:r>
              <w:rPr>
                <w:rFonts w:ascii="Arial" w:cs="Arial" w:eastAsia="Arial" w:hAnsi="Arial"/>
                <w:sz w:val="17"/>
                <w:szCs w:val="17"/>
                <w:color w:val="auto"/>
              </w:rPr>
              <w:t>11.9</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Franchise and other regulatory fees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421</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501</w:t>
            </w:r>
          </w:p>
        </w:tc>
        <w:tc>
          <w:tcPr>
            <w:tcW w:w="1100" w:type="dxa"/>
            <w:vAlign w:val="bottom"/>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1,276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80" w:type="dxa"/>
            <w:vAlign w:val="bottom"/>
            <w:tcBorders>
              <w:bottom w:val="single" w:sz="8" w:color="auto"/>
            </w:tcBorders>
          </w:tcPr>
          <w:p>
            <w:pPr>
              <w:spacing w:after="0"/>
              <w:rPr>
                <w:sz w:val="19"/>
                <w:szCs w:val="19"/>
                <w:color w:val="auto"/>
              </w:rPr>
            </w:pPr>
          </w:p>
        </w:tc>
      </w:tr>
      <w:tr>
        <w:trPr>
          <w:trHeight w:val="21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9,269</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8,975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80" w:type="dxa"/>
            <w:vAlign w:val="bottom"/>
            <w:tcBorders>
              <w:bottom w:val="single" w:sz="8" w:color="auto"/>
            </w:tcBorders>
          </w:tcPr>
          <w:p>
            <w:pPr>
              <w:spacing w:after="0"/>
              <w:rPr>
                <w:sz w:val="18"/>
                <w:szCs w:val="18"/>
                <w:color w:val="auto"/>
              </w:rPr>
            </w:pP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7,272</w:t>
            </w:r>
          </w:p>
        </w:tc>
        <w:tc>
          <w:tcPr>
            <w:tcW w:w="4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6,830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6.5 %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Net Additions / (Losses)</w:t>
            </w:r>
          </w:p>
        </w:tc>
        <w:tc>
          <w:tcPr>
            <w:tcW w:w="0" w:type="dxa"/>
            <w:vAlign w:val="bottom"/>
          </w:tcPr>
          <w:p>
            <w:pPr>
              <w:spacing w:after="0"/>
              <w:rPr>
                <w:sz w:val="1"/>
                <w:szCs w:val="1"/>
                <w:color w:val="auto"/>
              </w:rPr>
            </w:pPr>
          </w:p>
        </w:tc>
      </w:tr>
      <w:tr>
        <w:trPr>
          <w:trHeight w:val="129"/>
        </w:trPr>
        <w:tc>
          <w:tcPr>
            <w:tcW w:w="71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Pr>
          <w:p>
            <w:pPr>
              <w:spacing w:after="0"/>
              <w:rPr>
                <w:sz w:val="11"/>
                <w:szCs w:val="11"/>
                <w:color w:val="auto"/>
              </w:rPr>
            </w:pPr>
          </w:p>
        </w:tc>
        <w:tc>
          <w:tcPr>
            <w:tcW w:w="206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0"/>
              </w:rPr>
              <w:t>Three Months Ended</w:t>
            </w:r>
          </w:p>
        </w:tc>
        <w:tc>
          <w:tcPr>
            <w:tcW w:w="0" w:type="dxa"/>
            <w:vAlign w:val="bottom"/>
          </w:tcPr>
          <w:p>
            <w:pPr>
              <w:spacing w:after="0"/>
              <w:rPr>
                <w:sz w:val="1"/>
                <w:szCs w:val="1"/>
                <w:color w:val="auto"/>
              </w:rPr>
            </w:pPr>
          </w:p>
        </w:tc>
      </w:tr>
      <w:tr>
        <w:trPr>
          <w:trHeight w:val="178"/>
        </w:trPr>
        <w:tc>
          <w:tcPr>
            <w:tcW w:w="71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616"/>
              <w:spacing w:after="0"/>
              <w:rPr>
                <w:sz w:val="20"/>
                <w:szCs w:val="20"/>
                <w:color w:val="auto"/>
              </w:rPr>
            </w:pPr>
            <w:r>
              <w:rPr>
                <w:rFonts w:ascii="Arial" w:cs="Arial" w:eastAsia="Arial" w:hAnsi="Arial"/>
                <w:sz w:val="14"/>
                <w:szCs w:val="14"/>
                <w:color w:val="auto"/>
                <w:w w:val="93"/>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2022</w:t>
            </w: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w w:val="96"/>
              </w:rPr>
              <w:t>2021</w:t>
            </w: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rPr>
              <w:t>2022</w:t>
            </w: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19"/>
        </w:trPr>
        <w:tc>
          <w:tcPr>
            <w:tcW w:w="7100" w:type="dxa"/>
            <w:vAlign w:val="bottom"/>
          </w:tcPr>
          <w:p>
            <w:pPr>
              <w:ind w:left="20"/>
              <w:spacing w:after="0"/>
              <w:rPr>
                <w:sz w:val="20"/>
                <w:szCs w:val="20"/>
                <w:color w:val="auto"/>
              </w:rPr>
            </w:pPr>
            <w:r>
              <w:rPr>
                <w:rFonts w:ascii="Arial" w:cs="Arial" w:eastAsia="Arial" w:hAnsi="Arial"/>
                <w:sz w:val="17"/>
                <w:szCs w:val="17"/>
                <w:b w:val="1"/>
                <w:bCs w:val="1"/>
                <w:color w:val="auto"/>
              </w:rPr>
              <w:t>Customer relationships</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80"/>
              <w:spacing w:after="0"/>
              <w:rPr>
                <w:sz w:val="20"/>
                <w:szCs w:val="20"/>
                <w:color w:val="auto"/>
              </w:rPr>
            </w:pPr>
            <w:r>
              <w:rPr>
                <w:rFonts w:ascii="Arial" w:cs="Arial" w:eastAsia="Arial" w:hAnsi="Arial"/>
                <w:sz w:val="17"/>
                <w:szCs w:val="17"/>
                <w:color w:val="auto"/>
              </w:rPr>
              <w:t>Residential customer relationships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31,913</w:t>
            </w:r>
          </w:p>
        </w:tc>
        <w:tc>
          <w:tcPr>
            <w:tcW w:w="700" w:type="dxa"/>
            <w:vAlign w:val="bottom"/>
          </w:tcPr>
          <w:p>
            <w:pPr>
              <w:jc w:val="right"/>
              <w:spacing w:after="0"/>
              <w:rPr>
                <w:sz w:val="20"/>
                <w:szCs w:val="20"/>
                <w:color w:val="auto"/>
              </w:rPr>
            </w:pPr>
            <w:r>
              <w:rPr>
                <w:rFonts w:ascii="Arial" w:cs="Arial" w:eastAsia="Arial" w:hAnsi="Arial"/>
                <w:sz w:val="17"/>
                <w:szCs w:val="17"/>
                <w:color w:val="auto"/>
              </w:rPr>
              <w:t>31,062</w:t>
            </w:r>
          </w:p>
        </w:tc>
        <w:tc>
          <w:tcPr>
            <w:tcW w:w="1360" w:type="dxa"/>
            <w:vAlign w:val="bottom"/>
          </w:tcPr>
          <w:p>
            <w:pPr>
              <w:jc w:val="right"/>
              <w:ind w:right="316"/>
              <w:spacing w:after="0"/>
              <w:rPr>
                <w:sz w:val="20"/>
                <w:szCs w:val="20"/>
                <w:color w:val="auto"/>
              </w:rPr>
            </w:pPr>
            <w:r>
              <w:rPr>
                <w:rFonts w:ascii="Arial" w:cs="Arial" w:eastAsia="Arial" w:hAnsi="Arial"/>
                <w:sz w:val="17"/>
                <w:szCs w:val="17"/>
                <w:color w:val="auto"/>
              </w:rPr>
              <w:t>185</w:t>
            </w:r>
          </w:p>
        </w:tc>
        <w:tc>
          <w:tcPr>
            <w:tcW w:w="700" w:type="dxa"/>
            <w:vAlign w:val="bottom"/>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7"/>
                <w:szCs w:val="17"/>
                <w:color w:val="auto"/>
              </w:rPr>
              <w:t>Business services customer relationships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2,498</w:t>
            </w:r>
          </w:p>
        </w:tc>
        <w:tc>
          <w:tcPr>
            <w:tcW w:w="700" w:type="dxa"/>
            <w:vAlign w:val="bottom"/>
          </w:tcPr>
          <w:p>
            <w:pPr>
              <w:jc w:val="right"/>
              <w:spacing w:after="0"/>
              <w:rPr>
                <w:sz w:val="20"/>
                <w:szCs w:val="20"/>
                <w:color w:val="auto"/>
              </w:rPr>
            </w:pPr>
            <w:r>
              <w:rPr>
                <w:rFonts w:ascii="Arial" w:cs="Arial" w:eastAsia="Arial" w:hAnsi="Arial"/>
                <w:sz w:val="17"/>
                <w:szCs w:val="17"/>
                <w:color w:val="auto"/>
              </w:rPr>
              <w:t>2,437</w:t>
            </w:r>
          </w:p>
        </w:tc>
        <w:tc>
          <w:tcPr>
            <w:tcW w:w="1360" w:type="dxa"/>
            <w:vAlign w:val="bottom"/>
          </w:tcPr>
          <w:p>
            <w:pPr>
              <w:jc w:val="right"/>
              <w:ind w:right="316"/>
              <w:spacing w:after="0"/>
              <w:rPr>
                <w:sz w:val="20"/>
                <w:szCs w:val="20"/>
                <w:color w:val="auto"/>
              </w:rPr>
            </w:pPr>
            <w:r>
              <w:rPr>
                <w:rFonts w:ascii="Arial" w:cs="Arial" w:eastAsia="Arial" w:hAnsi="Arial"/>
                <w:sz w:val="17"/>
                <w:szCs w:val="17"/>
                <w:color w:val="auto"/>
              </w:rPr>
              <w:t>9</w:t>
            </w:r>
          </w:p>
        </w:tc>
        <w:tc>
          <w:tcPr>
            <w:tcW w:w="7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customer relationships</w:t>
            </w: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34,412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33,499</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194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17"/>
        </w:trPr>
        <w:tc>
          <w:tcPr>
            <w:tcW w:w="7100" w:type="dxa"/>
            <w:vAlign w:val="bottom"/>
          </w:tcPr>
          <w:p>
            <w:pPr>
              <w:ind w:left="20"/>
              <w:spacing w:after="0"/>
              <w:rPr>
                <w:sz w:val="20"/>
                <w:szCs w:val="20"/>
                <w:color w:val="auto"/>
              </w:rPr>
            </w:pPr>
            <w:r>
              <w:rPr>
                <w:rFonts w:ascii="Arial" w:cs="Arial" w:eastAsia="Arial" w:hAnsi="Arial"/>
                <w:sz w:val="17"/>
                <w:szCs w:val="17"/>
                <w:b w:val="1"/>
                <w:bCs w:val="1"/>
                <w:color w:val="auto"/>
              </w:rPr>
              <w:t>Residential customer relationships mix</w:t>
            </w: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80"/>
              <w:spacing w:after="0"/>
              <w:rPr>
                <w:sz w:val="20"/>
                <w:szCs w:val="20"/>
                <w:color w:val="auto"/>
              </w:rPr>
            </w:pPr>
            <w:r>
              <w:rPr>
                <w:rFonts w:ascii="Arial" w:cs="Arial" w:eastAsia="Arial" w:hAnsi="Arial"/>
                <w:sz w:val="17"/>
                <w:szCs w:val="17"/>
                <w:color w:val="auto"/>
              </w:rPr>
              <w:t>One product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14,816</w:t>
            </w:r>
          </w:p>
        </w:tc>
        <w:tc>
          <w:tcPr>
            <w:tcW w:w="700" w:type="dxa"/>
            <w:vAlign w:val="bottom"/>
          </w:tcPr>
          <w:p>
            <w:pPr>
              <w:jc w:val="right"/>
              <w:spacing w:after="0"/>
              <w:rPr>
                <w:sz w:val="20"/>
                <w:szCs w:val="20"/>
                <w:color w:val="auto"/>
              </w:rPr>
            </w:pPr>
            <w:r>
              <w:rPr>
                <w:rFonts w:ascii="Arial" w:cs="Arial" w:eastAsia="Arial" w:hAnsi="Arial"/>
                <w:sz w:val="17"/>
                <w:szCs w:val="17"/>
                <w:color w:val="auto"/>
              </w:rPr>
              <w:t>12,997</w:t>
            </w:r>
          </w:p>
        </w:tc>
        <w:tc>
          <w:tcPr>
            <w:tcW w:w="1360" w:type="dxa"/>
            <w:vAlign w:val="bottom"/>
          </w:tcPr>
          <w:p>
            <w:pPr>
              <w:jc w:val="right"/>
              <w:ind w:right="316"/>
              <w:spacing w:after="0"/>
              <w:rPr>
                <w:sz w:val="20"/>
                <w:szCs w:val="20"/>
                <w:color w:val="auto"/>
              </w:rPr>
            </w:pPr>
            <w:r>
              <w:rPr>
                <w:rFonts w:ascii="Arial" w:cs="Arial" w:eastAsia="Arial" w:hAnsi="Arial"/>
                <w:sz w:val="17"/>
                <w:szCs w:val="17"/>
                <w:color w:val="auto"/>
              </w:rPr>
              <w:t>486</w:t>
            </w:r>
          </w:p>
        </w:tc>
        <w:tc>
          <w:tcPr>
            <w:tcW w:w="700" w:type="dxa"/>
            <w:vAlign w:val="bottom"/>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7"/>
                <w:szCs w:val="17"/>
                <w:color w:val="auto"/>
              </w:rPr>
              <w:t>Two product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8,364</w:t>
            </w:r>
          </w:p>
        </w:tc>
        <w:tc>
          <w:tcPr>
            <w:tcW w:w="700" w:type="dxa"/>
            <w:vAlign w:val="bottom"/>
          </w:tcPr>
          <w:p>
            <w:pPr>
              <w:jc w:val="right"/>
              <w:spacing w:after="0"/>
              <w:rPr>
                <w:sz w:val="20"/>
                <w:szCs w:val="20"/>
                <w:color w:val="auto"/>
              </w:rPr>
            </w:pPr>
            <w:r>
              <w:rPr>
                <w:rFonts w:ascii="Arial" w:cs="Arial" w:eastAsia="Arial" w:hAnsi="Arial"/>
                <w:sz w:val="17"/>
                <w:szCs w:val="17"/>
                <w:color w:val="auto"/>
              </w:rPr>
              <w:t>8,645</w:t>
            </w: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(43)</w:t>
            </w:r>
          </w:p>
        </w:tc>
        <w:tc>
          <w:tcPr>
            <w:tcW w:w="70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Three or more product customers</w:t>
            </w: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8,733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9,420</w:t>
            </w: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(259)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7"/>
        </w:trPr>
        <w:tc>
          <w:tcPr>
            <w:tcW w:w="7100" w:type="dxa"/>
            <w:vAlign w:val="bottom"/>
          </w:tcPr>
          <w:p>
            <w:pPr>
              <w:ind w:left="20"/>
              <w:spacing w:after="0"/>
              <w:rPr>
                <w:sz w:val="20"/>
                <w:szCs w:val="20"/>
                <w:color w:val="auto"/>
              </w:rPr>
            </w:pPr>
            <w:r>
              <w:rPr>
                <w:rFonts w:ascii="Arial" w:cs="Arial" w:eastAsia="Arial" w:hAnsi="Arial"/>
                <w:sz w:val="17"/>
                <w:szCs w:val="17"/>
                <w:b w:val="1"/>
                <w:bCs w:val="1"/>
                <w:color w:val="auto"/>
              </w:rPr>
              <w:t>Broadband</w:t>
            </w: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80"/>
              <w:spacing w:after="0"/>
              <w:rPr>
                <w:sz w:val="20"/>
                <w:szCs w:val="20"/>
                <w:color w:val="auto"/>
              </w:rPr>
            </w:pPr>
            <w:r>
              <w:rPr>
                <w:rFonts w:ascii="Arial" w:cs="Arial" w:eastAsia="Arial" w:hAnsi="Arial"/>
                <w:sz w:val="17"/>
                <w:szCs w:val="17"/>
                <w:color w:val="auto"/>
              </w:rPr>
              <w:t>Residential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29,836</w:t>
            </w:r>
          </w:p>
        </w:tc>
        <w:tc>
          <w:tcPr>
            <w:tcW w:w="700" w:type="dxa"/>
            <w:vAlign w:val="bottom"/>
          </w:tcPr>
          <w:p>
            <w:pPr>
              <w:jc w:val="right"/>
              <w:spacing w:after="0"/>
              <w:rPr>
                <w:sz w:val="20"/>
                <w:szCs w:val="20"/>
                <w:color w:val="auto"/>
              </w:rPr>
            </w:pPr>
            <w:r>
              <w:rPr>
                <w:rFonts w:ascii="Arial" w:cs="Arial" w:eastAsia="Arial" w:hAnsi="Arial"/>
                <w:sz w:val="17"/>
                <w:szCs w:val="17"/>
                <w:color w:val="auto"/>
              </w:rPr>
              <w:t>28,774</w:t>
            </w:r>
          </w:p>
        </w:tc>
        <w:tc>
          <w:tcPr>
            <w:tcW w:w="1360" w:type="dxa"/>
            <w:vAlign w:val="bottom"/>
          </w:tcPr>
          <w:p>
            <w:pPr>
              <w:jc w:val="right"/>
              <w:ind w:right="316"/>
              <w:spacing w:after="0"/>
              <w:rPr>
                <w:sz w:val="20"/>
                <w:szCs w:val="20"/>
                <w:color w:val="auto"/>
              </w:rPr>
            </w:pPr>
            <w:r>
              <w:rPr>
                <w:rFonts w:ascii="Arial" w:cs="Arial" w:eastAsia="Arial" w:hAnsi="Arial"/>
                <w:sz w:val="17"/>
                <w:szCs w:val="17"/>
                <w:color w:val="auto"/>
              </w:rPr>
              <w:t>253</w:t>
            </w:r>
          </w:p>
        </w:tc>
        <w:tc>
          <w:tcPr>
            <w:tcW w:w="700" w:type="dxa"/>
            <w:vAlign w:val="bottom"/>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7"/>
                <w:szCs w:val="17"/>
                <w:color w:val="auto"/>
              </w:rPr>
              <w:t>Business services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2,327</w:t>
            </w:r>
          </w:p>
        </w:tc>
        <w:tc>
          <w:tcPr>
            <w:tcW w:w="700" w:type="dxa"/>
            <w:vAlign w:val="bottom"/>
          </w:tcPr>
          <w:p>
            <w:pPr>
              <w:jc w:val="right"/>
              <w:spacing w:after="0"/>
              <w:rPr>
                <w:sz w:val="20"/>
                <w:szCs w:val="20"/>
                <w:color w:val="auto"/>
              </w:rPr>
            </w:pPr>
            <w:r>
              <w:rPr>
                <w:rFonts w:ascii="Arial" w:cs="Arial" w:eastAsia="Arial" w:hAnsi="Arial"/>
                <w:sz w:val="17"/>
                <w:szCs w:val="17"/>
                <w:color w:val="auto"/>
              </w:rPr>
              <w:t>2,261</w:t>
            </w:r>
          </w:p>
        </w:tc>
        <w:tc>
          <w:tcPr>
            <w:tcW w:w="1360" w:type="dxa"/>
            <w:vAlign w:val="bottom"/>
          </w:tcPr>
          <w:p>
            <w:pPr>
              <w:jc w:val="right"/>
              <w:ind w:right="316"/>
              <w:spacing w:after="0"/>
              <w:rPr>
                <w:sz w:val="20"/>
                <w:szCs w:val="20"/>
                <w:color w:val="auto"/>
              </w:rPr>
            </w:pPr>
            <w:r>
              <w:rPr>
                <w:rFonts w:ascii="Arial" w:cs="Arial" w:eastAsia="Arial" w:hAnsi="Arial"/>
                <w:sz w:val="17"/>
                <w:szCs w:val="17"/>
                <w:color w:val="auto"/>
              </w:rPr>
              <w:t>9</w:t>
            </w: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broadband customers</w:t>
            </w: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32,163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31,034</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262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17"/>
        </w:trPr>
        <w:tc>
          <w:tcPr>
            <w:tcW w:w="7100" w:type="dxa"/>
            <w:vAlign w:val="bottom"/>
          </w:tcPr>
          <w:p>
            <w:pPr>
              <w:ind w:left="20"/>
              <w:spacing w:after="0"/>
              <w:rPr>
                <w:sz w:val="20"/>
                <w:szCs w:val="20"/>
                <w:color w:val="auto"/>
              </w:rPr>
            </w:pPr>
            <w:r>
              <w:rPr>
                <w:rFonts w:ascii="Arial" w:cs="Arial" w:eastAsia="Arial" w:hAnsi="Arial"/>
                <w:sz w:val="17"/>
                <w:szCs w:val="17"/>
                <w:b w:val="1"/>
                <w:bCs w:val="1"/>
                <w:color w:val="auto"/>
              </w:rPr>
              <w:t>Video</w:t>
            </w: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80"/>
              <w:spacing w:after="0"/>
              <w:rPr>
                <w:sz w:val="20"/>
                <w:szCs w:val="20"/>
                <w:color w:val="auto"/>
              </w:rPr>
            </w:pPr>
            <w:r>
              <w:rPr>
                <w:rFonts w:ascii="Arial" w:cs="Arial" w:eastAsia="Arial" w:hAnsi="Arial"/>
                <w:sz w:val="17"/>
                <w:szCs w:val="17"/>
                <w:color w:val="auto"/>
              </w:rPr>
              <w:t>Residential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17,011</w:t>
            </w:r>
          </w:p>
        </w:tc>
        <w:tc>
          <w:tcPr>
            <w:tcW w:w="700" w:type="dxa"/>
            <w:vAlign w:val="bottom"/>
          </w:tcPr>
          <w:p>
            <w:pPr>
              <w:jc w:val="right"/>
              <w:spacing w:after="0"/>
              <w:rPr>
                <w:sz w:val="20"/>
                <w:szCs w:val="20"/>
                <w:color w:val="auto"/>
              </w:rPr>
            </w:pPr>
            <w:r>
              <w:rPr>
                <w:rFonts w:ascii="Arial" w:cs="Arial" w:eastAsia="Arial" w:hAnsi="Arial"/>
                <w:sz w:val="17"/>
                <w:szCs w:val="17"/>
                <w:color w:val="auto"/>
              </w:rPr>
              <w:t>18,590</w:t>
            </w: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(484)</w:t>
            </w:r>
          </w:p>
        </w:tc>
        <w:tc>
          <w:tcPr>
            <w:tcW w:w="700" w:type="dxa"/>
            <w:vAlign w:val="bottom"/>
          </w:tcPr>
          <w:p>
            <w:pPr>
              <w:jc w:val="right"/>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7"/>
                <w:szCs w:val="17"/>
                <w:color w:val="auto"/>
              </w:rPr>
              <w:t>Business services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654</w:t>
            </w:r>
          </w:p>
        </w:tc>
        <w:tc>
          <w:tcPr>
            <w:tcW w:w="700" w:type="dxa"/>
            <w:vAlign w:val="bottom"/>
          </w:tcPr>
          <w:p>
            <w:pPr>
              <w:jc w:val="right"/>
              <w:spacing w:after="0"/>
              <w:rPr>
                <w:sz w:val="20"/>
                <w:szCs w:val="20"/>
                <w:color w:val="auto"/>
              </w:rPr>
            </w:pPr>
            <w:r>
              <w:rPr>
                <w:rFonts w:ascii="Arial" w:cs="Arial" w:eastAsia="Arial" w:hAnsi="Arial"/>
                <w:sz w:val="17"/>
                <w:szCs w:val="17"/>
                <w:color w:val="auto"/>
              </w:rPr>
              <w:t>765</w:t>
            </w: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(27)</w:t>
            </w:r>
          </w:p>
        </w:tc>
        <w:tc>
          <w:tcPr>
            <w:tcW w:w="70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video customers</w:t>
            </w: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17,664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19,355</w:t>
            </w: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(512)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17"/>
        </w:trPr>
        <w:tc>
          <w:tcPr>
            <w:tcW w:w="7100" w:type="dxa"/>
            <w:vAlign w:val="bottom"/>
          </w:tcPr>
          <w:p>
            <w:pPr>
              <w:ind w:left="20"/>
              <w:spacing w:after="0"/>
              <w:rPr>
                <w:sz w:val="20"/>
                <w:szCs w:val="20"/>
                <w:color w:val="auto"/>
              </w:rPr>
            </w:pPr>
            <w:r>
              <w:rPr>
                <w:rFonts w:ascii="Arial" w:cs="Arial" w:eastAsia="Arial" w:hAnsi="Arial"/>
                <w:sz w:val="17"/>
                <w:szCs w:val="17"/>
                <w:b w:val="1"/>
                <w:bCs w:val="1"/>
                <w:color w:val="auto"/>
              </w:rPr>
              <w:t>Voice</w:t>
            </w: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80"/>
              <w:spacing w:after="0"/>
              <w:rPr>
                <w:sz w:val="20"/>
                <w:szCs w:val="20"/>
                <w:color w:val="auto"/>
              </w:rPr>
            </w:pPr>
            <w:r>
              <w:rPr>
                <w:rFonts w:ascii="Arial" w:cs="Arial" w:eastAsia="Arial" w:hAnsi="Arial"/>
                <w:sz w:val="17"/>
                <w:szCs w:val="17"/>
                <w:color w:val="auto"/>
              </w:rPr>
              <w:t>Residential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8,781</w:t>
            </w:r>
          </w:p>
        </w:tc>
        <w:tc>
          <w:tcPr>
            <w:tcW w:w="700" w:type="dxa"/>
            <w:vAlign w:val="bottom"/>
          </w:tcPr>
          <w:p>
            <w:pPr>
              <w:jc w:val="right"/>
              <w:spacing w:after="0"/>
              <w:rPr>
                <w:sz w:val="20"/>
                <w:szCs w:val="20"/>
                <w:color w:val="auto"/>
              </w:rPr>
            </w:pPr>
            <w:r>
              <w:rPr>
                <w:rFonts w:ascii="Arial" w:cs="Arial" w:eastAsia="Arial" w:hAnsi="Arial"/>
                <w:sz w:val="17"/>
                <w:szCs w:val="17"/>
                <w:color w:val="auto"/>
              </w:rPr>
              <w:t>9,533</w:t>
            </w: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(282)</w:t>
            </w:r>
          </w:p>
        </w:tc>
        <w:tc>
          <w:tcPr>
            <w:tcW w:w="70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7"/>
                <w:szCs w:val="17"/>
                <w:color w:val="auto"/>
              </w:rPr>
              <w:t>Business services customers</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1,391</w:t>
            </w:r>
          </w:p>
        </w:tc>
        <w:tc>
          <w:tcPr>
            <w:tcW w:w="700" w:type="dxa"/>
            <w:vAlign w:val="bottom"/>
          </w:tcPr>
          <w:p>
            <w:pPr>
              <w:jc w:val="right"/>
              <w:spacing w:after="0"/>
              <w:rPr>
                <w:sz w:val="20"/>
                <w:szCs w:val="20"/>
                <w:color w:val="auto"/>
              </w:rPr>
            </w:pPr>
            <w:r>
              <w:rPr>
                <w:rFonts w:ascii="Arial" w:cs="Arial" w:eastAsia="Arial" w:hAnsi="Arial"/>
                <w:sz w:val="17"/>
                <w:szCs w:val="17"/>
                <w:color w:val="auto"/>
              </w:rPr>
              <w:t>1,363</w:t>
            </w:r>
          </w:p>
        </w:tc>
        <w:tc>
          <w:tcPr>
            <w:tcW w:w="1360" w:type="dxa"/>
            <w:vAlign w:val="bottom"/>
          </w:tcPr>
          <w:p>
            <w:pPr>
              <w:jc w:val="right"/>
              <w:ind w:right="276"/>
              <w:spacing w:after="0"/>
              <w:rPr>
                <w:sz w:val="20"/>
                <w:szCs w:val="20"/>
                <w:color w:val="auto"/>
              </w:rPr>
            </w:pPr>
            <w:r>
              <w:rPr>
                <w:rFonts w:ascii="Arial" w:cs="Arial" w:eastAsia="Arial" w:hAnsi="Arial"/>
                <w:sz w:val="17"/>
                <w:szCs w:val="17"/>
                <w:color w:val="auto"/>
              </w:rPr>
              <w:t>(1)</w:t>
            </w:r>
          </w:p>
        </w:tc>
        <w:tc>
          <w:tcPr>
            <w:tcW w:w="7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voice customers</w:t>
            </w: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10,171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10,896</w:t>
            </w: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(282)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7100" w:type="dxa"/>
            <w:vAlign w:val="bottom"/>
          </w:tcPr>
          <w:p>
            <w:pPr>
              <w:ind w:left="20"/>
              <w:spacing w:after="0"/>
              <w:rPr>
                <w:sz w:val="20"/>
                <w:szCs w:val="20"/>
                <w:color w:val="auto"/>
              </w:rPr>
            </w:pPr>
            <w:r>
              <w:rPr>
                <w:rFonts w:ascii="Arial" w:cs="Arial" w:eastAsia="Arial" w:hAnsi="Arial"/>
                <w:sz w:val="17"/>
                <w:szCs w:val="17"/>
                <w:b w:val="1"/>
                <w:bCs w:val="1"/>
                <w:color w:val="auto"/>
              </w:rPr>
              <w:t>Wireless</w:t>
            </w: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Wireless lines</w:t>
            </w: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4,298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3,103</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Customer metrics are presented based on actual amounts.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in 2021 did not include customers in certain pandemic-related programs through which portions of our customers temporarily received our services for free. These programs ended in December 2021, resulting in a one-time benefit to net additions in the three months ended March 31,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699"/>
              <w:spacing w:after="0"/>
              <w:rPr>
                <w:sz w:val="20"/>
                <w:szCs w:val="20"/>
                <w:color w:val="auto"/>
              </w:rPr>
            </w:pPr>
            <w:r>
              <w:rPr>
                <w:rFonts w:ascii="Arial" w:cs="Arial" w:eastAsia="Arial" w:hAnsi="Arial"/>
                <w:sz w:val="14"/>
                <w:szCs w:val="14"/>
                <w:color w:val="auto"/>
              </w:rPr>
              <w:t>Three Months Ended</w:t>
            </w:r>
          </w:p>
        </w:tc>
        <w:tc>
          <w:tcPr>
            <w:tcW w:w="1400" w:type="dxa"/>
            <w:vAlign w:val="bottom"/>
            <w:vMerge w:val="restart"/>
          </w:tcPr>
          <w:p>
            <w:pPr>
              <w:jc w:val="right"/>
              <w:ind w:right="61"/>
              <w:spacing w:after="0"/>
              <w:rPr>
                <w:sz w:val="20"/>
                <w:szCs w:val="20"/>
                <w:color w:val="auto"/>
              </w:rPr>
            </w:pPr>
            <w:r>
              <w:rPr>
                <w:rFonts w:ascii="Arial" w:cs="Arial" w:eastAsia="Arial" w:hAnsi="Arial"/>
                <w:sz w:val="14"/>
                <w:szCs w:val="14"/>
                <w:color w:val="auto"/>
                <w:w w:val="97"/>
              </w:rPr>
              <w:t>Increase/(Decrease)</w:t>
            </w:r>
          </w:p>
        </w:tc>
        <w:tc>
          <w:tcPr>
            <w:tcW w:w="0" w:type="dxa"/>
            <w:vAlign w:val="bottom"/>
          </w:tcPr>
          <w:p>
            <w:pPr>
              <w:spacing w:after="0"/>
              <w:rPr>
                <w:sz w:val="1"/>
                <w:szCs w:val="1"/>
                <w:color w:val="auto"/>
              </w:rPr>
            </w:pPr>
          </w:p>
        </w:tc>
      </w:tr>
      <w:tr>
        <w:trPr>
          <w:trHeight w:val="181"/>
        </w:trPr>
        <w:tc>
          <w:tcPr>
            <w:tcW w:w="7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2021</w:t>
            </w: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7180" w:type="dxa"/>
            <w:vAlign w:val="bottom"/>
          </w:tcPr>
          <w:p>
            <w:pPr>
              <w:ind w:left="20"/>
              <w:spacing w:after="0"/>
              <w:rPr>
                <w:sz w:val="20"/>
                <w:szCs w:val="20"/>
                <w:color w:val="auto"/>
              </w:rPr>
            </w:pPr>
            <w:r>
              <w:rPr>
                <w:rFonts w:ascii="Arial" w:cs="Arial" w:eastAsia="Arial" w:hAnsi="Arial"/>
                <w:sz w:val="17"/>
                <w:szCs w:val="17"/>
                <w:color w:val="auto"/>
              </w:rPr>
              <w:t>Average monthly total revenue per customer relationship</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23"/>
              <w:spacing w:after="0"/>
              <w:rPr>
                <w:sz w:val="20"/>
                <w:szCs w:val="20"/>
                <w:color w:val="auto"/>
              </w:rPr>
            </w:pPr>
            <w:r>
              <w:rPr>
                <w:rFonts w:ascii="Arial" w:cs="Arial" w:eastAsia="Arial" w:hAnsi="Arial"/>
                <w:sz w:val="17"/>
                <w:szCs w:val="17"/>
                <w:color w:val="auto"/>
              </w:rPr>
              <w:t>160.67</w:t>
            </w:r>
          </w:p>
        </w:tc>
        <w:tc>
          <w:tcPr>
            <w:tcW w:w="44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158.17</w:t>
            </w:r>
          </w:p>
        </w:tc>
        <w:tc>
          <w:tcPr>
            <w:tcW w:w="1400" w:type="dxa"/>
            <w:vAlign w:val="bottom"/>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Average monthly Adjusted EBITDA per customer relationship</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70.64</w:t>
            </w:r>
          </w:p>
        </w:tc>
        <w:tc>
          <w:tcPr>
            <w:tcW w:w="4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68.35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and voice services is also impacted by changes in the allocation of revenue among services sold in a bundle, the allocation does not impact average monthly total revenue per customer relationship. Each of our services has a different contribution to operating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Broadband</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months ended March 31, 2022 compared to the same period in 2021 due to an increase in the number of residential broadband customers and an increase in average rates.</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144780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0" w:name="page21"/>
    <w:bookmarkEnd w:id="2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Video</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decreased for the three months ended March 31, 2022 compared to the same period in 2021 primarily due to a decline in the number of residential video customers, partially offset by an increase in average rates. We expect that the number of residential video customers will continue to decline, negatively impacting video revenue as a result of the competitive environment and shifting video consumption patterns.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Voice</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decreased for the three months ended March 31, 2022 compared to the same period in 2021 primarily due to a decline in the number of residential voice customers. We expect that the number of residential voice customers and voice revenue will continue to decline.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Wireless</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months ended March 31, 2022 compared to the same period in 2021 primarily due to an increase in the number of customer lines.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Services</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months ended March 31, 2022 compared to the same period in 2021 primarily due to increases in average rates and customer relationships compared to the prior year period and due to the acquisition of Masergy in October 2021.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months ended March 31, 2022 compared to the same period in 2021 primarily due to increases in political advertising, advertising at our Xumo streaming service and revenue from our advanced advertising businesses.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months ended March 31, 2022 compared to the same period in 2021 due to increases in revenue from licensing of our technology platforms and from our security and automation services.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Costs and Expenses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Programming expenses decreased for the three months ended March 31, 2022 compared to the same period in 2021 primarily due to a decline in the number of video subscribers, partially offset by contractual rate increases.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Technical and product support expenses increased for the three months ended March 31, 2022 compared to the same period in 2021 primarily due to an increase in costs associated with our wireless phone service resulting from increases in the number of customers receiving the service and device sales, and the acquisition of Masergy.</w:t>
      </w:r>
    </w:p>
    <w:p>
      <w:pPr>
        <w:spacing w:after="0" w:line="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Customer service expenses decreased for the three months ended March 31, 2022 compared to the same period in 2021 primarily due to lower labor costs as a result of reduced call volumes.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Advertising, marketing and promotion expenses increased for the three months ended March 31, 2022 compared to the same period in 2021 primarily due to increased spending associated with attracting new customers and promoting our service offerings, including advertising expenses associated with the Beijing Olympics.</w:t>
      </w:r>
    </w:p>
    <w:p>
      <w:pPr>
        <w:spacing w:after="0" w:line="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Franchise and other regulatory fees decreased for the three months ended March 31, 2022 compared to the same period in 2021 primarily due to a decrease in regulatory costs.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Other operating costs and expenses increased for the three months ended March 31, 2022 compared to the same period in 2021 primarily due to lower levels of bad debt expense in the prior year period, and higher personnel and other overhead costs.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Margin</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operating margin is Adjusted EBITDA as a percentage of revenue. We believe this metric is useful particularly as we continue to focus on growing our higher-margin businesses and improving overall operating cost management.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Our operating margin for the three months ended March 31, 2022 and 2021 was 44.0% and 43.2%,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Segments Results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center"/>
              <w:ind w:right="454"/>
              <w:spacing w:after="0"/>
              <w:rPr>
                <w:sz w:val="20"/>
                <w:szCs w:val="20"/>
                <w:color w:val="auto"/>
              </w:rPr>
            </w:pPr>
            <w:r>
              <w:rPr>
                <w:rFonts w:ascii="Arial" w:cs="Arial" w:eastAsia="Arial" w:hAnsi="Arial"/>
                <w:sz w:val="14"/>
                <w:szCs w:val="14"/>
                <w:color w:val="auto"/>
                <w:w w:val="90"/>
              </w:rPr>
              <w:t>Three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180" w:type="dxa"/>
            <w:vAlign w:val="bottom"/>
          </w:tcPr>
          <w:p>
            <w:pPr>
              <w:spacing w:after="0"/>
              <w:rPr>
                <w:sz w:val="14"/>
                <w:szCs w:val="14"/>
                <w:color w:val="auto"/>
              </w:rPr>
            </w:pP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97"/>
              <w:spacing w:after="0"/>
              <w:rPr>
                <w:sz w:val="20"/>
                <w:szCs w:val="20"/>
                <w:color w:val="auto"/>
              </w:rPr>
            </w:pPr>
            <w:r>
              <w:rPr>
                <w:rFonts w:ascii="Arial" w:cs="Arial" w:eastAsia="Arial" w:hAnsi="Arial"/>
                <w:sz w:val="14"/>
                <w:szCs w:val="14"/>
                <w:color w:val="auto"/>
                <w:w w:val="93"/>
              </w:rPr>
              <w:t>March 31,</w:t>
            </w:r>
          </w:p>
        </w:tc>
        <w:tc>
          <w:tcPr>
            <w:tcW w:w="1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180" w:type="dxa"/>
            <w:vAlign w:val="bottom"/>
            <w:tcBorders>
              <w:bottom w:val="single" w:sz="8" w:color="auto"/>
            </w:tcBorders>
          </w:tcPr>
          <w:p>
            <w:pPr>
              <w:spacing w:after="0"/>
              <w:rPr>
                <w:sz w:val="15"/>
                <w:szCs w:val="15"/>
                <w:color w:val="auto"/>
              </w:rPr>
            </w:pP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5"/>
                <w:szCs w:val="15"/>
                <w:color w:val="auto"/>
              </w:rPr>
            </w:pP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7160" w:type="dxa"/>
            <w:vAlign w:val="bottom"/>
          </w:tcPr>
          <w:p>
            <w:pPr>
              <w:ind w:left="340"/>
              <w:spacing w:after="0"/>
              <w:rPr>
                <w:sz w:val="20"/>
                <w:szCs w:val="20"/>
                <w:color w:val="auto"/>
              </w:rPr>
            </w:pPr>
            <w:r>
              <w:rPr>
                <w:rFonts w:ascii="Arial" w:cs="Arial" w:eastAsia="Arial" w:hAnsi="Arial"/>
                <w:sz w:val="17"/>
                <w:szCs w:val="17"/>
                <w:color w:val="auto"/>
              </w:rPr>
              <w:t>Media</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6,865</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5,036</w:t>
            </w:r>
          </w:p>
        </w:tc>
        <w:tc>
          <w:tcPr>
            <w:tcW w:w="1080" w:type="dxa"/>
            <w:vAlign w:val="bottom"/>
          </w:tcPr>
          <w:p>
            <w:pPr>
              <w:jc w:val="right"/>
              <w:spacing w:after="0"/>
              <w:rPr>
                <w:sz w:val="20"/>
                <w:szCs w:val="20"/>
                <w:color w:val="auto"/>
              </w:rPr>
            </w:pPr>
            <w:r>
              <w:rPr>
                <w:rFonts w:ascii="Arial" w:cs="Arial" w:eastAsia="Arial" w:hAnsi="Arial"/>
                <w:sz w:val="17"/>
                <w:szCs w:val="17"/>
                <w:color w:val="auto"/>
              </w:rPr>
              <w:t>36.3</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Studios</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2,757</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2,396</w:t>
            </w:r>
          </w:p>
        </w:tc>
        <w:tc>
          <w:tcPr>
            <w:tcW w:w="1080" w:type="dxa"/>
            <w:vAlign w:val="bottom"/>
          </w:tcPr>
          <w:p>
            <w:pPr>
              <w:jc w:val="right"/>
              <w:spacing w:after="0"/>
              <w:rPr>
                <w:sz w:val="20"/>
                <w:szCs w:val="20"/>
                <w:color w:val="auto"/>
              </w:rPr>
            </w:pPr>
            <w:r>
              <w:rPr>
                <w:rFonts w:ascii="Arial" w:cs="Arial" w:eastAsia="Arial" w:hAnsi="Arial"/>
                <w:sz w:val="17"/>
                <w:szCs w:val="17"/>
                <w:color w:val="auto"/>
              </w:rPr>
              <w:t>15.1</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Theme Parks</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1,560</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619</w:t>
            </w:r>
          </w:p>
        </w:tc>
        <w:tc>
          <w:tcPr>
            <w:tcW w:w="1080" w:type="dxa"/>
            <w:vAlign w:val="bottom"/>
          </w:tcPr>
          <w:p>
            <w:pPr>
              <w:jc w:val="right"/>
              <w:spacing w:after="0"/>
              <w:rPr>
                <w:sz w:val="20"/>
                <w:szCs w:val="20"/>
                <w:color w:val="auto"/>
              </w:rPr>
            </w:pPr>
            <w:r>
              <w:rPr>
                <w:rFonts w:ascii="Arial" w:cs="Arial" w:eastAsia="Arial" w:hAnsi="Arial"/>
                <w:sz w:val="17"/>
                <w:szCs w:val="17"/>
                <w:color w:val="auto"/>
              </w:rPr>
              <w:t>151.9</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Headquarters and Other</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16</w:t>
            </w: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Eliminations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(1,043)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80" w:type="dxa"/>
            <w:vAlign w:val="bottom"/>
            <w:tcBorders>
              <w:bottom w:val="single" w:sz="8" w:color="auto"/>
            </w:tcBorders>
          </w:tcPr>
          <w:p>
            <w:pPr>
              <w:spacing w:after="0"/>
              <w:rPr>
                <w:sz w:val="19"/>
                <w:szCs w:val="19"/>
                <w:color w:val="auto"/>
              </w:rPr>
            </w:pP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10,296</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7,024</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46.6 %</w:t>
            </w:r>
          </w:p>
        </w:tc>
      </w:tr>
      <w:tr>
        <w:trPr>
          <w:trHeight w:val="223"/>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7160" w:type="dxa"/>
            <w:vAlign w:val="bottom"/>
          </w:tcPr>
          <w:p>
            <w:pPr>
              <w:ind w:left="340"/>
              <w:spacing w:after="0"/>
              <w:rPr>
                <w:sz w:val="20"/>
                <w:szCs w:val="20"/>
                <w:color w:val="auto"/>
              </w:rPr>
            </w:pPr>
            <w:r>
              <w:rPr>
                <w:rFonts w:ascii="Arial" w:cs="Arial" w:eastAsia="Arial" w:hAnsi="Arial"/>
                <w:sz w:val="17"/>
                <w:szCs w:val="17"/>
                <w:color w:val="auto"/>
              </w:rPr>
              <w:t>Media</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1,159</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1,473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(21.3) %</w:t>
            </w: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Studios</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245</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497</w:t>
            </w:r>
          </w:p>
        </w:tc>
        <w:tc>
          <w:tcPr>
            <w:tcW w:w="1080" w:type="dxa"/>
            <w:vAlign w:val="bottom"/>
          </w:tcPr>
          <w:p>
            <w:pPr>
              <w:jc w:val="right"/>
              <w:spacing w:after="0"/>
              <w:rPr>
                <w:sz w:val="20"/>
                <w:szCs w:val="20"/>
                <w:color w:val="auto"/>
              </w:rPr>
            </w:pPr>
            <w:r>
              <w:rPr>
                <w:rFonts w:ascii="Arial" w:cs="Arial" w:eastAsia="Arial" w:hAnsi="Arial"/>
                <w:sz w:val="17"/>
                <w:szCs w:val="17"/>
                <w:color w:val="auto"/>
              </w:rPr>
              <w:t>(50.7)</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Theme Parks</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451</w:t>
            </w:r>
          </w:p>
        </w:tc>
        <w:tc>
          <w:tcPr>
            <w:tcW w:w="42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(61)</w:t>
            </w:r>
          </w:p>
        </w:tc>
        <w:tc>
          <w:tcPr>
            <w:tcW w:w="1080" w:type="dxa"/>
            <w:vAlign w:val="bottom"/>
          </w:tcPr>
          <w:p>
            <w:pPr>
              <w:jc w:val="right"/>
              <w:spacing w:after="0"/>
              <w:rPr>
                <w:sz w:val="20"/>
                <w:szCs w:val="20"/>
                <w:color w:val="auto"/>
              </w:rPr>
            </w:pPr>
            <w:r>
              <w:rPr>
                <w:rFonts w:ascii="Arial" w:cs="Arial" w:eastAsia="Arial" w:hAnsi="Arial"/>
                <w:sz w:val="17"/>
                <w:szCs w:val="17"/>
                <w:color w:val="auto"/>
              </w:rPr>
              <w:t>NM</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Headquarters and Other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(191)</w:t>
            </w:r>
          </w:p>
        </w:tc>
        <w:tc>
          <w:tcPr>
            <w:tcW w:w="42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(209)</w:t>
            </w:r>
          </w:p>
        </w:tc>
        <w:tc>
          <w:tcPr>
            <w:tcW w:w="1080" w:type="dxa"/>
            <w:vAlign w:val="bottom"/>
          </w:tcPr>
          <w:p>
            <w:pPr>
              <w:jc w:val="right"/>
              <w:spacing w:after="0"/>
              <w:rPr>
                <w:sz w:val="20"/>
                <w:szCs w:val="20"/>
                <w:color w:val="auto"/>
              </w:rPr>
            </w:pPr>
            <w:r>
              <w:rPr>
                <w:rFonts w:ascii="Arial" w:cs="Arial" w:eastAsia="Arial" w:hAnsi="Arial"/>
                <w:sz w:val="17"/>
                <w:szCs w:val="17"/>
                <w:color w:val="auto"/>
              </w:rPr>
              <w:t>8.3</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Eliminations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w:t>
            </w:r>
          </w:p>
        </w:tc>
        <w:tc>
          <w:tcPr>
            <w:tcW w:w="180" w:type="dxa"/>
            <w:vAlign w:val="bottom"/>
            <w:tcBorders>
              <w:bottom w:val="single" w:sz="8" w:color="auto"/>
            </w:tcBorders>
          </w:tcPr>
          <w:p>
            <w:pPr>
              <w:spacing w:after="0"/>
              <w:rPr>
                <w:sz w:val="19"/>
                <w:szCs w:val="19"/>
                <w:color w:val="auto"/>
              </w:rPr>
            </w:pP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1,601</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1,490</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7.4 %</w:t>
            </w:r>
          </w:p>
        </w:tc>
      </w:tr>
      <w:tr>
        <w:trPr>
          <w:trHeight w:val="291"/>
        </w:trPr>
        <w:tc>
          <w:tcPr>
            <w:tcW w:w="7160" w:type="dxa"/>
            <w:vAlign w:val="bottom"/>
          </w:tcPr>
          <w:p>
            <w:pPr>
              <w:spacing w:after="0"/>
              <w:rPr>
                <w:sz w:val="20"/>
                <w:szCs w:val="20"/>
                <w:color w:val="auto"/>
              </w:rPr>
            </w:pPr>
            <w:r>
              <w:rPr>
                <w:rFonts w:ascii="Arial" w:cs="Arial" w:eastAsia="Arial" w:hAnsi="Arial"/>
                <w:sz w:val="14"/>
                <w:szCs w:val="14"/>
                <w:color w:val="auto"/>
              </w:rPr>
              <w:t>Percentage changes that are considered not meaningful are denoted with NM.</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4"/>
        </w:trPr>
        <w:tc>
          <w:tcPr>
            <w:tcW w:w="7160" w:type="dxa"/>
            <w:vAlign w:val="bottom"/>
          </w:tcPr>
          <w:p>
            <w:pPr>
              <w:spacing w:after="0"/>
              <w:rPr>
                <w:sz w:val="20"/>
                <w:szCs w:val="20"/>
                <w:color w:val="auto"/>
              </w:rPr>
            </w:pPr>
            <w:r>
              <w:rPr>
                <w:rFonts w:ascii="Arial" w:cs="Arial" w:eastAsia="Arial" w:hAnsi="Arial"/>
                <w:sz w:val="21"/>
                <w:szCs w:val="21"/>
                <w:b w:val="1"/>
                <w:bCs w:val="1"/>
                <w:color w:val="auto"/>
              </w:rPr>
              <w:t>Media Segment Results of Operations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7"/>
        </w:trPr>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3"/>
          </w:tcPr>
          <w:p>
            <w:pPr>
              <w:jc w:val="center"/>
              <w:ind w:right="454"/>
              <w:spacing w:after="0"/>
              <w:rPr>
                <w:sz w:val="20"/>
                <w:szCs w:val="20"/>
                <w:color w:val="auto"/>
              </w:rPr>
            </w:pPr>
            <w:r>
              <w:rPr>
                <w:rFonts w:ascii="Arial" w:cs="Arial" w:eastAsia="Arial" w:hAnsi="Arial"/>
                <w:sz w:val="14"/>
                <w:szCs w:val="14"/>
                <w:color w:val="auto"/>
                <w:w w:val="90"/>
              </w:rPr>
              <w:t>Three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180" w:type="dxa"/>
            <w:vAlign w:val="bottom"/>
          </w:tcPr>
          <w:p>
            <w:pPr>
              <w:spacing w:after="0"/>
              <w:rPr>
                <w:sz w:val="24"/>
                <w:szCs w:val="24"/>
                <w:color w:val="auto"/>
              </w:rPr>
            </w:pP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97"/>
              <w:spacing w:after="0"/>
              <w:rPr>
                <w:sz w:val="20"/>
                <w:szCs w:val="20"/>
                <w:color w:val="auto"/>
              </w:rPr>
            </w:pPr>
            <w:r>
              <w:rPr>
                <w:rFonts w:ascii="Arial" w:cs="Arial" w:eastAsia="Arial" w:hAnsi="Arial"/>
                <w:sz w:val="14"/>
                <w:szCs w:val="14"/>
                <w:color w:val="auto"/>
                <w:w w:val="93"/>
              </w:rPr>
              <w:t>March 31,</w:t>
            </w:r>
          </w:p>
        </w:tc>
        <w:tc>
          <w:tcPr>
            <w:tcW w:w="1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180" w:type="dxa"/>
            <w:vAlign w:val="bottom"/>
            <w:tcBorders>
              <w:bottom w:val="single" w:sz="8" w:color="auto"/>
            </w:tcBorders>
          </w:tcPr>
          <w:p>
            <w:pPr>
              <w:spacing w:after="0"/>
              <w:rPr>
                <w:sz w:val="15"/>
                <w:szCs w:val="15"/>
                <w:color w:val="auto"/>
              </w:rPr>
            </w:pPr>
          </w:p>
        </w:tc>
      </w:tr>
      <w:tr>
        <w:trPr>
          <w:trHeight w:val="179"/>
        </w:trPr>
        <w:tc>
          <w:tcPr>
            <w:tcW w:w="71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5"/>
                <w:szCs w:val="15"/>
                <w:color w:val="auto"/>
              </w:rPr>
            </w:pP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7160" w:type="dxa"/>
            <w:vAlign w:val="bottom"/>
          </w:tcPr>
          <w:p>
            <w:pPr>
              <w:ind w:left="340"/>
              <w:spacing w:after="0"/>
              <w:rPr>
                <w:sz w:val="20"/>
                <w:szCs w:val="20"/>
                <w:color w:val="auto"/>
              </w:rPr>
            </w:pPr>
            <w:r>
              <w:rPr>
                <w:rFonts w:ascii="Arial" w:cs="Arial" w:eastAsia="Arial" w:hAnsi="Arial"/>
                <w:sz w:val="17"/>
                <w:szCs w:val="17"/>
                <w:color w:val="auto"/>
              </w:rPr>
              <w:t>Advertising</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3,332</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2,094</w:t>
            </w:r>
          </w:p>
        </w:tc>
        <w:tc>
          <w:tcPr>
            <w:tcW w:w="1080" w:type="dxa"/>
            <w:vAlign w:val="bottom"/>
          </w:tcPr>
          <w:p>
            <w:pPr>
              <w:jc w:val="right"/>
              <w:spacing w:after="0"/>
              <w:rPr>
                <w:sz w:val="20"/>
                <w:szCs w:val="20"/>
                <w:color w:val="auto"/>
              </w:rPr>
            </w:pPr>
            <w:r>
              <w:rPr>
                <w:rFonts w:ascii="Arial" w:cs="Arial" w:eastAsia="Arial" w:hAnsi="Arial"/>
                <w:sz w:val="17"/>
                <w:szCs w:val="17"/>
                <w:color w:val="auto"/>
              </w:rPr>
              <w:t>59.2</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Distribution</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3,033</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2,495</w:t>
            </w:r>
          </w:p>
        </w:tc>
        <w:tc>
          <w:tcPr>
            <w:tcW w:w="1080" w:type="dxa"/>
            <w:vAlign w:val="bottom"/>
          </w:tcPr>
          <w:p>
            <w:pPr>
              <w:jc w:val="right"/>
              <w:spacing w:after="0"/>
              <w:rPr>
                <w:sz w:val="20"/>
                <w:szCs w:val="20"/>
                <w:color w:val="auto"/>
              </w:rPr>
            </w:pPr>
            <w:r>
              <w:rPr>
                <w:rFonts w:ascii="Arial" w:cs="Arial" w:eastAsia="Arial" w:hAnsi="Arial"/>
                <w:sz w:val="17"/>
                <w:szCs w:val="17"/>
                <w:color w:val="auto"/>
              </w:rPr>
              <w:t>21.6</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499</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447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80" w:type="dxa"/>
            <w:vAlign w:val="bottom"/>
            <w:tcBorders>
              <w:bottom w:val="single" w:sz="8" w:color="auto"/>
            </w:tcBorders>
          </w:tcPr>
          <w:p>
            <w:pPr>
              <w:spacing w:after="0"/>
              <w:rPr>
                <w:sz w:val="19"/>
                <w:szCs w:val="19"/>
                <w:color w:val="auto"/>
              </w:rPr>
            </w:pPr>
          </w:p>
        </w:tc>
      </w:tr>
      <w:tr>
        <w:trPr>
          <w:trHeight w:val="211"/>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b w:val="1"/>
                <w:bCs w:val="1"/>
                <w:color w:val="auto"/>
              </w:rPr>
              <w:t>6,865</w:t>
            </w:r>
          </w:p>
        </w:tc>
        <w:tc>
          <w:tcPr>
            <w:tcW w:w="42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b w:val="1"/>
                <w:bCs w:val="1"/>
                <w:color w:val="auto"/>
              </w:rPr>
              <w:t>5,036</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36.3</w:t>
            </w:r>
          </w:p>
        </w:tc>
        <w:tc>
          <w:tcPr>
            <w:tcW w:w="180" w:type="dxa"/>
            <w:vAlign w:val="bottom"/>
          </w:tcPr>
          <w:p>
            <w:pPr>
              <w:spacing w:after="0"/>
              <w:rPr>
                <w:sz w:val="18"/>
                <w:szCs w:val="18"/>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4,351</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2,522</w:t>
            </w:r>
          </w:p>
        </w:tc>
        <w:tc>
          <w:tcPr>
            <w:tcW w:w="1080" w:type="dxa"/>
            <w:vAlign w:val="bottom"/>
          </w:tcPr>
          <w:p>
            <w:pPr>
              <w:jc w:val="right"/>
              <w:spacing w:after="0"/>
              <w:rPr>
                <w:sz w:val="20"/>
                <w:szCs w:val="20"/>
                <w:color w:val="auto"/>
              </w:rPr>
            </w:pPr>
            <w:r>
              <w:rPr>
                <w:rFonts w:ascii="Arial" w:cs="Arial" w:eastAsia="Arial" w:hAnsi="Arial"/>
                <w:sz w:val="17"/>
                <w:szCs w:val="17"/>
                <w:color w:val="auto"/>
              </w:rPr>
              <w:t>72.5</w:t>
            </w:r>
          </w:p>
        </w:tc>
        <w:tc>
          <w:tcPr>
            <w:tcW w:w="18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929</w:t>
            </w:r>
          </w:p>
        </w:tc>
        <w:tc>
          <w:tcPr>
            <w:tcW w:w="42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819</w:t>
            </w:r>
          </w:p>
        </w:tc>
        <w:tc>
          <w:tcPr>
            <w:tcW w:w="1080" w:type="dxa"/>
            <w:vAlign w:val="bottom"/>
          </w:tcPr>
          <w:p>
            <w:pPr>
              <w:jc w:val="right"/>
              <w:spacing w:after="0"/>
              <w:rPr>
                <w:sz w:val="20"/>
                <w:szCs w:val="20"/>
                <w:color w:val="auto"/>
              </w:rPr>
            </w:pPr>
            <w:r>
              <w:rPr>
                <w:rFonts w:ascii="Arial" w:cs="Arial" w:eastAsia="Arial" w:hAnsi="Arial"/>
                <w:sz w:val="17"/>
                <w:szCs w:val="17"/>
                <w:color w:val="auto"/>
              </w:rPr>
              <w:t>13.5</w:t>
            </w:r>
          </w:p>
        </w:tc>
        <w:tc>
          <w:tcPr>
            <w:tcW w:w="18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Advertising, marketing and promotion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426</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w:t>
            </w:r>
          </w:p>
        </w:tc>
        <w:tc>
          <w:tcPr>
            <w:tcW w:w="180" w:type="dxa"/>
            <w:vAlign w:val="bottom"/>
            <w:tcBorders>
              <w:bottom w:val="single" w:sz="8" w:color="auto"/>
            </w:tcBorders>
          </w:tcPr>
          <w:p>
            <w:pPr>
              <w:spacing w:after="0"/>
              <w:rPr>
                <w:sz w:val="19"/>
                <w:szCs w:val="19"/>
                <w:color w:val="auto"/>
              </w:rPr>
            </w:pPr>
          </w:p>
        </w:tc>
      </w:tr>
      <w:tr>
        <w:trPr>
          <w:trHeight w:val="21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5,706</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3,563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w:t>
            </w:r>
          </w:p>
        </w:tc>
        <w:tc>
          <w:tcPr>
            <w:tcW w:w="180" w:type="dxa"/>
            <w:vAlign w:val="bottom"/>
            <w:tcBorders>
              <w:bottom w:val="single" w:sz="8" w:color="auto"/>
            </w:tcBorders>
          </w:tcPr>
          <w:p>
            <w:pPr>
              <w:spacing w:after="0"/>
              <w:rPr>
                <w:sz w:val="18"/>
                <w:szCs w:val="18"/>
                <w:color w:val="auto"/>
              </w:rPr>
            </w:pP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1,159</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1,473</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(21.3)%</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Revenue</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Revenue increased for the three months ended March 31, 2022 compared to the same period in 2021 primarily due to increases in advertising and distribution revenue, and included revenue from our broadcasts of the Beijing Olympics and Super Bowl in the first quarter of 2022. Excluding $1.0 billion and $0.5 billion of incremental revenue associated with our broadcasts of the Beijing Olympics and Super Bowl, respectively, Media revenue increased 6.9% for the three months ended March 31, 2022 compared to the same period in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center"/>
              <w:ind w:right="439"/>
              <w:spacing w:after="0"/>
              <w:rPr>
                <w:sz w:val="20"/>
                <w:szCs w:val="20"/>
                <w:color w:val="auto"/>
              </w:rPr>
            </w:pPr>
            <w:r>
              <w:rPr>
                <w:rFonts w:ascii="Arial" w:cs="Arial" w:eastAsia="Arial" w:hAnsi="Arial"/>
                <w:sz w:val="14"/>
                <w:szCs w:val="14"/>
                <w:color w:val="auto"/>
                <w:w w:val="88"/>
              </w:rPr>
              <w:t>Three Months Ended</w:t>
            </w:r>
          </w:p>
        </w:tc>
        <w:tc>
          <w:tcPr>
            <w:tcW w:w="1280" w:type="dxa"/>
            <w:vAlign w:val="bottom"/>
          </w:tcPr>
          <w:p>
            <w:pPr>
              <w:jc w:val="center"/>
              <w:ind w:right="23"/>
              <w:spacing w:after="0"/>
              <w:rPr>
                <w:sz w:val="20"/>
                <w:szCs w:val="20"/>
                <w:color w:val="auto"/>
              </w:rPr>
            </w:pPr>
            <w:r>
              <w:rPr>
                <w:rFonts w:ascii="Arial" w:cs="Arial" w:eastAsia="Arial" w:hAnsi="Arial"/>
                <w:sz w:val="14"/>
                <w:szCs w:val="14"/>
                <w:color w:val="auto"/>
                <w:w w:val="86"/>
              </w:rPr>
              <w:t>Increase/</w:t>
            </w:r>
          </w:p>
        </w:tc>
      </w:tr>
      <w:tr>
        <w:trPr>
          <w:trHeight w:val="178"/>
        </w:trPr>
        <w:tc>
          <w:tcPr>
            <w:tcW w:w="7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503"/>
              <w:spacing w:after="0"/>
              <w:rPr>
                <w:sz w:val="20"/>
                <w:szCs w:val="20"/>
                <w:color w:val="auto"/>
              </w:rPr>
            </w:pPr>
            <w:r>
              <w:rPr>
                <w:rFonts w:ascii="Arial" w:cs="Arial" w:eastAsia="Arial" w:hAnsi="Arial"/>
                <w:sz w:val="14"/>
                <w:szCs w:val="14"/>
                <w:color w:val="auto"/>
                <w:w w:val="89"/>
              </w:rPr>
              <w:t>March 31,</w:t>
            </w:r>
          </w:p>
        </w:tc>
        <w:tc>
          <w:tcPr>
            <w:tcW w:w="1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86"/>
              </w:rPr>
              <w:t>(Decrease)</w:t>
            </w:r>
          </w:p>
        </w:tc>
      </w:tr>
      <w:tr>
        <w:trPr>
          <w:trHeight w:val="17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color w:val="auto"/>
              </w:rPr>
              <w:t>2021</w:t>
            </w: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6"/>
              </w:rPr>
              <w:t>%</w:t>
            </w:r>
          </w:p>
        </w:tc>
      </w:tr>
      <w:tr>
        <w:trPr>
          <w:trHeight w:val="219"/>
        </w:trPr>
        <w:tc>
          <w:tcPr>
            <w:tcW w:w="7180" w:type="dxa"/>
            <w:vAlign w:val="bottom"/>
          </w:tcPr>
          <w:p>
            <w:pPr>
              <w:ind w:left="40"/>
              <w:spacing w:after="0"/>
              <w:rPr>
                <w:sz w:val="20"/>
                <w:szCs w:val="20"/>
                <w:color w:val="auto"/>
              </w:rPr>
            </w:pPr>
            <w:r>
              <w:rPr>
                <w:rFonts w:ascii="Arial" w:cs="Arial" w:eastAsia="Arial" w:hAnsi="Arial"/>
                <w:sz w:val="17"/>
                <w:szCs w:val="17"/>
                <w:color w:val="auto"/>
              </w:rPr>
              <w:t>Advertising</w:t>
            </w:r>
          </w:p>
        </w:tc>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23"/>
              <w:spacing w:after="0"/>
              <w:rPr>
                <w:sz w:val="20"/>
                <w:szCs w:val="20"/>
                <w:color w:val="auto"/>
              </w:rPr>
            </w:pPr>
            <w:r>
              <w:rPr>
                <w:rFonts w:ascii="Arial" w:cs="Arial" w:eastAsia="Arial" w:hAnsi="Arial"/>
                <w:sz w:val="17"/>
                <w:szCs w:val="17"/>
                <w:b w:val="1"/>
                <w:bCs w:val="1"/>
                <w:color w:val="auto"/>
              </w:rPr>
              <w:t>3,332</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9"/>
              <w:spacing w:after="0"/>
              <w:rPr>
                <w:sz w:val="20"/>
                <w:szCs w:val="20"/>
                <w:color w:val="auto"/>
              </w:rPr>
            </w:pPr>
            <w:r>
              <w:rPr>
                <w:rFonts w:ascii="Arial" w:cs="Arial" w:eastAsia="Arial" w:hAnsi="Arial"/>
                <w:sz w:val="17"/>
                <w:szCs w:val="17"/>
                <w:color w:val="auto"/>
              </w:rPr>
              <w:t>2,094</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59.2 %</w:t>
            </w:r>
          </w:p>
        </w:tc>
      </w:tr>
      <w:tr>
        <w:trPr>
          <w:trHeight w:val="222"/>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Advertising, excluding Beijing Olympics and Super Bowl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b w:val="1"/>
                <w:bCs w:val="1"/>
                <w:i w:val="1"/>
                <w:iCs w:val="1"/>
                <w:color w:val="auto"/>
              </w:rPr>
              <w:t>2,178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7"/>
                <w:szCs w:val="17"/>
                <w:i w:val="1"/>
                <w:iCs w:val="1"/>
                <w:color w:val="auto"/>
              </w:rPr>
              <w:t>2,094</w:t>
            </w:r>
          </w:p>
        </w:tc>
        <w:tc>
          <w:tcPr>
            <w:tcW w:w="1280" w:type="dxa"/>
            <w:vAlign w:val="bottom"/>
            <w:tcBorders>
              <w:bottom w:val="single" w:sz="8" w:color="auto"/>
            </w:tcBorders>
          </w:tcPr>
          <w:p>
            <w:pPr>
              <w:jc w:val="right"/>
              <w:ind w:right="163"/>
              <w:spacing w:after="0"/>
              <w:rPr>
                <w:sz w:val="20"/>
                <w:szCs w:val="20"/>
                <w:color w:val="auto"/>
              </w:rPr>
            </w:pPr>
            <w:r>
              <w:rPr>
                <w:rFonts w:ascii="Arial" w:cs="Arial" w:eastAsia="Arial" w:hAnsi="Arial"/>
                <w:sz w:val="17"/>
                <w:szCs w:val="17"/>
                <w:b w:val="1"/>
                <w:bCs w:val="1"/>
                <w:i w:val="1"/>
                <w:iCs w:val="1"/>
                <w:color w:val="auto"/>
              </w:rPr>
              <w:t>4.0</w:t>
            </w:r>
          </w:p>
        </w:tc>
      </w:tr>
    </w:tbl>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Advertising revenue increased for the three months ended March 31, 2022 compared to the same period in 2021 primarily due to our broadcasts of the Beijing Olympics and Super Bowl. Excluding $1.2 billion of incremental revenue associated with our broadcasts of the Beijing Olympics and Super Bowl, for the three months ended March 31, 2022, advertising revenue increased due to higher pricing at our networks in the current year period and increased advertising revenue at Peacock. These increases were partially offset by continued audience ratings declines at our networks and increased revenue related to other sporting events in the prior year period due to COVID-19 timing impacts.</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144780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center"/>
              <w:ind w:right="439"/>
              <w:spacing w:after="0"/>
              <w:rPr>
                <w:sz w:val="20"/>
                <w:szCs w:val="20"/>
                <w:color w:val="auto"/>
              </w:rPr>
            </w:pPr>
            <w:r>
              <w:rPr>
                <w:rFonts w:ascii="Arial" w:cs="Arial" w:eastAsia="Arial" w:hAnsi="Arial"/>
                <w:sz w:val="14"/>
                <w:szCs w:val="14"/>
                <w:color w:val="auto"/>
                <w:w w:val="90"/>
              </w:rPr>
              <w:t>Three Months Ended</w:t>
            </w:r>
          </w:p>
        </w:tc>
        <w:tc>
          <w:tcPr>
            <w:tcW w:w="1280" w:type="dxa"/>
            <w:vAlign w:val="bottom"/>
          </w:tcPr>
          <w:p>
            <w:pPr>
              <w:jc w:val="center"/>
              <w:ind w:right="23"/>
              <w:spacing w:after="0"/>
              <w:rPr>
                <w:sz w:val="20"/>
                <w:szCs w:val="20"/>
                <w:color w:val="auto"/>
              </w:rPr>
            </w:pPr>
            <w:r>
              <w:rPr>
                <w:rFonts w:ascii="Arial" w:cs="Arial" w:eastAsia="Arial" w:hAnsi="Arial"/>
                <w:sz w:val="14"/>
                <w:szCs w:val="14"/>
                <w:color w:val="auto"/>
                <w:w w:val="86"/>
              </w:rPr>
              <w:t>Increase/</w:t>
            </w: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503"/>
              <w:spacing w:after="0"/>
              <w:rPr>
                <w:sz w:val="20"/>
                <w:szCs w:val="20"/>
                <w:color w:val="auto"/>
              </w:rPr>
            </w:pPr>
            <w:r>
              <w:rPr>
                <w:rFonts w:ascii="Arial" w:cs="Arial" w:eastAsia="Arial" w:hAnsi="Arial"/>
                <w:sz w:val="14"/>
                <w:szCs w:val="14"/>
                <w:color w:val="auto"/>
                <w:w w:val="93"/>
              </w:rPr>
              <w:t>March 31,</w:t>
            </w:r>
          </w:p>
        </w:tc>
        <w:tc>
          <w:tcPr>
            <w:tcW w:w="1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86"/>
              </w:rPr>
              <w:t>(Decrease)</w:t>
            </w: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color w:val="auto"/>
              </w:rPr>
              <w:t>2021</w:t>
            </w: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6"/>
              </w:rPr>
              <w:t>%</w:t>
            </w:r>
          </w:p>
        </w:tc>
      </w:tr>
      <w:tr>
        <w:trPr>
          <w:trHeight w:val="219"/>
        </w:trPr>
        <w:tc>
          <w:tcPr>
            <w:tcW w:w="7160" w:type="dxa"/>
            <w:vAlign w:val="bottom"/>
          </w:tcPr>
          <w:p>
            <w:pPr>
              <w:ind w:left="40"/>
              <w:spacing w:after="0"/>
              <w:rPr>
                <w:sz w:val="20"/>
                <w:szCs w:val="20"/>
                <w:color w:val="auto"/>
              </w:rPr>
            </w:pPr>
            <w:r>
              <w:rPr>
                <w:rFonts w:ascii="Arial" w:cs="Arial" w:eastAsia="Arial" w:hAnsi="Arial"/>
                <w:sz w:val="17"/>
                <w:szCs w:val="17"/>
                <w:color w:val="auto"/>
              </w:rPr>
              <w:t>Distribution</w:t>
            </w:r>
          </w:p>
        </w:tc>
        <w:tc>
          <w:tcPr>
            <w:tcW w:w="30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7"/>
                <w:szCs w:val="17"/>
                <w:b w:val="1"/>
                <w:bCs w:val="1"/>
                <w:color w:val="auto"/>
              </w:rPr>
              <w:t>3,033</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9"/>
              <w:spacing w:after="0"/>
              <w:rPr>
                <w:sz w:val="20"/>
                <w:szCs w:val="20"/>
                <w:color w:val="auto"/>
              </w:rPr>
            </w:pPr>
            <w:r>
              <w:rPr>
                <w:rFonts w:ascii="Arial" w:cs="Arial" w:eastAsia="Arial" w:hAnsi="Arial"/>
                <w:sz w:val="17"/>
                <w:szCs w:val="17"/>
                <w:color w:val="auto"/>
              </w:rPr>
              <w:t>2,495</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21.6 %</w:t>
            </w:r>
          </w:p>
        </w:tc>
      </w:tr>
      <w:tr>
        <w:trPr>
          <w:trHeight w:val="222"/>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Distribution, excluding Beijing Olympics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i w:val="1"/>
                <w:iCs w:val="1"/>
                <w:color w:val="auto"/>
              </w:rPr>
              <w:t>2,706</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7"/>
                <w:szCs w:val="17"/>
                <w:i w:val="1"/>
                <w:iCs w:val="1"/>
                <w:color w:val="auto"/>
              </w:rPr>
              <w:t>2,495</w:t>
            </w:r>
          </w:p>
        </w:tc>
        <w:tc>
          <w:tcPr>
            <w:tcW w:w="1280" w:type="dxa"/>
            <w:vAlign w:val="bottom"/>
            <w:tcBorders>
              <w:bottom w:val="single" w:sz="8" w:color="auto"/>
            </w:tcBorders>
          </w:tcPr>
          <w:p>
            <w:pPr>
              <w:jc w:val="right"/>
              <w:ind w:right="163"/>
              <w:spacing w:after="0"/>
              <w:rPr>
                <w:sz w:val="20"/>
                <w:szCs w:val="20"/>
                <w:color w:val="auto"/>
              </w:rPr>
            </w:pPr>
            <w:r>
              <w:rPr>
                <w:rFonts w:ascii="Arial" w:cs="Arial" w:eastAsia="Arial" w:hAnsi="Arial"/>
                <w:sz w:val="17"/>
                <w:szCs w:val="17"/>
                <w:b w:val="1"/>
                <w:bCs w:val="1"/>
                <w:i w:val="1"/>
                <w:iCs w:val="1"/>
                <w:color w:val="auto"/>
              </w:rPr>
              <w:t>8.5</w:t>
            </w:r>
          </w:p>
        </w:tc>
      </w:tr>
    </w:tbl>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Distribution revenue increased for the three months ended March 31, 2022 compared to the same period in 2021, primarily due to our broadcast of the Beijing Olympics. Excluding $327 million of incremental revenue associated with our broadcast of the Beijing Olympics, for the three months ended March 31, 2022, distribution revenue increased due to an increase in distribution revenue at Peacock, as well as an increase at our networks due to contractual rate increases, partially offset by a decline in the number of subscribers.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the number of subscribers and audience ratings at our networks will continue to decline as a result of the competitive environment and shifting video consumption patterns. Revenue included $472 million and $91 million related to Peacock for the three months ended March 31, 2022 and 2021, respectively, including amounts related to the Beijing Olympics and Super Bowl.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Operating Costs and Expenses</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Operating costs and expenses increased for the three months ended March 31, 2022 compared to the same period in 2021 due to increases in programming and production costs; advertising, marketing and promotion costs; and other operating and administrative costs. Programming and production costs increased for the three months ended March 31, 2022 primarily due to costs associated with our broadcasts of the Beijing Olympics and Super Bowl and higher programming costs at Peacock. Advertising, marketing and promotion costs increased primarily due to higher marketing costs related to Peacock and higher spending related to our networks. Other operating and administrative costs increased primarily due to increased costs related to Peacock.</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costs and expenses included $928 million and $368 million related to Peacock for the three months ended March 31, 2022 and 2021, respectively, including amounts related to the Beijing Olympics and Super Bowl. We expect to continue to incur significant costs related to additional content and marketing as we invest in the platform and attract new customers.</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Studios Segment Results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834"/>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jc w:val="center"/>
              <w:ind w:left="17"/>
              <w:spacing w:after="0"/>
              <w:rPr>
                <w:sz w:val="20"/>
                <w:szCs w:val="20"/>
                <w:color w:val="auto"/>
              </w:rPr>
            </w:pPr>
            <w:r>
              <w:rPr>
                <w:rFonts w:ascii="Arial" w:cs="Arial" w:eastAsia="Arial" w:hAnsi="Arial"/>
                <w:sz w:val="14"/>
                <w:szCs w:val="14"/>
                <w:color w:val="auto"/>
                <w:w w:val="86"/>
              </w:rPr>
              <w:t>Increase/</w:t>
            </w:r>
          </w:p>
        </w:tc>
        <w:tc>
          <w:tcPr>
            <w:tcW w:w="200" w:type="dxa"/>
            <w:vAlign w:val="bottom"/>
          </w:tcPr>
          <w:p>
            <w:pPr>
              <w:spacing w:after="0"/>
              <w:rPr>
                <w:sz w:val="14"/>
                <w:szCs w:val="14"/>
                <w:color w:val="auto"/>
              </w:rPr>
            </w:pP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200" w:type="dxa"/>
            <w:vAlign w:val="bottom"/>
            <w:tcBorders>
              <w:bottom w:val="single" w:sz="8" w:color="auto"/>
            </w:tcBorders>
          </w:tcPr>
          <w:p>
            <w:pPr>
              <w:spacing w:after="0"/>
              <w:rPr>
                <w:sz w:val="15"/>
                <w:szCs w:val="15"/>
                <w:color w:val="auto"/>
              </w:rPr>
            </w:pP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auto"/>
            </w:tcBorders>
          </w:tcPr>
          <w:p>
            <w:pPr>
              <w:spacing w:after="0"/>
              <w:rPr>
                <w:sz w:val="15"/>
                <w:szCs w:val="15"/>
                <w:color w:val="auto"/>
              </w:rPr>
            </w:pP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7160" w:type="dxa"/>
            <w:vAlign w:val="bottom"/>
          </w:tcPr>
          <w:p>
            <w:pPr>
              <w:ind w:left="340"/>
              <w:spacing w:after="0"/>
              <w:rPr>
                <w:sz w:val="20"/>
                <w:szCs w:val="20"/>
                <w:color w:val="auto"/>
              </w:rPr>
            </w:pPr>
            <w:r>
              <w:rPr>
                <w:rFonts w:ascii="Arial" w:cs="Arial" w:eastAsia="Arial" w:hAnsi="Arial"/>
                <w:sz w:val="17"/>
                <w:szCs w:val="17"/>
                <w:color w:val="auto"/>
              </w:rPr>
              <w:t>Content licensing</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2,279</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2,075</w:t>
            </w:r>
          </w:p>
        </w:tc>
        <w:tc>
          <w:tcPr>
            <w:tcW w:w="1080" w:type="dxa"/>
            <w:vAlign w:val="bottom"/>
          </w:tcPr>
          <w:p>
            <w:pPr>
              <w:jc w:val="right"/>
              <w:spacing w:after="0"/>
              <w:rPr>
                <w:sz w:val="20"/>
                <w:szCs w:val="20"/>
                <w:color w:val="auto"/>
              </w:rPr>
            </w:pPr>
            <w:r>
              <w:rPr>
                <w:rFonts w:ascii="Arial" w:cs="Arial" w:eastAsia="Arial" w:hAnsi="Arial"/>
                <w:sz w:val="17"/>
                <w:szCs w:val="17"/>
                <w:color w:val="auto"/>
              </w:rPr>
              <w:t>9.8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Theatrical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168</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39</w:t>
            </w:r>
          </w:p>
        </w:tc>
        <w:tc>
          <w:tcPr>
            <w:tcW w:w="1080" w:type="dxa"/>
            <w:vAlign w:val="bottom"/>
          </w:tcPr>
          <w:p>
            <w:pPr>
              <w:jc w:val="right"/>
              <w:spacing w:after="0"/>
              <w:rPr>
                <w:sz w:val="20"/>
                <w:szCs w:val="20"/>
                <w:color w:val="auto"/>
              </w:rPr>
            </w:pPr>
            <w:r>
              <w:rPr>
                <w:rFonts w:ascii="Arial" w:cs="Arial" w:eastAsia="Arial" w:hAnsi="Arial"/>
                <w:sz w:val="17"/>
                <w:szCs w:val="17"/>
                <w:color w:val="auto"/>
              </w:rPr>
              <w:t>NM</w:t>
            </w:r>
          </w:p>
        </w:tc>
        <w:tc>
          <w:tcPr>
            <w:tcW w:w="20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Home entertainment and 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282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200" w:type="dxa"/>
            <w:vAlign w:val="bottom"/>
            <w:tcBorders>
              <w:bottom w:val="single" w:sz="8" w:color="auto"/>
            </w:tcBorders>
          </w:tcPr>
          <w:p>
            <w:pPr>
              <w:spacing w:after="0"/>
              <w:rPr>
                <w:sz w:val="19"/>
                <w:szCs w:val="19"/>
                <w:color w:val="auto"/>
              </w:rPr>
            </w:pPr>
          </w:p>
        </w:tc>
      </w:tr>
      <w:tr>
        <w:trPr>
          <w:trHeight w:val="211"/>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2,757</w:t>
            </w:r>
          </w:p>
        </w:tc>
        <w:tc>
          <w:tcPr>
            <w:tcW w:w="44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b w:val="1"/>
                <w:bCs w:val="1"/>
                <w:color w:val="auto"/>
              </w:rPr>
              <w:t>2,396</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15.1</w:t>
            </w:r>
          </w:p>
        </w:tc>
        <w:tc>
          <w:tcPr>
            <w:tcW w:w="200" w:type="dxa"/>
            <w:vAlign w:val="bottom"/>
          </w:tcPr>
          <w:p>
            <w:pPr>
              <w:spacing w:after="0"/>
              <w:rPr>
                <w:sz w:val="18"/>
                <w:szCs w:val="18"/>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1,974</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1,614</w:t>
            </w:r>
          </w:p>
        </w:tc>
        <w:tc>
          <w:tcPr>
            <w:tcW w:w="1080" w:type="dxa"/>
            <w:vAlign w:val="bottom"/>
          </w:tcPr>
          <w:p>
            <w:pPr>
              <w:jc w:val="right"/>
              <w:spacing w:after="0"/>
              <w:rPr>
                <w:sz w:val="20"/>
                <w:szCs w:val="20"/>
                <w:color w:val="auto"/>
              </w:rPr>
            </w:pPr>
            <w:r>
              <w:rPr>
                <w:rFonts w:ascii="Arial" w:cs="Arial" w:eastAsia="Arial" w:hAnsi="Arial"/>
                <w:sz w:val="17"/>
                <w:szCs w:val="17"/>
                <w:color w:val="auto"/>
              </w:rPr>
              <w:t>22.3</w:t>
            </w:r>
          </w:p>
        </w:tc>
        <w:tc>
          <w:tcPr>
            <w:tcW w:w="200" w:type="dxa"/>
            <w:vAlign w:val="bottom"/>
          </w:tcPr>
          <w:p>
            <w:pPr>
              <w:spacing w:after="0"/>
              <w:rPr>
                <w:sz w:val="19"/>
                <w:szCs w:val="19"/>
                <w:color w:val="auto"/>
              </w:rPr>
            </w:pPr>
          </w:p>
        </w:tc>
      </w:tr>
      <w:tr>
        <w:trPr>
          <w:trHeight w:val="223"/>
        </w:trPr>
        <w:tc>
          <w:tcPr>
            <w:tcW w:w="716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210</w:t>
            </w:r>
          </w:p>
        </w:tc>
        <w:tc>
          <w:tcPr>
            <w:tcW w:w="4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161</w:t>
            </w:r>
          </w:p>
        </w:tc>
        <w:tc>
          <w:tcPr>
            <w:tcW w:w="1080" w:type="dxa"/>
            <w:vAlign w:val="bottom"/>
          </w:tcPr>
          <w:p>
            <w:pPr>
              <w:jc w:val="right"/>
              <w:spacing w:after="0"/>
              <w:rPr>
                <w:sz w:val="20"/>
                <w:szCs w:val="20"/>
                <w:color w:val="auto"/>
              </w:rPr>
            </w:pPr>
            <w:r>
              <w:rPr>
                <w:rFonts w:ascii="Arial" w:cs="Arial" w:eastAsia="Arial" w:hAnsi="Arial"/>
                <w:sz w:val="17"/>
                <w:szCs w:val="17"/>
                <w:color w:val="auto"/>
              </w:rPr>
              <w:t>31.1</w:t>
            </w:r>
          </w:p>
        </w:tc>
        <w:tc>
          <w:tcPr>
            <w:tcW w:w="200" w:type="dxa"/>
            <w:vAlign w:val="bottom"/>
          </w:tcPr>
          <w:p>
            <w:pPr>
              <w:spacing w:after="0"/>
              <w:rPr>
                <w:sz w:val="19"/>
                <w:szCs w:val="19"/>
                <w:color w:val="auto"/>
              </w:rPr>
            </w:pPr>
          </w:p>
        </w:tc>
      </w:tr>
      <w:tr>
        <w:trPr>
          <w:trHeight w:val="223"/>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Advertising, marketing and promotion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163.0</w:t>
            </w:r>
          </w:p>
        </w:tc>
        <w:tc>
          <w:tcPr>
            <w:tcW w:w="200" w:type="dxa"/>
            <w:vAlign w:val="bottom"/>
            <w:tcBorders>
              <w:bottom w:val="single" w:sz="8" w:color="auto"/>
            </w:tcBorders>
          </w:tcPr>
          <w:p>
            <w:pPr>
              <w:spacing w:after="0"/>
              <w:rPr>
                <w:sz w:val="19"/>
                <w:szCs w:val="19"/>
                <w:color w:val="auto"/>
              </w:rPr>
            </w:pPr>
          </w:p>
        </w:tc>
      </w:tr>
      <w:tr>
        <w:trPr>
          <w:trHeight w:val="21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1,899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200" w:type="dxa"/>
            <w:vAlign w:val="bottom"/>
            <w:tcBorders>
              <w:bottom w:val="single" w:sz="8" w:color="auto"/>
            </w:tcBorders>
          </w:tcPr>
          <w:p>
            <w:pPr>
              <w:spacing w:after="0"/>
              <w:rPr>
                <w:sz w:val="18"/>
                <w:szCs w:val="18"/>
                <w:color w:val="auto"/>
              </w:rPr>
            </w:pP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245</w:t>
            </w:r>
          </w:p>
        </w:tc>
        <w:tc>
          <w:tcPr>
            <w:tcW w:w="4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497</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(50.7)%</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Revenue</w:t>
      </w:r>
    </w:p>
    <w:p>
      <w:pPr>
        <w:spacing w:after="0" w:line="7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Revenue increased for the three months ended March 31, 2022 compared to the same period in 2021 due to increases in content licensing revenue and theatrical revenue. Content licensing revenue increased primarily due to the timing of when content was made available by our film and television studios under licensing agreements, including additional sales of content as production levels returned to normal, partially offset by the impact of a new licensing agreement for content that became exclusively available for streaming on Peacock in the prior year period. Theatrical revenue increased primarily due to recent releases, including </w:t>
      </w:r>
      <w:r>
        <w:rPr>
          <w:rFonts w:ascii="Arial" w:cs="Arial" w:eastAsia="Arial" w:hAnsi="Arial"/>
          <w:sz w:val="15"/>
          <w:szCs w:val="15"/>
          <w:i w:val="1"/>
          <w:iCs w:val="1"/>
          <w:color w:val="auto"/>
        </w:rPr>
        <w:t>Sing 2</w:t>
      </w:r>
      <w:r>
        <w:rPr>
          <w:rFonts w:ascii="Arial" w:cs="Arial" w:eastAsia="Arial" w:hAnsi="Arial"/>
          <w:sz w:val="15"/>
          <w:szCs w:val="15"/>
          <w:color w:val="auto"/>
        </w:rPr>
        <w:t>, and the impact of theater closures and theaters operating at reduced capacity as a result of COVID-19 in the prior year period</w:t>
      </w:r>
      <w:r>
        <w:rPr>
          <w:rFonts w:ascii="Arial" w:cs="Arial" w:eastAsia="Arial" w:hAnsi="Arial"/>
          <w:sz w:val="15"/>
          <w:szCs w:val="15"/>
          <w:i w:val="1"/>
          <w:iCs w:val="1"/>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Operating Costs and Expenses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Operating costs and expenses increased for the three months ended March 31, 2022 compared to the same period in 2021 primarily due to increases in programming and production costs and advertising, marketing and promotion costs. Programming and production costs increased primarily due to higher costs associated with content licensing sales and theatrical releases in the current year period. Advertising, marketing and promotion costs increased due to higher spending on theatrical releases in the current year period.</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Theme Parks Segment Results of Operations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90"/>
              </w:rPr>
              <w:t>Three Months Ended</w:t>
            </w:r>
          </w:p>
        </w:tc>
        <w:tc>
          <w:tcPr>
            <w:tcW w:w="1480" w:type="dxa"/>
            <w:vAlign w:val="bottom"/>
          </w:tcPr>
          <w:p>
            <w:pPr>
              <w:jc w:val="center"/>
              <w:ind w:left="30"/>
              <w:spacing w:after="0"/>
              <w:rPr>
                <w:sz w:val="20"/>
                <w:szCs w:val="20"/>
                <w:color w:val="auto"/>
              </w:rPr>
            </w:pPr>
            <w:r>
              <w:rPr>
                <w:rFonts w:ascii="Arial" w:cs="Arial" w:eastAsia="Arial" w:hAnsi="Arial"/>
                <w:sz w:val="14"/>
                <w:szCs w:val="14"/>
                <w:color w:val="auto"/>
                <w:w w:val="86"/>
              </w:rPr>
              <w:t>Increase/</w:t>
            </w:r>
          </w:p>
        </w:tc>
      </w:tr>
      <w:tr>
        <w:trPr>
          <w:trHeight w:val="178"/>
        </w:trPr>
        <w:tc>
          <w:tcPr>
            <w:tcW w:w="7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810"/>
              <w:spacing w:after="0"/>
              <w:rPr>
                <w:sz w:val="20"/>
                <w:szCs w:val="20"/>
                <w:color w:val="auto"/>
              </w:rPr>
            </w:pPr>
            <w:r>
              <w:rPr>
                <w:rFonts w:ascii="Arial" w:cs="Arial" w:eastAsia="Arial" w:hAnsi="Arial"/>
                <w:sz w:val="14"/>
                <w:szCs w:val="14"/>
                <w:color w:val="auto"/>
                <w:w w:val="93"/>
              </w:rPr>
              <w:t>March 31,</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w w:val="89"/>
              </w:rPr>
              <w:t>(Decrease)</w:t>
            </w:r>
          </w:p>
        </w:tc>
      </w:tr>
      <w:tr>
        <w:trPr>
          <w:trHeight w:val="176"/>
        </w:trPr>
        <w:tc>
          <w:tcPr>
            <w:tcW w:w="716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2022</w:t>
            </w:r>
          </w:p>
        </w:tc>
        <w:tc>
          <w:tcPr>
            <w:tcW w:w="1700" w:type="dxa"/>
            <w:vAlign w:val="bottom"/>
          </w:tcPr>
          <w:p>
            <w:pPr>
              <w:jc w:val="right"/>
              <w:ind w:right="410"/>
              <w:spacing w:after="0"/>
              <w:rPr>
                <w:sz w:val="20"/>
                <w:szCs w:val="20"/>
                <w:color w:val="auto"/>
              </w:rPr>
            </w:pPr>
            <w:r>
              <w:rPr>
                <w:rFonts w:ascii="Arial" w:cs="Arial" w:eastAsia="Arial" w:hAnsi="Arial"/>
                <w:sz w:val="14"/>
                <w:szCs w:val="14"/>
                <w:color w:val="auto"/>
              </w:rPr>
              <w:t>2021</w:t>
            </w:r>
          </w:p>
        </w:tc>
        <w:tc>
          <w:tcPr>
            <w:tcW w:w="1480" w:type="dxa"/>
            <w:vAlign w:val="bottom"/>
          </w:tcPr>
          <w:p>
            <w:pPr>
              <w:jc w:val="center"/>
              <w:ind w:left="30"/>
              <w:spacing w:after="0"/>
              <w:rPr>
                <w:sz w:val="20"/>
                <w:szCs w:val="20"/>
                <w:color w:val="auto"/>
              </w:rPr>
            </w:pPr>
            <w:r>
              <w:rPr>
                <w:rFonts w:ascii="Arial" w:cs="Arial" w:eastAsia="Arial" w:hAnsi="Arial"/>
                <w:sz w:val="14"/>
                <w:szCs w:val="14"/>
                <w:color w:val="auto"/>
                <w:w w:val="79"/>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Revenue</w:t>
            </w:r>
          </w:p>
        </w:tc>
        <w:tc>
          <w:tcPr>
            <w:tcW w:w="298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1,560</w:t>
            </w:r>
          </w:p>
        </w:tc>
        <w:tc>
          <w:tcPr>
            <w:tcW w:w="580" w:type="dxa"/>
            <w:vAlign w:val="bottom"/>
            <w:tcBorders>
              <w:top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ind w:left="400"/>
              <w:spacing w:after="0"/>
              <w:rPr>
                <w:sz w:val="20"/>
                <w:szCs w:val="20"/>
                <w:color w:val="auto"/>
              </w:rPr>
            </w:pPr>
            <w:r>
              <w:rPr>
                <w:rFonts w:ascii="Arial" w:cs="Arial" w:eastAsia="Arial" w:hAnsi="Arial"/>
                <w:sz w:val="17"/>
                <w:szCs w:val="17"/>
                <w:color w:val="auto"/>
              </w:rPr>
              <w:t>619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151.9 %</w:t>
            </w:r>
          </w:p>
        </w:tc>
      </w:tr>
      <w:tr>
        <w:trPr>
          <w:trHeight w:val="222"/>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2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1,109</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680</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63.0</w:t>
            </w:r>
          </w:p>
        </w:tc>
      </w:tr>
      <w:tr>
        <w:trPr>
          <w:trHeight w:val="222"/>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9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451</w:t>
            </w:r>
          </w:p>
        </w:tc>
        <w:tc>
          <w:tcPr>
            <w:tcW w:w="5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(61)</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NM</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Revenue</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Revenue increased for the three months ended March 31, 2022 primarily due to improved operating conditions compared to the same period in 2021, when each of our theme parks was either operating at a limited capacity or closed as a result of COVID-19, and from the operations of Universal Beijing Resort, which opened in September 2021. In 2022, our theme parks in Orlando and Hollywood operated without capacity restrictions and the requirement for proof of vaccination or a negative COVID-19 test previously put in place in the fourth quarter of 2021 was lifted for our theme park in Hollywood. Our theme park in Japan temporarily reinstated capacity restrictions during the first quarter of 2022, which were lifted by the end of the period. Our newest theme park in Beijing continues to be impacted by COVID-19 and related travel restrictions.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Operating Costs and Expenses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Expenses increased for the three months ended March 31, 2022 compared to the same period in 2021 primarily due to increased operating costs at our theme parks, as compared to decreased operating costs during the temporary closures and capacity restrictions in the prior year period, and due to operating costs associated with Universal Beijing Resort in the current year period, which were higher than pre-opening costs in the prior year period.</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Headquarters,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Headquarters and Other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3"/>
          </w:tcPr>
          <w:p>
            <w:pPr>
              <w:jc w:val="right"/>
              <w:ind w:right="857"/>
              <w:spacing w:after="0"/>
              <w:rPr>
                <w:sz w:val="20"/>
                <w:szCs w:val="20"/>
                <w:color w:val="auto"/>
              </w:rPr>
            </w:pPr>
            <w:r>
              <w:rPr>
                <w:rFonts w:ascii="Arial" w:cs="Arial" w:eastAsia="Arial" w:hAnsi="Arial"/>
                <w:sz w:val="14"/>
                <w:szCs w:val="14"/>
                <w:color w:val="auto"/>
              </w:rPr>
              <w:t>Three Months Ended</w:t>
            </w:r>
          </w:p>
        </w:tc>
        <w:tc>
          <w:tcPr>
            <w:tcW w:w="1280" w:type="dxa"/>
            <w:vAlign w:val="bottom"/>
          </w:tcPr>
          <w:p>
            <w:pPr>
              <w:jc w:val="center"/>
              <w:ind w:right="61"/>
              <w:spacing w:after="0"/>
              <w:rPr>
                <w:sz w:val="20"/>
                <w:szCs w:val="20"/>
                <w:color w:val="auto"/>
              </w:rPr>
            </w:pPr>
            <w:r>
              <w:rPr>
                <w:rFonts w:ascii="Arial" w:cs="Arial" w:eastAsia="Arial" w:hAnsi="Arial"/>
                <w:sz w:val="14"/>
                <w:szCs w:val="14"/>
                <w:color w:val="auto"/>
                <w:w w:val="86"/>
              </w:rPr>
              <w:t>Increase/</w:t>
            </w:r>
          </w:p>
        </w:tc>
      </w:tr>
      <w:tr>
        <w:trPr>
          <w:trHeight w:val="178"/>
        </w:trPr>
        <w:tc>
          <w:tcPr>
            <w:tcW w:w="7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6"/>
              </w:rPr>
              <w:t>(Decrease)</w:t>
            </w: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12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6"/>
              </w:rPr>
              <w:t>%</w:t>
            </w: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16</w:t>
            </w:r>
          </w:p>
        </w:tc>
        <w:tc>
          <w:tcPr>
            <w:tcW w:w="40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7"/>
              <w:spacing w:after="0"/>
              <w:rPr>
                <w:sz w:val="20"/>
                <w:szCs w:val="20"/>
                <w:color w:val="auto"/>
              </w:rPr>
            </w:pPr>
            <w:r>
              <w:rPr>
                <w:rFonts w:ascii="Arial" w:cs="Arial" w:eastAsia="Arial" w:hAnsi="Arial"/>
                <w:sz w:val="17"/>
                <w:szCs w:val="17"/>
                <w:color w:val="auto"/>
              </w:rPr>
              <w:t>16</w:t>
            </w:r>
          </w:p>
        </w:tc>
        <w:tc>
          <w:tcPr>
            <w:tcW w:w="1280" w:type="dxa"/>
            <w:vAlign w:val="bottom"/>
          </w:tcPr>
          <w:p>
            <w:pPr>
              <w:jc w:val="right"/>
              <w:spacing w:after="0"/>
              <w:rPr>
                <w:sz w:val="20"/>
                <w:szCs w:val="20"/>
                <w:color w:val="auto"/>
              </w:rPr>
            </w:pPr>
            <w:r>
              <w:rPr>
                <w:rFonts w:ascii="Arial" w:cs="Arial" w:eastAsia="Arial" w:hAnsi="Arial"/>
                <w:sz w:val="17"/>
                <w:szCs w:val="17"/>
                <w:color w:val="auto"/>
              </w:rPr>
              <w:t>1.9 %</w:t>
            </w: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208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225</w:t>
            </w: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7"/>
                <w:szCs w:val="17"/>
                <w:color w:val="auto"/>
              </w:rPr>
              <w:t>(7.6)</w:t>
            </w: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(191)</w:t>
            </w:r>
          </w:p>
        </w:tc>
        <w:tc>
          <w:tcPr>
            <w:tcW w:w="4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(209)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Expenses include overhead, personnel costs and costs associated with corporate initiatives.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857"/>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jc w:val="center"/>
              <w:ind w:right="41"/>
              <w:spacing w:after="0"/>
              <w:rPr>
                <w:sz w:val="20"/>
                <w:szCs w:val="20"/>
                <w:color w:val="auto"/>
              </w:rPr>
            </w:pPr>
            <w:r>
              <w:rPr>
                <w:rFonts w:ascii="Arial" w:cs="Arial" w:eastAsia="Arial" w:hAnsi="Arial"/>
                <w:sz w:val="14"/>
                <w:szCs w:val="14"/>
                <w:color w:val="auto"/>
                <w:w w:val="86"/>
              </w:rPr>
              <w:t>Increase/</w:t>
            </w: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86"/>
              </w:rPr>
              <w:t>(Decrease)</w:t>
            </w: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6"/>
              </w:rPr>
              <w:t>%</w:t>
            </w: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(901)</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7"/>
              <w:spacing w:after="0"/>
              <w:rPr>
                <w:sz w:val="20"/>
                <w:szCs w:val="20"/>
                <w:color w:val="auto"/>
              </w:rPr>
            </w:pPr>
            <w:r>
              <w:rPr>
                <w:rFonts w:ascii="Arial" w:cs="Arial" w:eastAsia="Arial" w:hAnsi="Arial"/>
                <w:sz w:val="17"/>
                <w:szCs w:val="17"/>
                <w:color w:val="auto"/>
              </w:rPr>
              <w:t>(1,043)</w:t>
            </w:r>
          </w:p>
        </w:tc>
        <w:tc>
          <w:tcPr>
            <w:tcW w:w="1260" w:type="dxa"/>
            <w:vAlign w:val="bottom"/>
          </w:tcPr>
          <w:p>
            <w:pPr>
              <w:jc w:val="right"/>
              <w:spacing w:after="0"/>
              <w:rPr>
                <w:sz w:val="20"/>
                <w:szCs w:val="20"/>
                <w:color w:val="auto"/>
              </w:rPr>
            </w:pPr>
            <w:r>
              <w:rPr>
                <w:rFonts w:ascii="Arial" w:cs="Arial" w:eastAsia="Arial" w:hAnsi="Arial"/>
                <w:sz w:val="17"/>
                <w:szCs w:val="17"/>
                <w:color w:val="auto"/>
              </w:rPr>
              <w:t>(13.5) %</w:t>
            </w: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(833)</w:t>
            </w: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7"/>
                <w:szCs w:val="17"/>
                <w:color w:val="auto"/>
              </w:rPr>
              <w:t>0.8</w:t>
            </w: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(210)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(70.4)%</w:t>
            </w:r>
          </w:p>
        </w:tc>
      </w:tr>
    </w:tbl>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Amounts represent eliminations of transactions between our NBCUniversal segments, which are affected by the timing of recognition of content licenses between our Studios and Media segments. Prior year amounts include the impact of a new licensing agreement for content that became exclusively available for streaming on Peacock during the first quarter of 2021. Results of operations for NBCUniversal may be impacted as we continue to use content on our platforms, including Peacock, rather than licensing it to third parties.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March 31, 2022 and 2021, approximately 41% and 52%, respectively, of Studios segment content licensing revenue resulted from transactions with other segments, primarily with the Media segment. Eliminations increase or decrease to the extent that additional content is made available to our other segments. Refer to Note 2 for further discussion of transactions between our segments.</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Sky Segment Results of Operations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814"/>
              <w:spacing w:after="0"/>
              <w:rPr>
                <w:sz w:val="20"/>
                <w:szCs w:val="20"/>
                <w:color w:val="auto"/>
              </w:rPr>
            </w:pPr>
            <w:r>
              <w:rPr>
                <w:rFonts w:ascii="Arial" w:cs="Arial" w:eastAsia="Arial" w:hAnsi="Arial"/>
                <w:sz w:val="14"/>
                <w:szCs w:val="14"/>
                <w:color w:val="auto"/>
              </w:rPr>
              <w:t>Three Months Ended</w:t>
            </w:r>
          </w:p>
        </w:tc>
        <w:tc>
          <w:tcPr>
            <w:tcW w:w="1400" w:type="dxa"/>
            <w:vAlign w:val="bottom"/>
          </w:tcPr>
          <w:p>
            <w:pPr>
              <w:jc w:val="center"/>
              <w:ind w:right="177"/>
              <w:spacing w:after="0"/>
              <w:rPr>
                <w:sz w:val="20"/>
                <w:szCs w:val="20"/>
                <w:color w:val="auto"/>
              </w:rPr>
            </w:pPr>
            <w:r>
              <w:rPr>
                <w:rFonts w:ascii="Arial" w:cs="Arial" w:eastAsia="Arial" w:hAnsi="Arial"/>
                <w:sz w:val="14"/>
                <w:szCs w:val="14"/>
                <w:color w:val="auto"/>
                <w:w w:val="86"/>
              </w:rPr>
              <w:t>Increase/</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Constant Currency</w:t>
            </w:r>
          </w:p>
        </w:tc>
      </w:tr>
      <w:tr>
        <w:trPr>
          <w:trHeight w:val="178"/>
        </w:trPr>
        <w:tc>
          <w:tcPr>
            <w:tcW w:w="5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0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6"/>
              </w:rPr>
              <w:t>(Decrease)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r>
              <w:rPr>
                <w:rFonts w:ascii="Arial" w:cs="Arial" w:eastAsia="Arial" w:hAnsi="Arial"/>
                <w:sz w:val="9"/>
                <w:szCs w:val="9"/>
                <w:color w:val="auto"/>
                <w:w w:val="89"/>
              </w:rPr>
              <w:t>(a)</w:t>
            </w:r>
          </w:p>
        </w:tc>
      </w:tr>
      <w:tr>
        <w:trPr>
          <w:trHeight w:val="17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2021</w:t>
            </w: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6"/>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9"/>
              </w:rPr>
              <w:t>%</w:t>
            </w:r>
          </w:p>
        </w:tc>
      </w:tr>
      <w:tr>
        <w:trPr>
          <w:trHeight w:val="219"/>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2"/>
        </w:trPr>
        <w:tc>
          <w:tcPr>
            <w:tcW w:w="5720" w:type="dxa"/>
            <w:vAlign w:val="bottom"/>
          </w:tcPr>
          <w:p>
            <w:pPr>
              <w:ind w:left="340"/>
              <w:spacing w:after="0"/>
              <w:rPr>
                <w:sz w:val="20"/>
                <w:szCs w:val="20"/>
                <w:color w:val="auto"/>
              </w:rPr>
            </w:pPr>
            <w:r>
              <w:rPr>
                <w:rFonts w:ascii="Arial" w:cs="Arial" w:eastAsia="Arial" w:hAnsi="Arial"/>
                <w:sz w:val="17"/>
                <w:szCs w:val="17"/>
                <w:color w:val="auto"/>
              </w:rPr>
              <w:t>Direct-to-consumer</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3,884</w:t>
            </w:r>
          </w:p>
        </w:tc>
        <w:tc>
          <w:tcPr>
            <w:tcW w:w="44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214"/>
              <w:spacing w:after="0"/>
              <w:rPr>
                <w:sz w:val="20"/>
                <w:szCs w:val="20"/>
                <w:color w:val="auto"/>
              </w:rPr>
            </w:pPr>
            <w:r>
              <w:rPr>
                <w:rFonts w:ascii="Arial" w:cs="Arial" w:eastAsia="Arial" w:hAnsi="Arial"/>
                <w:sz w:val="17"/>
                <w:szCs w:val="17"/>
                <w:color w:val="auto"/>
              </w:rPr>
              <w:t>4,065</w:t>
            </w:r>
          </w:p>
        </w:tc>
        <w:tc>
          <w:tcPr>
            <w:tcW w:w="1400" w:type="dxa"/>
            <w:vAlign w:val="bottom"/>
          </w:tcPr>
          <w:p>
            <w:pPr>
              <w:jc w:val="right"/>
              <w:ind w:right="57"/>
              <w:spacing w:after="0"/>
              <w:rPr>
                <w:sz w:val="20"/>
                <w:szCs w:val="20"/>
                <w:color w:val="auto"/>
              </w:rPr>
            </w:pPr>
            <w:r>
              <w:rPr>
                <w:rFonts w:ascii="Arial" w:cs="Arial" w:eastAsia="Arial" w:hAnsi="Arial"/>
                <w:sz w:val="17"/>
                <w:szCs w:val="17"/>
                <w:color w:val="auto"/>
              </w:rPr>
              <w:t>(4.5) %</w:t>
            </w:r>
          </w:p>
        </w:tc>
        <w:tc>
          <w:tcPr>
            <w:tcW w:w="1360" w:type="dxa"/>
            <w:vAlign w:val="bottom"/>
          </w:tcPr>
          <w:p>
            <w:pPr>
              <w:jc w:val="right"/>
              <w:spacing w:after="0"/>
              <w:rPr>
                <w:sz w:val="20"/>
                <w:szCs w:val="20"/>
                <w:color w:val="auto"/>
              </w:rPr>
            </w:pPr>
            <w:r>
              <w:rPr>
                <w:rFonts w:ascii="Arial" w:cs="Arial" w:eastAsia="Arial" w:hAnsi="Arial"/>
                <w:sz w:val="17"/>
                <w:szCs w:val="17"/>
                <w:color w:val="auto"/>
              </w:rPr>
              <w:t>(0.4) %</w:t>
            </w:r>
          </w:p>
        </w:tc>
      </w:tr>
      <w:tr>
        <w:trPr>
          <w:trHeight w:val="223"/>
        </w:trPr>
        <w:tc>
          <w:tcPr>
            <w:tcW w:w="5720" w:type="dxa"/>
            <w:vAlign w:val="bottom"/>
          </w:tcPr>
          <w:p>
            <w:pPr>
              <w:ind w:left="340"/>
              <w:spacing w:after="0"/>
              <w:rPr>
                <w:sz w:val="20"/>
                <w:szCs w:val="20"/>
                <w:color w:val="auto"/>
              </w:rPr>
            </w:pPr>
            <w:r>
              <w:rPr>
                <w:rFonts w:ascii="Arial" w:cs="Arial" w:eastAsia="Arial" w:hAnsi="Arial"/>
                <w:sz w:val="17"/>
                <w:szCs w:val="17"/>
                <w:color w:val="auto"/>
              </w:rPr>
              <w:t>Content</w:t>
            </w: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295</w:t>
            </w:r>
          </w:p>
        </w:tc>
        <w:tc>
          <w:tcPr>
            <w:tcW w:w="440" w:type="dxa"/>
            <w:vAlign w:val="bottom"/>
          </w:tcPr>
          <w:p>
            <w:pPr>
              <w:spacing w:after="0"/>
              <w:rPr>
                <w:sz w:val="19"/>
                <w:szCs w:val="19"/>
                <w:color w:val="auto"/>
              </w:rPr>
            </w:pPr>
          </w:p>
        </w:tc>
        <w:tc>
          <w:tcPr>
            <w:tcW w:w="1080" w:type="dxa"/>
            <w:vAlign w:val="bottom"/>
          </w:tcPr>
          <w:p>
            <w:pPr>
              <w:jc w:val="right"/>
              <w:ind w:right="214"/>
              <w:spacing w:after="0"/>
              <w:rPr>
                <w:sz w:val="20"/>
                <w:szCs w:val="20"/>
                <w:color w:val="auto"/>
              </w:rPr>
            </w:pPr>
            <w:r>
              <w:rPr>
                <w:rFonts w:ascii="Arial" w:cs="Arial" w:eastAsia="Arial" w:hAnsi="Arial"/>
                <w:sz w:val="17"/>
                <w:szCs w:val="17"/>
                <w:color w:val="auto"/>
              </w:rPr>
              <w:t>358</w:t>
            </w:r>
          </w:p>
        </w:tc>
        <w:tc>
          <w:tcPr>
            <w:tcW w:w="1400" w:type="dxa"/>
            <w:vAlign w:val="bottom"/>
          </w:tcPr>
          <w:p>
            <w:pPr>
              <w:jc w:val="right"/>
              <w:ind w:right="237"/>
              <w:spacing w:after="0"/>
              <w:rPr>
                <w:sz w:val="20"/>
                <w:szCs w:val="20"/>
                <w:color w:val="auto"/>
              </w:rPr>
            </w:pPr>
            <w:r>
              <w:rPr>
                <w:rFonts w:ascii="Arial" w:cs="Arial" w:eastAsia="Arial" w:hAnsi="Arial"/>
                <w:sz w:val="17"/>
                <w:szCs w:val="17"/>
                <w:color w:val="auto"/>
              </w:rPr>
              <w:t>(17.5)</w:t>
            </w:r>
          </w:p>
        </w:tc>
        <w:tc>
          <w:tcPr>
            <w:tcW w:w="1360" w:type="dxa"/>
            <w:vAlign w:val="bottom"/>
          </w:tcPr>
          <w:p>
            <w:pPr>
              <w:jc w:val="right"/>
              <w:ind w:right="117"/>
              <w:spacing w:after="0"/>
              <w:rPr>
                <w:sz w:val="20"/>
                <w:szCs w:val="20"/>
                <w:color w:val="auto"/>
              </w:rPr>
            </w:pPr>
            <w:r>
              <w:rPr>
                <w:rFonts w:ascii="Arial" w:cs="Arial" w:eastAsia="Arial" w:hAnsi="Arial"/>
                <w:sz w:val="17"/>
                <w:szCs w:val="17"/>
                <w:color w:val="auto"/>
              </w:rPr>
              <w:t>(14.3)</w:t>
            </w:r>
          </w:p>
        </w:tc>
      </w:tr>
      <w:tr>
        <w:trPr>
          <w:trHeight w:val="223"/>
        </w:trPr>
        <w:tc>
          <w:tcPr>
            <w:tcW w:w="57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Advertising</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596</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574</w:t>
            </w:r>
          </w:p>
        </w:tc>
        <w:tc>
          <w:tcPr>
            <w:tcW w:w="140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3.8</w:t>
            </w: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7.9</w:t>
            </w:r>
          </w:p>
        </w:tc>
      </w:tr>
      <w:tr>
        <w:trPr>
          <w:trHeight w:val="211"/>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4,775</w:t>
            </w:r>
          </w:p>
        </w:tc>
        <w:tc>
          <w:tcPr>
            <w:tcW w:w="440" w:type="dxa"/>
            <w:vAlign w:val="bottom"/>
          </w:tcPr>
          <w:p>
            <w:pPr>
              <w:spacing w:after="0"/>
              <w:rPr>
                <w:sz w:val="18"/>
                <w:szCs w:val="18"/>
                <w:color w:val="auto"/>
              </w:rPr>
            </w:pPr>
          </w:p>
        </w:tc>
        <w:tc>
          <w:tcPr>
            <w:tcW w:w="1080" w:type="dxa"/>
            <w:vAlign w:val="bottom"/>
          </w:tcPr>
          <w:p>
            <w:pPr>
              <w:jc w:val="right"/>
              <w:ind w:right="214"/>
              <w:spacing w:after="0"/>
              <w:rPr>
                <w:sz w:val="20"/>
                <w:szCs w:val="20"/>
                <w:color w:val="auto"/>
              </w:rPr>
            </w:pPr>
            <w:r>
              <w:rPr>
                <w:rFonts w:ascii="Arial" w:cs="Arial" w:eastAsia="Arial" w:hAnsi="Arial"/>
                <w:sz w:val="17"/>
                <w:szCs w:val="17"/>
                <w:b w:val="1"/>
                <w:bCs w:val="1"/>
                <w:color w:val="auto"/>
              </w:rPr>
              <w:t>4,997</w:t>
            </w:r>
          </w:p>
        </w:tc>
        <w:tc>
          <w:tcPr>
            <w:tcW w:w="1400" w:type="dxa"/>
            <w:vAlign w:val="bottom"/>
          </w:tcPr>
          <w:p>
            <w:pPr>
              <w:jc w:val="right"/>
              <w:ind w:right="237"/>
              <w:spacing w:after="0"/>
              <w:rPr>
                <w:sz w:val="20"/>
                <w:szCs w:val="20"/>
                <w:color w:val="auto"/>
              </w:rPr>
            </w:pPr>
            <w:r>
              <w:rPr>
                <w:rFonts w:ascii="Arial" w:cs="Arial" w:eastAsia="Arial" w:hAnsi="Arial"/>
                <w:sz w:val="17"/>
                <w:szCs w:val="17"/>
                <w:b w:val="1"/>
                <w:bCs w:val="1"/>
                <w:color w:val="auto"/>
              </w:rPr>
              <w:t>(4.5)</w:t>
            </w:r>
          </w:p>
        </w:tc>
        <w:tc>
          <w:tcPr>
            <w:tcW w:w="1360" w:type="dxa"/>
            <w:vAlign w:val="bottom"/>
          </w:tcPr>
          <w:p>
            <w:pPr>
              <w:jc w:val="right"/>
              <w:ind w:right="117"/>
              <w:spacing w:after="0"/>
              <w:rPr>
                <w:sz w:val="20"/>
                <w:szCs w:val="20"/>
                <w:color w:val="auto"/>
              </w:rPr>
            </w:pPr>
            <w:r>
              <w:rPr>
                <w:rFonts w:ascii="Arial" w:cs="Arial" w:eastAsia="Arial" w:hAnsi="Arial"/>
                <w:sz w:val="17"/>
                <w:szCs w:val="17"/>
                <w:b w:val="1"/>
                <w:bCs w:val="1"/>
                <w:color w:val="auto"/>
              </w:rPr>
              <w:t>(0.5)</w:t>
            </w:r>
          </w:p>
        </w:tc>
      </w:tr>
      <w:tr>
        <w:trPr>
          <w:trHeight w:val="228"/>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572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1,948</w:t>
            </w:r>
          </w:p>
        </w:tc>
        <w:tc>
          <w:tcPr>
            <w:tcW w:w="440" w:type="dxa"/>
            <w:vAlign w:val="bottom"/>
          </w:tcPr>
          <w:p>
            <w:pPr>
              <w:spacing w:after="0"/>
              <w:rPr>
                <w:sz w:val="19"/>
                <w:szCs w:val="19"/>
                <w:color w:val="auto"/>
              </w:rPr>
            </w:pPr>
          </w:p>
        </w:tc>
        <w:tc>
          <w:tcPr>
            <w:tcW w:w="1080" w:type="dxa"/>
            <w:vAlign w:val="bottom"/>
          </w:tcPr>
          <w:p>
            <w:pPr>
              <w:jc w:val="right"/>
              <w:ind w:right="214"/>
              <w:spacing w:after="0"/>
              <w:rPr>
                <w:sz w:val="20"/>
                <w:szCs w:val="20"/>
                <w:color w:val="auto"/>
              </w:rPr>
            </w:pPr>
            <w:r>
              <w:rPr>
                <w:rFonts w:ascii="Arial" w:cs="Arial" w:eastAsia="Arial" w:hAnsi="Arial"/>
                <w:sz w:val="17"/>
                <w:szCs w:val="17"/>
                <w:color w:val="auto"/>
              </w:rPr>
              <w:t>2,485</w:t>
            </w:r>
          </w:p>
        </w:tc>
        <w:tc>
          <w:tcPr>
            <w:tcW w:w="1400" w:type="dxa"/>
            <w:vAlign w:val="bottom"/>
          </w:tcPr>
          <w:p>
            <w:pPr>
              <w:jc w:val="right"/>
              <w:ind w:right="237"/>
              <w:spacing w:after="0"/>
              <w:rPr>
                <w:sz w:val="20"/>
                <w:szCs w:val="20"/>
                <w:color w:val="auto"/>
              </w:rPr>
            </w:pPr>
            <w:r>
              <w:rPr>
                <w:rFonts w:ascii="Arial" w:cs="Arial" w:eastAsia="Arial" w:hAnsi="Arial"/>
                <w:sz w:val="17"/>
                <w:szCs w:val="17"/>
                <w:color w:val="auto"/>
              </w:rPr>
              <w:t>(21.6)</w:t>
            </w:r>
          </w:p>
        </w:tc>
        <w:tc>
          <w:tcPr>
            <w:tcW w:w="1360" w:type="dxa"/>
            <w:vAlign w:val="bottom"/>
          </w:tcPr>
          <w:p>
            <w:pPr>
              <w:jc w:val="right"/>
              <w:ind w:right="117"/>
              <w:spacing w:after="0"/>
              <w:rPr>
                <w:sz w:val="20"/>
                <w:szCs w:val="20"/>
                <w:color w:val="auto"/>
              </w:rPr>
            </w:pPr>
            <w:r>
              <w:rPr>
                <w:rFonts w:ascii="Arial" w:cs="Arial" w:eastAsia="Arial" w:hAnsi="Arial"/>
                <w:sz w:val="17"/>
                <w:szCs w:val="17"/>
                <w:color w:val="auto"/>
              </w:rPr>
              <w:t>(17.6)</w:t>
            </w:r>
          </w:p>
        </w:tc>
      </w:tr>
      <w:tr>
        <w:trPr>
          <w:trHeight w:val="223"/>
        </w:trPr>
        <w:tc>
          <w:tcPr>
            <w:tcW w:w="5720" w:type="dxa"/>
            <w:vAlign w:val="bottom"/>
          </w:tcPr>
          <w:p>
            <w:pPr>
              <w:ind w:left="340"/>
              <w:spacing w:after="0"/>
              <w:rPr>
                <w:sz w:val="20"/>
                <w:szCs w:val="20"/>
                <w:color w:val="auto"/>
              </w:rPr>
            </w:pPr>
            <w:r>
              <w:rPr>
                <w:rFonts w:ascii="Arial" w:cs="Arial" w:eastAsia="Arial" w:hAnsi="Arial"/>
                <w:sz w:val="17"/>
                <w:szCs w:val="17"/>
                <w:color w:val="auto"/>
              </w:rPr>
              <w:t>Direct network costs</w:t>
            </w: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672</w:t>
            </w:r>
          </w:p>
        </w:tc>
        <w:tc>
          <w:tcPr>
            <w:tcW w:w="440" w:type="dxa"/>
            <w:vAlign w:val="bottom"/>
          </w:tcPr>
          <w:p>
            <w:pPr>
              <w:spacing w:after="0"/>
              <w:rPr>
                <w:sz w:val="19"/>
                <w:szCs w:val="19"/>
                <w:color w:val="auto"/>
              </w:rPr>
            </w:pPr>
          </w:p>
        </w:tc>
        <w:tc>
          <w:tcPr>
            <w:tcW w:w="1080" w:type="dxa"/>
            <w:vAlign w:val="bottom"/>
          </w:tcPr>
          <w:p>
            <w:pPr>
              <w:jc w:val="right"/>
              <w:ind w:right="214"/>
              <w:spacing w:after="0"/>
              <w:rPr>
                <w:sz w:val="20"/>
                <w:szCs w:val="20"/>
                <w:color w:val="auto"/>
              </w:rPr>
            </w:pPr>
            <w:r>
              <w:rPr>
                <w:rFonts w:ascii="Arial" w:cs="Arial" w:eastAsia="Arial" w:hAnsi="Arial"/>
                <w:sz w:val="17"/>
                <w:szCs w:val="17"/>
                <w:color w:val="auto"/>
              </w:rPr>
              <w:t>631</w:t>
            </w:r>
          </w:p>
        </w:tc>
        <w:tc>
          <w:tcPr>
            <w:tcW w:w="1400" w:type="dxa"/>
            <w:vAlign w:val="bottom"/>
          </w:tcPr>
          <w:p>
            <w:pPr>
              <w:jc w:val="right"/>
              <w:ind w:right="277"/>
              <w:spacing w:after="0"/>
              <w:rPr>
                <w:sz w:val="20"/>
                <w:szCs w:val="20"/>
                <w:color w:val="auto"/>
              </w:rPr>
            </w:pPr>
            <w:r>
              <w:rPr>
                <w:rFonts w:ascii="Arial" w:cs="Arial" w:eastAsia="Arial" w:hAnsi="Arial"/>
                <w:sz w:val="17"/>
                <w:szCs w:val="17"/>
                <w:color w:val="auto"/>
              </w:rPr>
              <w:t>6.5</w:t>
            </w:r>
          </w:p>
        </w:tc>
        <w:tc>
          <w:tcPr>
            <w:tcW w:w="1360" w:type="dxa"/>
            <w:vAlign w:val="bottom"/>
          </w:tcPr>
          <w:p>
            <w:pPr>
              <w:jc w:val="right"/>
              <w:ind w:right="157"/>
              <w:spacing w:after="0"/>
              <w:rPr>
                <w:sz w:val="20"/>
                <w:szCs w:val="20"/>
                <w:color w:val="auto"/>
              </w:rPr>
            </w:pPr>
            <w:r>
              <w:rPr>
                <w:rFonts w:ascii="Arial" w:cs="Arial" w:eastAsia="Arial" w:hAnsi="Arial"/>
                <w:sz w:val="17"/>
                <w:szCs w:val="17"/>
                <w:color w:val="auto"/>
              </w:rPr>
              <w:t>9.7</w:t>
            </w:r>
          </w:p>
        </w:tc>
      </w:tr>
      <w:tr>
        <w:trPr>
          <w:trHeight w:val="223"/>
        </w:trPr>
        <w:tc>
          <w:tcPr>
            <w:tcW w:w="57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1,532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1,517</w:t>
            </w:r>
          </w:p>
        </w:tc>
        <w:tc>
          <w:tcPr>
            <w:tcW w:w="140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1.0</w:t>
            </w: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5.2</w:t>
            </w:r>
          </w:p>
        </w:tc>
      </w:tr>
      <w:tr>
        <w:trPr>
          <w:trHeight w:val="216"/>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4,153</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4,633</w:t>
            </w:r>
          </w:p>
        </w:tc>
        <w:tc>
          <w:tcPr>
            <w:tcW w:w="140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(10.4)</w:t>
            </w: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(6.3)</w:t>
            </w:r>
          </w:p>
        </w:tc>
      </w:tr>
      <w:tr>
        <w:trPr>
          <w:trHeight w:val="222"/>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622</w:t>
            </w:r>
          </w:p>
        </w:tc>
        <w:tc>
          <w:tcPr>
            <w:tcW w:w="4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364</w:t>
            </w: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71.0 %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71.2 %</w:t>
            </w:r>
          </w:p>
        </w:tc>
      </w:tr>
    </w:tbl>
    <w:p>
      <w:pPr>
        <w:spacing w:after="0" w:line="139" w:lineRule="exact"/>
        <w:rPr>
          <w:sz w:val="20"/>
          <w:szCs w:val="20"/>
          <w:color w:val="auto"/>
        </w:rPr>
      </w:pPr>
    </w:p>
    <w:p>
      <w:pPr>
        <w:ind w:left="240" w:hanging="235"/>
        <w:spacing w:after="0" w:line="260" w:lineRule="auto"/>
        <w:tabs>
          <w:tab w:leader="none" w:pos="238"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24 for additional information, including our definition and our use of constant currency, and for a reconciliation of Sky’s constant currency growth rates.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Net Additions / (Losses)</w:t>
            </w:r>
          </w:p>
        </w:tc>
        <w:tc>
          <w:tcPr>
            <w:tcW w:w="0" w:type="dxa"/>
            <w:vAlign w:val="bottom"/>
          </w:tcPr>
          <w:p>
            <w:pPr>
              <w:spacing w:after="0"/>
              <w:rPr>
                <w:sz w:val="1"/>
                <w:szCs w:val="1"/>
                <w:color w:val="auto"/>
              </w:rPr>
            </w:pPr>
          </w:p>
        </w:tc>
      </w:tr>
      <w:tr>
        <w:trPr>
          <w:trHeight w:val="129"/>
        </w:trPr>
        <w:tc>
          <w:tcPr>
            <w:tcW w:w="71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Pr>
          <w:p>
            <w:pPr>
              <w:spacing w:after="0"/>
              <w:rPr>
                <w:sz w:val="11"/>
                <w:szCs w:val="11"/>
                <w:color w:val="auto"/>
              </w:rPr>
            </w:pPr>
          </w:p>
        </w:tc>
        <w:tc>
          <w:tcPr>
            <w:tcW w:w="206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0"/>
              </w:rPr>
              <w:t>Three Months Ended</w:t>
            </w:r>
          </w:p>
        </w:tc>
        <w:tc>
          <w:tcPr>
            <w:tcW w:w="0" w:type="dxa"/>
            <w:vAlign w:val="bottom"/>
          </w:tcPr>
          <w:p>
            <w:pPr>
              <w:spacing w:after="0"/>
              <w:rPr>
                <w:sz w:val="1"/>
                <w:szCs w:val="1"/>
                <w:color w:val="auto"/>
              </w:rPr>
            </w:pPr>
          </w:p>
        </w:tc>
      </w:tr>
      <w:tr>
        <w:trPr>
          <w:trHeight w:val="178"/>
        </w:trPr>
        <w:tc>
          <w:tcPr>
            <w:tcW w:w="71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627"/>
              <w:spacing w:after="0"/>
              <w:rPr>
                <w:sz w:val="20"/>
                <w:szCs w:val="20"/>
                <w:color w:val="auto"/>
              </w:rPr>
            </w:pPr>
            <w:r>
              <w:rPr>
                <w:rFonts w:ascii="Arial" w:cs="Arial" w:eastAsia="Arial" w:hAnsi="Arial"/>
                <w:sz w:val="14"/>
                <w:szCs w:val="14"/>
                <w:color w:val="auto"/>
                <w:w w:val="93"/>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color w:val="auto"/>
              </w:rPr>
              <w:t>2022</w:t>
            </w: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w w:val="96"/>
              </w:rPr>
              <w:t>2021</w:t>
            </w:r>
          </w:p>
        </w:tc>
        <w:tc>
          <w:tcPr>
            <w:tcW w:w="1360" w:type="dxa"/>
            <w:vAlign w:val="bottom"/>
            <w:tcBorders>
              <w:bottom w:val="single" w:sz="8" w:color="auto"/>
            </w:tcBorders>
          </w:tcPr>
          <w:p>
            <w:pPr>
              <w:jc w:val="right"/>
              <w:ind w:right="627"/>
              <w:spacing w:after="0"/>
              <w:rPr>
                <w:sz w:val="20"/>
                <w:szCs w:val="20"/>
                <w:color w:val="auto"/>
              </w:rPr>
            </w:pPr>
            <w:r>
              <w:rPr>
                <w:rFonts w:ascii="Arial" w:cs="Arial" w:eastAsia="Arial" w:hAnsi="Arial"/>
                <w:sz w:val="14"/>
                <w:szCs w:val="14"/>
                <w:color w:val="auto"/>
              </w:rPr>
              <w:t>2022</w:t>
            </w: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18"/>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customer relationships</w:t>
            </w:r>
          </w:p>
        </w:tc>
        <w:tc>
          <w:tcPr>
            <w:tcW w:w="1380" w:type="dxa"/>
            <w:vAlign w:val="bottom"/>
            <w:tcBorders>
              <w:bottom w:val="single" w:sz="8" w:color="auto"/>
            </w:tcBorders>
          </w:tcPr>
          <w:p>
            <w:pPr>
              <w:jc w:val="right"/>
              <w:ind w:right="344"/>
              <w:spacing w:after="0"/>
              <w:rPr>
                <w:sz w:val="20"/>
                <w:szCs w:val="20"/>
                <w:color w:val="auto"/>
              </w:rPr>
            </w:pPr>
            <w:r>
              <w:rPr>
                <w:rFonts w:ascii="Arial" w:cs="Arial" w:eastAsia="Arial" w:hAnsi="Arial"/>
                <w:sz w:val="17"/>
                <w:szCs w:val="17"/>
                <w:color w:val="auto"/>
              </w:rPr>
              <w:t>22,921</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23,446</w:t>
            </w:r>
          </w:p>
        </w:tc>
        <w:tc>
          <w:tcPr>
            <w:tcW w:w="1360" w:type="dxa"/>
            <w:vAlign w:val="bottom"/>
            <w:tcBorders>
              <w:bottom w:val="single" w:sz="8" w:color="auto"/>
            </w:tcBorders>
          </w:tcPr>
          <w:p>
            <w:pPr>
              <w:jc w:val="right"/>
              <w:ind w:right="287"/>
              <w:spacing w:after="0"/>
              <w:rPr>
                <w:sz w:val="20"/>
                <w:szCs w:val="20"/>
                <w:color w:val="auto"/>
              </w:rPr>
            </w:pPr>
            <w:r>
              <w:rPr>
                <w:rFonts w:ascii="Arial" w:cs="Arial" w:eastAsia="Arial" w:hAnsi="Arial"/>
                <w:sz w:val="17"/>
                <w:szCs w:val="17"/>
                <w:color w:val="auto"/>
              </w:rPr>
              <w:t>(106)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Customer metrics are presented based on actual amounts. Customer relationships represent the number of residential customers that subscribe to at least one of Sky’s four primary services of video, broadband, voice and wireless phone service. Sky reports business customers, including hotels, bars, workplaces and restaurants, generally based on the number of locations receiving our services.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vMerge w:val="restart"/>
          </w:tcPr>
          <w:p>
            <w:pPr>
              <w:jc w:val="center"/>
              <w:ind w:right="281"/>
              <w:spacing w:after="0"/>
              <w:rPr>
                <w:sz w:val="20"/>
                <w:szCs w:val="20"/>
                <w:color w:val="auto"/>
              </w:rPr>
            </w:pPr>
            <w:r>
              <w:rPr>
                <w:rFonts w:ascii="Arial" w:cs="Arial" w:eastAsia="Arial" w:hAnsi="Arial"/>
                <w:sz w:val="14"/>
                <w:szCs w:val="14"/>
                <w:color w:val="auto"/>
                <w:w w:val="90"/>
              </w:rPr>
              <w:t>Three Months Ended</w:t>
            </w:r>
          </w:p>
        </w:tc>
        <w:tc>
          <w:tcPr>
            <w:tcW w:w="1260" w:type="dxa"/>
            <w:vAlign w:val="bottom"/>
            <w:vMerge w:val="restart"/>
          </w:tcPr>
          <w:p>
            <w:pPr>
              <w:jc w:val="center"/>
              <w:ind w:right="206"/>
              <w:spacing w:after="0"/>
              <w:rPr>
                <w:sz w:val="20"/>
                <w:szCs w:val="20"/>
                <w:color w:val="auto"/>
              </w:rPr>
            </w:pPr>
            <w:r>
              <w:rPr>
                <w:rFonts w:ascii="Arial" w:cs="Arial" w:eastAsia="Arial" w:hAnsi="Arial"/>
                <w:sz w:val="14"/>
                <w:szCs w:val="14"/>
                <w:color w:val="auto"/>
                <w:w w:val="86"/>
              </w:rPr>
              <w:t>Increase/</w:t>
            </w:r>
          </w:p>
        </w:tc>
        <w:tc>
          <w:tcPr>
            <w:tcW w:w="1040" w:type="dxa"/>
            <w:vAlign w:val="bottom"/>
          </w:tcPr>
          <w:p>
            <w:pPr>
              <w:jc w:val="center"/>
              <w:ind w:right="87"/>
              <w:spacing w:after="0"/>
              <w:rPr>
                <w:sz w:val="20"/>
                <w:szCs w:val="20"/>
                <w:color w:val="auto"/>
              </w:rPr>
            </w:pPr>
            <w:r>
              <w:rPr>
                <w:rFonts w:ascii="Arial" w:cs="Arial" w:eastAsia="Arial" w:hAnsi="Arial"/>
                <w:sz w:val="14"/>
                <w:szCs w:val="14"/>
                <w:color w:val="auto"/>
                <w:w w:val="85"/>
              </w:rPr>
              <w:t>Constant</w:t>
            </w:r>
          </w:p>
        </w:tc>
        <w:tc>
          <w:tcPr>
            <w:tcW w:w="0" w:type="dxa"/>
            <w:vAlign w:val="bottom"/>
          </w:tcPr>
          <w:p>
            <w:pPr>
              <w:spacing w:after="0"/>
              <w:rPr>
                <w:sz w:val="1"/>
                <w:szCs w:val="1"/>
                <w:color w:val="auto"/>
              </w:rPr>
            </w:pPr>
          </w:p>
        </w:tc>
      </w:tr>
      <w:tr>
        <w:trPr>
          <w:trHeight w:val="131"/>
        </w:trPr>
        <w:tc>
          <w:tcPr>
            <w:tcW w:w="6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40" w:type="dxa"/>
            <w:vAlign w:val="bottom"/>
          </w:tcPr>
          <w:p>
            <w:pPr>
              <w:jc w:val="center"/>
              <w:ind w:right="87"/>
              <w:spacing w:after="0" w:line="131" w:lineRule="exact"/>
              <w:rPr>
                <w:sz w:val="20"/>
                <w:szCs w:val="20"/>
                <w:color w:val="auto"/>
              </w:rPr>
            </w:pPr>
            <w:r>
              <w:rPr>
                <w:rFonts w:ascii="Arial" w:cs="Arial" w:eastAsia="Arial" w:hAnsi="Arial"/>
                <w:sz w:val="14"/>
                <w:szCs w:val="14"/>
                <w:color w:val="auto"/>
                <w:w w:val="91"/>
              </w:rPr>
              <w:t>Currency</w:t>
            </w:r>
          </w:p>
        </w:tc>
        <w:tc>
          <w:tcPr>
            <w:tcW w:w="0" w:type="dxa"/>
            <w:vAlign w:val="bottom"/>
          </w:tcPr>
          <w:p>
            <w:pPr>
              <w:spacing w:after="0"/>
              <w:rPr>
                <w:sz w:val="1"/>
                <w:szCs w:val="1"/>
                <w:color w:val="auto"/>
              </w:rPr>
            </w:pPr>
          </w:p>
        </w:tc>
      </w:tr>
      <w:tr>
        <w:trPr>
          <w:trHeight w:val="183"/>
        </w:trPr>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386"/>
              <w:spacing w:after="0"/>
              <w:rPr>
                <w:sz w:val="20"/>
                <w:szCs w:val="20"/>
                <w:color w:val="auto"/>
              </w:rPr>
            </w:pPr>
            <w:r>
              <w:rPr>
                <w:rFonts w:ascii="Arial" w:cs="Arial" w:eastAsia="Arial" w:hAnsi="Arial"/>
                <w:sz w:val="14"/>
                <w:szCs w:val="14"/>
                <w:color w:val="auto"/>
                <w:w w:val="93"/>
              </w:rPr>
              <w:t>March 31,</w:t>
            </w: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color w:val="auto"/>
                <w:w w:val="86"/>
              </w:rPr>
              <w:t>(Decrease)</w:t>
            </w:r>
          </w:p>
        </w:tc>
        <w:tc>
          <w:tcPr>
            <w:tcW w:w="1040" w:type="dxa"/>
            <w:vAlign w:val="bottom"/>
            <w:tcBorders>
              <w:bottom w:val="single" w:sz="8" w:color="auto"/>
            </w:tcBorders>
          </w:tcPr>
          <w:p>
            <w:pPr>
              <w:jc w:val="center"/>
              <w:ind w:right="87"/>
              <w:spacing w:after="0" w:line="183" w:lineRule="exact"/>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(a)</w:t>
            </w:r>
          </w:p>
        </w:tc>
        <w:tc>
          <w:tcPr>
            <w:tcW w:w="0" w:type="dxa"/>
            <w:vAlign w:val="bottom"/>
          </w:tcPr>
          <w:p>
            <w:pPr>
              <w:spacing w:after="0"/>
              <w:rPr>
                <w:sz w:val="1"/>
                <w:szCs w:val="1"/>
                <w:color w:val="auto"/>
              </w:rPr>
            </w:pPr>
          </w:p>
        </w:tc>
      </w:tr>
      <w:tr>
        <w:trPr>
          <w:trHeight w:val="174"/>
        </w:trPr>
        <w:tc>
          <w:tcPr>
            <w:tcW w:w="6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66"/>
              <w:spacing w:after="0"/>
              <w:rPr>
                <w:sz w:val="20"/>
                <w:szCs w:val="20"/>
                <w:color w:val="auto"/>
              </w:rPr>
            </w:pPr>
            <w:r>
              <w:rPr>
                <w:rFonts w:ascii="Arial" w:cs="Arial" w:eastAsia="Arial" w:hAnsi="Arial"/>
                <w:sz w:val="14"/>
                <w:szCs w:val="14"/>
                <w:color w:val="auto"/>
              </w:rPr>
              <w:t>2022</w:t>
            </w: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w w:val="96"/>
              </w:rPr>
              <w:t>2021</w:t>
            </w:r>
          </w:p>
        </w:tc>
        <w:tc>
          <w:tcPr>
            <w:tcW w:w="126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color w:val="auto"/>
                <w:w w:val="96"/>
              </w:rPr>
              <w:t>%</w:t>
            </w:r>
          </w:p>
        </w:tc>
        <w:tc>
          <w:tcPr>
            <w:tcW w:w="104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8"/>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Average monthly direct-to-consumer revenue per customer relationship</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66"/>
              <w:spacing w:after="0"/>
              <w:rPr>
                <w:sz w:val="20"/>
                <w:szCs w:val="20"/>
                <w:color w:val="auto"/>
              </w:rPr>
            </w:pPr>
            <w:r>
              <w:rPr>
                <w:rFonts w:ascii="Arial" w:cs="Arial" w:eastAsia="Arial" w:hAnsi="Arial"/>
                <w:sz w:val="17"/>
                <w:szCs w:val="17"/>
                <w:color w:val="auto"/>
              </w:rPr>
              <w:t>56.35 $</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color w:val="auto"/>
              </w:rPr>
              <w:t>58.06</w:t>
            </w: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7"/>
                <w:szCs w:val="17"/>
                <w:color w:val="auto"/>
              </w:rPr>
              <w:t>(2.9)%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0" w:hanging="235"/>
        <w:spacing w:after="0" w:line="260" w:lineRule="auto"/>
        <w:tabs>
          <w:tab w:leader="none" w:pos="238"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24 for additional information, including our definition and our use of constant currency, and for a reconciliation of Sky’s constant currency growth rates.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Direct-to-Consumer</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 decreased for the three months ended March 31, 2022 compared to the same period in 2021. Excluding the impact of foreign currency, revenue remained consistent with the prior year period primarily due to a decrease in customer relationships offset by an increase in average revenue per customer relationship. The decrease in customer relationships was driven by a decrease in Italy, partially offset by an increase in the United Kingdom. The increase in average revenue per customer relationship reflects the impacts of COVID-19 on business customers in the prior year period and the impact of rate increases in the United Kingdom, partially offset by declines in average rates in Italy. The decline in customer relationships and average revenue per customer relationship in Italy included the effects of the reduced broadcast rights for Serie A, which we had held through the end of the 2020-21 season. Beginning with the 2021-22 season in the third quarter of 2021 and through the 2023-24 season, we have nonexclusive broadcast rights to fewer matches, which has resulted and we expect will continue to result in declines in revenue in Italy in 2022.</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decreased for the three months ended March 31, 2022 compared to the same period in 2021. Excluding the impact of foreign currency, revenue decreased primarily due to lower sports programming licensing revenue driven by changes in licensing agreements in Italy and Germany.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increased for the three months ended March 31, 2022 compared to the same period in 2021. Excluding the impact of foreign currency, revenue increased primarily as a result of an overall market improvement in the United Kingdom compared to the prior year period, partially offset by decreased advertising revenue associated with Serie A.</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Operating Costs and Expenses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Programming and production costs decreased for the three months ended March 31, 2022 compared to the same period in 2021. Excluding the impact of foreign currency, programming and production costs decreased for the three months ended March 31, 2022 primarily reflecting lower costs associated with Serie A in Italy as a result of the reduced broadcast rights and lower costs associated with other sports contracts in Germany in the current year period, as well as the timing of recognition of costs related to sporting events.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network costs increased for the three months ended March 31, 2022 compared to the same period in 2021. Excluding the impact of foreign currency, direct network costs increased primarily due to an increase in costs associated with Sky</w:t>
      </w:r>
      <w:r>
        <w:rPr>
          <w:rFonts w:ascii="Arial" w:cs="Arial" w:eastAsia="Arial" w:hAnsi="Arial"/>
          <w:sz w:val="16"/>
          <w:szCs w:val="16"/>
          <w:color w:val="auto"/>
        </w:rPr>
        <w:t>’</w:t>
      </w:r>
      <w:r>
        <w:rPr>
          <w:rFonts w:ascii="Arial" w:cs="Arial" w:eastAsia="Arial" w:hAnsi="Arial"/>
          <w:sz w:val="17"/>
          <w:szCs w:val="17"/>
          <w:color w:val="auto"/>
        </w:rPr>
        <w:t>s broadband and wireless phone services as a result of increases in the number of customers receiving these services and wireless device sales.</w:t>
      </w:r>
    </w:p>
    <w:p>
      <w:pPr>
        <w:spacing w:after="0" w:line="6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Other expenses increased for the three months ended March 31, 2022 compared to the same period in 2021. Excluding the impact of foreign currency, other expenses increased primarily due to higher administrative costs and higher fees paid to third-party channels related to advertising sales.</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857"/>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jc w:val="center"/>
              <w:ind w:right="41"/>
              <w:spacing w:after="0"/>
              <w:rPr>
                <w:sz w:val="20"/>
                <w:szCs w:val="20"/>
                <w:color w:val="auto"/>
              </w:rPr>
            </w:pPr>
            <w:r>
              <w:rPr>
                <w:rFonts w:ascii="Arial" w:cs="Arial" w:eastAsia="Arial" w:hAnsi="Arial"/>
                <w:sz w:val="14"/>
                <w:szCs w:val="14"/>
                <w:color w:val="auto"/>
                <w:w w:val="86"/>
              </w:rPr>
              <w:t>Increase/</w:t>
            </w:r>
          </w:p>
        </w:tc>
      </w:tr>
      <w:tr>
        <w:trPr>
          <w:trHeight w:val="178"/>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86"/>
              </w:rPr>
              <w:t>(Decrease)</w:t>
            </w:r>
          </w:p>
        </w:tc>
      </w:tr>
      <w:tr>
        <w:trPr>
          <w:trHeight w:val="17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6"/>
              </w:rPr>
              <w:t>%</w:t>
            </w: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center"/>
              <w:ind w:left="421"/>
              <w:spacing w:after="0"/>
              <w:rPr>
                <w:sz w:val="20"/>
                <w:szCs w:val="20"/>
                <w:color w:val="auto"/>
              </w:rPr>
            </w:pPr>
            <w:r>
              <w:rPr>
                <w:rFonts w:ascii="Arial" w:cs="Arial" w:eastAsia="Arial" w:hAnsi="Arial"/>
                <w:sz w:val="17"/>
                <w:szCs w:val="17"/>
                <w:color w:val="auto"/>
                <w:w w:val="98"/>
              </w:rPr>
              <w:t>238</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37"/>
              <w:spacing w:after="0"/>
              <w:rPr>
                <w:sz w:val="20"/>
                <w:szCs w:val="20"/>
                <w:color w:val="auto"/>
              </w:rPr>
            </w:pPr>
            <w:r>
              <w:rPr>
                <w:rFonts w:ascii="Arial" w:cs="Arial" w:eastAsia="Arial" w:hAnsi="Arial"/>
                <w:sz w:val="17"/>
                <w:szCs w:val="17"/>
                <w:color w:val="auto"/>
              </w:rPr>
              <w:t>89</w:t>
            </w:r>
          </w:p>
        </w:tc>
        <w:tc>
          <w:tcPr>
            <w:tcW w:w="1260" w:type="dxa"/>
            <w:vAlign w:val="bottom"/>
          </w:tcPr>
          <w:p>
            <w:pPr>
              <w:jc w:val="right"/>
              <w:spacing w:after="0"/>
              <w:rPr>
                <w:sz w:val="20"/>
                <w:szCs w:val="20"/>
                <w:color w:val="auto"/>
              </w:rPr>
            </w:pPr>
            <w:r>
              <w:rPr>
                <w:rFonts w:ascii="Arial" w:cs="Arial" w:eastAsia="Arial" w:hAnsi="Arial"/>
                <w:sz w:val="17"/>
                <w:szCs w:val="17"/>
                <w:color w:val="auto"/>
              </w:rPr>
              <w:t>168.8 %</w:t>
            </w: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21"/>
              <w:spacing w:after="0"/>
              <w:rPr>
                <w:sz w:val="20"/>
                <w:szCs w:val="20"/>
                <w:color w:val="auto"/>
              </w:rPr>
            </w:pPr>
            <w:r>
              <w:rPr>
                <w:rFonts w:ascii="Arial" w:cs="Arial" w:eastAsia="Arial" w:hAnsi="Arial"/>
                <w:sz w:val="17"/>
                <w:szCs w:val="17"/>
                <w:color w:val="auto"/>
                <w:w w:val="98"/>
              </w:rPr>
              <w:t>500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370</w:t>
            </w: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7"/>
                <w:szCs w:val="17"/>
                <w:color w:val="auto"/>
              </w:rPr>
              <w:t>35.4</w:t>
            </w:r>
          </w:p>
        </w:tc>
      </w:tr>
      <w:tr>
        <w:trPr>
          <w:trHeight w:val="22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center"/>
              <w:ind w:left="401"/>
              <w:spacing w:after="0"/>
              <w:rPr>
                <w:sz w:val="20"/>
                <w:szCs w:val="20"/>
                <w:color w:val="auto"/>
              </w:rPr>
            </w:pPr>
            <w:r>
              <w:rPr>
                <w:rFonts w:ascii="Arial" w:cs="Arial" w:eastAsia="Arial" w:hAnsi="Arial"/>
                <w:sz w:val="17"/>
                <w:szCs w:val="17"/>
                <w:b w:val="1"/>
                <w:bCs w:val="1"/>
                <w:color w:val="auto"/>
                <w:w w:val="95"/>
              </w:rPr>
              <w:t>(262)</w:t>
            </w:r>
          </w:p>
        </w:tc>
        <w:tc>
          <w:tcPr>
            <w:tcW w:w="4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(281)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6.7 %</w:t>
            </w:r>
          </w:p>
        </w:tc>
      </w:tr>
    </w:tbl>
    <w:p>
      <w:pPr>
        <w:spacing w:after="0" w:line="1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Corporate and other primarily includes overhead and personnel costs, the results of other business initiatives and Comcast Spectacor, which owns the Philadelphia Flyers and the Wells Fargo Center arena in Philadelphia, Pennsylvania. Other business initiatives include costs associated with Sky Glass and the related hardware sales, as well as costs associated with XClass TV.</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Revenue increased for the three months ended March 31, 2022 primarily due to increases at Comcast Spectacor as a result of the impacts of COVID-19 in the prior year period and sales of Sky Glass smart televisions.</w:t>
      </w:r>
    </w:p>
    <w:p>
      <w:pPr>
        <w:spacing w:after="0" w:line="53"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Expenses increased for the three months ended March 31, 2022 primarily due to costs related to Sky Glass and XClass TV. We expect to continue to incur increased costs in 2022 related to the launch of Sky Glass and XClass TV.</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3"/>
          </w:tcPr>
          <w:p>
            <w:pPr>
              <w:jc w:val="right"/>
              <w:ind w:right="857"/>
              <w:spacing w:after="0"/>
              <w:rPr>
                <w:sz w:val="20"/>
                <w:szCs w:val="20"/>
                <w:color w:val="auto"/>
              </w:rPr>
            </w:pPr>
            <w:r>
              <w:rPr>
                <w:rFonts w:ascii="Arial" w:cs="Arial" w:eastAsia="Arial" w:hAnsi="Arial"/>
                <w:sz w:val="14"/>
                <w:szCs w:val="14"/>
                <w:color w:val="auto"/>
              </w:rPr>
              <w:t>Three Months Ended</w:t>
            </w:r>
          </w:p>
        </w:tc>
        <w:tc>
          <w:tcPr>
            <w:tcW w:w="1240" w:type="dxa"/>
            <w:vAlign w:val="bottom"/>
          </w:tcPr>
          <w:p>
            <w:pPr>
              <w:jc w:val="center"/>
              <w:ind w:right="61"/>
              <w:spacing w:after="0"/>
              <w:rPr>
                <w:sz w:val="20"/>
                <w:szCs w:val="20"/>
                <w:color w:val="auto"/>
              </w:rPr>
            </w:pPr>
            <w:r>
              <w:rPr>
                <w:rFonts w:ascii="Arial" w:cs="Arial" w:eastAsia="Arial" w:hAnsi="Arial"/>
                <w:sz w:val="14"/>
                <w:szCs w:val="14"/>
                <w:color w:val="auto"/>
                <w:w w:val="86"/>
              </w:rPr>
              <w:t>Increase/</w:t>
            </w:r>
          </w:p>
        </w:tc>
      </w:tr>
      <w:tr>
        <w:trPr>
          <w:trHeight w:val="178"/>
        </w:trPr>
        <w:tc>
          <w:tcPr>
            <w:tcW w:w="7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6"/>
              </w:rPr>
              <w:t>(Decrease)</w:t>
            </w:r>
          </w:p>
        </w:tc>
      </w:tr>
      <w:tr>
        <w:trPr>
          <w:trHeight w:val="17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6"/>
              </w:rPr>
              <w:t>%</w:t>
            </w: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
              <w:spacing w:after="0"/>
              <w:rPr>
                <w:sz w:val="20"/>
                <w:szCs w:val="20"/>
                <w:color w:val="auto"/>
              </w:rPr>
            </w:pPr>
            <w:r>
              <w:rPr>
                <w:rFonts w:ascii="Arial" w:cs="Arial" w:eastAsia="Arial" w:hAnsi="Arial"/>
                <w:sz w:val="17"/>
                <w:szCs w:val="17"/>
                <w:color w:val="auto"/>
              </w:rPr>
              <w:t>(840)</w:t>
            </w:r>
          </w:p>
        </w:tc>
        <w:tc>
          <w:tcPr>
            <w:tcW w:w="40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7"/>
              <w:spacing w:after="0"/>
              <w:rPr>
                <w:sz w:val="20"/>
                <w:szCs w:val="20"/>
                <w:color w:val="auto"/>
              </w:rPr>
            </w:pPr>
            <w:r>
              <w:rPr>
                <w:rFonts w:ascii="Arial" w:cs="Arial" w:eastAsia="Arial" w:hAnsi="Arial"/>
                <w:sz w:val="17"/>
                <w:szCs w:val="17"/>
                <w:color w:val="auto"/>
              </w:rPr>
              <w:t>(710)</w:t>
            </w:r>
          </w:p>
        </w:tc>
        <w:tc>
          <w:tcPr>
            <w:tcW w:w="1240" w:type="dxa"/>
            <w:vAlign w:val="bottom"/>
          </w:tcPr>
          <w:p>
            <w:pPr>
              <w:jc w:val="right"/>
              <w:spacing w:after="0"/>
              <w:rPr>
                <w:sz w:val="20"/>
                <w:szCs w:val="20"/>
                <w:color w:val="auto"/>
              </w:rPr>
            </w:pPr>
            <w:r>
              <w:rPr>
                <w:rFonts w:ascii="Arial" w:cs="Arial" w:eastAsia="Arial" w:hAnsi="Arial"/>
                <w:sz w:val="17"/>
                <w:szCs w:val="17"/>
                <w:color w:val="auto"/>
              </w:rPr>
              <w:t>18.2 %</w:t>
            </w:r>
          </w:p>
        </w:tc>
      </w:tr>
      <w:tr>
        <w:trPr>
          <w:trHeight w:val="22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(757)</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(720)</w:t>
            </w: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5.2</w:t>
            </w:r>
          </w:p>
        </w:tc>
      </w:tr>
      <w:tr>
        <w:trPr>
          <w:trHeight w:val="22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(82)</w:t>
            </w:r>
          </w:p>
        </w:tc>
        <w:tc>
          <w:tcPr>
            <w:tcW w:w="4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10</w:t>
            </w: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b w:val="1"/>
                <w:bCs w:val="1"/>
                <w:color w:val="auto"/>
              </w:rPr>
              <w:t>NM</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Amounts represent eliminations of transactions between Cable Communications, NBCUniversal, Sky and other businesses. Eliminations of transactions between NBCUniversal segments are presented separately. Current year amounts reflect an increase in eliminations associated with the Beijing Olympics. Refer to Note 2 for a description of transactions between our segments.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Non-GAAP Financial Measures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Adjusted EBITDA</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Attributable to Comcast Corporation to Adjusted EBITDA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2021</w:t>
            </w:r>
          </w:p>
        </w:tc>
      </w:tr>
      <w:tr>
        <w:trPr>
          <w:trHeight w:val="21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Comcast Corporation</w:t>
            </w: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77"/>
              <w:spacing w:after="0"/>
              <w:rPr>
                <w:sz w:val="20"/>
                <w:szCs w:val="20"/>
                <w:color w:val="auto"/>
              </w:rPr>
            </w:pPr>
            <w:r>
              <w:rPr>
                <w:rFonts w:ascii="Arial" w:cs="Arial" w:eastAsia="Arial" w:hAnsi="Arial"/>
                <w:sz w:val="17"/>
                <w:szCs w:val="17"/>
                <w:b w:val="1"/>
                <w:bCs w:val="1"/>
                <w:color w:val="auto"/>
              </w:rPr>
              <w:t>3,549</w:t>
            </w:r>
          </w:p>
        </w:tc>
        <w:tc>
          <w:tcPr>
            <w:tcW w:w="640" w:type="dxa"/>
            <w:vAlign w:val="bottom"/>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3,329</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(73)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1,288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1,119</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Investment and other (income) loss, net</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(188)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(390)</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993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1,018</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2,213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2,117</w:t>
            </w: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340" w:type="dxa"/>
            <w:vAlign w:val="bottom"/>
          </w:tcPr>
          <w:p>
            <w:pPr>
              <w:spacing w:after="0"/>
              <w:rPr>
                <w:sz w:val="18"/>
                <w:szCs w:val="18"/>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1,335</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1,245</w:t>
            </w:r>
          </w:p>
        </w:tc>
      </w:tr>
      <w:tr>
        <w:trPr>
          <w:trHeight w:val="229"/>
        </w:trPr>
        <w:tc>
          <w:tcPr>
            <w:tcW w:w="818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Adjustments</w:t>
            </w:r>
            <w:r>
              <w:rPr>
                <w:rFonts w:ascii="Arial" w:cs="Arial" w:eastAsia="Arial" w:hAnsi="Arial"/>
                <w:sz w:val="22"/>
                <w:szCs w:val="22"/>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33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9,150</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8,413</w:t>
            </w:r>
          </w:p>
        </w:tc>
      </w:tr>
    </w:tbl>
    <w:p>
      <w:pPr>
        <w:spacing w:after="0" w:line="86" w:lineRule="exact"/>
        <w:rPr>
          <w:sz w:val="20"/>
          <w:szCs w:val="20"/>
          <w:color w:val="auto"/>
        </w:rPr>
      </w:pPr>
    </w:p>
    <w:p>
      <w:pPr>
        <w:ind w:left="240" w:hanging="235"/>
        <w:spacing w:after="0" w:line="260" w:lineRule="auto"/>
        <w:tabs>
          <w:tab w:leader="none" w:pos="238"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the impact of certain events, gains, losses or other charges that are excluded from Adjusted EBITDA, including costs related to our investment portfolio, and Sky transaction-related costs in 2021.</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Constant Currency</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6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Sky Constant Currency Growth Rates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Arial" w:cs="Arial" w:eastAsia="Arial" w:hAnsi="Arial"/>
                <w:sz w:val="14"/>
                <w:szCs w:val="14"/>
                <w:color w:val="auto"/>
                <w:w w:val="88"/>
              </w:rPr>
              <w:t>Three Months Ended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March 31,</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356"/>
              <w:spacing w:after="0"/>
              <w:rPr>
                <w:sz w:val="20"/>
                <w:szCs w:val="20"/>
                <w:color w:val="auto"/>
              </w:rPr>
            </w:pPr>
            <w:r>
              <w:rPr>
                <w:rFonts w:ascii="Arial" w:cs="Arial" w:eastAsia="Arial" w:hAnsi="Arial"/>
                <w:sz w:val="14"/>
                <w:szCs w:val="14"/>
                <w:color w:val="auto"/>
              </w:rPr>
              <w:t>Actual</w:t>
            </w:r>
          </w:p>
        </w:tc>
        <w:tc>
          <w:tcPr>
            <w:tcW w:w="1480" w:type="dxa"/>
            <w:vAlign w:val="bottom"/>
            <w:gridSpan w:val="2"/>
            <w:vMerge w:val="restart"/>
          </w:tcPr>
          <w:p>
            <w:pPr>
              <w:jc w:val="right"/>
              <w:ind w:right="177"/>
              <w:spacing w:after="0"/>
              <w:rPr>
                <w:sz w:val="20"/>
                <w:szCs w:val="20"/>
                <w:color w:val="auto"/>
              </w:rPr>
            </w:pPr>
            <w:r>
              <w:rPr>
                <w:rFonts w:ascii="Arial" w:cs="Arial" w:eastAsia="Arial" w:hAnsi="Arial"/>
                <w:sz w:val="14"/>
                <w:szCs w:val="14"/>
                <w:color w:val="auto"/>
              </w:rPr>
              <w:t>Constant Currency</w:t>
            </w:r>
          </w:p>
        </w:tc>
        <w:tc>
          <w:tcPr>
            <w:tcW w:w="1340" w:type="dxa"/>
            <w:vAlign w:val="bottom"/>
          </w:tcPr>
          <w:p>
            <w:pPr>
              <w:jc w:val="center"/>
              <w:spacing w:after="0" w:line="127" w:lineRule="exact"/>
              <w:rPr>
                <w:sz w:val="20"/>
                <w:szCs w:val="20"/>
                <w:color w:val="auto"/>
              </w:rPr>
            </w:pPr>
            <w:r>
              <w:rPr>
                <w:rFonts w:ascii="Arial" w:cs="Arial" w:eastAsia="Arial" w:hAnsi="Arial"/>
                <w:sz w:val="14"/>
                <w:szCs w:val="14"/>
                <w:color w:val="auto"/>
                <w:w w:val="89"/>
              </w:rPr>
              <w:t>Constant Currency</w:t>
            </w:r>
          </w:p>
        </w:tc>
        <w:tc>
          <w:tcPr>
            <w:tcW w:w="0" w:type="dxa"/>
            <w:vAlign w:val="bottom"/>
          </w:tcPr>
          <w:p>
            <w:pPr>
              <w:spacing w:after="0"/>
              <w:rPr>
                <w:sz w:val="1"/>
                <w:szCs w:val="1"/>
                <w:color w:val="auto"/>
              </w:rPr>
            </w:pPr>
          </w:p>
        </w:tc>
      </w:tr>
      <w:tr>
        <w:trPr>
          <w:trHeight w:val="178"/>
        </w:trPr>
        <w:tc>
          <w:tcPr>
            <w:tcW w:w="5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gridSpan w:val="2"/>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7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customer data)</w:t>
            </w:r>
          </w:p>
        </w:tc>
        <w:tc>
          <w:tcPr>
            <w:tcW w:w="1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40"/>
              <w:spacing w:after="0"/>
              <w:rPr>
                <w:sz w:val="20"/>
                <w:szCs w:val="20"/>
                <w:color w:val="auto"/>
              </w:rPr>
            </w:pPr>
            <w:r>
              <w:rPr>
                <w:rFonts w:ascii="Arial" w:cs="Arial" w:eastAsia="Arial" w:hAnsi="Arial"/>
                <w:sz w:val="17"/>
                <w:szCs w:val="17"/>
                <w:color w:val="auto"/>
              </w:rPr>
              <w:t>Direct-to-consumer</w:t>
            </w: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3,884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7"/>
              <w:spacing w:after="0"/>
              <w:rPr>
                <w:sz w:val="20"/>
                <w:szCs w:val="20"/>
                <w:color w:val="auto"/>
              </w:rPr>
            </w:pPr>
            <w:r>
              <w:rPr>
                <w:rFonts w:ascii="Arial" w:cs="Arial" w:eastAsia="Arial" w:hAnsi="Arial"/>
                <w:sz w:val="17"/>
                <w:szCs w:val="17"/>
                <w:color w:val="auto"/>
              </w:rPr>
              <w:t>3,901</w:t>
            </w:r>
          </w:p>
        </w:tc>
        <w:tc>
          <w:tcPr>
            <w:tcW w:w="1340" w:type="dxa"/>
            <w:vAlign w:val="bottom"/>
          </w:tcPr>
          <w:p>
            <w:pPr>
              <w:jc w:val="right"/>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7"/>
                <w:szCs w:val="17"/>
                <w:color w:val="auto"/>
              </w:rPr>
              <w:t>Content</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295</w:t>
            </w:r>
          </w:p>
        </w:tc>
        <w:tc>
          <w:tcPr>
            <w:tcW w:w="20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Arial" w:cs="Arial" w:eastAsia="Arial" w:hAnsi="Arial"/>
                <w:sz w:val="17"/>
                <w:szCs w:val="17"/>
                <w:color w:val="auto"/>
              </w:rPr>
              <w:t>345</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Advertising</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552</w:t>
            </w:r>
          </w:p>
        </w:tc>
        <w:tc>
          <w:tcPr>
            <w:tcW w:w="1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1"/>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4,775</w:t>
            </w:r>
          </w:p>
        </w:tc>
        <w:tc>
          <w:tcPr>
            <w:tcW w:w="200" w:type="dxa"/>
            <w:vAlign w:val="bottom"/>
          </w:tcPr>
          <w:p>
            <w:pPr>
              <w:spacing w:after="0"/>
              <w:rPr>
                <w:sz w:val="18"/>
                <w:szCs w:val="18"/>
                <w:color w:val="auto"/>
              </w:rPr>
            </w:pPr>
          </w:p>
        </w:tc>
        <w:tc>
          <w:tcPr>
            <w:tcW w:w="1280" w:type="dxa"/>
            <w:vAlign w:val="bottom"/>
          </w:tcPr>
          <w:p>
            <w:pPr>
              <w:jc w:val="right"/>
              <w:ind w:right="157"/>
              <w:spacing w:after="0"/>
              <w:rPr>
                <w:sz w:val="20"/>
                <w:szCs w:val="20"/>
                <w:color w:val="auto"/>
              </w:rPr>
            </w:pPr>
            <w:r>
              <w:rPr>
                <w:rFonts w:ascii="Arial" w:cs="Arial" w:eastAsia="Arial" w:hAnsi="Arial"/>
                <w:sz w:val="17"/>
                <w:szCs w:val="17"/>
                <w:b w:val="1"/>
                <w:bCs w:val="1"/>
                <w:color w:val="auto"/>
              </w:rPr>
              <w:t>4,797</w:t>
            </w:r>
          </w:p>
        </w:tc>
        <w:tc>
          <w:tcPr>
            <w:tcW w:w="1340" w:type="dxa"/>
            <w:vAlign w:val="bottom"/>
          </w:tcPr>
          <w:p>
            <w:pPr>
              <w:jc w:val="right"/>
              <w:ind w:right="117"/>
              <w:spacing w:after="0"/>
              <w:rPr>
                <w:sz w:val="20"/>
                <w:szCs w:val="20"/>
                <w:color w:val="auto"/>
              </w:rPr>
            </w:pPr>
            <w:r>
              <w:rPr>
                <w:rFonts w:ascii="Arial" w:cs="Arial" w:eastAsia="Arial" w:hAnsi="Arial"/>
                <w:sz w:val="17"/>
                <w:szCs w:val="17"/>
                <w:b w:val="1"/>
                <w:bCs w:val="1"/>
                <w:color w:val="auto"/>
              </w:rPr>
              <w:t>(0.5)</w:t>
            </w: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7"/>
                <w:szCs w:val="17"/>
                <w:color w:val="auto"/>
              </w:rPr>
              <w:t>Programming and production</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1,948</w:t>
            </w:r>
          </w:p>
        </w:tc>
        <w:tc>
          <w:tcPr>
            <w:tcW w:w="20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Arial" w:cs="Arial" w:eastAsia="Arial" w:hAnsi="Arial"/>
                <w:sz w:val="17"/>
                <w:szCs w:val="17"/>
                <w:color w:val="auto"/>
              </w:rPr>
              <w:t>2,365</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7"/>
                <w:szCs w:val="17"/>
                <w:color w:val="auto"/>
              </w:rPr>
              <w:t>Direct network costs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672</w:t>
            </w:r>
          </w:p>
        </w:tc>
        <w:tc>
          <w:tcPr>
            <w:tcW w:w="20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Arial" w:cs="Arial" w:eastAsia="Arial" w:hAnsi="Arial"/>
                <w:sz w:val="17"/>
                <w:szCs w:val="17"/>
                <w:color w:val="auto"/>
              </w:rPr>
              <w:t>613</w:t>
            </w:r>
          </w:p>
        </w:tc>
        <w:tc>
          <w:tcPr>
            <w:tcW w:w="1340" w:type="dxa"/>
            <w:vAlign w:val="bottom"/>
          </w:tcPr>
          <w:p>
            <w:pPr>
              <w:jc w:val="right"/>
              <w:ind w:right="157"/>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1,532</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1,457</w:t>
            </w:r>
          </w:p>
        </w:tc>
        <w:tc>
          <w:tcPr>
            <w:tcW w:w="1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1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4,153</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4,434</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363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71.2 %</w:t>
            </w:r>
          </w:p>
        </w:tc>
        <w:tc>
          <w:tcPr>
            <w:tcW w:w="0" w:type="dxa"/>
            <w:vAlign w:val="bottom"/>
          </w:tcPr>
          <w:p>
            <w:pPr>
              <w:spacing w:after="0"/>
              <w:rPr>
                <w:sz w:val="1"/>
                <w:szCs w:val="1"/>
                <w:color w:val="auto"/>
              </w:rPr>
            </w:pPr>
          </w:p>
        </w:tc>
      </w:tr>
      <w:tr>
        <w:trPr>
          <w:trHeight w:val="222"/>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2"/>
              </w:rPr>
              <w:t>Average monthly direct-to-consumer revenue per customer relationship</w:t>
            </w:r>
          </w:p>
        </w:tc>
        <w:tc>
          <w:tcPr>
            <w:tcW w:w="2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55.72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1.1 %</w:t>
            </w:r>
          </w:p>
        </w:tc>
        <w:tc>
          <w:tcPr>
            <w:tcW w:w="0" w:type="dxa"/>
            <w:vAlign w:val="bottom"/>
          </w:tcPr>
          <w:p>
            <w:pPr>
              <w:spacing w:after="0"/>
              <w:rPr>
                <w:sz w:val="1"/>
                <w:szCs w:val="1"/>
                <w:color w:val="auto"/>
              </w:rPr>
            </w:pPr>
          </w:p>
        </w:tc>
      </w:tr>
      <w:tr>
        <w:trPr>
          <w:trHeight w:val="890"/>
        </w:trPr>
        <w:tc>
          <w:tcPr>
            <w:tcW w:w="5440" w:type="dxa"/>
            <w:vAlign w:val="bottom"/>
          </w:tcPr>
          <w:p>
            <w:pPr>
              <w:spacing w:after="0"/>
              <w:rPr>
                <w:sz w:val="24"/>
                <w:szCs w:val="24"/>
                <w:color w:val="auto"/>
              </w:rPr>
            </w:pPr>
          </w:p>
        </w:tc>
        <w:tc>
          <w:tcPr>
            <w:tcW w:w="1720" w:type="dxa"/>
            <w:vAlign w:val="bottom"/>
          </w:tcPr>
          <w:p>
            <w:pPr>
              <w:jc w:val="right"/>
              <w:ind w:right="1353"/>
              <w:spacing w:after="0"/>
              <w:rPr>
                <w:sz w:val="20"/>
                <w:szCs w:val="20"/>
                <w:color w:val="auto"/>
              </w:rPr>
            </w:pPr>
            <w:r>
              <w:rPr>
                <w:rFonts w:ascii="Arial" w:cs="Arial" w:eastAsia="Arial" w:hAnsi="Arial"/>
                <w:sz w:val="17"/>
                <w:szCs w:val="17"/>
                <w:color w:val="auto"/>
              </w:rPr>
              <w:t>25</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jc w:val="center"/>
              <w:ind w:right="830"/>
              <w:spacing w:after="0"/>
              <w:rPr>
                <w:sz w:val="20"/>
                <w:szCs w:val="20"/>
                <w:color w:val="auto"/>
              </w:rPr>
            </w:pPr>
            <w:r>
              <w:rPr>
                <w:rFonts w:ascii="Arial" w:cs="Arial" w:eastAsia="Arial" w:hAnsi="Arial"/>
                <w:sz w:val="14"/>
                <w:szCs w:val="14"/>
                <w:color w:val="auto"/>
                <w:w w:val="90"/>
              </w:rPr>
              <w:t>Three Months Ended</w:t>
            </w:r>
          </w:p>
        </w:tc>
      </w:tr>
      <w:tr>
        <w:trPr>
          <w:trHeight w:val="178"/>
        </w:trPr>
        <w:tc>
          <w:tcPr>
            <w:tcW w:w="8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810"/>
              <w:spacing w:after="0"/>
              <w:rPr>
                <w:sz w:val="20"/>
                <w:szCs w:val="20"/>
                <w:color w:val="auto"/>
              </w:rPr>
            </w:pPr>
            <w:r>
              <w:rPr>
                <w:rFonts w:ascii="Arial" w:cs="Arial" w:eastAsia="Arial" w:hAnsi="Arial"/>
                <w:sz w:val="14"/>
                <w:szCs w:val="14"/>
                <w:color w:val="auto"/>
                <w:w w:val="89"/>
              </w:rPr>
              <w:t>March 31,</w:t>
            </w:r>
          </w:p>
        </w:tc>
      </w:tr>
      <w:tr>
        <w:trPr>
          <w:trHeight w:val="176"/>
        </w:trPr>
        <w:tc>
          <w:tcPr>
            <w:tcW w:w="81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jc w:val="right"/>
              <w:spacing w:after="0"/>
              <w:rPr>
                <w:sz w:val="20"/>
                <w:szCs w:val="20"/>
                <w:color w:val="auto"/>
              </w:rPr>
            </w:pPr>
            <w:r>
              <w:rPr>
                <w:rFonts w:ascii="Arial" w:cs="Arial" w:eastAsia="Arial" w:hAnsi="Arial"/>
                <w:sz w:val="14"/>
                <w:szCs w:val="14"/>
                <w:color w:val="auto"/>
              </w:rPr>
              <w:t>2022</w:t>
            </w:r>
          </w:p>
        </w:tc>
        <w:tc>
          <w:tcPr>
            <w:tcW w:w="2160" w:type="dxa"/>
            <w:vAlign w:val="bottom"/>
          </w:tcPr>
          <w:p>
            <w:pPr>
              <w:jc w:val="right"/>
              <w:ind w:right="490"/>
              <w:spacing w:after="0"/>
              <w:rPr>
                <w:sz w:val="20"/>
                <w:szCs w:val="20"/>
                <w:color w:val="auto"/>
              </w:rPr>
            </w:pPr>
            <w:r>
              <w:rPr>
                <w:rFonts w:ascii="Arial" w:cs="Arial" w:eastAsia="Arial" w:hAnsi="Arial"/>
                <w:sz w:val="14"/>
                <w:szCs w:val="14"/>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Cash provided by operating activities</w:t>
            </w:r>
          </w:p>
        </w:tc>
        <w:tc>
          <w:tcPr>
            <w:tcW w:w="3260" w:type="dxa"/>
            <w:vAlign w:val="bottom"/>
            <w:tcBorders>
              <w:top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center"/>
              <w:ind w:left="213"/>
              <w:spacing w:after="0"/>
              <w:rPr>
                <w:sz w:val="20"/>
                <w:szCs w:val="20"/>
                <w:color w:val="auto"/>
              </w:rPr>
            </w:pPr>
            <w:r>
              <w:rPr>
                <w:rFonts w:ascii="Arial" w:cs="Arial" w:eastAsia="Arial" w:hAnsi="Arial"/>
                <w:sz w:val="17"/>
                <w:szCs w:val="17"/>
                <w:color w:val="auto"/>
                <w:w w:val="89"/>
              </w:rPr>
              <w:t>7,257</w:t>
            </w:r>
          </w:p>
        </w:tc>
        <w:tc>
          <w:tcPr>
            <w:tcW w:w="600" w:type="dxa"/>
            <w:vAlign w:val="bottom"/>
            <w:tcBorders>
              <w:top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center"/>
              <w:ind w:left="313"/>
              <w:spacing w:after="0"/>
              <w:rPr>
                <w:sz w:val="20"/>
                <w:szCs w:val="20"/>
                <w:color w:val="auto"/>
              </w:rPr>
            </w:pPr>
            <w:r>
              <w:rPr>
                <w:rFonts w:ascii="Arial" w:cs="Arial" w:eastAsia="Arial" w:hAnsi="Arial"/>
                <w:sz w:val="17"/>
                <w:szCs w:val="17"/>
                <w:color w:val="auto"/>
                <w:w w:val="93"/>
              </w:rPr>
              <w:t>7,751</w:t>
            </w:r>
          </w:p>
        </w:tc>
      </w:tr>
      <w:tr>
        <w:trPr>
          <w:trHeight w:val="222"/>
        </w:trPr>
        <w:tc>
          <w:tcPr>
            <w:tcW w:w="542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326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center"/>
              <w:ind w:left="193"/>
              <w:spacing w:after="0"/>
              <w:rPr>
                <w:sz w:val="20"/>
                <w:szCs w:val="20"/>
                <w:color w:val="auto"/>
              </w:rPr>
            </w:pPr>
            <w:r>
              <w:rPr>
                <w:rFonts w:ascii="Arial" w:cs="Arial" w:eastAsia="Arial" w:hAnsi="Arial"/>
                <w:sz w:val="17"/>
                <w:szCs w:val="17"/>
                <w:color w:val="auto"/>
                <w:w w:val="96"/>
              </w:rPr>
              <w:t>(2,597)</w:t>
            </w:r>
          </w:p>
        </w:tc>
        <w:tc>
          <w:tcPr>
            <w:tcW w:w="6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920" w:type="dxa"/>
            <w:vAlign w:val="bottom"/>
          </w:tcPr>
          <w:p>
            <w:pPr>
              <w:jc w:val="center"/>
              <w:ind w:left="273"/>
              <w:spacing w:after="0"/>
              <w:rPr>
                <w:sz w:val="20"/>
                <w:szCs w:val="20"/>
                <w:color w:val="auto"/>
              </w:rPr>
            </w:pPr>
            <w:r>
              <w:rPr>
                <w:rFonts w:ascii="Arial" w:cs="Arial" w:eastAsia="Arial" w:hAnsi="Arial"/>
                <w:sz w:val="17"/>
                <w:szCs w:val="17"/>
                <w:color w:val="auto"/>
                <w:w w:val="96"/>
              </w:rPr>
              <w:t>(2,612)</w:t>
            </w:r>
          </w:p>
        </w:tc>
      </w:tr>
      <w:tr>
        <w:trPr>
          <w:trHeight w:val="22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used in financing activities</w:t>
            </w:r>
          </w:p>
        </w:tc>
        <w:tc>
          <w:tcPr>
            <w:tcW w:w="32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center"/>
              <w:ind w:left="193"/>
              <w:spacing w:after="0"/>
              <w:rPr>
                <w:sz w:val="20"/>
                <w:szCs w:val="20"/>
                <w:color w:val="auto"/>
              </w:rPr>
            </w:pPr>
            <w:r>
              <w:rPr>
                <w:rFonts w:ascii="Arial" w:cs="Arial" w:eastAsia="Arial" w:hAnsi="Arial"/>
                <w:sz w:val="17"/>
                <w:szCs w:val="17"/>
                <w:color w:val="auto"/>
                <w:w w:val="96"/>
              </w:rPr>
              <w:t>(4,490)</w:t>
            </w:r>
          </w:p>
        </w:tc>
        <w:tc>
          <w:tcPr>
            <w:tcW w:w="6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center"/>
              <w:ind w:left="273"/>
              <w:spacing w:after="0"/>
              <w:rPr>
                <w:sz w:val="20"/>
                <w:szCs w:val="20"/>
                <w:color w:val="auto"/>
              </w:rPr>
            </w:pPr>
            <w:r>
              <w:rPr>
                <w:rFonts w:ascii="Arial" w:cs="Arial" w:eastAsia="Arial" w:hAnsi="Arial"/>
                <w:sz w:val="17"/>
                <w:szCs w:val="17"/>
                <w:color w:val="auto"/>
                <w:w w:val="96"/>
              </w:rPr>
              <w:t>(1,898)</w:t>
            </w: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March 31, 2022</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w w:val="95"/>
              </w:rPr>
              <w:t>December 31, 2021</w:t>
            </w:r>
          </w:p>
        </w:tc>
      </w:tr>
      <w:tr>
        <w:trPr>
          <w:trHeight w:val="221"/>
        </w:trPr>
        <w:tc>
          <w:tcPr>
            <w:tcW w:w="49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30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8,880</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8,711</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Short-term and long-term debt</w:t>
            </w:r>
          </w:p>
        </w:tc>
        <w:tc>
          <w:tcPr>
            <w:tcW w:w="30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94,561</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94,850</w:t>
            </w:r>
          </w:p>
        </w:tc>
      </w:tr>
    </w:tbl>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maintain significant availability under our revolving credit facility and our commercial paper program to meet our short-term liquidity requirements. Our commercial paper program provides a lower-cost source of borrowing to fund our short-term working capital requirements. As of March 31, 2022, amounts available under our revolving credit facility, net of amounts outstanding under our commercial paper program and outstanding letters of credit and bank guarantees, totaled $11.0 billion.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Net Cash Provided by Operating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2022</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w w:val="96"/>
              </w:rPr>
              <w:t>2021</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5,569</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5,039</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3,548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3,362</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376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373</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(1,475)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(747)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(911)</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(90)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Proceeds from investments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75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7,257</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7,751</w:t>
            </w:r>
          </w:p>
        </w:tc>
      </w:tr>
    </w:tbl>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variance in changes in operating assets and liabilities for the three months ended March 31, 2022 compared to the same period in 2021 was primarily related to increases in accounts receivable and decreases in deferred revenue, which included the impacts of our broadcasts of the Beijing Olympics and Super Bowl, and the timing of amortization and related payments for our film and television costs, including increased production spending, partially offset by the timing of sporting events.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decrease in payments of interest for the three months ended March 31, 2022 compared to the same period in 2021 was primarily due to the timing of interest payments following the debt exchange in August 2021 and a decrease in average debt outstanding in the current year period.</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decrease in proceeds from investments and other for the three months ended March 31, 2022 compared to the same period in 2021 was primarily due to decreased cash distributions received from equity method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cash used in investing activities remained consistent for the three months ended March 31, 2022 compared to the same period in 2021, primarily reflecting decreased cash paid related to the construction of Universal Beijing Resort in the current year period and cash paid for the acquisition of a business in the prior year period, offset by decreased proceeds from sales of business and investments in the current year period. Capital expenditures, which is our most significant recurring investing activity, remained consistent for the three months ended March 31, 2022 compared to the same period in 2021, primarily reflecting increased spending at Theme Parks related to the development of the Epic Universe theme park in Orlando, offset by decreased spending at Sky primarily related to customer premise equipment. Capital expenditures at Cable Communications were consistent with the prior period.</w:t>
      </w:r>
    </w:p>
    <w:p>
      <w:pPr>
        <w:spacing w:after="0" w:line="6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2022, we formed the SkyShowtime joint venture with Paramount Global. The new direct-to-consumer streaming service is expected to be made available in select European markets starting in 2022, and the partners have committed to a multiyear funding plan that is expected to begin in 2022.</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used in financing activities increased for the three months ended March 31, 2022 primarily due to increases in repurchases of common stock under our share repurchase program and employee plans. Net cash used in financing activities in both periods included dividend payments and repayments of debt, partially offset by proceeds from borrowings, and net cash used in financing activities for the three months ended March 31, 2021 included payments related to the redemption of NBCUniversal Enterprise redeemable subsidiary preferred stock presented in other financing activities.</w:t>
      </w:r>
    </w:p>
    <w:p>
      <w:pPr>
        <w:spacing w:after="0" w:line="57"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5 and 7 for additional information on our financing activities.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 and Dividends</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second quarter of 2021, we restarted our share repurchase program, which had been paused since the beginning of 2019. In January 2022, our Board of Directors increased our share repurchase program authorization to $10 billion. During the three months ended March 31, 2022, we repurchased a total of 62.5 million shares of our Class A common stock for $3.0 billion. Under the authorization, which does not have an expiration date, we expect to repurchase additional shares during the remainder of 2022, which may be in the open market or in private transactions.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addition, we paid $223 million for the three months ended March 31, 2022 related to employee taxes associated with the administration of our share-based compensation plans.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2022, we paid dividends of $1.2 billion, and our Board of Directors approved an 8% increase in our dividend to $1.08 per share on an annualized basis and approved our first quarter dividend of $0.27 per share, which was paid in April 2022. We expect to continue to pay quarterly dividends, although each dividend is subject to approval by our Board of Directors.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 Structure</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Debt and Guarantee Structure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March 31, 2022</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w w:val="95"/>
              </w:rPr>
              <w:t>December 31, 2021</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Debt Subject to Cross-Guarantees</w:t>
            </w: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7"/>
                <w:szCs w:val="17"/>
                <w:color w:val="auto"/>
              </w:rPr>
              <w:t>Comcast</w:t>
            </w:r>
          </w:p>
        </w:tc>
        <w:tc>
          <w:tcPr>
            <w:tcW w:w="52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85.6</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85.9</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line="223" w:lineRule="exact"/>
              <w:rPr>
                <w:sz w:val="20"/>
                <w:szCs w:val="20"/>
                <w:color w:val="auto"/>
              </w:rPr>
            </w:pPr>
            <w:r>
              <w:rPr>
                <w:rFonts w:ascii="Arial" w:cs="Arial" w:eastAsia="Arial" w:hAnsi="Arial"/>
                <w:sz w:val="17"/>
                <w:szCs w:val="17"/>
                <w:color w:val="auto"/>
              </w:rPr>
              <w:t>Comcast Cable</w:t>
            </w:r>
            <w:r>
              <w:rPr>
                <w:rFonts w:ascii="Arial" w:cs="Arial" w:eastAsia="Arial" w:hAnsi="Arial"/>
                <w:sz w:val="22"/>
                <w:szCs w:val="22"/>
                <w:color w:val="auto"/>
                <w:vertAlign w:val="superscript"/>
              </w:rPr>
              <w:t>(a)</w:t>
            </w:r>
          </w:p>
        </w:tc>
        <w:tc>
          <w:tcPr>
            <w:tcW w:w="5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NBCUniversal</w:t>
            </w:r>
            <w:r>
              <w:rPr>
                <w:rFonts w:ascii="Arial" w:cs="Arial" w:eastAsia="Arial" w:hAnsi="Arial"/>
                <w:sz w:val="22"/>
                <w:szCs w:val="22"/>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5"/>
        </w:trPr>
        <w:tc>
          <w:tcPr>
            <w:tcW w:w="7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Debt Subject to One-Way Guarantees</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89.4</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23"/>
        </w:trPr>
        <w:tc>
          <w:tcPr>
            <w:tcW w:w="75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40" w:type="dxa"/>
            <w:vAlign w:val="bottom"/>
          </w:tcPr>
          <w:p>
            <w:pPr>
              <w:ind w:left="20"/>
              <w:spacing w:after="0"/>
              <w:rPr>
                <w:sz w:val="20"/>
                <w:szCs w:val="20"/>
                <w:color w:val="auto"/>
              </w:rPr>
            </w:pPr>
            <w:r>
              <w:rPr>
                <w:rFonts w:ascii="Arial" w:cs="Arial" w:eastAsia="Arial" w:hAnsi="Arial"/>
                <w:sz w:val="17"/>
                <w:szCs w:val="17"/>
                <w:color w:val="auto"/>
              </w:rPr>
              <w:t>Sky</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6.2</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5"/>
        </w:trPr>
        <w:tc>
          <w:tcPr>
            <w:tcW w:w="7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Debt Not Guaranteed</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7"/>
        </w:trPr>
        <w:tc>
          <w:tcPr>
            <w:tcW w:w="75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29" w:lineRule="exact"/>
              <w:rPr>
                <w:sz w:val="20"/>
                <w:szCs w:val="20"/>
                <w:color w:val="auto"/>
              </w:rPr>
            </w:pPr>
            <w:r>
              <w:rPr>
                <w:rFonts w:ascii="Arial" w:cs="Arial" w:eastAsia="Arial" w:hAnsi="Arial"/>
                <w:sz w:val="17"/>
                <w:szCs w:val="17"/>
                <w:color w:val="auto"/>
              </w:rPr>
              <w:t>Universal Beijing Resort</w:t>
            </w:r>
            <w:r>
              <w:rPr>
                <w:rFonts w:ascii="Arial" w:cs="Arial" w:eastAsia="Arial" w:hAnsi="Arial"/>
                <w:sz w:val="22"/>
                <w:szCs w:val="22"/>
                <w:color w:val="auto"/>
                <w:vertAlign w:val="superscript"/>
              </w:rPr>
              <w:t>(b)</w:t>
            </w:r>
          </w:p>
        </w:tc>
        <w:tc>
          <w:tcPr>
            <w:tcW w:w="5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71"/>
        </w:trPr>
        <w:tc>
          <w:tcPr>
            <w:tcW w:w="7540" w:type="dxa"/>
            <w:vAlign w:val="bottom"/>
          </w:tcPr>
          <w:p>
            <w:pPr>
              <w:ind w:left="20"/>
              <w:spacing w:after="0" w:line="172" w:lineRule="exact"/>
              <w:rPr>
                <w:sz w:val="20"/>
                <w:szCs w:val="20"/>
                <w:color w:val="auto"/>
              </w:rPr>
            </w:pPr>
            <w:r>
              <w:rPr>
                <w:rFonts w:ascii="Arial" w:cs="Arial" w:eastAsia="Arial" w:hAnsi="Arial"/>
                <w:sz w:val="17"/>
                <w:szCs w:val="17"/>
                <w:color w:val="auto"/>
                <w:w w:val="95"/>
              </w:rPr>
              <w:t>Debt issuance costs, premiums, discounts, fair value adjustments for acquisition accounting and hedged</w:t>
            </w:r>
          </w:p>
        </w:tc>
        <w:tc>
          <w:tcPr>
            <w:tcW w:w="5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positions, net</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debt</w:t>
            </w: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94.6</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94.8</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20" w:hanging="315"/>
        <w:spacing w:after="0" w:line="260" w:lineRule="auto"/>
        <w:tabs>
          <w:tab w:leader="none" w:pos="317" w:val="left"/>
        </w:tabs>
        <w:numPr>
          <w:ilvl w:val="0"/>
          <w:numId w:val="12"/>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7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Cross-Guarantees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March 31, 2022 and December 31, 2021, the combined Guarantors have noncurrent notes payable to non-guarantor subsidiaries of $126 billion and noncurrent notes receivable from non-guarantor subsidiaries of $30 billion.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One-Way Guarantees</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Comcast provides full and unconditional guarantees of certain debt issued by Sky and other consolidated subsidiaries not subject to the periodic reporting requirements of the SEC.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of March 31, 2022 and December 31, 2021, Comcast and Comcast Holdings, the combined issuer and guarantor of the guaranteed subordinated debt, have noncurrent senior notes payable to non-guarantor subsidiaries of $97 billion and $96 billion, respectively, and noncurrent notes receivable from non-guarantor subsidiaries of $29 billion.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Judgments and Estimates</w:t>
      </w:r>
    </w:p>
    <w:p>
      <w:pPr>
        <w:spacing w:after="0" w:line="11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2021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have evaluated the information required under this item that was disclosed in our 2021 Annual Report on Form 10-K and there have been no significant changes to this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Conclusions regarding disclosure controls and procedures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See Note 10 included in this Quarterly Report on Form 10-Q for a discussion of legal proceedings.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previously disclosed in Item 1A of our 2021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Comcast's common stock repurchases during the three months ended March 31, 2022.</w:t>
      </w:r>
    </w:p>
    <w:p>
      <w:pPr>
        <w:spacing w:after="0" w:line="10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Purchases of Equity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03"/>
              <w:spacing w:after="0"/>
              <w:rPr>
                <w:sz w:val="20"/>
                <w:szCs w:val="20"/>
                <w:color w:val="auto"/>
              </w:rPr>
            </w:pPr>
            <w:r>
              <w:rPr>
                <w:rFonts w:ascii="Arial" w:cs="Arial" w:eastAsia="Arial" w:hAnsi="Arial"/>
                <w:sz w:val="14"/>
                <w:szCs w:val="14"/>
                <w:color w:val="auto"/>
                <w:w w:val="92"/>
              </w:rPr>
              <w:t>Total Dollar</w:t>
            </w:r>
          </w:p>
        </w:tc>
        <w:tc>
          <w:tcPr>
            <w:tcW w:w="220" w:type="dxa"/>
            <w:vAlign w:val="bottom"/>
          </w:tcPr>
          <w:p>
            <w:pPr>
              <w:spacing w:after="0"/>
              <w:rPr>
                <w:sz w:val="14"/>
                <w:szCs w:val="14"/>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color w:val="auto"/>
                <w:w w:val="96"/>
              </w:rPr>
              <w:t>Maximum Dollar</w:t>
            </w: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1940" w:type="dxa"/>
            <w:vAlign w:val="bottom"/>
            <w:vMerge w:val="restart"/>
          </w:tcPr>
          <w:p>
            <w:pPr>
              <w:jc w:val="center"/>
              <w:ind w:right="1"/>
              <w:spacing w:after="0"/>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1"/>
                <w:szCs w:val="11"/>
                <w:color w:val="auto"/>
              </w:rPr>
            </w:pPr>
          </w:p>
        </w:tc>
        <w:tc>
          <w:tcPr>
            <w:tcW w:w="1100" w:type="dxa"/>
            <w:vAlign w:val="bottom"/>
            <w:vMerge w:val="restart"/>
          </w:tcPr>
          <w:p>
            <w:pPr>
              <w:jc w:val="center"/>
              <w:ind w:right="281"/>
              <w:spacing w:after="0"/>
              <w:rPr>
                <w:sz w:val="20"/>
                <w:szCs w:val="20"/>
                <w:color w:val="auto"/>
              </w:rPr>
            </w:pPr>
            <w:r>
              <w:rPr>
                <w:rFonts w:ascii="Arial" w:cs="Arial" w:eastAsia="Arial" w:hAnsi="Arial"/>
                <w:sz w:val="14"/>
                <w:szCs w:val="14"/>
                <w:color w:val="auto"/>
                <w:w w:val="88"/>
              </w:rPr>
              <w:t>Average</w:t>
            </w:r>
          </w:p>
        </w:tc>
        <w:tc>
          <w:tcPr>
            <w:tcW w:w="1920" w:type="dxa"/>
            <w:vAlign w:val="bottom"/>
            <w:vMerge w:val="restart"/>
          </w:tcPr>
          <w:p>
            <w:pPr>
              <w:jc w:val="center"/>
              <w:ind w:right="1"/>
              <w:spacing w:after="0"/>
              <w:rPr>
                <w:sz w:val="20"/>
                <w:szCs w:val="20"/>
                <w:color w:val="auto"/>
              </w:rPr>
            </w:pPr>
            <w:r>
              <w:rPr>
                <w:rFonts w:ascii="Arial" w:cs="Arial" w:eastAsia="Arial" w:hAnsi="Arial"/>
                <w:sz w:val="14"/>
                <w:szCs w:val="14"/>
                <w:color w:val="auto"/>
                <w:w w:val="91"/>
              </w:rPr>
              <w:t>Total Number of</w:t>
            </w: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95"/>
              </w:rPr>
              <w:t>Amount</w:t>
            </w:r>
          </w:p>
        </w:tc>
        <w:tc>
          <w:tcPr>
            <w:tcW w:w="220" w:type="dxa"/>
            <w:vAlign w:val="bottom"/>
          </w:tcPr>
          <w:p>
            <w:pPr>
              <w:spacing w:after="0"/>
              <w:rPr>
                <w:sz w:val="11"/>
                <w:szCs w:val="11"/>
                <w:color w:val="auto"/>
              </w:rPr>
            </w:pPr>
          </w:p>
        </w:tc>
        <w:tc>
          <w:tcPr>
            <w:tcW w:w="1520" w:type="dxa"/>
            <w:vAlign w:val="bottom"/>
          </w:tcPr>
          <w:p>
            <w:pPr>
              <w:jc w:val="center"/>
              <w:ind w:right="102"/>
              <w:spacing w:after="0" w:line="131" w:lineRule="exact"/>
              <w:rPr>
                <w:sz w:val="20"/>
                <w:szCs w:val="20"/>
                <w:color w:val="auto"/>
              </w:rPr>
            </w:pPr>
            <w:r>
              <w:rPr>
                <w:rFonts w:ascii="Arial" w:cs="Arial" w:eastAsia="Arial" w:hAnsi="Arial"/>
                <w:sz w:val="14"/>
                <w:szCs w:val="14"/>
                <w:color w:val="auto"/>
                <w:w w:val="89"/>
              </w:rPr>
              <w:t>Value of Shares That</w:t>
            </w: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86"/>
              </w:rPr>
              <w:t>Purchased</w:t>
            </w:r>
          </w:p>
        </w:tc>
        <w:tc>
          <w:tcPr>
            <w:tcW w:w="220" w:type="dxa"/>
            <w:vAlign w:val="bottom"/>
          </w:tcPr>
          <w:p>
            <w:pPr>
              <w:spacing w:after="0"/>
              <w:rPr>
                <w:sz w:val="11"/>
                <w:szCs w:val="11"/>
                <w:color w:val="auto"/>
              </w:rPr>
            </w:pPr>
          </w:p>
        </w:tc>
        <w:tc>
          <w:tcPr>
            <w:tcW w:w="1520" w:type="dxa"/>
            <w:vAlign w:val="bottom"/>
          </w:tcPr>
          <w:p>
            <w:pPr>
              <w:jc w:val="center"/>
              <w:ind w:right="102"/>
              <w:spacing w:after="0" w:line="131" w:lineRule="exact"/>
              <w:rPr>
                <w:sz w:val="20"/>
                <w:szCs w:val="20"/>
                <w:color w:val="auto"/>
              </w:rPr>
            </w:pPr>
            <w:r>
              <w:rPr>
                <w:rFonts w:ascii="Arial" w:cs="Arial" w:eastAsia="Arial" w:hAnsi="Arial"/>
                <w:sz w:val="14"/>
                <w:szCs w:val="14"/>
                <w:color w:val="auto"/>
                <w:w w:val="91"/>
              </w:rPr>
              <w:t>May Yet Be</w:t>
            </w: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1940" w:type="dxa"/>
            <w:vAlign w:val="bottom"/>
          </w:tcPr>
          <w:p>
            <w:pPr>
              <w:jc w:val="center"/>
              <w:ind w:right="1"/>
              <w:spacing w:after="0" w:line="131"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1"/>
                <w:szCs w:val="11"/>
                <w:color w:val="auto"/>
              </w:rPr>
            </w:pPr>
          </w:p>
        </w:tc>
        <w:tc>
          <w:tcPr>
            <w:tcW w:w="1100" w:type="dxa"/>
            <w:vAlign w:val="bottom"/>
          </w:tcPr>
          <w:p>
            <w:pPr>
              <w:jc w:val="center"/>
              <w:ind w:right="281"/>
              <w:spacing w:after="0" w:line="131" w:lineRule="exact"/>
              <w:rPr>
                <w:sz w:val="20"/>
                <w:szCs w:val="20"/>
                <w:color w:val="auto"/>
              </w:rPr>
            </w:pPr>
            <w:r>
              <w:rPr>
                <w:rFonts w:ascii="Arial" w:cs="Arial" w:eastAsia="Arial" w:hAnsi="Arial"/>
                <w:sz w:val="14"/>
                <w:szCs w:val="14"/>
                <w:color w:val="auto"/>
                <w:w w:val="93"/>
              </w:rPr>
              <w:t>Price</w:t>
            </w:r>
          </w:p>
        </w:tc>
        <w:tc>
          <w:tcPr>
            <w:tcW w:w="1920" w:type="dxa"/>
            <w:vAlign w:val="bottom"/>
          </w:tcPr>
          <w:p>
            <w:pPr>
              <w:jc w:val="center"/>
              <w:ind w:right="21"/>
              <w:spacing w:after="0" w:line="131" w:lineRule="exact"/>
              <w:rPr>
                <w:sz w:val="20"/>
                <w:szCs w:val="20"/>
                <w:color w:val="auto"/>
              </w:rPr>
            </w:pPr>
            <w:r>
              <w:rPr>
                <w:rFonts w:ascii="Arial" w:cs="Arial" w:eastAsia="Arial" w:hAnsi="Arial"/>
                <w:sz w:val="14"/>
                <w:szCs w:val="14"/>
                <w:color w:val="auto"/>
                <w:w w:val="85"/>
              </w:rPr>
              <w:t>Shares Purchased</w:t>
            </w: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93"/>
              </w:rPr>
              <w:t>Under the Publicly</w:t>
            </w:r>
          </w:p>
        </w:tc>
        <w:tc>
          <w:tcPr>
            <w:tcW w:w="17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89"/>
              </w:rPr>
              <w:t>Purchased Under the Publicly</w:t>
            </w:r>
          </w:p>
        </w:tc>
        <w:tc>
          <w:tcPr>
            <w:tcW w:w="0" w:type="dxa"/>
            <w:vAlign w:val="bottom"/>
          </w:tcPr>
          <w:p>
            <w:pPr>
              <w:spacing w:after="0"/>
              <w:rPr>
                <w:sz w:val="1"/>
                <w:szCs w:val="1"/>
                <w:color w:val="auto"/>
              </w:rPr>
            </w:pPr>
          </w:p>
        </w:tc>
      </w:tr>
      <w:tr>
        <w:trPr>
          <w:trHeight w:val="131"/>
        </w:trPr>
        <w:tc>
          <w:tcPr>
            <w:tcW w:w="206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1940" w:type="dxa"/>
            <w:vAlign w:val="bottom"/>
          </w:tcPr>
          <w:p>
            <w:pPr>
              <w:jc w:val="center"/>
              <w:ind w:right="1"/>
              <w:spacing w:after="0" w:line="131"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1"/>
                <w:szCs w:val="11"/>
                <w:color w:val="auto"/>
              </w:rPr>
            </w:pPr>
          </w:p>
        </w:tc>
        <w:tc>
          <w:tcPr>
            <w:tcW w:w="1100" w:type="dxa"/>
            <w:vAlign w:val="bottom"/>
          </w:tcPr>
          <w:p>
            <w:pPr>
              <w:jc w:val="center"/>
              <w:ind w:right="281"/>
              <w:spacing w:after="0" w:line="131"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ind w:right="21"/>
              <w:spacing w:after="0" w:line="131" w:lineRule="exact"/>
              <w:rPr>
                <w:sz w:val="20"/>
                <w:szCs w:val="20"/>
                <w:color w:val="auto"/>
              </w:rPr>
            </w:pPr>
            <w:r>
              <w:rPr>
                <w:rFonts w:ascii="Arial" w:cs="Arial" w:eastAsia="Arial" w:hAnsi="Arial"/>
                <w:sz w:val="14"/>
                <w:szCs w:val="14"/>
                <w:color w:val="auto"/>
                <w:w w:val="90"/>
              </w:rPr>
              <w:t>as Part of Publicly</w:t>
            </w: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93"/>
              </w:rPr>
              <w:t>Announced</w:t>
            </w:r>
          </w:p>
        </w:tc>
        <w:tc>
          <w:tcPr>
            <w:tcW w:w="220" w:type="dxa"/>
            <w:vAlign w:val="bottom"/>
          </w:tcPr>
          <w:p>
            <w:pPr>
              <w:spacing w:after="0"/>
              <w:rPr>
                <w:sz w:val="11"/>
                <w:szCs w:val="11"/>
                <w:color w:val="auto"/>
              </w:rPr>
            </w:pPr>
          </w:p>
        </w:tc>
        <w:tc>
          <w:tcPr>
            <w:tcW w:w="1520" w:type="dxa"/>
            <w:vAlign w:val="bottom"/>
          </w:tcPr>
          <w:p>
            <w:pPr>
              <w:jc w:val="center"/>
              <w:ind w:right="102"/>
              <w:spacing w:after="0" w:line="131" w:lineRule="exact"/>
              <w:rPr>
                <w:sz w:val="20"/>
                <w:szCs w:val="20"/>
                <w:color w:val="auto"/>
              </w:rPr>
            </w:pPr>
            <w:r>
              <w:rPr>
                <w:rFonts w:ascii="Arial" w:cs="Arial" w:eastAsia="Arial" w:hAnsi="Arial"/>
                <w:sz w:val="14"/>
                <w:szCs w:val="14"/>
                <w:color w:val="auto"/>
                <w:w w:val="93"/>
              </w:rPr>
              <w:t>Announced</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85"/>
              </w:rPr>
              <w:t>Share</w:t>
            </w:r>
          </w:p>
        </w:tc>
        <w:tc>
          <w:tcPr>
            <w:tcW w:w="19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Announced Authorization</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w w:val="95"/>
              </w:rPr>
              <w:t>Authorization</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02"/>
              <w:spacing w:after="0" w:line="183" w:lineRule="exact"/>
              <w:rPr>
                <w:sz w:val="20"/>
                <w:szCs w:val="20"/>
                <w:color w:val="auto"/>
              </w:rPr>
            </w:pPr>
            <w:r>
              <w:rPr>
                <w:rFonts w:ascii="Arial" w:cs="Arial" w:eastAsia="Arial" w:hAnsi="Arial"/>
                <w:sz w:val="14"/>
                <w:szCs w:val="14"/>
                <w:color w:val="auto"/>
                <w:w w:val="89"/>
              </w:rPr>
              <w:t>Authorization</w:t>
            </w:r>
            <w:r>
              <w:rPr>
                <w:rFonts w:ascii="Arial" w:cs="Arial" w:eastAsia="Arial" w:hAnsi="Arial"/>
                <w:sz w:val="18"/>
                <w:szCs w:val="18"/>
                <w:color w:val="auto"/>
                <w:w w:val="89"/>
                <w:vertAlign w:val="superscript"/>
              </w:rPr>
              <w:t>(a)</w:t>
            </w: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Arial" w:cs="Arial" w:eastAsia="Arial" w:hAnsi="Arial"/>
                <w:sz w:val="17"/>
                <w:szCs w:val="17"/>
                <w:color w:val="auto"/>
              </w:rPr>
              <w:t>January 1-31, 2022</w:t>
            </w:r>
          </w:p>
        </w:tc>
        <w:tc>
          <w:tcPr>
            <w:tcW w:w="1940" w:type="dxa"/>
            <w:vAlign w:val="bottom"/>
          </w:tcPr>
          <w:p>
            <w:pPr>
              <w:jc w:val="right"/>
              <w:ind w:right="141"/>
              <w:spacing w:after="0"/>
              <w:rPr>
                <w:sz w:val="20"/>
                <w:szCs w:val="20"/>
                <w:color w:val="auto"/>
              </w:rPr>
            </w:pPr>
            <w:r>
              <w:rPr>
                <w:rFonts w:ascii="Arial" w:cs="Arial" w:eastAsia="Arial" w:hAnsi="Arial"/>
                <w:sz w:val="17"/>
                <w:szCs w:val="17"/>
                <w:color w:val="auto"/>
              </w:rPr>
              <w:t>16,430,614</w:t>
            </w:r>
          </w:p>
        </w:tc>
        <w:tc>
          <w:tcPr>
            <w:tcW w:w="4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1"/>
              <w:spacing w:after="0"/>
              <w:rPr>
                <w:sz w:val="20"/>
                <w:szCs w:val="20"/>
                <w:color w:val="auto"/>
              </w:rPr>
            </w:pPr>
            <w:r>
              <w:rPr>
                <w:rFonts w:ascii="Arial" w:cs="Arial" w:eastAsia="Arial" w:hAnsi="Arial"/>
                <w:sz w:val="17"/>
                <w:szCs w:val="17"/>
                <w:color w:val="auto"/>
              </w:rPr>
              <w:t>49.91</w:t>
            </w:r>
          </w:p>
        </w:tc>
        <w:tc>
          <w:tcPr>
            <w:tcW w:w="1920" w:type="dxa"/>
            <w:vAlign w:val="bottom"/>
          </w:tcPr>
          <w:p>
            <w:pPr>
              <w:jc w:val="right"/>
              <w:spacing w:after="0"/>
              <w:rPr>
                <w:sz w:val="20"/>
                <w:szCs w:val="20"/>
                <w:color w:val="auto"/>
              </w:rPr>
            </w:pPr>
            <w:r>
              <w:rPr>
                <w:rFonts w:ascii="Arial" w:cs="Arial" w:eastAsia="Arial" w:hAnsi="Arial"/>
                <w:sz w:val="17"/>
                <w:szCs w:val="17"/>
                <w:color w:val="auto"/>
              </w:rPr>
              <w:t>16,430,614</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819,999,896</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9,180,000,104</w:t>
            </w: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Arial" w:cs="Arial" w:eastAsia="Arial" w:hAnsi="Arial"/>
                <w:sz w:val="17"/>
                <w:szCs w:val="17"/>
                <w:color w:val="auto"/>
              </w:rPr>
              <w:t>February 1-28, 2022</w:t>
            </w:r>
          </w:p>
        </w:tc>
        <w:tc>
          <w:tcPr>
            <w:tcW w:w="1940" w:type="dxa"/>
            <w:vAlign w:val="bottom"/>
          </w:tcPr>
          <w:p>
            <w:pPr>
              <w:jc w:val="right"/>
              <w:ind w:right="141"/>
              <w:spacing w:after="0"/>
              <w:rPr>
                <w:sz w:val="20"/>
                <w:szCs w:val="20"/>
                <w:color w:val="auto"/>
              </w:rPr>
            </w:pPr>
            <w:r>
              <w:rPr>
                <w:rFonts w:ascii="Arial" w:cs="Arial" w:eastAsia="Arial" w:hAnsi="Arial"/>
                <w:sz w:val="17"/>
                <w:szCs w:val="17"/>
                <w:color w:val="auto"/>
              </w:rPr>
              <w:t>31,571,308</w:t>
            </w:r>
          </w:p>
        </w:tc>
        <w:tc>
          <w:tcPr>
            <w:tcW w:w="4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1"/>
              <w:spacing w:after="0"/>
              <w:rPr>
                <w:sz w:val="20"/>
                <w:szCs w:val="20"/>
                <w:color w:val="auto"/>
              </w:rPr>
            </w:pPr>
            <w:r>
              <w:rPr>
                <w:rFonts w:ascii="Arial" w:cs="Arial" w:eastAsia="Arial" w:hAnsi="Arial"/>
                <w:sz w:val="17"/>
                <w:szCs w:val="17"/>
                <w:color w:val="auto"/>
              </w:rPr>
              <w:t>47.51</w:t>
            </w:r>
          </w:p>
        </w:tc>
        <w:tc>
          <w:tcPr>
            <w:tcW w:w="1920" w:type="dxa"/>
            <w:vAlign w:val="bottom"/>
          </w:tcPr>
          <w:p>
            <w:pPr>
              <w:jc w:val="right"/>
              <w:spacing w:after="0"/>
              <w:rPr>
                <w:sz w:val="20"/>
                <w:szCs w:val="20"/>
                <w:color w:val="auto"/>
              </w:rPr>
            </w:pPr>
            <w:r>
              <w:rPr>
                <w:rFonts w:ascii="Arial" w:cs="Arial" w:eastAsia="Arial" w:hAnsi="Arial"/>
                <w:sz w:val="17"/>
                <w:szCs w:val="17"/>
                <w:color w:val="auto"/>
              </w:rPr>
              <w:t>31,571,308</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1,499,986,778</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7,680,013,327</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March 1-31, 2022</w:t>
            </w:r>
          </w:p>
        </w:tc>
        <w:tc>
          <w:tcPr>
            <w:tcW w:w="194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14,526,731</w:t>
            </w: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color w:val="auto"/>
              </w:rPr>
              <w:t>46.81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14,526,731</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680,013,306</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7,000,000,020</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194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b w:val="1"/>
                <w:bCs w:val="1"/>
                <w:color w:val="auto"/>
              </w:rPr>
              <w:t>62,528,653</w:t>
            </w: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b w:val="1"/>
                <w:bCs w:val="1"/>
                <w:color w:val="auto"/>
              </w:rPr>
              <w:t>47.98</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62,528,653</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2,999,999,980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7,000,000,020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hanging="315"/>
        <w:spacing w:after="0" w:line="260" w:lineRule="auto"/>
        <w:tabs>
          <w:tab w:leader="none" w:pos="31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Effective January 1, 2022, our Board of Directors increased our share repurchase program authorization to $10 billion. Under the authorization, which does not have an expiration date, we expect to repurchase additional shares, which may be in the open market or in private transactions.</w:t>
      </w:r>
    </w:p>
    <w:p>
      <w:pPr>
        <w:spacing w:after="0" w:line="7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total number of shares purchased during the three months ended March 31, 2022 does not include any shares received in the administration of employee share-based compensation plans as there were none received during the period.</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8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0" w:lineRule="exact"/>
        <w:rPr>
          <w:sz w:val="20"/>
          <w:szCs w:val="20"/>
          <w:color w:val="auto"/>
        </w:rPr>
      </w:pPr>
    </w:p>
    <w:p>
      <w:pPr>
        <w:ind w:left="880" w:hanging="858"/>
        <w:spacing w:after="0"/>
        <w:tabs>
          <w:tab w:leader="none" w:pos="880" w:val="left"/>
        </w:tabs>
        <w:numPr>
          <w:ilvl w:val="0"/>
          <w:numId w:val="14"/>
        </w:numPr>
        <w:rPr>
          <w:rFonts w:ascii="Arial" w:cs="Arial" w:eastAsia="Arial" w:hAnsi="Arial"/>
          <w:sz w:val="17"/>
          <w:szCs w:val="17"/>
          <w:u w:val="single" w:color="auto"/>
          <w:color w:val="0000FF"/>
        </w:rPr>
      </w:pPr>
      <w:r>
        <w:rPr>
          <w:rFonts w:ascii="Arial" w:cs="Arial" w:eastAsia="Arial" w:hAnsi="Arial"/>
          <w:sz w:val="17"/>
          <w:szCs w:val="17"/>
          <w:color w:val="auto"/>
        </w:rPr>
        <w:t>List of subsidiaries.</w:t>
      </w:r>
    </w:p>
    <w:p>
      <w:pPr>
        <w:spacing w:after="0" w:line="27" w:lineRule="exact"/>
        <w:rPr>
          <w:rFonts w:ascii="Arial" w:cs="Arial" w:eastAsia="Arial" w:hAnsi="Arial"/>
          <w:sz w:val="17"/>
          <w:szCs w:val="17"/>
          <w:u w:val="single" w:color="auto"/>
          <w:color w:val="0000FF"/>
        </w:rPr>
      </w:pPr>
    </w:p>
    <w:p>
      <w:pPr>
        <w:ind w:left="880" w:right="20" w:hanging="858"/>
        <w:spacing w:after="0" w:line="241" w:lineRule="auto"/>
        <w:tabs>
          <w:tab w:leader="none" w:pos="880" w:val="left"/>
        </w:tabs>
        <w:numPr>
          <w:ilvl w:val="0"/>
          <w:numId w:val="14"/>
        </w:numPr>
        <w:rPr>
          <w:rFonts w:ascii="Arial" w:cs="Arial" w:eastAsia="Arial" w:hAnsi="Arial"/>
          <w:sz w:val="17"/>
          <w:szCs w:val="17"/>
          <w:u w:val="single" w:color="auto"/>
          <w:color w:val="0000FF"/>
        </w:rPr>
      </w:pPr>
      <w:r>
        <w:rPr>
          <w:rFonts w:ascii="Arial" w:cs="Arial" w:eastAsia="Arial" w:hAnsi="Arial"/>
          <w:sz w:val="17"/>
          <w:szCs w:val="17"/>
          <w:color w:val="auto"/>
        </w:rPr>
        <w:t>Subsidiary guarantors and issuers of guaranteed securities and affiliates whose securities collateralize securities of the registrant (incorporated by reference to Exhibit 22 to Comcast's Quarterly Report on Form 10-Q for the quarter ended September 30, 2021).</w:t>
      </w:r>
    </w:p>
    <w:p>
      <w:pPr>
        <w:ind w:left="880" w:hanging="858"/>
        <w:spacing w:after="0"/>
        <w:tabs>
          <w:tab w:leader="none" w:pos="880" w:val="left"/>
        </w:tabs>
        <w:numPr>
          <w:ilvl w:val="0"/>
          <w:numId w:val="15"/>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302 of the Sarbanes-Oxley Act of 2002.</w:t>
      </w:r>
    </w:p>
    <w:p>
      <w:pPr>
        <w:spacing w:after="0" w:line="27" w:lineRule="exact"/>
        <w:rPr>
          <w:rFonts w:ascii="Arial" w:cs="Arial" w:eastAsia="Arial" w:hAnsi="Arial"/>
          <w:sz w:val="17"/>
          <w:szCs w:val="17"/>
          <w:u w:val="single" w:color="auto"/>
          <w:color w:val="0000FF"/>
        </w:rPr>
      </w:pPr>
    </w:p>
    <w:p>
      <w:pPr>
        <w:ind w:left="880" w:hanging="858"/>
        <w:spacing w:after="0"/>
        <w:tabs>
          <w:tab w:leader="none" w:pos="880" w:val="left"/>
        </w:tabs>
        <w:numPr>
          <w:ilvl w:val="0"/>
          <w:numId w:val="15"/>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906 of the Sarbanes-Oxley Act of 2002.</w:t>
      </w:r>
    </w:p>
    <w:p>
      <w:pPr>
        <w:spacing w:after="0" w:line="27" w:lineRule="exact"/>
        <w:rPr>
          <w:sz w:val="20"/>
          <w:szCs w:val="20"/>
          <w:color w:val="auto"/>
        </w:rPr>
      </w:pPr>
    </w:p>
    <w:p>
      <w:pPr>
        <w:jc w:val="both"/>
        <w:ind w:left="880" w:right="20" w:hanging="858"/>
        <w:spacing w:after="0" w:line="221"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months ended March 31, 2022, filed with the Securities and Exchange Commission on April 28, 2022, formatted in Inline Extensible Business Reporting Language (iXBRL):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4" w:lineRule="exact"/>
        <w:rPr>
          <w:sz w:val="20"/>
          <w:szCs w:val="20"/>
          <w:color w:val="auto"/>
        </w:rPr>
      </w:pPr>
    </w:p>
    <w:p>
      <w:pPr>
        <w:ind w:left="5540" w:right="5100" w:hanging="5518"/>
        <w:spacing w:after="0" w:line="1040" w:lineRule="auto"/>
        <w:tabs>
          <w:tab w:leader="none" w:pos="89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iXBRL document).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-871220</wp:posOffset>
            </wp:positionV>
            <wp:extent cx="7136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COMCAST CORPORATION</w:t>
      </w:r>
    </w:p>
    <w:p>
      <w:pPr>
        <w:spacing w:after="0" w:line="80"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16510</wp:posOffset>
            </wp:positionV>
            <wp:extent cx="3102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Daniel C. Murdock</w:t>
      </w:r>
    </w:p>
    <w:p>
      <w:pPr>
        <w:ind w:left="6380"/>
        <w:spacing w:after="0" w:line="222" w:lineRule="auto"/>
        <w:rPr>
          <w:sz w:val="20"/>
          <w:szCs w:val="20"/>
          <w:color w:val="auto"/>
        </w:rPr>
      </w:pPr>
      <w:r>
        <w:rPr>
          <w:rFonts w:ascii="Arial" w:cs="Arial" w:eastAsia="Arial" w:hAnsi="Arial"/>
          <w:sz w:val="16"/>
          <w:szCs w:val="16"/>
          <w:color w:val="auto"/>
        </w:rPr>
        <w:t>Executive Vice President, Chief Accounting Officer and Controller</w:t>
      </w:r>
    </w:p>
    <w:p>
      <w:pPr>
        <w:ind w:left="6380"/>
        <w:spacing w:after="0"/>
        <w:rPr>
          <w:sz w:val="20"/>
          <w:szCs w:val="20"/>
          <w:color w:val="auto"/>
        </w:rPr>
      </w:pPr>
      <w:r>
        <w:rPr>
          <w:rFonts w:ascii="Arial" w:cs="Arial" w:eastAsia="Arial" w:hAnsi="Arial"/>
          <w:sz w:val="17"/>
          <w:szCs w:val="17"/>
          <w:color w:val="auto"/>
        </w:rPr>
        <w:t>(Principal Accounting Officer)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73" w:right="339" w:bottom="1440" w:gutter="0" w:footer="0" w:header="0"/>
        </w:sectPr>
      </w:pPr>
    </w:p>
    <w:bookmarkStart w:id="34" w:name="page35"/>
    <w:bookmarkEnd w:id="34"/>
    <w:p>
      <w:pPr>
        <w:ind w:left="10400"/>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9200" w:type="dxa"/>
            <w:vAlign w:val="bottom"/>
            <w:tcBorders>
              <w:top w:val="single" w:sz="8" w:color="auto"/>
              <w:left w:val="single" w:sz="8" w:color="auto"/>
              <w:right w:val="single" w:sz="8" w:color="auto"/>
            </w:tcBorders>
            <w:vMerge w:val="restart"/>
          </w:tcPr>
          <w:p>
            <w:pPr>
              <w:ind w:left="4100"/>
              <w:spacing w:after="0"/>
              <w:rPr>
                <w:sz w:val="20"/>
                <w:szCs w:val="20"/>
                <w:color w:val="auto"/>
              </w:rPr>
            </w:pPr>
            <w:r>
              <w:rPr>
                <w:rFonts w:ascii="Arial" w:cs="Arial" w:eastAsia="Arial" w:hAnsi="Arial"/>
                <w:sz w:val="19"/>
                <w:szCs w:val="19"/>
                <w:b w:val="1"/>
                <w:bCs w:val="1"/>
                <w:color w:val="auto"/>
              </w:rPr>
              <w:t>Legal Name</w:t>
            </w:r>
          </w:p>
        </w:tc>
        <w:tc>
          <w:tcPr>
            <w:tcW w:w="2060" w:type="dxa"/>
            <w:vAlign w:val="bottom"/>
            <w:tcBorders>
              <w:top w:val="single" w:sz="8" w:color="auto"/>
              <w:right w:val="single" w:sz="8" w:color="auto"/>
            </w:tcBorders>
          </w:tcPr>
          <w:p>
            <w:pPr>
              <w:ind w:left="340"/>
              <w:spacing w:after="0" w:line="196" w:lineRule="exact"/>
              <w:rPr>
                <w:sz w:val="20"/>
                <w:szCs w:val="20"/>
                <w:color w:val="auto"/>
              </w:rPr>
            </w:pPr>
            <w:r>
              <w:rPr>
                <w:rFonts w:ascii="Arial" w:cs="Arial" w:eastAsia="Arial" w:hAnsi="Arial"/>
                <w:sz w:val="19"/>
                <w:szCs w:val="19"/>
                <w:b w:val="1"/>
                <w:bCs w:val="1"/>
                <w:color w:val="auto"/>
              </w:rPr>
              <w:t>State/Country of</w:t>
            </w:r>
          </w:p>
        </w:tc>
        <w:tc>
          <w:tcPr>
            <w:tcW w:w="0" w:type="dxa"/>
            <w:vAlign w:val="bottom"/>
          </w:tcPr>
          <w:p>
            <w:pPr>
              <w:spacing w:after="0"/>
              <w:rPr>
                <w:sz w:val="1"/>
                <w:szCs w:val="1"/>
                <w:color w:val="auto"/>
              </w:rPr>
            </w:pPr>
          </w:p>
        </w:tc>
      </w:tr>
      <w:tr>
        <w:trPr>
          <w:trHeight w:val="148"/>
        </w:trPr>
        <w:tc>
          <w:tcPr>
            <w:tcW w:w="9200" w:type="dxa"/>
            <w:vAlign w:val="bottom"/>
            <w:tcBorders>
              <w:left w:val="single" w:sz="8" w:color="auto"/>
              <w:right w:val="single" w:sz="8" w:color="auto"/>
            </w:tcBorders>
            <w:vMerge w:val="continue"/>
          </w:tcPr>
          <w:p>
            <w:pPr>
              <w:spacing w:after="0"/>
              <w:rPr>
                <w:sz w:val="12"/>
                <w:szCs w:val="12"/>
                <w:color w:val="auto"/>
              </w:rPr>
            </w:pPr>
          </w:p>
        </w:tc>
        <w:tc>
          <w:tcPr>
            <w:tcW w:w="20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9"/>
                <w:szCs w:val="19"/>
                <w:b w:val="1"/>
                <w:bCs w:val="1"/>
                <w:color w:val="auto"/>
              </w:rPr>
              <w:t>Organization</w:t>
            </w:r>
          </w:p>
        </w:tc>
        <w:tc>
          <w:tcPr>
            <w:tcW w:w="0" w:type="dxa"/>
            <w:vAlign w:val="bottom"/>
          </w:tcPr>
          <w:p>
            <w:pPr>
              <w:spacing w:after="0"/>
              <w:rPr>
                <w:sz w:val="1"/>
                <w:szCs w:val="1"/>
                <w:color w:val="auto"/>
              </w:rPr>
            </w:pPr>
          </w:p>
        </w:tc>
      </w:tr>
      <w:tr>
        <w:trPr>
          <w:trHeight w:val="88"/>
        </w:trPr>
        <w:tc>
          <w:tcPr>
            <w:tcW w:w="920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Beijing International Resort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China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Bravo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NY</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Cable Programming Ventures,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Cablevision Associates of Gary Joint Venture</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CC Wireless Investment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Classic Services,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CNBC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ABB Note Consolidation,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ABB of Georgia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GA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AG Holdings,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Bidco Holdings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Bidco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Broadband Security,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Business Communications,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Business Communications of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VA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Cable Communications Management,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Cable Communications,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Cable of Indiana/Michigan/Texas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TX</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CBRS,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Government Services,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Holdings Corporation</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Hulu Holdings,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Interactive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IP Phone,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IP Phone of Missouri,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MO</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IP Phone of Oregon,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Alabama,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AL</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Alameda,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Arizona,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Arkansas/Louisiana/Minnesota/Mississippi/Tennessee,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Avalon,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Baltimore City,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Boston,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NY</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Brockton,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Burlington County,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NV</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III,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III,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IV,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WY</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IX,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X,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c>
          <w:tcPr>
            <w:tcW w:w="0" w:type="dxa"/>
            <w:vAlign w:val="bottom"/>
          </w:tcPr>
          <w:p>
            <w:pPr>
              <w:spacing w:after="0"/>
              <w:rPr>
                <w:sz w:val="1"/>
                <w:szCs w:val="1"/>
                <w:color w:val="auto"/>
              </w:rPr>
            </w:pP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XI,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4" w:right="31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XII, LLC</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XIII,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 XV,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California/Colorado,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California/Colorado/Florida/Oregon,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California/Colorado/Illinois/Indiana/Michigan,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California/Connecticut/Michigan</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California/Idaho,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ID</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California/Illinois,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California/Maryland/Pennsylvania/Virginia/West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California/Massachusetts/Michigan/Utah,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Carolina,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SC</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Central New Jersey,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Central New Jersey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Chicago,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Clinton,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Colorado IX,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Colorado/Pennsylvania/West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Connecticut,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OK</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w w:val="95"/>
              </w:rPr>
              <w:t>Comcast of Connecticut/Georgia/Massachusetts/New Hampshire/New York/North Carolina/Virginia/Vermont,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Cupertino,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Davis County,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Delmarva,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Detroit,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East San Fernando Valley,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Eastern Shore,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Elkton,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Flint,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Florida/Georgia</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Florida/Michigan/New Mexico/Pennsylvania/Washington,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Fort Wayne Limited Partnership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IN</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Fresno,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Garden State,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Georgia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GA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Georgia/Illinois/Michigan,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Georgia/Massachusetts,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Georgia/Michigan,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Georgia/Pennsylvania,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Georgia/South Carolina,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Georgia/South Carolina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Gloucester County,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Grosse Pointe,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Harford County,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MD</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Hopewell Valley,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NJ</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Houston,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bl>
    <w:p>
      <w:pPr>
        <w:sectPr>
          <w:pgSz w:w="11900" w:h="16838" w:orient="portrait"/>
          <w:cols w:equalWidth="0" w:num="1">
            <w:col w:w="11260"/>
          </w:cols>
          <w:pgMar w:left="320" w:top="1403" w:right="31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Howard County, LLC</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MD</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KS</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III,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IV,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V,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VI,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VII,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VIII,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IX,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X,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XI,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XII,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NJ</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 XIII,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AZ</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Illinois/Indiana,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Illinois/Indiana/Michigan,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Illinois/Indiana/Ohio,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Illinois/Ohio/Oregon,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Illinois/West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Indiana/Kentucky/Utah,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Indiana/Michigan,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Indiana/Michigan/Pennsylvania,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Indianapolis,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Indianapolis,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Inkster,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Jersey City,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Kentucky/Tennessee/Virginia,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Laurel,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MS</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Levittown,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Little Rock,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AR</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Lompoc,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Long Beach Island,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Louisiana/Mississippi/Texas,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Lower Merion,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Macomb,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Maine/New Hampshire,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NH</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Maryland Limited Partnership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MD</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Maryland,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Massachusetts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Massachusetts III,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Massachusetts/Virginia,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VA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Mercer County,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Meridian,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MS</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Michigan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Michigan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bl>
    <w:p>
      <w:pPr>
        <w:sectPr>
          <w:pgSz w:w="11900" w:h="16838" w:orient="portrait"/>
          <w:cols w:equalWidth="0" w:num="1">
            <w:col w:w="11260"/>
          </w:cols>
          <w:pgMar w:left="320" w:top="1403" w:right="319" w:bottom="1440"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Michigan III, Inc.</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Michigan IV,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Michigan/Mississippi/Tennessee,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Milton,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Minnesota,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Minnesota/Wisconsin,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Missouri,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Monmouth County,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Muncie,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IN</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Muskegon</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Nashville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Nashville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Needham,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New Castle County,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New Hampshire,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New Jersey,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NJ</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New Jersey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New Mexico,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New Mexico/Pennsylvania,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New York,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Northern California 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Northern Illinois,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Northern Indiana,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Northwest New Jersey,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Novato,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OR</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Ocean County,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Ohio,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OH</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Oregon 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Oregon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Pennsylvania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Pennsylvania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Pennsylvania II,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Pennsylvania/Maryland,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Philadelphia,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Philadelphia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Plainfield,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Potomac,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Richmond,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VA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Sacramento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Sacramento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Sacramento III,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San Joaquin,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WY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San Leandro,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Santa Cruz,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Santa Maria,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bl>
    <w:p>
      <w:pPr>
        <w:sectPr>
          <w:pgSz w:w="11900" w:h="16838" w:orient="portrait"/>
          <w:cols w:equalWidth="0" w:num="1">
            <w:col w:w="11260"/>
          </w:cols>
          <w:pgMar w:left="320" w:top="1403" w:right="319" w:bottom="1440"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Shelby, LLC</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Sierra Valleys,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 Chicago,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 Jersey,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Southeast 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Southern California,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OR</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Southern Illinois,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Southern Mississippi,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Southern New England,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Southern Tennessee,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St. Paul,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MN</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Sterling Heights,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Taylor,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the District,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DC</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the Meadowlands,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the South</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the South,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Tupelo,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MS</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Utah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IN</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Utah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Warren,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MI</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Wasatch,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Western Colorado,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Wildwood,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of Wisconsin,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OTR1,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Alabama,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Arizona,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Arkansas,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California,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Central Indiana,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Colorado,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Connecticut,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D.C.,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Delaware,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Florida,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Georgia,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Idaho,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Illinois,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Iowa,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Kansas,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Kentucky,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Louisiana,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bl>
    <w:p>
      <w:pPr>
        <w:sectPr>
          <w:pgSz w:w="11900" w:h="16838" w:orient="portrait"/>
          <w:cols w:equalWidth="0" w:num="1">
            <w:col w:w="11260"/>
          </w:cols>
          <w:pgMar w:left="320" w:top="1403" w:right="319" w:bottom="1440" w:gutter="0" w:footer="0" w:header="0"/>
        </w:sectPr>
      </w:pPr>
    </w:p>
    <w:bookmarkStart w:id="39" w:name="page40"/>
    <w:bookmarkEnd w:id="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Maine, LLC</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Massachusetts,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Minnesota,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MN</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Mississippi,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Missouri,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Montana,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Nebraska,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Nevada,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New Hampshire,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New Mexico,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New York,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North Carolina,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North Dakota,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Northern Maryland,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MD</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Ohio,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Oklahoma,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Oregon,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Rhode Island,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South Carolina,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SC</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South Dakota,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Tennessee,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Texas,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Utah,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Vermont,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VA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Washington,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Phone of Wisconsin,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Spectacor Ventures,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Sportsnet Mid-Atlantic,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Sportsnet Philadelphia,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Comcast Ventures,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DreamWorks Animation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DWA Holdings,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E! Entertainment Television,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Mountain Cable Network,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NV</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MSNBC Cable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 Olympics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 Sports Network,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 Sports Ventures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 Stations Management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 Subsidiary (WTVJ-TV)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 Telemundo License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 West,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bl>
    <w:p>
      <w:pPr>
        <w:sectPr>
          <w:pgSz w:w="11900" w:h="16838" w:orient="portrait"/>
          <w:cols w:equalWidth="0" w:num="1">
            <w:col w:w="11260"/>
          </w:cols>
          <w:pgMar w:left="320" w:top="1403" w:right="31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NBCU Television Holding LLC</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NBCUniversal Enterprise,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NBCUniversal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NBCUniversal Shared Services,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NBCUniversal,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New England Cable News</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One Belmont Insurance Company</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VT</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Open 4 Business Productions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Palm Beach Group Cable Joint Venture</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CP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Deutschland Fernsehen GmbH &amp; Co KG</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Germany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German Holdings GmbH</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Germany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International Operations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Italia S.r.l.</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Italy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Italian Holdings S.p.A.</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Italy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Subscribers Services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Telecommunications Services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Sky UK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Spectrum Arena Limited Partnership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Station Venture Operations,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Telemundo Las Vegas License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Telemundo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Telemundo Network Group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Telemundo of Puerto Rico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Puerto Rico</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TGC,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The Comcast Network,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Three Belmont Insurance Company</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City Development Partners, Ltd.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FL</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City Property Management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City Studios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City Studios Productions LLLP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Content Productions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Film Exchanges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Studios International B.V.</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The Netherlands</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Studios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United Kingdom</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Studios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Television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Universal Television Networks</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NY</w:t>
            </w:r>
          </w:p>
        </w:tc>
      </w:tr>
      <w:tr>
        <w:trPr>
          <w:trHeight w:val="229"/>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USJ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Japan</w:t>
            </w:r>
          </w:p>
        </w:tc>
      </w:tr>
    </w:tbl>
    <w:p>
      <w:pPr>
        <w:sectPr>
          <w:pgSz w:w="11900" w:h="16838" w:orient="portrait"/>
          <w:cols w:equalWidth="0" w:num="1">
            <w:col w:w="11260"/>
          </w:cols>
          <w:pgMar w:left="320" w:top="1403"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 Brian L. Roberts, certify that:</w:t>
      </w:r>
    </w:p>
    <w:p>
      <w:pPr>
        <w:spacing w:after="0" w:line="119" w:lineRule="exact"/>
        <w:rPr>
          <w:sz w:val="20"/>
          <w:szCs w:val="20"/>
          <w:color w:val="auto"/>
        </w:rPr>
      </w:pPr>
    </w:p>
    <w:p>
      <w:pPr>
        <w:ind w:left="640" w:hanging="635"/>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60" w:hanging="635"/>
        <w:spacing w:after="0" w:line="273"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left="640" w:right="420" w:hanging="635"/>
        <w:spacing w:after="0" w:line="289"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right="40" w:hanging="635"/>
        <w:spacing w:after="0" w:line="273"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1260" w:right="120" w:hanging="626"/>
        <w:spacing w:after="0" w:line="273" w:lineRule="auto"/>
        <w:tabs>
          <w:tab w:leader="none" w:pos="1251"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260" w:right="380" w:hanging="626"/>
        <w:spacing w:after="0" w:line="273" w:lineRule="auto"/>
        <w:tabs>
          <w:tab w:leader="none" w:pos="12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1260" w:right="540" w:hanging="626"/>
        <w:spacing w:after="0" w:line="359" w:lineRule="auto"/>
        <w:tabs>
          <w:tab w:leader="none" w:pos="1251"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120" w:hanging="626"/>
        <w:spacing w:after="0" w:line="273" w:lineRule="auto"/>
        <w:tabs>
          <w:tab w:leader="none" w:pos="12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640" w:right="340" w:hanging="635"/>
        <w:spacing w:after="0" w:line="32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260" w:right="40" w:hanging="626"/>
        <w:spacing w:after="0" w:line="289" w:lineRule="auto"/>
        <w:tabs>
          <w:tab w:leader="none" w:pos="125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260" w:right="540" w:hanging="626"/>
        <w:spacing w:after="0" w:line="289" w:lineRule="auto"/>
        <w:tabs>
          <w:tab w:leader="none" w:pos="12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68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1240"/>
          </w:cols>
          <w:pgMar w:left="320" w:top="35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I, Michael J. Cavanagh, certify that:</w:t>
      </w:r>
    </w:p>
    <w:p>
      <w:pPr>
        <w:spacing w:after="0" w:line="66" w:lineRule="exact"/>
        <w:rPr>
          <w:sz w:val="20"/>
          <w:szCs w:val="20"/>
          <w:color w:val="auto"/>
        </w:rPr>
      </w:pPr>
    </w:p>
    <w:p>
      <w:pPr>
        <w:ind w:left="640" w:hanging="635"/>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20" w:hanging="635"/>
        <w:spacing w:after="0" w:line="273"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left="640" w:right="380" w:hanging="635"/>
        <w:spacing w:after="0" w:line="289"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hanging="635"/>
        <w:spacing w:after="0" w:line="273"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1260" w:right="80" w:hanging="626"/>
        <w:spacing w:after="0" w:line="273" w:lineRule="auto"/>
        <w:tabs>
          <w:tab w:leader="none" w:pos="1251"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260" w:right="340" w:hanging="626"/>
        <w:spacing w:after="0" w:line="273" w:lineRule="auto"/>
        <w:tabs>
          <w:tab w:leader="none" w:pos="12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1260" w:right="500" w:hanging="626"/>
        <w:spacing w:after="0" w:line="359" w:lineRule="auto"/>
        <w:tabs>
          <w:tab w:leader="none" w:pos="1251"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80" w:hanging="626"/>
        <w:spacing w:after="0" w:line="273" w:lineRule="auto"/>
        <w:tabs>
          <w:tab w:leader="none" w:pos="12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640" w:right="300" w:hanging="635"/>
        <w:spacing w:after="0" w:line="32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260" w:hanging="626"/>
        <w:spacing w:after="0" w:line="289" w:lineRule="auto"/>
        <w:tabs>
          <w:tab w:leader="none" w:pos="125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260" w:right="500" w:hanging="626"/>
        <w:spacing w:after="0" w:line="289" w:lineRule="auto"/>
        <w:tabs>
          <w:tab w:leader="none" w:pos="12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19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68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Michael J. Cavanagh</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200"/>
          </w:cols>
          <w:pgMar w:left="320" w:top="1109"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906 OF THE SARBANES-OXLEY ACT</w:t>
      </w:r>
    </w:p>
    <w:p>
      <w:pPr>
        <w:spacing w:after="0" w:line="119"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April 28, 2022</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6"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Brian L. Roberts, the Chief Executive Officer and Michael J. Cavanagh, the Chief Financial Officer of Comcast Corporation, each certifies that, to the best of his knowledge:</w:t>
      </w:r>
    </w:p>
    <w:p>
      <w:pPr>
        <w:spacing w:after="0" w:line="53" w:lineRule="exact"/>
        <w:rPr>
          <w:sz w:val="20"/>
          <w:szCs w:val="20"/>
          <w:color w:val="auto"/>
        </w:rPr>
      </w:pPr>
    </w:p>
    <w:p>
      <w:pPr>
        <w:ind w:left="640" w:hanging="635"/>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18" w:lineRule="exact"/>
        <w:rPr>
          <w:rFonts w:ascii="Arial" w:cs="Arial" w:eastAsia="Arial" w:hAnsi="Arial"/>
          <w:sz w:val="17"/>
          <w:szCs w:val="17"/>
          <w:color w:val="auto"/>
        </w:rPr>
      </w:pPr>
    </w:p>
    <w:p>
      <w:pPr>
        <w:ind w:left="640" w:right="840" w:hanging="635"/>
        <w:spacing w:after="0" w:line="289"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Comcast Corporation.</w:t>
      </w:r>
    </w:p>
    <w:p>
      <w:pPr>
        <w:spacing w:after="0" w:line="92"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16510</wp:posOffset>
            </wp:positionV>
            <wp:extent cx="3468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38"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16510</wp:posOffset>
            </wp:positionV>
            <wp:extent cx="3468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Name: Michael J. Cavanagh</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Title: Chief Financial Officer</w:t>
      </w:r>
    </w:p>
    <w:sectPr>
      <w:pgSz w:w="11900" w:h="16838" w:orient="portrait"/>
      <w:cols w:equalWidth="0" w:num="1">
        <w:col w:w="11240"/>
      </w:cols>
      <w:pgMar w:left="320" w:top="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21"/>
    </w:lvl>
  </w:abstractNum>
  <w:abstractNum w:abstractNumId="14">
    <w:nsid w:val="519B500D"/>
    <w:multiLevelType w:val="hybridMultilevel"/>
    <w:lvl w:ilvl="0">
      <w:lvlJc w:val="left"/>
      <w:lvlText w:val="%1"/>
      <w:numFmt w:val="decimal"/>
      <w:start w:val="3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2022-04-28T15:59:05Z</dcterms:created>
  <dcterms:modified xsi:type="dcterms:W3CDTF">2022-04-28T15:59:05Z</dcterms:modified>
</cp:coreProperties>
</file>