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Arial" w:cs="Arial" w:eastAsia="Arial" w:hAnsi="Arial"/>
          <w:sz w:val="19"/>
          <w:szCs w:val="19"/>
          <w:b w:val="1"/>
          <w:bCs w:val="1"/>
          <w:color w:val="auto"/>
        </w:rPr>
        <w:t>UNITED STATES</w:t>
      </w:r>
    </w:p>
    <w:p>
      <w:pPr>
        <w:spacing w:after="0" w:line="14" w:lineRule="exact"/>
        <w:rPr>
          <w:sz w:val="24"/>
          <w:szCs w:val="24"/>
          <w:color w:val="auto"/>
        </w:rPr>
      </w:pPr>
    </w:p>
    <w:p>
      <w:pPr>
        <w:jc w:val="center"/>
        <w:ind w:right="75"/>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15"/>
        <w:spacing w:after="0"/>
        <w:rPr>
          <w:sz w:val="20"/>
          <w:szCs w:val="20"/>
          <w:color w:val="auto"/>
        </w:rPr>
      </w:pPr>
      <w:r>
        <w:rPr>
          <w:rFonts w:ascii="Arial" w:cs="Arial" w:eastAsia="Arial" w:hAnsi="Arial"/>
          <w:sz w:val="19"/>
          <w:szCs w:val="19"/>
          <w:b w:val="1"/>
          <w:bCs w:val="1"/>
          <w:color w:val="auto"/>
        </w:rPr>
        <w:t>Washington, D.C. 20549</w:t>
      </w:r>
    </w:p>
    <w:p>
      <w:pPr>
        <w:spacing w:after="0" w:line="165" w:lineRule="exact"/>
        <w:rPr>
          <w:sz w:val="24"/>
          <w:szCs w:val="24"/>
          <w:color w:val="auto"/>
        </w:rPr>
      </w:pPr>
    </w:p>
    <w:p>
      <w:pPr>
        <w:jc w:val="center"/>
        <w:ind w:right="15"/>
        <w:spacing w:after="0"/>
        <w:rPr>
          <w:sz w:val="20"/>
          <w:szCs w:val="20"/>
          <w:color w:val="auto"/>
        </w:rPr>
      </w:pPr>
      <w:r>
        <w:rPr>
          <w:rFonts w:ascii="Arial" w:cs="Arial" w:eastAsia="Arial" w:hAnsi="Arial"/>
          <w:sz w:val="19"/>
          <w:szCs w:val="19"/>
          <w:b w:val="1"/>
          <w:bCs w:val="1"/>
          <w:color w:val="auto"/>
        </w:rPr>
        <w:t>FORM 10-Q</w:t>
      </w:r>
    </w:p>
    <w:p>
      <w:pPr>
        <w:spacing w:after="0" w:line="193" w:lineRule="exact"/>
        <w:rPr>
          <w:sz w:val="24"/>
          <w:szCs w:val="24"/>
          <w:color w:val="auto"/>
        </w:rPr>
      </w:pPr>
    </w:p>
    <w:p>
      <w:pPr>
        <w:ind w:left="5"/>
        <w:spacing w:after="0"/>
        <w:rPr>
          <w:sz w:val="20"/>
          <w:szCs w:val="20"/>
          <w:color w:val="auto"/>
        </w:rPr>
      </w:pPr>
      <w:r>
        <w:rPr>
          <w:rFonts w:ascii="Arial" w:cs="Arial" w:eastAsia="Arial" w:hAnsi="Arial"/>
          <w:sz w:val="19"/>
          <w:szCs w:val="19"/>
          <w:color w:val="auto"/>
        </w:rPr>
        <w:t>(Mark One)</w:t>
      </w:r>
    </w:p>
    <w:p>
      <w:pPr>
        <w:spacing w:after="0" w:line="12" w:lineRule="exact"/>
        <w:rPr>
          <w:sz w:val="24"/>
          <w:szCs w:val="24"/>
          <w:color w:val="auto"/>
        </w:rPr>
      </w:pPr>
    </w:p>
    <w:p>
      <w:pPr>
        <w:ind w:left="465" w:hanging="465"/>
        <w:spacing w:after="0"/>
        <w:tabs>
          <w:tab w:leader="none" w:pos="465" w:val="left"/>
        </w:tabs>
        <w:numPr>
          <w:ilvl w:val="0"/>
          <w:numId w:val="1"/>
        </w:numPr>
        <w:rPr>
          <w:rFonts w:ascii="Arial" w:cs="Arial" w:eastAsia="Arial" w:hAnsi="Arial"/>
          <w:sz w:val="19"/>
          <w:szCs w:val="19"/>
          <w:color w:val="auto"/>
        </w:rPr>
      </w:pPr>
      <w:r>
        <w:rPr>
          <w:rFonts w:ascii="Arial" w:cs="Arial" w:eastAsia="Arial" w:hAnsi="Arial"/>
          <w:sz w:val="19"/>
          <w:szCs w:val="19"/>
          <w:color w:val="auto"/>
        </w:rPr>
        <w:t>Quarterly Report pursuant to Section 13 or 15(d) of the Securities Exchange Act of 1934 for the Quarterly Period Ended:</w:t>
      </w:r>
    </w:p>
    <w:p>
      <w:pPr>
        <w:spacing w:after="0" w:line="380" w:lineRule="exact"/>
        <w:rPr>
          <w:sz w:val="24"/>
          <w:szCs w:val="24"/>
          <w:color w:val="auto"/>
        </w:rPr>
      </w:pPr>
    </w:p>
    <w:p>
      <w:pPr>
        <w:jc w:val="center"/>
        <w:ind w:right="75"/>
        <w:spacing w:after="0"/>
        <w:rPr>
          <w:sz w:val="20"/>
          <w:szCs w:val="20"/>
          <w:color w:val="auto"/>
        </w:rPr>
      </w:pPr>
      <w:r>
        <w:rPr>
          <w:rFonts w:ascii="Arial" w:cs="Arial" w:eastAsia="Arial" w:hAnsi="Arial"/>
          <w:sz w:val="21"/>
          <w:szCs w:val="21"/>
          <w:b w:val="1"/>
          <w:bCs w:val="1"/>
          <w:color w:val="auto"/>
        </w:rPr>
        <w:t>MARCH 31, 2004</w:t>
      </w:r>
    </w:p>
    <w:p>
      <w:pPr>
        <w:spacing w:after="0" w:line="30" w:lineRule="exact"/>
        <w:rPr>
          <w:sz w:val="24"/>
          <w:szCs w:val="24"/>
          <w:color w:val="auto"/>
        </w:rPr>
      </w:pPr>
    </w:p>
    <w:p>
      <w:pPr>
        <w:jc w:val="center"/>
        <w:ind w:right="15"/>
        <w:spacing w:after="0"/>
        <w:rPr>
          <w:sz w:val="20"/>
          <w:szCs w:val="20"/>
          <w:color w:val="auto"/>
        </w:rPr>
      </w:pPr>
      <w:r>
        <w:rPr>
          <w:rFonts w:ascii="Arial" w:cs="Arial" w:eastAsia="Arial" w:hAnsi="Arial"/>
          <w:sz w:val="19"/>
          <w:szCs w:val="19"/>
          <w:color w:val="auto"/>
        </w:rPr>
        <w:t>OR</w:t>
      </w:r>
    </w:p>
    <w:p>
      <w:pPr>
        <w:spacing w:after="0" w:line="171" w:lineRule="exact"/>
        <w:rPr>
          <w:sz w:val="24"/>
          <w:szCs w:val="24"/>
          <w:color w:val="auto"/>
        </w:rPr>
      </w:pPr>
    </w:p>
    <w:p>
      <w:pPr>
        <w:ind w:left="165" w:hanging="165"/>
        <w:spacing w:after="0"/>
        <w:tabs>
          <w:tab w:leader="none" w:pos="165"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 to</w:t>
      </w:r>
    </w:p>
    <w:p>
      <w:pPr>
        <w:spacing w:after="0" w:line="23"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9"/>
          <w:szCs w:val="19"/>
          <w:color w:val="auto"/>
        </w:rPr>
        <w:t>________.</w:t>
      </w:r>
    </w:p>
    <w:p>
      <w:pPr>
        <w:spacing w:after="0" w:line="386" w:lineRule="exact"/>
        <w:rPr>
          <w:sz w:val="24"/>
          <w:szCs w:val="24"/>
          <w:color w:val="auto"/>
        </w:rPr>
      </w:pPr>
    </w:p>
    <w:tbl>
      <w:tblPr>
        <w:tblLayout w:type="fixed"/>
        <w:tblInd w:w="5" w:type="dxa"/>
        <w:tblCellMar>
          <w:top w:w="0" w:type="dxa"/>
          <w:left w:w="0" w:type="dxa"/>
          <w:bottom w:w="0" w:type="dxa"/>
          <w:right w:w="0" w:type="dxa"/>
        </w:tblCellMar>
      </w:tblPr>
      <w:tr>
        <w:trPr>
          <w:trHeight w:val="242"/>
        </w:trPr>
        <w:tc>
          <w:tcPr>
            <w:tcW w:w="3380" w:type="dxa"/>
            <w:vAlign w:val="bottom"/>
          </w:tcPr>
          <w:p>
            <w:pPr>
              <w:spacing w:after="0"/>
              <w:rPr>
                <w:sz w:val="21"/>
                <w:szCs w:val="21"/>
                <w:color w:val="auto"/>
              </w:rPr>
            </w:pPr>
          </w:p>
        </w:tc>
        <w:tc>
          <w:tcPr>
            <w:tcW w:w="8080" w:type="dxa"/>
            <w:vAlign w:val="bottom"/>
          </w:tcPr>
          <w:p>
            <w:pPr>
              <w:jc w:val="center"/>
              <w:ind w:right="3325"/>
              <w:spacing w:after="0"/>
              <w:rPr>
                <w:sz w:val="20"/>
                <w:szCs w:val="20"/>
                <w:color w:val="auto"/>
              </w:rPr>
            </w:pPr>
            <w:r>
              <w:rPr>
                <w:rFonts w:ascii="Arial" w:cs="Arial" w:eastAsia="Arial" w:hAnsi="Arial"/>
                <w:sz w:val="19"/>
                <w:szCs w:val="19"/>
                <w:color w:val="auto"/>
                <w:w w:val="92"/>
              </w:rPr>
              <w:t>Commission File Number 000-50093</w:t>
            </w:r>
          </w:p>
        </w:tc>
      </w:tr>
      <w:tr>
        <w:trPr>
          <w:trHeight w:val="378"/>
        </w:trPr>
        <w:tc>
          <w:tcPr>
            <w:tcW w:w="3380" w:type="dxa"/>
            <w:vAlign w:val="bottom"/>
          </w:tcPr>
          <w:p>
            <w:pPr>
              <w:spacing w:after="0"/>
              <w:rPr>
                <w:sz w:val="24"/>
                <w:szCs w:val="24"/>
                <w:color w:val="auto"/>
              </w:rPr>
            </w:pPr>
          </w:p>
        </w:tc>
        <w:tc>
          <w:tcPr>
            <w:tcW w:w="8080" w:type="dxa"/>
            <w:vAlign w:val="bottom"/>
          </w:tcPr>
          <w:p>
            <w:pPr>
              <w:jc w:val="center"/>
              <w:ind w:right="3325"/>
              <w:spacing w:after="0"/>
              <w:rPr>
                <w:sz w:val="20"/>
                <w:szCs w:val="20"/>
                <w:color w:val="auto"/>
              </w:rPr>
            </w:pPr>
            <w:r>
              <w:rPr>
                <w:rFonts w:ascii="Arial" w:cs="Arial" w:eastAsia="Arial" w:hAnsi="Arial"/>
                <w:sz w:val="19"/>
                <w:szCs w:val="19"/>
                <w:color w:val="auto"/>
                <w:w w:val="95"/>
              </w:rPr>
              <w:t>COMCAST CORPORATION</w:t>
            </w:r>
          </w:p>
        </w:tc>
      </w:tr>
      <w:tr>
        <w:trPr>
          <w:trHeight w:val="242"/>
        </w:trPr>
        <w:tc>
          <w:tcPr>
            <w:tcW w:w="3380" w:type="dxa"/>
            <w:vAlign w:val="bottom"/>
          </w:tcPr>
          <w:p>
            <w:pPr>
              <w:spacing w:after="0"/>
              <w:rPr>
                <w:sz w:val="21"/>
                <w:szCs w:val="21"/>
                <w:color w:val="auto"/>
              </w:rPr>
            </w:pPr>
          </w:p>
        </w:tc>
        <w:tc>
          <w:tcPr>
            <w:tcW w:w="8080" w:type="dxa"/>
            <w:vAlign w:val="bottom"/>
          </w:tcPr>
          <w:p>
            <w:pPr>
              <w:jc w:val="center"/>
              <w:ind w:right="3325"/>
              <w:spacing w:after="0"/>
              <w:rPr>
                <w:sz w:val="20"/>
                <w:szCs w:val="20"/>
                <w:color w:val="auto"/>
              </w:rPr>
            </w:pPr>
            <w:r>
              <w:rPr>
                <w:rFonts w:ascii="Arial" w:cs="Arial" w:eastAsia="Arial" w:hAnsi="Arial"/>
                <w:sz w:val="19"/>
                <w:szCs w:val="19"/>
                <w:color w:val="auto"/>
                <w:w w:val="90"/>
              </w:rPr>
              <w:t>(Exact name of registrant as specified in its charter)</w:t>
            </w:r>
          </w:p>
        </w:tc>
      </w:tr>
      <w:tr>
        <w:trPr>
          <w:trHeight w:val="405"/>
        </w:trPr>
        <w:tc>
          <w:tcPr>
            <w:tcW w:w="3380" w:type="dxa"/>
            <w:vAlign w:val="bottom"/>
          </w:tcPr>
          <w:p>
            <w:pPr>
              <w:jc w:val="center"/>
              <w:ind w:left="305"/>
              <w:spacing w:after="0"/>
              <w:rPr>
                <w:sz w:val="20"/>
                <w:szCs w:val="20"/>
                <w:color w:val="auto"/>
              </w:rPr>
            </w:pPr>
            <w:r>
              <w:rPr>
                <w:rFonts w:ascii="Arial" w:cs="Arial" w:eastAsia="Arial" w:hAnsi="Arial"/>
                <w:sz w:val="19"/>
                <w:szCs w:val="19"/>
                <w:color w:val="auto"/>
                <w:w w:val="97"/>
              </w:rPr>
              <w:t>PENNSYLVANIA</w:t>
            </w:r>
          </w:p>
        </w:tc>
        <w:tc>
          <w:tcPr>
            <w:tcW w:w="8080" w:type="dxa"/>
            <w:vAlign w:val="bottom"/>
          </w:tcPr>
          <w:p>
            <w:pPr>
              <w:jc w:val="center"/>
              <w:ind w:left="4145"/>
              <w:spacing w:after="0"/>
              <w:rPr>
                <w:sz w:val="20"/>
                <w:szCs w:val="20"/>
                <w:color w:val="auto"/>
              </w:rPr>
            </w:pPr>
            <w:r>
              <w:rPr>
                <w:rFonts w:ascii="Arial" w:cs="Arial" w:eastAsia="Arial" w:hAnsi="Arial"/>
                <w:sz w:val="19"/>
                <w:szCs w:val="19"/>
                <w:color w:val="auto"/>
                <w:w w:val="90"/>
              </w:rPr>
              <w:t>27-0000798</w:t>
            </w:r>
          </w:p>
        </w:tc>
      </w:tr>
      <w:tr>
        <w:trPr>
          <w:trHeight w:val="87"/>
        </w:trPr>
        <w:tc>
          <w:tcPr>
            <w:tcW w:w="3380" w:type="dxa"/>
            <w:vAlign w:val="bottom"/>
            <w:tcBorders>
              <w:bottom w:val="single" w:sz="8" w:color="808080"/>
            </w:tcBorders>
          </w:tcPr>
          <w:p>
            <w:pPr>
              <w:spacing w:after="0"/>
              <w:rPr>
                <w:sz w:val="7"/>
                <w:szCs w:val="7"/>
                <w:color w:val="auto"/>
              </w:rPr>
            </w:pPr>
          </w:p>
        </w:tc>
        <w:tc>
          <w:tcPr>
            <w:tcW w:w="8080" w:type="dxa"/>
            <w:vAlign w:val="bottom"/>
            <w:tcBorders>
              <w:bottom w:val="single" w:sz="8" w:color="808080"/>
            </w:tcBorders>
          </w:tcPr>
          <w:p>
            <w:pPr>
              <w:spacing w:after="0"/>
              <w:rPr>
                <w:sz w:val="7"/>
                <w:szCs w:val="7"/>
                <w:color w:val="auto"/>
              </w:rPr>
            </w:pPr>
          </w:p>
        </w:tc>
      </w:tr>
      <w:tr>
        <w:trPr>
          <w:trHeight w:val="283"/>
        </w:trPr>
        <w:tc>
          <w:tcPr>
            <w:tcW w:w="3380" w:type="dxa"/>
            <w:vAlign w:val="bottom"/>
          </w:tcPr>
          <w:p>
            <w:pPr>
              <w:jc w:val="center"/>
              <w:ind w:left="305"/>
              <w:spacing w:after="0"/>
              <w:rPr>
                <w:sz w:val="20"/>
                <w:szCs w:val="20"/>
                <w:color w:val="auto"/>
              </w:rPr>
            </w:pPr>
            <w:r>
              <w:rPr>
                <w:rFonts w:ascii="Arial" w:cs="Arial" w:eastAsia="Arial" w:hAnsi="Arial"/>
                <w:sz w:val="19"/>
                <w:szCs w:val="19"/>
                <w:color w:val="auto"/>
                <w:w w:val="93"/>
              </w:rPr>
              <w:t>(State or other jurisdiction of</w:t>
            </w:r>
          </w:p>
        </w:tc>
        <w:tc>
          <w:tcPr>
            <w:tcW w:w="8080" w:type="dxa"/>
            <w:vAlign w:val="bottom"/>
          </w:tcPr>
          <w:p>
            <w:pPr>
              <w:jc w:val="center"/>
              <w:ind w:left="4165"/>
              <w:spacing w:after="0"/>
              <w:rPr>
                <w:sz w:val="20"/>
                <w:szCs w:val="20"/>
                <w:color w:val="auto"/>
              </w:rPr>
            </w:pPr>
            <w:r>
              <w:rPr>
                <w:rFonts w:ascii="Arial" w:cs="Arial" w:eastAsia="Arial" w:hAnsi="Arial"/>
                <w:sz w:val="19"/>
                <w:szCs w:val="19"/>
                <w:color w:val="auto"/>
                <w:w w:val="93"/>
              </w:rPr>
              <w:t>(I.R.S. Employer</w:t>
            </w:r>
          </w:p>
        </w:tc>
      </w:tr>
      <w:tr>
        <w:trPr>
          <w:trHeight w:val="242"/>
        </w:trPr>
        <w:tc>
          <w:tcPr>
            <w:tcW w:w="3380" w:type="dxa"/>
            <w:vAlign w:val="bottom"/>
          </w:tcPr>
          <w:p>
            <w:pPr>
              <w:jc w:val="center"/>
              <w:ind w:left="305"/>
              <w:spacing w:after="0"/>
              <w:rPr>
                <w:sz w:val="20"/>
                <w:szCs w:val="20"/>
                <w:color w:val="auto"/>
              </w:rPr>
            </w:pPr>
            <w:r>
              <w:rPr>
                <w:rFonts w:ascii="Arial" w:cs="Arial" w:eastAsia="Arial" w:hAnsi="Arial"/>
                <w:sz w:val="19"/>
                <w:szCs w:val="19"/>
                <w:color w:val="auto"/>
                <w:w w:val="93"/>
              </w:rPr>
              <w:t>incorporation or organization)</w:t>
            </w:r>
          </w:p>
        </w:tc>
        <w:tc>
          <w:tcPr>
            <w:tcW w:w="8080" w:type="dxa"/>
            <w:vAlign w:val="bottom"/>
          </w:tcPr>
          <w:p>
            <w:pPr>
              <w:jc w:val="center"/>
              <w:ind w:left="4165"/>
              <w:spacing w:after="0"/>
              <w:rPr>
                <w:sz w:val="20"/>
                <w:szCs w:val="20"/>
                <w:color w:val="auto"/>
              </w:rPr>
            </w:pPr>
            <w:r>
              <w:rPr>
                <w:rFonts w:ascii="Arial" w:cs="Arial" w:eastAsia="Arial" w:hAnsi="Arial"/>
                <w:sz w:val="19"/>
                <w:szCs w:val="19"/>
                <w:color w:val="auto"/>
                <w:w w:val="96"/>
              </w:rPr>
              <w:t>Identification No.)</w:t>
            </w:r>
          </w:p>
        </w:tc>
      </w:tr>
      <w:tr>
        <w:trPr>
          <w:trHeight w:val="429"/>
        </w:trPr>
        <w:tc>
          <w:tcPr>
            <w:tcW w:w="3380" w:type="dxa"/>
            <w:vAlign w:val="bottom"/>
          </w:tcPr>
          <w:p>
            <w:pPr>
              <w:spacing w:after="0"/>
              <w:rPr>
                <w:sz w:val="24"/>
                <w:szCs w:val="24"/>
                <w:color w:val="auto"/>
              </w:rPr>
            </w:pPr>
          </w:p>
        </w:tc>
        <w:tc>
          <w:tcPr>
            <w:tcW w:w="8080" w:type="dxa"/>
            <w:vAlign w:val="bottom"/>
          </w:tcPr>
          <w:p>
            <w:pPr>
              <w:jc w:val="center"/>
              <w:ind w:right="3325"/>
              <w:spacing w:after="0"/>
              <w:rPr>
                <w:sz w:val="20"/>
                <w:szCs w:val="20"/>
                <w:color w:val="auto"/>
              </w:rPr>
            </w:pPr>
            <w:r>
              <w:rPr>
                <w:rFonts w:ascii="Arial" w:cs="Arial" w:eastAsia="Arial" w:hAnsi="Arial"/>
                <w:sz w:val="19"/>
                <w:szCs w:val="19"/>
                <w:color w:val="auto"/>
                <w:w w:val="91"/>
              </w:rPr>
              <w:t>1500 Market Street, Philadelphia, PA 19102-2148</w:t>
            </w:r>
          </w:p>
        </w:tc>
      </w:tr>
      <w:tr>
        <w:trPr>
          <w:trHeight w:val="87"/>
        </w:trPr>
        <w:tc>
          <w:tcPr>
            <w:tcW w:w="3380" w:type="dxa"/>
            <w:vAlign w:val="bottom"/>
            <w:tcBorders>
              <w:bottom w:val="single" w:sz="8" w:color="808080"/>
            </w:tcBorders>
          </w:tcPr>
          <w:p>
            <w:pPr>
              <w:spacing w:after="0"/>
              <w:rPr>
                <w:sz w:val="7"/>
                <w:szCs w:val="7"/>
                <w:color w:val="auto"/>
              </w:rPr>
            </w:pPr>
          </w:p>
        </w:tc>
        <w:tc>
          <w:tcPr>
            <w:tcW w:w="8080" w:type="dxa"/>
            <w:vAlign w:val="bottom"/>
            <w:tcBorders>
              <w:bottom w:val="single" w:sz="8" w:color="808080"/>
            </w:tcBorders>
          </w:tcPr>
          <w:p>
            <w:pPr>
              <w:spacing w:after="0"/>
              <w:rPr>
                <w:sz w:val="7"/>
                <w:szCs w:val="7"/>
                <w:color w:val="auto"/>
              </w:rPr>
            </w:pPr>
          </w:p>
        </w:tc>
      </w:tr>
      <w:tr>
        <w:trPr>
          <w:trHeight w:val="283"/>
        </w:trPr>
        <w:tc>
          <w:tcPr>
            <w:tcW w:w="3380" w:type="dxa"/>
            <w:vAlign w:val="bottom"/>
          </w:tcPr>
          <w:p>
            <w:pPr>
              <w:spacing w:after="0"/>
              <w:rPr>
                <w:sz w:val="24"/>
                <w:szCs w:val="24"/>
                <w:color w:val="auto"/>
              </w:rPr>
            </w:pPr>
          </w:p>
        </w:tc>
        <w:tc>
          <w:tcPr>
            <w:tcW w:w="8080" w:type="dxa"/>
            <w:vAlign w:val="bottom"/>
          </w:tcPr>
          <w:p>
            <w:pPr>
              <w:jc w:val="center"/>
              <w:ind w:right="3325"/>
              <w:spacing w:after="0"/>
              <w:rPr>
                <w:sz w:val="20"/>
                <w:szCs w:val="20"/>
                <w:color w:val="auto"/>
              </w:rPr>
            </w:pPr>
            <w:r>
              <w:rPr>
                <w:rFonts w:ascii="Arial" w:cs="Arial" w:eastAsia="Arial" w:hAnsi="Arial"/>
                <w:sz w:val="19"/>
                <w:szCs w:val="19"/>
                <w:color w:val="auto"/>
                <w:w w:val="92"/>
              </w:rPr>
              <w:t>(Address of principal executive offices)</w:t>
            </w:r>
          </w:p>
        </w:tc>
      </w:tr>
      <w:tr>
        <w:trPr>
          <w:trHeight w:val="242"/>
        </w:trPr>
        <w:tc>
          <w:tcPr>
            <w:tcW w:w="3380" w:type="dxa"/>
            <w:vAlign w:val="bottom"/>
          </w:tcPr>
          <w:p>
            <w:pPr>
              <w:spacing w:after="0"/>
              <w:rPr>
                <w:sz w:val="21"/>
                <w:szCs w:val="21"/>
                <w:color w:val="auto"/>
              </w:rPr>
            </w:pPr>
          </w:p>
        </w:tc>
        <w:tc>
          <w:tcPr>
            <w:tcW w:w="8080" w:type="dxa"/>
            <w:vAlign w:val="bottom"/>
          </w:tcPr>
          <w:p>
            <w:pPr>
              <w:jc w:val="center"/>
              <w:ind w:right="3305"/>
              <w:spacing w:after="0"/>
              <w:rPr>
                <w:sz w:val="20"/>
                <w:szCs w:val="20"/>
                <w:color w:val="auto"/>
              </w:rPr>
            </w:pPr>
            <w:r>
              <w:rPr>
                <w:rFonts w:ascii="Arial" w:cs="Arial" w:eastAsia="Arial" w:hAnsi="Arial"/>
                <w:sz w:val="19"/>
                <w:szCs w:val="19"/>
                <w:color w:val="auto"/>
                <w:w w:val="93"/>
              </w:rPr>
              <w:t>(Zip Code)</w:t>
            </w:r>
          </w:p>
        </w:tc>
      </w:tr>
    </w:tbl>
    <w:p>
      <w:pPr>
        <w:spacing w:after="0" w:line="163" w:lineRule="exact"/>
        <w:rPr>
          <w:sz w:val="24"/>
          <w:szCs w:val="24"/>
          <w:color w:val="auto"/>
        </w:rPr>
      </w:pPr>
    </w:p>
    <w:p>
      <w:pPr>
        <w:ind w:left="5"/>
        <w:spacing w:after="0"/>
        <w:rPr>
          <w:sz w:val="20"/>
          <w:szCs w:val="20"/>
          <w:color w:val="auto"/>
        </w:rPr>
      </w:pPr>
      <w:r>
        <w:rPr>
          <w:rFonts w:ascii="Arial" w:cs="Arial" w:eastAsia="Arial" w:hAnsi="Arial"/>
          <w:sz w:val="19"/>
          <w:szCs w:val="19"/>
          <w:color w:val="auto"/>
        </w:rPr>
        <w:t>Registrant's telephone number, including area code: (215) 665-1700</w:t>
      </w:r>
    </w:p>
    <w:p>
      <w:pPr>
        <w:spacing w:after="0" w:line="187" w:lineRule="exact"/>
        <w:rPr>
          <w:sz w:val="24"/>
          <w:szCs w:val="24"/>
          <w:color w:val="auto"/>
        </w:rPr>
      </w:pPr>
    </w:p>
    <w:p>
      <w:pPr>
        <w:ind w:left="4905"/>
        <w:spacing w:after="0"/>
        <w:rPr>
          <w:sz w:val="20"/>
          <w:szCs w:val="20"/>
          <w:color w:val="auto"/>
        </w:rPr>
      </w:pPr>
      <w:r>
        <w:rPr>
          <w:rFonts w:ascii="Arial" w:cs="Arial" w:eastAsia="Arial" w:hAnsi="Arial"/>
          <w:sz w:val="19"/>
          <w:szCs w:val="19"/>
          <w:color w:val="auto"/>
        </w:rPr>
        <w:t>_________________</w:t>
      </w:r>
    </w:p>
    <w:p>
      <w:pPr>
        <w:spacing w:after="0" w:line="187" w:lineRule="exact"/>
        <w:rPr>
          <w:sz w:val="24"/>
          <w:szCs w:val="24"/>
          <w:color w:val="auto"/>
        </w:rPr>
      </w:pPr>
    </w:p>
    <w:p>
      <w:pPr>
        <w:ind w:left="5" w:right="160"/>
        <w:spacing w:after="0" w:line="248"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37" w:lineRule="exact"/>
        <w:rPr>
          <w:sz w:val="24"/>
          <w:szCs w:val="24"/>
          <w:color w:val="auto"/>
        </w:rPr>
      </w:pPr>
    </w:p>
    <w:tbl>
      <w:tblPr>
        <w:tblLayout w:type="fixed"/>
        <w:tblInd w:w="5" w:type="dxa"/>
        <w:tblCellMar>
          <w:top w:w="0" w:type="dxa"/>
          <w:left w:w="0" w:type="dxa"/>
          <w:bottom w:w="0" w:type="dxa"/>
          <w:right w:w="0" w:type="dxa"/>
        </w:tblCellMar>
      </w:tblPr>
      <w:tr>
        <w:trPr>
          <w:trHeight w:val="218"/>
        </w:trPr>
        <w:tc>
          <w:tcPr>
            <w:tcW w:w="9240" w:type="dxa"/>
            <w:vAlign w:val="bottom"/>
            <w:gridSpan w:val="3"/>
          </w:tcPr>
          <w:p>
            <w:pPr>
              <w:jc w:val="right"/>
              <w:ind w:right="7025"/>
              <w:spacing w:after="0"/>
              <w:rPr>
                <w:sz w:val="20"/>
                <w:szCs w:val="20"/>
                <w:color w:val="auto"/>
              </w:rPr>
            </w:pPr>
            <w:r>
              <w:rPr>
                <w:rFonts w:ascii="Arial" w:cs="Arial" w:eastAsia="Arial" w:hAnsi="Arial"/>
                <w:sz w:val="19"/>
                <w:szCs w:val="19"/>
                <w:color w:val="auto"/>
              </w:rPr>
              <w:t>Yes  X</w:t>
            </w:r>
          </w:p>
        </w:tc>
        <w:tc>
          <w:tcPr>
            <w:tcW w:w="360" w:type="dxa"/>
            <w:vAlign w:val="bottom"/>
            <w:gridSpan w:val="2"/>
          </w:tcPr>
          <w:p>
            <w:pPr>
              <w:jc w:val="center"/>
              <w:spacing w:after="0"/>
              <w:rPr>
                <w:sz w:val="20"/>
                <w:szCs w:val="20"/>
                <w:color w:val="auto"/>
              </w:rPr>
            </w:pPr>
            <w:r>
              <w:rPr>
                <w:rFonts w:ascii="Arial" w:cs="Arial" w:eastAsia="Arial" w:hAnsi="Arial"/>
                <w:sz w:val="19"/>
                <w:szCs w:val="19"/>
                <w:color w:val="auto"/>
                <w:w w:val="90"/>
              </w:rPr>
              <w:t>No</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0"/>
        </w:trPr>
        <w:tc>
          <w:tcPr>
            <w:tcW w:w="18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020" w:type="dxa"/>
            <w:vAlign w:val="bottom"/>
          </w:tcPr>
          <w:p>
            <w:pPr>
              <w:jc w:val="right"/>
              <w:ind w:right="2625"/>
              <w:spacing w:after="0"/>
              <w:rPr>
                <w:sz w:val="20"/>
                <w:szCs w:val="20"/>
                <w:color w:val="auto"/>
              </w:rPr>
            </w:pPr>
            <w:r>
              <w:rPr>
                <w:rFonts w:ascii="Arial" w:cs="Arial" w:eastAsia="Arial" w:hAnsi="Arial"/>
                <w:sz w:val="19"/>
                <w:szCs w:val="19"/>
                <w:color w:val="auto"/>
              </w:rPr>
              <w:t>_________________</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361"/>
        </w:trPr>
        <w:tc>
          <w:tcPr>
            <w:tcW w:w="9240" w:type="dxa"/>
            <w:vAlign w:val="bottom"/>
            <w:gridSpan w:val="3"/>
          </w:tcPr>
          <w:p>
            <w:pPr>
              <w:jc w:val="right"/>
              <w:spacing w:after="0"/>
              <w:rPr>
                <w:sz w:val="20"/>
                <w:szCs w:val="20"/>
                <w:color w:val="auto"/>
              </w:rPr>
            </w:pPr>
            <w:r>
              <w:rPr>
                <w:rFonts w:ascii="Arial" w:cs="Arial" w:eastAsia="Arial" w:hAnsi="Arial"/>
                <w:sz w:val="19"/>
                <w:szCs w:val="19"/>
                <w:color w:val="auto"/>
                <w:w w:val="90"/>
              </w:rPr>
              <w:t>Indicate by check mark whether the registrant is an accelerated filer (as defined in Rule 12-b2 of the Exchange Act). Yes</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X</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9"/>
                <w:szCs w:val="19"/>
                <w:color w:val="auto"/>
                <w:w w:val="82"/>
              </w:rPr>
              <w:t>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6414135</wp:posOffset>
            </wp:positionH>
            <wp:positionV relativeFrom="paragraph">
              <wp:posOffset>-6985</wp:posOffset>
            </wp:positionV>
            <wp:extent cx="1212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pacing w:after="0" w:line="176" w:lineRule="exact"/>
        <w:rPr>
          <w:sz w:val="24"/>
          <w:szCs w:val="24"/>
          <w:color w:val="auto"/>
        </w:rPr>
      </w:pPr>
    </w:p>
    <w:p>
      <w:pPr>
        <w:ind w:left="5" w:right="260"/>
        <w:spacing w:after="0" w:line="261" w:lineRule="auto"/>
        <w:rPr>
          <w:sz w:val="20"/>
          <w:szCs w:val="20"/>
          <w:color w:val="auto"/>
        </w:rPr>
      </w:pPr>
      <w:r>
        <w:rPr>
          <w:rFonts w:ascii="Arial" w:cs="Arial" w:eastAsia="Arial" w:hAnsi="Arial"/>
          <w:sz w:val="19"/>
          <w:szCs w:val="19"/>
          <w:color w:val="auto"/>
        </w:rPr>
        <w:t>As of March 31, 2004, there were 1,358,158,932 shares of our Class A Common Stock, 884,278,121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2777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24" w:lineRule="exact"/>
        <w:rPr>
          <w:sz w:val="24"/>
          <w:szCs w:val="24"/>
          <w:color w:val="auto"/>
        </w:rPr>
      </w:pPr>
    </w:p>
    <w:tbl>
      <w:tblPr>
        <w:tblLayout w:type="fixed"/>
        <w:tblInd w:w="5" w:type="dxa"/>
        <w:tblCellMar>
          <w:top w:w="0" w:type="dxa"/>
          <w:left w:w="0" w:type="dxa"/>
          <w:bottom w:w="0" w:type="dxa"/>
          <w:right w:w="0" w:type="dxa"/>
        </w:tblCellMar>
      </w:tblPr>
      <w:tr>
        <w:trPr>
          <w:trHeight w:val="218"/>
        </w:trPr>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15"/>
          </w:tcPr>
          <w:p>
            <w:pPr>
              <w:jc w:val="center"/>
              <w:ind w:right="160"/>
              <w:spacing w:after="0"/>
              <w:rPr>
                <w:sz w:val="20"/>
                <w:szCs w:val="20"/>
                <w:color w:val="auto"/>
              </w:rPr>
            </w:pPr>
            <w:r>
              <w:rPr>
                <w:rFonts w:ascii="Arial" w:cs="Arial" w:eastAsia="Arial" w:hAnsi="Arial"/>
                <w:sz w:val="19"/>
                <w:szCs w:val="19"/>
                <w:color w:val="auto"/>
                <w:w w:val="96"/>
              </w:rPr>
              <w:t>COMCAST CORPORATION AND SUBSIDIARIES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gridSpan w:val="11"/>
          </w:tcPr>
          <w:p>
            <w:pPr>
              <w:jc w:val="center"/>
              <w:ind w:right="1200"/>
              <w:spacing w:after="0" w:line="214" w:lineRule="exact"/>
              <w:rPr>
                <w:sz w:val="20"/>
                <w:szCs w:val="20"/>
                <w:color w:val="auto"/>
              </w:rPr>
            </w:pPr>
            <w:r>
              <w:rPr>
                <w:rFonts w:ascii="Arial" w:cs="Arial" w:eastAsia="Arial" w:hAnsi="Arial"/>
                <w:sz w:val="19"/>
                <w:szCs w:val="19"/>
                <w:color w:val="auto"/>
                <w:w w:val="94"/>
              </w:rPr>
              <w:t>FORM 10-Q</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gridSpan w:val="13"/>
          </w:tcPr>
          <w:p>
            <w:pPr>
              <w:jc w:val="center"/>
              <w:ind w:right="440"/>
              <w:spacing w:after="0" w:line="214" w:lineRule="exact"/>
              <w:rPr>
                <w:sz w:val="20"/>
                <w:szCs w:val="20"/>
                <w:color w:val="auto"/>
              </w:rPr>
            </w:pPr>
            <w:r>
              <w:rPr>
                <w:rFonts w:ascii="Arial" w:cs="Arial" w:eastAsia="Arial" w:hAnsi="Arial"/>
                <w:sz w:val="19"/>
                <w:szCs w:val="19"/>
                <w:color w:val="auto"/>
                <w:w w:val="95"/>
              </w:rPr>
              <w:t>QUARTER ENDED MARCH 31, 2004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00" w:type="dxa"/>
            <w:vAlign w:val="bottom"/>
            <w:gridSpan w:val="11"/>
          </w:tcPr>
          <w:p>
            <w:pPr>
              <w:jc w:val="center"/>
              <w:ind w:right="1160"/>
              <w:spacing w:after="0"/>
              <w:rPr>
                <w:sz w:val="20"/>
                <w:szCs w:val="20"/>
                <w:color w:val="auto"/>
              </w:rPr>
            </w:pPr>
            <w:r>
              <w:rPr>
                <w:rFonts w:ascii="Arial" w:cs="Arial" w:eastAsia="Arial" w:hAnsi="Arial"/>
                <w:sz w:val="19"/>
                <w:szCs w:val="19"/>
                <w:color w:val="auto"/>
                <w:w w:val="96"/>
              </w:rPr>
              <w:t>TABLE OF CONTENTS</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620" w:type="dxa"/>
            <w:vAlign w:val="bottom"/>
            <w:vMerge w:val="restart"/>
          </w:tcPr>
          <w:p>
            <w:pPr>
              <w:spacing w:after="0"/>
              <w:rPr>
                <w:rFonts w:ascii="Arial" w:cs="Arial" w:eastAsia="Arial" w:hAnsi="Arial"/>
                <w:sz w:val="19"/>
                <w:szCs w:val="19"/>
                <w:color w:val="0000EE"/>
                <w:w w:val="90"/>
              </w:rPr>
            </w:pPr>
            <w:hyperlink w:anchor="page2">
              <w:r>
                <w:rPr>
                  <w:rFonts w:ascii="Arial" w:cs="Arial" w:eastAsia="Arial" w:hAnsi="Arial"/>
                  <w:sz w:val="19"/>
                  <w:szCs w:val="19"/>
                  <w:color w:val="0000EE"/>
                  <w:w w:val="90"/>
                </w:rPr>
                <w:t>PART I.</w:t>
              </w:r>
            </w:hyperlink>
          </w:p>
        </w:tc>
        <w:tc>
          <w:tcPr>
            <w:tcW w:w="380" w:type="dxa"/>
            <w:vAlign w:val="bottom"/>
            <w:gridSpan w:val="2"/>
            <w:vMerge w:val="restart"/>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5"/>
          </w:tcPr>
          <w:p>
            <w:pPr>
              <w:jc w:val="right"/>
              <w:spacing w:after="0"/>
              <w:rPr>
                <w:sz w:val="20"/>
                <w:szCs w:val="20"/>
                <w:color w:val="auto"/>
              </w:rPr>
            </w:pPr>
            <w:r>
              <w:rPr>
                <w:rFonts w:ascii="Arial" w:cs="Arial" w:eastAsia="Arial" w:hAnsi="Arial"/>
                <w:sz w:val="19"/>
                <w:szCs w:val="19"/>
                <w:color w:val="auto"/>
                <w:w w:val="95"/>
              </w:rPr>
              <w:t>Page Number</w:t>
            </w:r>
          </w:p>
        </w:tc>
        <w:tc>
          <w:tcPr>
            <w:tcW w:w="0" w:type="dxa"/>
            <w:vAlign w:val="bottom"/>
          </w:tcPr>
          <w:p>
            <w:pPr>
              <w:spacing w:after="0"/>
              <w:rPr>
                <w:sz w:val="1"/>
                <w:szCs w:val="1"/>
                <w:color w:val="auto"/>
              </w:rPr>
            </w:pPr>
          </w:p>
        </w:tc>
      </w:tr>
      <w:tr>
        <w:trPr>
          <w:trHeight w:val="195"/>
        </w:trPr>
        <w:tc>
          <w:tcPr>
            <w:tcW w:w="62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300" w:type="dxa"/>
            <w:vAlign w:val="bottom"/>
            <w:gridSpan w:val="22"/>
          </w:tcPr>
          <w:p>
            <w:pPr>
              <w:spacing w:after="0" w:line="194" w:lineRule="exact"/>
              <w:rPr>
                <w:rFonts w:ascii="Arial" w:cs="Arial" w:eastAsia="Arial" w:hAnsi="Arial"/>
                <w:sz w:val="19"/>
                <w:szCs w:val="19"/>
                <w:color w:val="0000EE"/>
              </w:rPr>
            </w:pPr>
            <w:hyperlink w:anchor="page2">
              <w:r>
                <w:rPr>
                  <w:rFonts w:ascii="Arial" w:cs="Arial" w:eastAsia="Arial" w:hAnsi="Arial"/>
                  <w:sz w:val="19"/>
                  <w:szCs w:val="19"/>
                  <w:color w:val="0000EE"/>
                </w:rPr>
                <w:t>FINANCIAL INFORMATION</w:t>
              </w:r>
            </w:hyperlink>
          </w:p>
        </w:tc>
        <w:tc>
          <w:tcPr>
            <w:tcW w:w="640" w:type="dxa"/>
            <w:vAlign w:val="bottom"/>
            <w:tcBorders>
              <w:top w:val="single" w:sz="8" w:color="auto"/>
            </w:tcBorders>
            <w:gridSpan w:val="3"/>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line="194" w:lineRule="exact"/>
              <w:rPr>
                <w:rFonts w:ascii="Arial" w:cs="Arial" w:eastAsia="Arial" w:hAnsi="Arial"/>
                <w:sz w:val="19"/>
                <w:szCs w:val="19"/>
                <w:color w:val="0000EE"/>
                <w:w w:val="96"/>
              </w:rPr>
            </w:pPr>
            <w:hyperlink w:anchor="page2">
              <w:r>
                <w:rPr>
                  <w:rFonts w:ascii="Arial" w:cs="Arial" w:eastAsia="Arial" w:hAnsi="Arial"/>
                  <w:sz w:val="19"/>
                  <w:szCs w:val="19"/>
                  <w:color w:val="0000EE"/>
                  <w:w w:val="96"/>
                </w:rPr>
                <w:t>ITEM 1.</w:t>
              </w:r>
            </w:hyperlink>
          </w:p>
        </w:tc>
        <w:tc>
          <w:tcPr>
            <w:tcW w:w="340" w:type="dxa"/>
            <w:vAlign w:val="bottom"/>
            <w:gridSpan w:val="2"/>
          </w:tcPr>
          <w:p>
            <w:pPr>
              <w:spacing w:after="0"/>
              <w:rPr>
                <w:sz w:val="16"/>
                <w:szCs w:val="16"/>
                <w:color w:val="auto"/>
              </w:rPr>
            </w:pPr>
          </w:p>
        </w:tc>
        <w:tc>
          <w:tcPr>
            <w:tcW w:w="5940" w:type="dxa"/>
            <w:vAlign w:val="bottom"/>
            <w:gridSpan w:val="22"/>
          </w:tcPr>
          <w:p>
            <w:pPr>
              <w:spacing w:after="0" w:line="194" w:lineRule="exact"/>
              <w:rPr>
                <w:rFonts w:ascii="Arial" w:cs="Arial" w:eastAsia="Arial" w:hAnsi="Arial"/>
                <w:sz w:val="19"/>
                <w:szCs w:val="19"/>
                <w:color w:val="0000EE"/>
              </w:rPr>
            </w:pPr>
            <w:hyperlink w:anchor="page2">
              <w:r>
                <w:rPr>
                  <w:rFonts w:ascii="Arial" w:cs="Arial" w:eastAsia="Arial" w:hAnsi="Arial"/>
                  <w:sz w:val="19"/>
                  <w:szCs w:val="19"/>
                  <w:color w:val="0000EE"/>
                </w:rPr>
                <w:t>Financial Statements</w:t>
              </w:r>
            </w:hyperlink>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40" w:type="dxa"/>
            <w:vAlign w:val="bottom"/>
            <w:tcBorders>
              <w:bottom w:val="single" w:sz="8" w:color="0000EE"/>
            </w:tcBorders>
            <w:gridSpan w:val="16"/>
          </w:tcPr>
          <w:p>
            <w:pPr>
              <w:spacing w:after="0" w:line="194" w:lineRule="exact"/>
              <w:rPr>
                <w:rFonts w:ascii="Arial" w:cs="Arial" w:eastAsia="Arial" w:hAnsi="Arial"/>
                <w:sz w:val="19"/>
                <w:szCs w:val="19"/>
                <w:color w:val="0000EE"/>
                <w:w w:val="89"/>
              </w:rPr>
            </w:pPr>
            <w:hyperlink w:anchor="page2">
              <w:r>
                <w:rPr>
                  <w:rFonts w:ascii="Arial" w:cs="Arial" w:eastAsia="Arial" w:hAnsi="Arial"/>
                  <w:sz w:val="19"/>
                  <w:szCs w:val="19"/>
                  <w:color w:val="0000EE"/>
                  <w:w w:val="89"/>
                </w:rPr>
                <w:t>Condensed Consolidated Balance Sheet as of March 31, 2004 and</w:t>
              </w:r>
            </w:hyperlink>
          </w:p>
        </w:tc>
        <w:tc>
          <w:tcPr>
            <w:tcW w:w="900" w:type="dxa"/>
            <w:vAlign w:val="bottom"/>
            <w:gridSpan w:val="6"/>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40" w:type="dxa"/>
            <w:vAlign w:val="bottom"/>
            <w:gridSpan w:val="22"/>
          </w:tcPr>
          <w:p>
            <w:pPr>
              <w:spacing w:after="0" w:line="194" w:lineRule="exact"/>
              <w:rPr>
                <w:rFonts w:ascii="Arial" w:cs="Arial" w:eastAsia="Arial" w:hAnsi="Arial"/>
                <w:sz w:val="19"/>
                <w:szCs w:val="19"/>
                <w:color w:val="0000EE"/>
              </w:rPr>
            </w:pPr>
            <w:hyperlink w:anchor="page2">
              <w:r>
                <w:rPr>
                  <w:rFonts w:ascii="Arial" w:cs="Arial" w:eastAsia="Arial" w:hAnsi="Arial"/>
                  <w:sz w:val="19"/>
                  <w:szCs w:val="19"/>
                  <w:color w:val="0000EE"/>
                </w:rPr>
                <w:t>December 31, 2003 (Unaudited)</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80" w:type="dxa"/>
            <w:vAlign w:val="bottom"/>
            <w:tcBorders>
              <w:bottom w:val="single" w:sz="8" w:color="0000EE"/>
            </w:tcBorders>
            <w:gridSpan w:val="21"/>
          </w:tcPr>
          <w:p>
            <w:pPr>
              <w:spacing w:after="0" w:line="194" w:lineRule="exact"/>
              <w:rPr>
                <w:rFonts w:ascii="Arial" w:cs="Arial" w:eastAsia="Arial" w:hAnsi="Arial"/>
                <w:sz w:val="19"/>
                <w:szCs w:val="19"/>
                <w:color w:val="0000EE"/>
                <w:w w:val="90"/>
              </w:rPr>
            </w:pPr>
            <w:hyperlink w:anchor="page3">
              <w:r>
                <w:rPr>
                  <w:rFonts w:ascii="Arial" w:cs="Arial" w:eastAsia="Arial" w:hAnsi="Arial"/>
                  <w:sz w:val="19"/>
                  <w:szCs w:val="19"/>
                  <w:color w:val="0000EE"/>
                  <w:w w:val="90"/>
                </w:rPr>
                <w:t>Condensed Consolidated Statement of Operations for the Three Months</w:t>
              </w:r>
            </w:hyperlink>
          </w:p>
        </w:tc>
        <w:tc>
          <w:tcPr>
            <w:tcW w:w="46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80" w:type="dxa"/>
            <w:vAlign w:val="bottom"/>
            <w:tcBorders>
              <w:bottom w:val="single" w:sz="8" w:color="0000EE"/>
            </w:tcBorders>
            <w:gridSpan w:val="12"/>
          </w:tcPr>
          <w:p>
            <w:pPr>
              <w:spacing w:after="0" w:line="194" w:lineRule="exact"/>
              <w:rPr>
                <w:rFonts w:ascii="Arial" w:cs="Arial" w:eastAsia="Arial" w:hAnsi="Arial"/>
                <w:sz w:val="19"/>
                <w:szCs w:val="19"/>
                <w:color w:val="0000EE"/>
                <w:w w:val="90"/>
              </w:rPr>
            </w:pPr>
            <w:hyperlink w:anchor="page3">
              <w:r>
                <w:rPr>
                  <w:rFonts w:ascii="Arial" w:cs="Arial" w:eastAsia="Arial" w:hAnsi="Arial"/>
                  <w:sz w:val="19"/>
                  <w:szCs w:val="19"/>
                  <w:color w:val="0000EE"/>
                  <w:w w:val="90"/>
                </w:rPr>
                <w:t>Ended March 31, 2004 and 2003 (Unaudited)</w:t>
              </w:r>
            </w:hyperlink>
          </w:p>
        </w:tc>
        <w:tc>
          <w:tcPr>
            <w:tcW w:w="2460" w:type="dxa"/>
            <w:vAlign w:val="bottom"/>
            <w:gridSpan w:val="10"/>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40" w:type="dxa"/>
            <w:vAlign w:val="bottom"/>
            <w:gridSpan w:val="22"/>
          </w:tcPr>
          <w:p>
            <w:pPr>
              <w:spacing w:after="0" w:line="194" w:lineRule="exact"/>
              <w:rPr>
                <w:rFonts w:ascii="Arial" w:cs="Arial" w:eastAsia="Arial" w:hAnsi="Arial"/>
                <w:sz w:val="19"/>
                <w:szCs w:val="19"/>
                <w:color w:val="0000EE"/>
              </w:rPr>
            </w:pPr>
            <w:hyperlink w:anchor="page4">
              <w:r>
                <w:rPr>
                  <w:rFonts w:ascii="Arial" w:cs="Arial" w:eastAsia="Arial" w:hAnsi="Arial"/>
                  <w:sz w:val="19"/>
                  <w:szCs w:val="19"/>
                  <w:color w:val="0000EE"/>
                </w:rPr>
                <w:t>Condensed Consolidated Statement of Cash Flows for the Three</w:t>
              </w:r>
            </w:hyperlink>
          </w:p>
        </w:tc>
        <w:tc>
          <w:tcPr>
            <w:tcW w:w="400" w:type="dxa"/>
            <w:vAlign w:val="bottom"/>
            <w:vMerge w:val="restart"/>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900" w:type="dxa"/>
            <w:vAlign w:val="bottom"/>
            <w:tcBorders>
              <w:top w:val="single" w:sz="8" w:color="0000EE"/>
            </w:tcBorders>
            <w:gridSpan w:val="15"/>
          </w:tcPr>
          <w:p>
            <w:pPr>
              <w:spacing w:after="0" w:line="194" w:lineRule="exact"/>
              <w:rPr>
                <w:rFonts w:ascii="Arial" w:cs="Arial" w:eastAsia="Arial" w:hAnsi="Arial"/>
                <w:sz w:val="19"/>
                <w:szCs w:val="19"/>
                <w:color w:val="0000EE"/>
              </w:rPr>
            </w:pPr>
            <w:hyperlink w:anchor="page4">
              <w:r>
                <w:rPr>
                  <w:rFonts w:ascii="Arial" w:cs="Arial" w:eastAsia="Arial" w:hAnsi="Arial"/>
                  <w:sz w:val="19"/>
                  <w:szCs w:val="19"/>
                  <w:color w:val="0000EE"/>
                </w:rPr>
                <w:t>Months Ended March 31, 2004 and 2003 (Unaudited)</w:t>
              </w:r>
            </w:hyperlink>
          </w:p>
        </w:tc>
        <w:tc>
          <w:tcPr>
            <w:tcW w:w="1040" w:type="dxa"/>
            <w:vAlign w:val="bottom"/>
            <w:gridSpan w:val="7"/>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vMerge w:val="restart"/>
          </w:tcPr>
          <w:p>
            <w:pPr>
              <w:jc w:val="right"/>
              <w:spacing w:after="0" w:line="214" w:lineRule="exact"/>
              <w:rPr>
                <w:sz w:val="20"/>
                <w:szCs w:val="20"/>
                <w:color w:val="auto"/>
              </w:rPr>
            </w:pPr>
            <w:r>
              <w:rPr>
                <w:rFonts w:ascii="Arial" w:cs="Arial" w:eastAsia="Arial" w:hAnsi="Arial"/>
                <w:sz w:val="19"/>
                <w:szCs w:val="19"/>
                <w:color w:val="auto"/>
              </w:rPr>
              <w:t>5</w:t>
            </w:r>
          </w:p>
        </w:tc>
        <w:tc>
          <w:tcPr>
            <w:tcW w:w="0" w:type="dxa"/>
            <w:vAlign w:val="bottom"/>
          </w:tcPr>
          <w:p>
            <w:pPr>
              <w:spacing w:after="0" w:line="20" w:lineRule="exact"/>
              <w:rPr>
                <w:sz w:val="1"/>
                <w:szCs w:val="1"/>
                <w:color w:val="auto"/>
              </w:rPr>
            </w:pPr>
          </w:p>
        </w:tc>
      </w:tr>
      <w:tr>
        <w:trPr>
          <w:trHeight w:val="195"/>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40" w:type="dxa"/>
            <w:vAlign w:val="bottom"/>
            <w:gridSpan w:val="22"/>
          </w:tcPr>
          <w:p>
            <w:pPr>
              <w:spacing w:after="0" w:line="194" w:lineRule="exact"/>
              <w:rPr>
                <w:rFonts w:ascii="Arial" w:cs="Arial" w:eastAsia="Arial" w:hAnsi="Arial"/>
                <w:sz w:val="19"/>
                <w:szCs w:val="19"/>
                <w:color w:val="0000EE"/>
              </w:rPr>
            </w:pPr>
            <w:hyperlink w:anchor="page5">
              <w:r>
                <w:rPr>
                  <w:rFonts w:ascii="Arial" w:cs="Arial" w:eastAsia="Arial" w:hAnsi="Arial"/>
                  <w:sz w:val="19"/>
                  <w:szCs w:val="19"/>
                  <w:color w:val="0000EE"/>
                </w:rPr>
                <w:t>Notes to Condensed Consolidated Financial Statements (Unaudited)</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vMerge w:val="restart"/>
          </w:tcPr>
          <w:p>
            <w:pPr>
              <w:jc w:val="right"/>
              <w:spacing w:after="0" w:line="214" w:lineRule="exact"/>
              <w:rPr>
                <w:sz w:val="20"/>
                <w:szCs w:val="20"/>
                <w:color w:val="auto"/>
              </w:rPr>
            </w:pPr>
            <w:r>
              <w:rPr>
                <w:rFonts w:ascii="Arial" w:cs="Arial" w:eastAsia="Arial" w:hAnsi="Arial"/>
                <w:sz w:val="19"/>
                <w:szCs w:val="19"/>
                <w:color w:val="auto"/>
              </w:rPr>
              <w:t>24</w:t>
            </w:r>
          </w:p>
        </w:tc>
        <w:tc>
          <w:tcPr>
            <w:tcW w:w="0" w:type="dxa"/>
            <w:vAlign w:val="bottom"/>
          </w:tcPr>
          <w:p>
            <w:pPr>
              <w:spacing w:after="0" w:line="20" w:lineRule="exact"/>
              <w:rPr>
                <w:sz w:val="1"/>
                <w:szCs w:val="1"/>
                <w:color w:val="auto"/>
              </w:rPr>
            </w:pPr>
          </w:p>
        </w:tc>
      </w:tr>
      <w:tr>
        <w:trPr>
          <w:trHeight w:val="195"/>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940" w:type="dxa"/>
            <w:vAlign w:val="bottom"/>
            <w:gridSpan w:val="25"/>
          </w:tcPr>
          <w:p>
            <w:pPr>
              <w:spacing w:after="0" w:line="194" w:lineRule="exact"/>
              <w:rPr>
                <w:rFonts w:ascii="Arial" w:cs="Arial" w:eastAsia="Arial" w:hAnsi="Arial"/>
                <w:sz w:val="19"/>
                <w:szCs w:val="19"/>
                <w:color w:val="0000EE"/>
                <w:w w:val="91"/>
              </w:rPr>
            </w:pPr>
            <w:hyperlink w:anchor="page20">
              <w:r>
                <w:rPr>
                  <w:rFonts w:ascii="Arial" w:cs="Arial" w:eastAsia="Arial" w:hAnsi="Arial"/>
                  <w:sz w:val="19"/>
                  <w:szCs w:val="19"/>
                  <w:color w:val="0000EE"/>
                  <w:w w:val="91"/>
                </w:rPr>
                <w:t>ITEM 2.</w:t>
              </w:r>
            </w:hyperlink>
            <w:hyperlink w:anchor="page20">
              <w:r>
                <w:rPr>
                  <w:rFonts w:ascii="Arial" w:cs="Arial" w:eastAsia="Arial" w:hAnsi="Arial"/>
                  <w:sz w:val="19"/>
                  <w:szCs w:val="19"/>
                  <w:color w:val="0000EE"/>
                  <w:w w:val="91"/>
                </w:rPr>
                <w:t>Management's Discussion and Analysis of Financial Condition and</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Borders>
              <w:bottom w:val="single" w:sz="8" w:color="0000EE"/>
            </w:tcBorders>
            <w:gridSpan w:val="8"/>
          </w:tcPr>
          <w:p>
            <w:pPr>
              <w:spacing w:after="0" w:line="194" w:lineRule="exact"/>
              <w:rPr>
                <w:rFonts w:ascii="Arial" w:cs="Arial" w:eastAsia="Arial" w:hAnsi="Arial"/>
                <w:sz w:val="19"/>
                <w:szCs w:val="19"/>
                <w:color w:val="0000EE"/>
                <w:w w:val="89"/>
              </w:rPr>
            </w:pPr>
            <w:hyperlink w:anchor="page20">
              <w:r>
                <w:rPr>
                  <w:rFonts w:ascii="Arial" w:cs="Arial" w:eastAsia="Arial" w:hAnsi="Arial"/>
                  <w:sz w:val="19"/>
                  <w:szCs w:val="19"/>
                  <w:color w:val="0000EE"/>
                  <w:w w:val="89"/>
                </w:rPr>
                <w:t>Results of Operations</w:t>
              </w:r>
            </w:hyperlink>
          </w:p>
        </w:tc>
        <w:tc>
          <w:tcPr>
            <w:tcW w:w="4280" w:type="dxa"/>
            <w:vAlign w:val="bottom"/>
            <w:gridSpan w:val="14"/>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Arial" w:cs="Arial" w:eastAsia="Arial" w:hAnsi="Arial"/>
                <w:sz w:val="19"/>
                <w:szCs w:val="19"/>
                <w:color w:val="auto"/>
              </w:rPr>
              <w:t>29</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940" w:type="dxa"/>
            <w:vAlign w:val="bottom"/>
            <w:gridSpan w:val="25"/>
          </w:tcPr>
          <w:p>
            <w:pPr>
              <w:spacing w:after="0" w:line="194" w:lineRule="exact"/>
              <w:rPr>
                <w:rFonts w:ascii="Arial" w:cs="Arial" w:eastAsia="Arial" w:hAnsi="Arial"/>
                <w:sz w:val="19"/>
                <w:szCs w:val="19"/>
                <w:color w:val="0000EE"/>
                <w:w w:val="92"/>
              </w:rPr>
            </w:pPr>
            <w:hyperlink w:anchor="page24">
              <w:r>
                <w:rPr>
                  <w:rFonts w:ascii="Arial" w:cs="Arial" w:eastAsia="Arial" w:hAnsi="Arial"/>
                  <w:sz w:val="19"/>
                  <w:szCs w:val="19"/>
                  <w:color w:val="0000EE"/>
                  <w:w w:val="92"/>
                </w:rPr>
                <w:t>ITEM 3.</w:t>
              </w:r>
            </w:hyperlink>
            <w:hyperlink w:anchor="page24">
              <w:r>
                <w:rPr>
                  <w:rFonts w:ascii="Arial" w:cs="Arial" w:eastAsia="Arial" w:hAnsi="Arial"/>
                  <w:sz w:val="19"/>
                  <w:szCs w:val="19"/>
                  <w:color w:val="0000EE"/>
                  <w:w w:val="92"/>
                </w:rPr>
                <w:t>Quantitative and Qualitative Disclosures About Market Risk</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vMerge w:val="restart"/>
          </w:tcPr>
          <w:p>
            <w:pPr>
              <w:jc w:val="right"/>
              <w:spacing w:after="0" w:line="214" w:lineRule="exact"/>
              <w:rPr>
                <w:sz w:val="20"/>
                <w:szCs w:val="20"/>
                <w:color w:val="auto"/>
              </w:rPr>
            </w:pPr>
            <w:r>
              <w:rPr>
                <w:rFonts w:ascii="Arial" w:cs="Arial" w:eastAsia="Arial" w:hAnsi="Arial"/>
                <w:sz w:val="19"/>
                <w:szCs w:val="19"/>
                <w:color w:val="auto"/>
              </w:rPr>
              <w:t>29</w:t>
            </w:r>
          </w:p>
        </w:tc>
        <w:tc>
          <w:tcPr>
            <w:tcW w:w="0" w:type="dxa"/>
            <w:vAlign w:val="bottom"/>
          </w:tcPr>
          <w:p>
            <w:pPr>
              <w:spacing w:after="0" w:line="20" w:lineRule="exact"/>
              <w:rPr>
                <w:sz w:val="1"/>
                <w:szCs w:val="1"/>
                <w:color w:val="auto"/>
              </w:rPr>
            </w:pPr>
          </w:p>
        </w:tc>
      </w:tr>
      <w:tr>
        <w:trPr>
          <w:trHeight w:val="195"/>
        </w:trPr>
        <w:tc>
          <w:tcPr>
            <w:tcW w:w="680" w:type="dxa"/>
            <w:vAlign w:val="bottom"/>
            <w:gridSpan w:val="2"/>
            <w:vMerge w:val="restart"/>
          </w:tcPr>
          <w:p>
            <w:pPr>
              <w:spacing w:after="0"/>
              <w:rPr>
                <w:rFonts w:ascii="Arial" w:cs="Arial" w:eastAsia="Arial" w:hAnsi="Arial"/>
                <w:sz w:val="19"/>
                <w:szCs w:val="19"/>
                <w:color w:val="0000EE"/>
                <w:w w:val="91"/>
              </w:rPr>
            </w:pPr>
            <w:hyperlink w:anchor="page24">
              <w:r>
                <w:rPr>
                  <w:rFonts w:ascii="Arial" w:cs="Arial" w:eastAsia="Arial" w:hAnsi="Arial"/>
                  <w:sz w:val="19"/>
                  <w:szCs w:val="19"/>
                  <w:color w:val="0000EE"/>
                  <w:w w:val="91"/>
                </w:rPr>
                <w:t>PART II.</w:t>
              </w:r>
            </w:hyperlink>
          </w:p>
        </w:tc>
        <w:tc>
          <w:tcPr>
            <w:tcW w:w="320" w:type="dxa"/>
            <w:vAlign w:val="bottom"/>
            <w:vMerge w:val="restart"/>
          </w:tcPr>
          <w:p>
            <w:pPr>
              <w:spacing w:after="0"/>
              <w:rPr>
                <w:sz w:val="16"/>
                <w:szCs w:val="16"/>
                <w:color w:val="auto"/>
              </w:rPr>
            </w:pPr>
          </w:p>
        </w:tc>
        <w:tc>
          <w:tcPr>
            <w:tcW w:w="6940" w:type="dxa"/>
            <w:vAlign w:val="bottom"/>
            <w:gridSpan w:val="25"/>
          </w:tcPr>
          <w:p>
            <w:pPr>
              <w:spacing w:after="0" w:line="194" w:lineRule="exact"/>
              <w:rPr>
                <w:rFonts w:ascii="Arial" w:cs="Arial" w:eastAsia="Arial" w:hAnsi="Arial"/>
                <w:sz w:val="19"/>
                <w:szCs w:val="19"/>
                <w:color w:val="0000EE"/>
                <w:w w:val="89"/>
              </w:rPr>
            </w:pPr>
            <w:hyperlink w:anchor="page24">
              <w:r>
                <w:rPr>
                  <w:rFonts w:ascii="Arial" w:cs="Arial" w:eastAsia="Arial" w:hAnsi="Arial"/>
                  <w:sz w:val="19"/>
                  <w:szCs w:val="19"/>
                  <w:color w:val="0000EE"/>
                  <w:w w:val="89"/>
                </w:rPr>
                <w:t>ITEM 4.</w:t>
              </w:r>
            </w:hyperlink>
            <w:hyperlink w:anchor="page24">
              <w:r>
                <w:rPr>
                  <w:rFonts w:ascii="Arial" w:cs="Arial" w:eastAsia="Arial" w:hAnsi="Arial"/>
                  <w:sz w:val="19"/>
                  <w:szCs w:val="19"/>
                  <w:color w:val="0000EE"/>
                  <w:w w:val="89"/>
                </w:rPr>
                <w:t>Controls and Procedures</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0" w:type="dxa"/>
            <w:vAlign w:val="bottom"/>
            <w:tcBorders>
              <w:bottom w:val="single" w:sz="8" w:color="0000EE"/>
            </w:tcBorders>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000" w:type="dxa"/>
            <w:vAlign w:val="bottom"/>
            <w:tcBorders>
              <w:bottom w:val="single" w:sz="8" w:color="0000EE"/>
            </w:tcBorders>
            <w:gridSpan w:val="7"/>
          </w:tcPr>
          <w:p>
            <w:pPr>
              <w:spacing w:after="0" w:line="194" w:lineRule="exact"/>
              <w:rPr>
                <w:rFonts w:ascii="Arial" w:cs="Arial" w:eastAsia="Arial" w:hAnsi="Arial"/>
                <w:sz w:val="19"/>
                <w:szCs w:val="19"/>
                <w:color w:val="0000EE"/>
                <w:w w:val="96"/>
              </w:rPr>
            </w:pPr>
            <w:hyperlink w:anchor="page24">
              <w:r>
                <w:rPr>
                  <w:rFonts w:ascii="Arial" w:cs="Arial" w:eastAsia="Arial" w:hAnsi="Arial"/>
                  <w:sz w:val="19"/>
                  <w:szCs w:val="19"/>
                  <w:color w:val="0000EE"/>
                  <w:w w:val="96"/>
                </w:rPr>
                <w:t>OTHER INFORMATION</w:t>
              </w:r>
            </w:hyperlink>
          </w:p>
        </w:tc>
        <w:tc>
          <w:tcPr>
            <w:tcW w:w="4940" w:type="dxa"/>
            <w:vAlign w:val="bottom"/>
            <w:gridSpan w:val="18"/>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Arial" w:cs="Arial" w:eastAsia="Arial" w:hAnsi="Arial"/>
                <w:sz w:val="19"/>
                <w:szCs w:val="19"/>
                <w:color w:val="auto"/>
              </w:rPr>
              <w:t>29</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line="194" w:lineRule="exact"/>
              <w:rPr>
                <w:rFonts w:ascii="Arial" w:cs="Arial" w:eastAsia="Arial" w:hAnsi="Arial"/>
                <w:sz w:val="19"/>
                <w:szCs w:val="19"/>
                <w:color w:val="0000EE"/>
                <w:w w:val="96"/>
              </w:rPr>
            </w:pPr>
            <w:hyperlink w:anchor="page24">
              <w:r>
                <w:rPr>
                  <w:rFonts w:ascii="Arial" w:cs="Arial" w:eastAsia="Arial" w:hAnsi="Arial"/>
                  <w:sz w:val="19"/>
                  <w:szCs w:val="19"/>
                  <w:color w:val="0000EE"/>
                  <w:w w:val="96"/>
                </w:rPr>
                <w:t>ITEM 1.</w:t>
              </w:r>
            </w:hyperlink>
          </w:p>
        </w:tc>
        <w:tc>
          <w:tcPr>
            <w:tcW w:w="340" w:type="dxa"/>
            <w:vAlign w:val="bottom"/>
            <w:gridSpan w:val="2"/>
          </w:tcPr>
          <w:p>
            <w:pPr>
              <w:spacing w:after="0"/>
              <w:rPr>
                <w:sz w:val="16"/>
                <w:szCs w:val="16"/>
                <w:color w:val="auto"/>
              </w:rPr>
            </w:pPr>
          </w:p>
        </w:tc>
        <w:tc>
          <w:tcPr>
            <w:tcW w:w="5940" w:type="dxa"/>
            <w:vAlign w:val="bottom"/>
            <w:gridSpan w:val="22"/>
          </w:tcPr>
          <w:p>
            <w:pPr>
              <w:spacing w:after="0" w:line="194" w:lineRule="exact"/>
              <w:rPr>
                <w:rFonts w:ascii="Arial" w:cs="Arial" w:eastAsia="Arial" w:hAnsi="Arial"/>
                <w:sz w:val="19"/>
                <w:szCs w:val="19"/>
                <w:color w:val="0000EE"/>
              </w:rPr>
            </w:pPr>
            <w:hyperlink w:anchor="page24">
              <w:r>
                <w:rPr>
                  <w:rFonts w:ascii="Arial" w:cs="Arial" w:eastAsia="Arial" w:hAnsi="Arial"/>
                  <w:sz w:val="19"/>
                  <w:szCs w:val="19"/>
                  <w:color w:val="0000EE"/>
                </w:rPr>
                <w:t>Legal Proceedings</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vMerge w:val="restart"/>
          </w:tcPr>
          <w:p>
            <w:pPr>
              <w:spacing w:after="0"/>
              <w:rPr>
                <w:rFonts w:ascii="Arial" w:cs="Arial" w:eastAsia="Arial" w:hAnsi="Arial"/>
                <w:sz w:val="19"/>
                <w:szCs w:val="19"/>
                <w:color w:val="0000EE"/>
                <w:w w:val="96"/>
              </w:rPr>
            </w:pPr>
            <w:hyperlink w:anchor="page25">
              <w:r>
                <w:rPr>
                  <w:rFonts w:ascii="Arial" w:cs="Arial" w:eastAsia="Arial" w:hAnsi="Arial"/>
                  <w:sz w:val="19"/>
                  <w:szCs w:val="19"/>
                  <w:color w:val="0000EE"/>
                  <w:w w:val="96"/>
                </w:rPr>
                <w:t>ITEM 2.</w:t>
              </w:r>
            </w:hyperlink>
          </w:p>
        </w:tc>
        <w:tc>
          <w:tcPr>
            <w:tcW w:w="20" w:type="dxa"/>
            <w:vAlign w:val="bottom"/>
            <w:vMerge w:val="restart"/>
          </w:tcPr>
          <w:p>
            <w:pPr>
              <w:spacing w:after="0"/>
              <w:rPr>
                <w:sz w:val="16"/>
                <w:szCs w:val="16"/>
                <w:color w:val="auto"/>
              </w:rPr>
            </w:pPr>
          </w:p>
        </w:tc>
        <w:tc>
          <w:tcPr>
            <w:tcW w:w="320" w:type="dxa"/>
            <w:vAlign w:val="bottom"/>
            <w:vMerge w:val="restart"/>
          </w:tcPr>
          <w:p>
            <w:pPr>
              <w:spacing w:after="0"/>
              <w:rPr>
                <w:sz w:val="16"/>
                <w:szCs w:val="16"/>
                <w:color w:val="auto"/>
              </w:rPr>
            </w:pPr>
          </w:p>
        </w:tc>
        <w:tc>
          <w:tcPr>
            <w:tcW w:w="5940" w:type="dxa"/>
            <w:vAlign w:val="bottom"/>
            <w:gridSpan w:val="22"/>
          </w:tcPr>
          <w:p>
            <w:pPr>
              <w:spacing w:after="0" w:line="194" w:lineRule="exact"/>
              <w:rPr>
                <w:rFonts w:ascii="Arial" w:cs="Arial" w:eastAsia="Arial" w:hAnsi="Arial"/>
                <w:sz w:val="19"/>
                <w:szCs w:val="19"/>
                <w:color w:val="0000EE"/>
                <w:w w:val="97"/>
              </w:rPr>
            </w:pPr>
            <w:hyperlink w:anchor="page25">
              <w:r>
                <w:rPr>
                  <w:rFonts w:ascii="Arial" w:cs="Arial" w:eastAsia="Arial" w:hAnsi="Arial"/>
                  <w:sz w:val="19"/>
                  <w:szCs w:val="19"/>
                  <w:color w:val="0000EE"/>
                  <w:w w:val="97"/>
                </w:rPr>
                <w:t>Changes in Securities, Use of Proceeds and Issuer Purchases of Equity</w:t>
              </w:r>
            </w:hyperlink>
          </w:p>
        </w:tc>
        <w:tc>
          <w:tcPr>
            <w:tcW w:w="400" w:type="dxa"/>
            <w:vAlign w:val="bottom"/>
            <w:vMerge w:val="restart"/>
          </w:tcPr>
          <w:p>
            <w:pPr>
              <w:jc w:val="right"/>
              <w:spacing w:after="0"/>
              <w:rPr>
                <w:sz w:val="20"/>
                <w:szCs w:val="20"/>
                <w:color w:val="auto"/>
              </w:rPr>
            </w:pPr>
            <w:r>
              <w:rPr>
                <w:rFonts w:ascii="Arial" w:cs="Arial" w:eastAsia="Arial" w:hAnsi="Arial"/>
                <w:sz w:val="19"/>
                <w:szCs w:val="19"/>
                <w:color w:val="auto"/>
              </w:rPr>
              <w:t>29</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5380" w:type="dxa"/>
            <w:vAlign w:val="bottom"/>
            <w:tcBorders>
              <w:top w:val="single" w:sz="8" w:color="0000EE"/>
            </w:tcBorders>
            <w:gridSpan w:val="20"/>
          </w:tcPr>
          <w:p>
            <w:pPr>
              <w:spacing w:after="0" w:line="194" w:lineRule="exact"/>
              <w:rPr>
                <w:rFonts w:ascii="Arial" w:cs="Arial" w:eastAsia="Arial" w:hAnsi="Arial"/>
                <w:sz w:val="19"/>
                <w:szCs w:val="19"/>
                <w:color w:val="0000EE"/>
              </w:rPr>
            </w:pPr>
            <w:hyperlink w:anchor="page25">
              <w:r>
                <w:rPr>
                  <w:rFonts w:ascii="Arial" w:cs="Arial" w:eastAsia="Arial" w:hAnsi="Arial"/>
                  <w:sz w:val="19"/>
                  <w:szCs w:val="19"/>
                  <w:color w:val="0000EE"/>
                </w:rPr>
                <w:t>Securities</w:t>
              </w:r>
            </w:hyperlink>
          </w:p>
        </w:tc>
        <w:tc>
          <w:tcPr>
            <w:tcW w:w="560" w:type="dxa"/>
            <w:vAlign w:val="bottom"/>
            <w:gridSpan w:val="2"/>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vMerge w:val="restart"/>
          </w:tcPr>
          <w:p>
            <w:pPr>
              <w:jc w:val="right"/>
              <w:spacing w:after="0" w:line="214" w:lineRule="exact"/>
              <w:rPr>
                <w:sz w:val="20"/>
                <w:szCs w:val="20"/>
                <w:color w:val="auto"/>
              </w:rPr>
            </w:pPr>
            <w:r>
              <w:rPr>
                <w:rFonts w:ascii="Arial" w:cs="Arial" w:eastAsia="Arial" w:hAnsi="Arial"/>
                <w:sz w:val="19"/>
                <w:szCs w:val="19"/>
                <w:color w:val="auto"/>
              </w:rPr>
              <w:t>30</w:t>
            </w:r>
          </w:p>
        </w:tc>
        <w:tc>
          <w:tcPr>
            <w:tcW w:w="0" w:type="dxa"/>
            <w:vAlign w:val="bottom"/>
          </w:tcPr>
          <w:p>
            <w:pPr>
              <w:spacing w:after="0" w:line="20" w:lineRule="exact"/>
              <w:rPr>
                <w:sz w:val="1"/>
                <w:szCs w:val="1"/>
                <w:color w:val="auto"/>
              </w:rPr>
            </w:pPr>
          </w:p>
        </w:tc>
      </w:tr>
      <w:tr>
        <w:trPr>
          <w:trHeight w:val="195"/>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940" w:type="dxa"/>
            <w:vAlign w:val="bottom"/>
            <w:gridSpan w:val="25"/>
          </w:tcPr>
          <w:p>
            <w:pPr>
              <w:spacing w:after="0" w:line="194" w:lineRule="exact"/>
              <w:rPr>
                <w:rFonts w:ascii="Arial" w:cs="Arial" w:eastAsia="Arial" w:hAnsi="Arial"/>
                <w:sz w:val="19"/>
                <w:szCs w:val="19"/>
                <w:color w:val="0000EE"/>
                <w:w w:val="92"/>
              </w:rPr>
            </w:pPr>
            <w:hyperlink w:anchor="page25">
              <w:r>
                <w:rPr>
                  <w:rFonts w:ascii="Arial" w:cs="Arial" w:eastAsia="Arial" w:hAnsi="Arial"/>
                  <w:sz w:val="19"/>
                  <w:szCs w:val="19"/>
                  <w:color w:val="0000EE"/>
                  <w:w w:val="92"/>
                </w:rPr>
                <w:t>ITEM 6.</w:t>
              </w:r>
            </w:hyperlink>
            <w:hyperlink w:anchor="page25">
              <w:r>
                <w:rPr>
                  <w:rFonts w:ascii="Arial" w:cs="Arial" w:eastAsia="Arial" w:hAnsi="Arial"/>
                  <w:sz w:val="19"/>
                  <w:szCs w:val="19"/>
                  <w:color w:val="0000EE"/>
                  <w:w w:val="92"/>
                </w:rPr>
                <w:t>Exhibits and Reports on Form 8-K</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80" w:type="dxa"/>
            <w:vAlign w:val="bottom"/>
            <w:gridSpan w:val="9"/>
            <w:shd w:val="clear" w:color="auto" w:fill="0000EE"/>
          </w:tcPr>
          <w:p>
            <w:pPr>
              <w:spacing w:after="0" w:line="20" w:lineRule="exact"/>
              <w:rPr>
                <w:sz w:val="1"/>
                <w:szCs w:val="1"/>
                <w:color w:val="auto"/>
              </w:rPr>
            </w:pPr>
          </w:p>
        </w:tc>
        <w:tc>
          <w:tcPr>
            <w:tcW w:w="3300" w:type="dxa"/>
            <w:vAlign w:val="bottom"/>
            <w:gridSpan w:val="11"/>
          </w:tcPr>
          <w:p>
            <w:pPr>
              <w:spacing w:after="0" w:line="20" w:lineRule="exact"/>
              <w:rPr>
                <w:sz w:val="1"/>
                <w:szCs w:val="1"/>
                <w:color w:val="auto"/>
              </w:rPr>
            </w:pPr>
          </w:p>
        </w:tc>
        <w:tc>
          <w:tcPr>
            <w:tcW w:w="400" w:type="dxa"/>
            <w:vAlign w:val="bottom"/>
            <w:vMerge w:val="restart"/>
          </w:tcPr>
          <w:p>
            <w:pPr>
              <w:jc w:val="right"/>
              <w:spacing w:after="0" w:line="214" w:lineRule="exact"/>
              <w:rPr>
                <w:sz w:val="20"/>
                <w:szCs w:val="20"/>
                <w:color w:val="auto"/>
              </w:rPr>
            </w:pPr>
            <w:r>
              <w:rPr>
                <w:rFonts w:ascii="Arial" w:cs="Arial" w:eastAsia="Arial" w:hAnsi="Arial"/>
                <w:sz w:val="19"/>
                <w:szCs w:val="19"/>
                <w:color w:val="auto"/>
              </w:rPr>
              <w:t>31</w:t>
            </w:r>
          </w:p>
        </w:tc>
        <w:tc>
          <w:tcPr>
            <w:tcW w:w="0" w:type="dxa"/>
            <w:vAlign w:val="bottom"/>
          </w:tcPr>
          <w:p>
            <w:pPr>
              <w:spacing w:after="0" w:line="20" w:lineRule="exact"/>
              <w:rPr>
                <w:sz w:val="1"/>
                <w:szCs w:val="1"/>
                <w:color w:val="auto"/>
              </w:rPr>
            </w:pPr>
          </w:p>
        </w:tc>
      </w:tr>
      <w:tr>
        <w:trPr>
          <w:trHeight w:val="195"/>
        </w:trPr>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940" w:type="dxa"/>
            <w:vAlign w:val="bottom"/>
            <w:gridSpan w:val="25"/>
          </w:tcPr>
          <w:p>
            <w:pPr>
              <w:spacing w:after="0" w:line="194" w:lineRule="exact"/>
              <w:rPr>
                <w:rFonts w:ascii="Arial" w:cs="Arial" w:eastAsia="Arial" w:hAnsi="Arial"/>
                <w:sz w:val="19"/>
                <w:szCs w:val="19"/>
                <w:color w:val="0000EE"/>
              </w:rPr>
            </w:pPr>
            <w:hyperlink w:anchor="page25">
              <w:r>
                <w:rPr>
                  <w:rFonts w:ascii="Arial" w:cs="Arial" w:eastAsia="Arial" w:hAnsi="Arial"/>
                  <w:sz w:val="19"/>
                  <w:szCs w:val="19"/>
                  <w:color w:val="0000EE"/>
                </w:rPr>
                <w:t>SIGNATURES</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905"/>
        <w:spacing w:after="0"/>
        <w:rPr>
          <w:sz w:val="20"/>
          <w:szCs w:val="20"/>
          <w:color w:val="auto"/>
        </w:rPr>
      </w:pPr>
      <w:r>
        <w:rPr>
          <w:rFonts w:ascii="Arial" w:cs="Arial" w:eastAsia="Arial" w:hAnsi="Arial"/>
          <w:sz w:val="19"/>
          <w:szCs w:val="19"/>
          <w:color w:val="auto"/>
        </w:rPr>
        <w:t>_________________</w:t>
      </w:r>
    </w:p>
    <w:p>
      <w:pPr>
        <w:sectPr>
          <w:pgSz w:w="11900" w:h="16838" w:orient="portrait"/>
          <w:cols w:equalWidth="0" w:num="1">
            <w:col w:w="11465"/>
          </w:cols>
          <w:pgMar w:left="235" w:top="210" w:right="199" w:bottom="0" w:gutter="0" w:footer="0" w:header="0"/>
        </w:sectPr>
      </w:pPr>
    </w:p>
    <w:bookmarkStart w:id="1" w:name="page2"/>
    <w:bookmarkEnd w:id="1"/>
    <w:p>
      <w:pPr>
        <w:spacing w:after="0" w:line="4" w:lineRule="exact"/>
        <w:rPr>
          <w:sz w:val="20"/>
          <w:szCs w:val="20"/>
          <w:color w:val="auto"/>
        </w:rPr>
      </w:pPr>
    </w:p>
    <w:p>
      <w:pPr>
        <w:ind w:firstLine="378"/>
        <w:spacing w:after="0" w:line="244" w:lineRule="auto"/>
        <w:rPr>
          <w:sz w:val="20"/>
          <w:szCs w:val="20"/>
          <w:color w:val="auto"/>
        </w:rPr>
      </w:pPr>
      <w:r>
        <w:rPr>
          <w:rFonts w:ascii="Arial" w:cs="Arial" w:eastAsia="Arial" w:hAnsi="Arial"/>
          <w:sz w:val="19"/>
          <w:szCs w:val="19"/>
          <w:color w:val="auto"/>
        </w:rPr>
        <w:t>This Quarterly Report on Form 10-Q is for the three months ended March 31, 2004. This Quarterly Report modifies and supersedes documents filed prior to this Quarterly Report. Information that we file with the SEC in the future will automatically update and supersede information contained in this Quarterly Report. In this Quarterly Report, we refer to Comcast Corporation as “Comcast”; Comcast and its consolidated subsidiaries as “we,” “us” and “our”; and Comcast Holdings Corporation as “Comcast Holdings.”</w:t>
      </w:r>
    </w:p>
    <w:p>
      <w:pPr>
        <w:spacing w:after="0" w:line="162" w:lineRule="exact"/>
        <w:rPr>
          <w:sz w:val="20"/>
          <w:szCs w:val="20"/>
          <w:color w:val="auto"/>
        </w:rPr>
      </w:pPr>
    </w:p>
    <w:p>
      <w:pPr>
        <w:ind w:right="140" w:firstLine="375"/>
        <w:spacing w:after="0" w:line="255" w:lineRule="auto"/>
        <w:rPr>
          <w:sz w:val="20"/>
          <w:szCs w:val="20"/>
          <w:color w:val="auto"/>
        </w:rPr>
      </w:pPr>
      <w:r>
        <w:rPr>
          <w:rFonts w:ascii="Arial" w:cs="Arial" w:eastAsia="Arial" w:hAnsi="Arial"/>
          <w:sz w:val="18"/>
          <w:szCs w:val="18"/>
          <w:color w:val="auto"/>
        </w:rPr>
        <w:t>You should carefully review the information contained in this Quarterly Report, and should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outlined below. Actual events or our actual results may differ materially from any of our forward-looking statements.</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9"/>
          <w:szCs w:val="19"/>
          <w:color w:val="auto"/>
        </w:rPr>
        <w:t>Our businesses may be affected by, among other things:</w:t>
      </w:r>
    </w:p>
    <w:p>
      <w:pPr>
        <w:spacing w:after="0" w:line="187" w:lineRule="exact"/>
        <w:rPr>
          <w:sz w:val="20"/>
          <w:szCs w:val="20"/>
          <w:color w:val="auto"/>
        </w:rPr>
      </w:pPr>
    </w:p>
    <w:p>
      <w:pPr>
        <w:ind w:left="680" w:hanging="339"/>
        <w:spacing w:after="0"/>
        <w:tabs>
          <w:tab w:leader="none" w:pos="68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changes in laws and regulations,</w:t>
      </w:r>
    </w:p>
    <w:p>
      <w:pPr>
        <w:spacing w:after="0" w:line="12" w:lineRule="exact"/>
        <w:rPr>
          <w:rFonts w:ascii="Arial" w:cs="Arial" w:eastAsia="Arial" w:hAnsi="Arial"/>
          <w:sz w:val="19"/>
          <w:szCs w:val="19"/>
          <w:color w:val="auto"/>
        </w:rPr>
      </w:pPr>
    </w:p>
    <w:p>
      <w:pPr>
        <w:ind w:left="680" w:hanging="339"/>
        <w:spacing w:after="0" w:line="235" w:lineRule="auto"/>
        <w:tabs>
          <w:tab w:leader="none" w:pos="68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changes in the competitive environment,</w:t>
      </w:r>
    </w:p>
    <w:p>
      <w:pPr>
        <w:ind w:left="680" w:hanging="339"/>
        <w:spacing w:after="0" w:line="235" w:lineRule="auto"/>
        <w:tabs>
          <w:tab w:leader="none" w:pos="68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changes in technology,</w:t>
      </w:r>
    </w:p>
    <w:p>
      <w:pPr>
        <w:ind w:left="680" w:hanging="339"/>
        <w:spacing w:after="0" w:line="235" w:lineRule="auto"/>
        <w:tabs>
          <w:tab w:leader="none" w:pos="680" w:val="left"/>
        </w:tabs>
        <w:numPr>
          <w:ilvl w:val="0"/>
          <w:numId w:val="3"/>
        </w:numPr>
        <w:rPr>
          <w:rFonts w:ascii="Arial" w:cs="Arial" w:eastAsia="Arial" w:hAnsi="Arial"/>
          <w:sz w:val="19"/>
          <w:szCs w:val="19"/>
          <w:color w:val="auto"/>
        </w:rPr>
      </w:pPr>
      <w:r>
        <w:rPr>
          <w:rFonts w:ascii="Arial" w:cs="Arial" w:eastAsia="Arial" w:hAnsi="Arial"/>
          <w:sz w:val="19"/>
          <w:szCs w:val="19"/>
          <w:color w:val="auto"/>
        </w:rPr>
        <w:t>industry consolidation and mergers,</w:t>
      </w:r>
    </w:p>
    <w:p>
      <w:pPr>
        <w:ind w:left="680" w:hanging="339"/>
        <w:spacing w:after="0" w:line="235" w:lineRule="auto"/>
        <w:tabs>
          <w:tab w:leader="none" w:pos="680" w:val="left"/>
        </w:tabs>
        <w:numPr>
          <w:ilvl w:val="0"/>
          <w:numId w:val="3"/>
        </w:numPr>
        <w:rPr>
          <w:rFonts w:ascii="Arial" w:cs="Arial" w:eastAsia="Arial" w:hAnsi="Arial"/>
          <w:sz w:val="19"/>
          <w:szCs w:val="19"/>
          <w:color w:val="auto"/>
        </w:rPr>
      </w:pPr>
      <w:r>
        <w:rPr>
          <w:rFonts w:ascii="Arial" w:cs="Arial" w:eastAsia="Arial" w:hAnsi="Arial"/>
          <w:sz w:val="19"/>
          <w:szCs w:val="19"/>
          <w:color w:val="auto"/>
        </w:rPr>
        <w:t>franchise related matters,</w:t>
      </w:r>
    </w:p>
    <w:p>
      <w:pPr>
        <w:ind w:left="680" w:right="100" w:hanging="339"/>
        <w:spacing w:after="0" w:line="235" w:lineRule="auto"/>
        <w:tabs>
          <w:tab w:leader="none" w:pos="680" w:val="left"/>
        </w:tabs>
        <w:numPr>
          <w:ilvl w:val="0"/>
          <w:numId w:val="3"/>
        </w:numPr>
        <w:rPr>
          <w:rFonts w:ascii="Arial" w:cs="Arial" w:eastAsia="Arial" w:hAnsi="Arial"/>
          <w:sz w:val="19"/>
          <w:szCs w:val="19"/>
          <w:color w:val="auto"/>
        </w:rPr>
      </w:pPr>
      <w:r>
        <w:rPr>
          <w:rFonts w:ascii="Arial" w:cs="Arial" w:eastAsia="Arial" w:hAnsi="Arial"/>
          <w:sz w:val="19"/>
          <w:szCs w:val="19"/>
          <w:color w:val="auto"/>
        </w:rPr>
        <w:t>market conditions that may adversely affect the availability of debt and equity financing for working capital, capital expenditures or other purposes,</w:t>
      </w:r>
    </w:p>
    <w:p>
      <w:pPr>
        <w:spacing w:after="0" w:line="1" w:lineRule="exact"/>
        <w:rPr>
          <w:rFonts w:ascii="Arial" w:cs="Arial" w:eastAsia="Arial" w:hAnsi="Arial"/>
          <w:sz w:val="19"/>
          <w:szCs w:val="19"/>
          <w:color w:val="auto"/>
        </w:rPr>
      </w:pPr>
    </w:p>
    <w:p>
      <w:pPr>
        <w:ind w:left="680" w:hanging="339"/>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the programming content we distribute or the willingness of other video program distributors to carry our content, and</w:t>
      </w:r>
    </w:p>
    <w:p>
      <w:pPr>
        <w:spacing w:after="0" w:line="7" w:lineRule="exact"/>
        <w:rPr>
          <w:rFonts w:ascii="Arial" w:cs="Arial" w:eastAsia="Arial" w:hAnsi="Arial"/>
          <w:sz w:val="18"/>
          <w:szCs w:val="18"/>
          <w:color w:val="auto"/>
        </w:rPr>
      </w:pPr>
    </w:p>
    <w:p>
      <w:pPr>
        <w:ind w:left="680" w:hanging="339"/>
        <w:spacing w:after="0"/>
        <w:tabs>
          <w:tab w:leader="none" w:pos="680" w:val="left"/>
        </w:tabs>
        <w:numPr>
          <w:ilvl w:val="0"/>
          <w:numId w:val="3"/>
        </w:numPr>
        <w:rPr>
          <w:rFonts w:ascii="Arial" w:cs="Arial" w:eastAsia="Arial" w:hAnsi="Arial"/>
          <w:sz w:val="19"/>
          <w:szCs w:val="19"/>
          <w:color w:val="auto"/>
        </w:rPr>
      </w:pPr>
      <w:r>
        <w:rPr>
          <w:rFonts w:ascii="Arial" w:cs="Arial" w:eastAsia="Arial" w:hAnsi="Arial"/>
          <w:sz w:val="19"/>
          <w:szCs w:val="19"/>
          <w:color w:val="auto"/>
        </w:rPr>
        <w:t>general economic conditions.</w:t>
      </w:r>
    </w:p>
    <w:p>
      <w:pPr>
        <w:spacing w:after="0" w:line="171" w:lineRule="exact"/>
        <w:rPr>
          <w:sz w:val="20"/>
          <w:szCs w:val="20"/>
          <w:color w:val="auto"/>
        </w:rPr>
      </w:pPr>
    </w:p>
    <w:p>
      <w:pPr>
        <w:ind w:right="180"/>
        <w:spacing w:after="0" w:line="244" w:lineRule="auto"/>
        <w:rPr>
          <w:sz w:val="20"/>
          <w:szCs w:val="20"/>
          <w:color w:val="auto"/>
        </w:rPr>
      </w:pPr>
      <w:r>
        <w:rPr>
          <w:rFonts w:ascii="Arial" w:cs="Arial" w:eastAsia="Arial" w:hAnsi="Arial"/>
          <w:sz w:val="19"/>
          <w:szCs w:val="19"/>
          <w:color w:val="auto"/>
        </w:rPr>
        <w:t>As more fully described elsewhere in this Quarterly Report and in our Annual Report on Form 10-K for the year ended December 31, 2003, on September 17, 2003, we sold to Liberty Media Corporation our approximate 57% interest in QVC, Inc., which markets a wide variety of products directly to consumers primarily on merchandise-focused television programs. Accordingly, financial information related to QVC is presented as a discontinued operation in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2777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FORM 10-Q</w:t>
      </w:r>
    </w:p>
    <w:p>
      <w:pPr>
        <w:jc w:val="center"/>
        <w:ind w:right="-139"/>
        <w:spacing w:after="0"/>
        <w:rPr>
          <w:sz w:val="20"/>
          <w:szCs w:val="20"/>
          <w:color w:val="auto"/>
        </w:rPr>
      </w:pPr>
      <w:r>
        <w:rPr>
          <w:rFonts w:ascii="Arial" w:cs="Arial" w:eastAsia="Arial" w:hAnsi="Arial"/>
          <w:sz w:val="19"/>
          <w:szCs w:val="19"/>
          <w:color w:val="auto"/>
        </w:rPr>
        <w:t>QUARTER ENDED MARCH 31, 2004</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9"/>
          <w:szCs w:val="19"/>
          <w:color w:val="auto"/>
        </w:rPr>
        <w:t>PART I.</w:t>
      </w:r>
      <w:r>
        <w:rPr>
          <w:sz w:val="20"/>
          <w:szCs w:val="20"/>
          <w:color w:val="auto"/>
        </w:rPr>
        <w:tab/>
      </w:r>
      <w:r>
        <w:rPr>
          <w:rFonts w:ascii="Arial" w:cs="Arial" w:eastAsia="Arial" w:hAnsi="Arial"/>
          <w:sz w:val="19"/>
          <w:szCs w:val="19"/>
          <w:color w:val="auto"/>
        </w:rPr>
        <w:t>FINANCIAL INFORMATION</w:t>
      </w:r>
    </w:p>
    <w:p>
      <w:pPr>
        <w:spacing w:after="0" w:line="12" w:lineRule="exact"/>
        <w:rPr>
          <w:sz w:val="20"/>
          <w:szCs w:val="20"/>
          <w:color w:val="auto"/>
        </w:rPr>
      </w:pPr>
    </w:p>
    <w:p>
      <w:pPr>
        <w:spacing w:after="0"/>
        <w:tabs>
          <w:tab w:leader="none" w:pos="1120" w:val="left"/>
        </w:tabs>
        <w:rPr>
          <w:sz w:val="20"/>
          <w:szCs w:val="20"/>
          <w:color w:val="auto"/>
        </w:rPr>
      </w:pPr>
      <w:r>
        <w:rPr>
          <w:rFonts w:ascii="Arial" w:cs="Arial" w:eastAsia="Arial" w:hAnsi="Arial"/>
          <w:sz w:val="19"/>
          <w:szCs w:val="19"/>
          <w:color w:val="auto"/>
        </w:rPr>
        <w:t>ITEM 1.</w:t>
      </w:r>
      <w:r>
        <w:rPr>
          <w:sz w:val="20"/>
          <w:szCs w:val="20"/>
          <w:color w:val="auto"/>
        </w:rPr>
        <w:tab/>
      </w:r>
      <w:r>
        <w:rPr>
          <w:rFonts w:ascii="Arial" w:cs="Arial" w:eastAsia="Arial" w:hAnsi="Arial"/>
          <w:sz w:val="18"/>
          <w:szCs w:val="18"/>
          <w:color w:val="auto"/>
        </w:rPr>
        <w:t>FINANCIAL STATEMENTS</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CONDENSED CONSOLIDATED BALANCE SHEET</w:t>
      </w:r>
    </w:p>
    <w:p>
      <w:pPr>
        <w:spacing w:after="0" w:line="12"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80" w:type="dxa"/>
            <w:vAlign w:val="bottom"/>
            <w:gridSpan w:val="3"/>
          </w:tcPr>
          <w:p>
            <w:pPr>
              <w:jc w:val="right"/>
              <w:ind w:right="105"/>
              <w:spacing w:after="0"/>
              <w:rPr>
                <w:sz w:val="20"/>
                <w:szCs w:val="20"/>
                <w:color w:val="auto"/>
              </w:rPr>
            </w:pPr>
            <w:r>
              <w:rPr>
                <w:rFonts w:ascii="Arial" w:cs="Arial" w:eastAsia="Arial" w:hAnsi="Arial"/>
                <w:sz w:val="19"/>
                <w:szCs w:val="19"/>
                <w:color w:val="auto"/>
              </w:rPr>
              <w:t>(Dollars in millions,</w:t>
            </w: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80" w:type="dxa"/>
            <w:vAlign w:val="bottom"/>
            <w:gridSpan w:val="3"/>
          </w:tcPr>
          <w:p>
            <w:pPr>
              <w:jc w:val="right"/>
              <w:ind w:right="165"/>
              <w:spacing w:after="0" w:line="214" w:lineRule="exact"/>
              <w:rPr>
                <w:sz w:val="20"/>
                <w:szCs w:val="20"/>
                <w:color w:val="auto"/>
              </w:rPr>
            </w:pPr>
            <w:r>
              <w:rPr>
                <w:rFonts w:ascii="Arial" w:cs="Arial" w:eastAsia="Arial" w:hAnsi="Arial"/>
                <w:sz w:val="19"/>
                <w:szCs w:val="19"/>
                <w:color w:val="auto"/>
              </w:rPr>
              <w:t>except share data)</w:t>
            </w: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4" w:lineRule="exact"/>
              <w:rPr>
                <w:sz w:val="20"/>
                <w:szCs w:val="20"/>
                <w:color w:val="auto"/>
              </w:rPr>
            </w:pPr>
            <w:r>
              <w:rPr>
                <w:rFonts w:ascii="Arial" w:cs="Arial" w:eastAsia="Arial" w:hAnsi="Arial"/>
                <w:sz w:val="19"/>
                <w:szCs w:val="19"/>
                <w:color w:val="auto"/>
                <w:w w:val="93"/>
              </w:rPr>
              <w:t>December</w:t>
            </w: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w w:val="99"/>
              </w:rPr>
              <w:t>March 31,</w:t>
            </w:r>
          </w:p>
        </w:tc>
        <w:tc>
          <w:tcPr>
            <w:tcW w:w="1160" w:type="dxa"/>
            <w:vAlign w:val="bottom"/>
            <w:gridSpan w:val="2"/>
          </w:tcPr>
          <w:p>
            <w:pPr>
              <w:jc w:val="right"/>
              <w:ind w:right="245"/>
              <w:spacing w:after="0" w:line="214" w:lineRule="exact"/>
              <w:rPr>
                <w:sz w:val="20"/>
                <w:szCs w:val="20"/>
                <w:color w:val="auto"/>
              </w:rPr>
            </w:pPr>
            <w:r>
              <w:rPr>
                <w:rFonts w:ascii="Arial" w:cs="Arial" w:eastAsia="Arial" w:hAnsi="Arial"/>
                <w:sz w:val="19"/>
                <w:szCs w:val="19"/>
                <w:color w:val="auto"/>
              </w:rPr>
              <w:t>31,</w:t>
            </w:r>
          </w:p>
        </w:tc>
        <w:tc>
          <w:tcPr>
            <w:tcW w:w="0" w:type="dxa"/>
            <w:vAlign w:val="bottom"/>
          </w:tcPr>
          <w:p>
            <w:pPr>
              <w:spacing w:after="0"/>
              <w:rPr>
                <w:sz w:val="1"/>
                <w:szCs w:val="1"/>
                <w:color w:val="auto"/>
              </w:rPr>
            </w:pPr>
          </w:p>
        </w:tc>
      </w:tr>
      <w:tr>
        <w:trPr>
          <w:trHeight w:val="242"/>
        </w:trPr>
        <w:tc>
          <w:tcPr>
            <w:tcW w:w="68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Pr>
          <w:p>
            <w:pPr>
              <w:jc w:val="right"/>
              <w:ind w:right="185"/>
              <w:spacing w:after="0"/>
              <w:rPr>
                <w:sz w:val="20"/>
                <w:szCs w:val="20"/>
                <w:color w:val="auto"/>
              </w:rPr>
            </w:pPr>
            <w:r>
              <w:rPr>
                <w:rFonts w:ascii="Arial" w:cs="Arial" w:eastAsia="Arial" w:hAnsi="Arial"/>
                <w:sz w:val="19"/>
                <w:szCs w:val="19"/>
                <w:color w:val="auto"/>
              </w:rPr>
              <w:t>2004</w:t>
            </w:r>
          </w:p>
        </w:tc>
        <w:tc>
          <w:tcPr>
            <w:tcW w:w="1160" w:type="dxa"/>
            <w:vAlign w:val="bottom"/>
            <w:gridSpan w:val="2"/>
          </w:tcPr>
          <w:p>
            <w:pPr>
              <w:jc w:val="right"/>
              <w:ind w:right="165"/>
              <w:spacing w:after="0"/>
              <w:rPr>
                <w:sz w:val="20"/>
                <w:szCs w:val="20"/>
                <w:color w:val="auto"/>
              </w:rPr>
            </w:pPr>
            <w:r>
              <w:rPr>
                <w:rFonts w:ascii="Arial" w:cs="Arial" w:eastAsia="Arial" w:hAnsi="Arial"/>
                <w:sz w:val="19"/>
                <w:szCs w:val="19"/>
                <w:color w:val="auto"/>
              </w:rPr>
              <w:t>2003</w:t>
            </w:r>
          </w:p>
        </w:tc>
        <w:tc>
          <w:tcPr>
            <w:tcW w:w="0" w:type="dxa"/>
            <w:vAlign w:val="bottom"/>
          </w:tcPr>
          <w:p>
            <w:pPr>
              <w:spacing w:after="0"/>
              <w:rPr>
                <w:sz w:val="1"/>
                <w:szCs w:val="1"/>
                <w:color w:val="auto"/>
              </w:rPr>
            </w:pPr>
          </w:p>
        </w:tc>
      </w:tr>
      <w:tr>
        <w:trPr>
          <w:trHeight w:val="87"/>
        </w:trPr>
        <w:tc>
          <w:tcPr>
            <w:tcW w:w="6800" w:type="dxa"/>
            <w:vAlign w:val="bottom"/>
            <w:gridSpan w:val="3"/>
            <w:vMerge w:val="restart"/>
          </w:tcPr>
          <w:p>
            <w:pPr>
              <w:spacing w:after="0"/>
              <w:rPr>
                <w:sz w:val="20"/>
                <w:szCs w:val="20"/>
                <w:color w:val="auto"/>
              </w:rPr>
            </w:pPr>
            <w:r>
              <w:rPr>
                <w:rFonts w:ascii="Arial" w:cs="Arial" w:eastAsia="Arial" w:hAnsi="Arial"/>
                <w:sz w:val="19"/>
                <w:szCs w:val="19"/>
                <w:color w:val="auto"/>
              </w:rPr>
              <w:t>ASSETS</w:t>
            </w: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6800" w:type="dxa"/>
            <w:vAlign w:val="bottom"/>
            <w:gridSpan w:val="3"/>
            <w:vMerge w:val="continue"/>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00" w:type="dxa"/>
            <w:vAlign w:val="bottom"/>
            <w:gridSpan w:val="3"/>
          </w:tcPr>
          <w:p>
            <w:pPr>
              <w:spacing w:after="0" w:line="212" w:lineRule="exact"/>
              <w:rPr>
                <w:sz w:val="20"/>
                <w:szCs w:val="20"/>
                <w:color w:val="auto"/>
              </w:rPr>
            </w:pPr>
            <w:r>
              <w:rPr>
                <w:rFonts w:ascii="Arial" w:cs="Arial" w:eastAsia="Arial" w:hAnsi="Arial"/>
                <w:sz w:val="19"/>
                <w:szCs w:val="19"/>
                <w:color w:val="auto"/>
              </w:rPr>
              <w:t>CURRENT ASSETS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gridSpan w:val="3"/>
          </w:tcPr>
          <w:p>
            <w:pPr>
              <w:ind w:left="140"/>
              <w:spacing w:after="0" w:line="214" w:lineRule="exact"/>
              <w:rPr>
                <w:sz w:val="20"/>
                <w:szCs w:val="20"/>
                <w:color w:val="auto"/>
              </w:rPr>
            </w:pPr>
            <w:r>
              <w:rPr>
                <w:rFonts w:ascii="Arial" w:cs="Arial" w:eastAsia="Arial" w:hAnsi="Arial"/>
                <w:sz w:val="19"/>
                <w:szCs w:val="19"/>
                <w:color w:val="auto"/>
              </w:rPr>
              <w:t>Cash and cash equivalents</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$875</w:t>
            </w:r>
          </w:p>
        </w:tc>
        <w:tc>
          <w:tcPr>
            <w:tcW w:w="11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$1,550</w:t>
            </w:r>
          </w:p>
        </w:tc>
        <w:tc>
          <w:tcPr>
            <w:tcW w:w="0" w:type="dxa"/>
            <w:vAlign w:val="bottom"/>
          </w:tcPr>
          <w:p>
            <w:pPr>
              <w:spacing w:after="0"/>
              <w:rPr>
                <w:sz w:val="1"/>
                <w:szCs w:val="1"/>
                <w:color w:val="auto"/>
              </w:rPr>
            </w:pPr>
          </w:p>
        </w:tc>
      </w:tr>
      <w:tr>
        <w:trPr>
          <w:trHeight w:val="215"/>
        </w:trPr>
        <w:tc>
          <w:tcPr>
            <w:tcW w:w="6800" w:type="dxa"/>
            <w:vAlign w:val="bottom"/>
            <w:gridSpan w:val="3"/>
          </w:tcPr>
          <w:p>
            <w:pPr>
              <w:ind w:left="140"/>
              <w:spacing w:after="0" w:line="214" w:lineRule="exact"/>
              <w:rPr>
                <w:sz w:val="20"/>
                <w:szCs w:val="20"/>
                <w:color w:val="auto"/>
              </w:rPr>
            </w:pPr>
            <w:r>
              <w:rPr>
                <w:rFonts w:ascii="Arial" w:cs="Arial" w:eastAsia="Arial" w:hAnsi="Arial"/>
                <w:sz w:val="19"/>
                <w:szCs w:val="19"/>
                <w:color w:val="auto"/>
              </w:rPr>
              <w:t>Investments</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2,782</w:t>
            </w:r>
          </w:p>
        </w:tc>
        <w:tc>
          <w:tcPr>
            <w:tcW w:w="11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2,493</w:t>
            </w:r>
          </w:p>
        </w:tc>
        <w:tc>
          <w:tcPr>
            <w:tcW w:w="0" w:type="dxa"/>
            <w:vAlign w:val="bottom"/>
          </w:tcPr>
          <w:p>
            <w:pPr>
              <w:spacing w:after="0"/>
              <w:rPr>
                <w:sz w:val="1"/>
                <w:szCs w:val="1"/>
                <w:color w:val="auto"/>
              </w:rPr>
            </w:pPr>
          </w:p>
        </w:tc>
      </w:tr>
      <w:tr>
        <w:trPr>
          <w:trHeight w:val="215"/>
        </w:trPr>
        <w:tc>
          <w:tcPr>
            <w:tcW w:w="6800" w:type="dxa"/>
            <w:vAlign w:val="bottom"/>
            <w:gridSpan w:val="3"/>
          </w:tcPr>
          <w:p>
            <w:pPr>
              <w:ind w:left="120"/>
              <w:spacing w:after="0" w:line="214" w:lineRule="exact"/>
              <w:rPr>
                <w:sz w:val="20"/>
                <w:szCs w:val="20"/>
                <w:color w:val="auto"/>
              </w:rPr>
            </w:pPr>
            <w:r>
              <w:rPr>
                <w:rFonts w:ascii="Arial" w:cs="Arial" w:eastAsia="Arial" w:hAnsi="Arial"/>
                <w:sz w:val="19"/>
                <w:szCs w:val="19"/>
                <w:color w:val="auto"/>
              </w:rPr>
              <w:t>Accounts receivable, less allowance for doubtful accounts of $134 and $146 .</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776</w:t>
            </w:r>
          </w:p>
        </w:tc>
        <w:tc>
          <w:tcPr>
            <w:tcW w:w="11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907</w:t>
            </w:r>
          </w:p>
        </w:tc>
        <w:tc>
          <w:tcPr>
            <w:tcW w:w="0" w:type="dxa"/>
            <w:vAlign w:val="bottom"/>
          </w:tcPr>
          <w:p>
            <w:pPr>
              <w:spacing w:after="0"/>
              <w:rPr>
                <w:sz w:val="1"/>
                <w:szCs w:val="1"/>
                <w:color w:val="auto"/>
              </w:rPr>
            </w:pPr>
          </w:p>
        </w:tc>
      </w:tr>
      <w:tr>
        <w:trPr>
          <w:trHeight w:val="242"/>
        </w:trPr>
        <w:tc>
          <w:tcPr>
            <w:tcW w:w="6800" w:type="dxa"/>
            <w:vAlign w:val="bottom"/>
            <w:gridSpan w:val="3"/>
          </w:tcPr>
          <w:p>
            <w:pPr>
              <w:ind w:left="140"/>
              <w:spacing w:after="0"/>
              <w:rPr>
                <w:sz w:val="20"/>
                <w:szCs w:val="20"/>
                <w:color w:val="auto"/>
              </w:rPr>
            </w:pPr>
            <w:r>
              <w:rPr>
                <w:rFonts w:ascii="Arial" w:cs="Arial" w:eastAsia="Arial" w:hAnsi="Arial"/>
                <w:sz w:val="19"/>
                <w:szCs w:val="19"/>
                <w:color w:val="auto"/>
              </w:rPr>
              <w:t>Other current assets</w:t>
            </w:r>
          </w:p>
        </w:tc>
        <w:tc>
          <w:tcPr>
            <w:tcW w:w="920" w:type="dxa"/>
            <w:vAlign w:val="bottom"/>
          </w:tcPr>
          <w:p>
            <w:pPr>
              <w:jc w:val="right"/>
              <w:spacing w:after="0"/>
              <w:rPr>
                <w:sz w:val="20"/>
                <w:szCs w:val="20"/>
                <w:color w:val="auto"/>
              </w:rPr>
            </w:pPr>
            <w:r>
              <w:rPr>
                <w:rFonts w:ascii="Arial" w:cs="Arial" w:eastAsia="Arial" w:hAnsi="Arial"/>
                <w:sz w:val="19"/>
                <w:szCs w:val="19"/>
                <w:color w:val="auto"/>
              </w:rPr>
              <w:t>827</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453</w:t>
            </w: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32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800" w:type="dxa"/>
            <w:vAlign w:val="bottom"/>
            <w:gridSpan w:val="3"/>
          </w:tcPr>
          <w:p>
            <w:pPr>
              <w:ind w:left="320"/>
              <w:spacing w:after="0"/>
              <w:rPr>
                <w:sz w:val="20"/>
                <w:szCs w:val="20"/>
                <w:color w:val="auto"/>
              </w:rPr>
            </w:pPr>
            <w:r>
              <w:rPr>
                <w:rFonts w:ascii="Arial" w:cs="Arial" w:eastAsia="Arial" w:hAnsi="Arial"/>
                <w:sz w:val="19"/>
                <w:szCs w:val="19"/>
                <w:color w:val="auto"/>
              </w:rPr>
              <w:t>Total current assets</w:t>
            </w:r>
          </w:p>
        </w:tc>
        <w:tc>
          <w:tcPr>
            <w:tcW w:w="920" w:type="dxa"/>
            <w:vAlign w:val="bottom"/>
          </w:tcPr>
          <w:p>
            <w:pPr>
              <w:jc w:val="right"/>
              <w:spacing w:after="0"/>
              <w:rPr>
                <w:sz w:val="20"/>
                <w:szCs w:val="20"/>
                <w:color w:val="auto"/>
              </w:rPr>
            </w:pPr>
            <w:r>
              <w:rPr>
                <w:rFonts w:ascii="Arial" w:cs="Arial" w:eastAsia="Arial" w:hAnsi="Arial"/>
                <w:sz w:val="19"/>
                <w:szCs w:val="19"/>
                <w:color w:val="auto"/>
              </w:rPr>
              <w:t>5,260</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5,403</w:t>
            </w: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32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800" w:type="dxa"/>
            <w:vAlign w:val="bottom"/>
            <w:gridSpan w:val="3"/>
          </w:tcPr>
          <w:p>
            <w:pPr>
              <w:spacing w:after="0"/>
              <w:rPr>
                <w:sz w:val="20"/>
                <w:szCs w:val="20"/>
                <w:color w:val="auto"/>
              </w:rPr>
            </w:pPr>
            <w:r>
              <w:rPr>
                <w:rFonts w:ascii="Arial" w:cs="Arial" w:eastAsia="Arial" w:hAnsi="Arial"/>
                <w:sz w:val="19"/>
                <w:szCs w:val="19"/>
                <w:color w:val="auto"/>
              </w:rPr>
              <w:t>INVESTMENTS</w:t>
            </w:r>
          </w:p>
        </w:tc>
        <w:tc>
          <w:tcPr>
            <w:tcW w:w="920" w:type="dxa"/>
            <w:vAlign w:val="bottom"/>
          </w:tcPr>
          <w:p>
            <w:pPr>
              <w:jc w:val="right"/>
              <w:spacing w:after="0"/>
              <w:rPr>
                <w:sz w:val="20"/>
                <w:szCs w:val="20"/>
                <w:color w:val="auto"/>
              </w:rPr>
            </w:pPr>
            <w:r>
              <w:rPr>
                <w:rFonts w:ascii="Arial" w:cs="Arial" w:eastAsia="Arial" w:hAnsi="Arial"/>
                <w:sz w:val="19"/>
                <w:szCs w:val="19"/>
                <w:color w:val="auto"/>
              </w:rPr>
              <w:t>14,270</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14,818</w:t>
            </w:r>
          </w:p>
        </w:tc>
        <w:tc>
          <w:tcPr>
            <w:tcW w:w="0" w:type="dxa"/>
            <w:vAlign w:val="bottom"/>
          </w:tcPr>
          <w:p>
            <w:pPr>
              <w:spacing w:after="0"/>
              <w:rPr>
                <w:sz w:val="1"/>
                <w:szCs w:val="1"/>
                <w:color w:val="auto"/>
              </w:rPr>
            </w:pPr>
          </w:p>
        </w:tc>
      </w:tr>
      <w:tr>
        <w:trPr>
          <w:trHeight w:val="402"/>
        </w:trPr>
        <w:tc>
          <w:tcPr>
            <w:tcW w:w="6800" w:type="dxa"/>
            <w:vAlign w:val="bottom"/>
            <w:gridSpan w:val="3"/>
          </w:tcPr>
          <w:p>
            <w:pPr>
              <w:spacing w:after="0"/>
              <w:rPr>
                <w:sz w:val="20"/>
                <w:szCs w:val="20"/>
                <w:color w:val="auto"/>
              </w:rPr>
            </w:pPr>
            <w:r>
              <w:rPr>
                <w:rFonts w:ascii="Arial" w:cs="Arial" w:eastAsia="Arial" w:hAnsi="Arial"/>
                <w:sz w:val="19"/>
                <w:szCs w:val="19"/>
                <w:color w:val="auto"/>
              </w:rPr>
              <w:t>PROPERTY AND EQUIPMENT, net of accumulated depreciation of $7,249 and</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80" w:type="dxa"/>
            <w:vAlign w:val="bottom"/>
          </w:tcPr>
          <w:p>
            <w:pPr>
              <w:spacing w:after="0"/>
              <w:rPr>
                <w:sz w:val="20"/>
                <w:szCs w:val="20"/>
                <w:color w:val="auto"/>
              </w:rPr>
            </w:pPr>
            <w:r>
              <w:rPr>
                <w:rFonts w:ascii="Arial" w:cs="Arial" w:eastAsia="Arial" w:hAnsi="Arial"/>
                <w:sz w:val="19"/>
                <w:szCs w:val="19"/>
                <w:color w:val="auto"/>
              </w:rPr>
              <w:t>$6,563</w:t>
            </w:r>
          </w:p>
        </w:tc>
        <w:tc>
          <w:tcPr>
            <w:tcW w:w="32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18,495</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18,473</w:t>
            </w:r>
          </w:p>
        </w:tc>
        <w:tc>
          <w:tcPr>
            <w:tcW w:w="0" w:type="dxa"/>
            <w:vAlign w:val="bottom"/>
          </w:tcPr>
          <w:p>
            <w:pPr>
              <w:spacing w:after="0"/>
              <w:rPr>
                <w:sz w:val="1"/>
                <w:szCs w:val="1"/>
                <w:color w:val="auto"/>
              </w:rPr>
            </w:pPr>
          </w:p>
        </w:tc>
      </w:tr>
      <w:tr>
        <w:trPr>
          <w:trHeight w:val="429"/>
        </w:trPr>
        <w:tc>
          <w:tcPr>
            <w:tcW w:w="6800" w:type="dxa"/>
            <w:vAlign w:val="bottom"/>
            <w:gridSpan w:val="3"/>
          </w:tcPr>
          <w:p>
            <w:pPr>
              <w:spacing w:after="0"/>
              <w:rPr>
                <w:sz w:val="20"/>
                <w:szCs w:val="20"/>
                <w:color w:val="auto"/>
              </w:rPr>
            </w:pPr>
            <w:r>
              <w:rPr>
                <w:rFonts w:ascii="Arial" w:cs="Arial" w:eastAsia="Arial" w:hAnsi="Arial"/>
                <w:sz w:val="19"/>
                <w:szCs w:val="19"/>
                <w:color w:val="auto"/>
              </w:rPr>
              <w:t>FRANCHISE RIGHTS</w:t>
            </w:r>
          </w:p>
        </w:tc>
        <w:tc>
          <w:tcPr>
            <w:tcW w:w="920" w:type="dxa"/>
            <w:vAlign w:val="bottom"/>
          </w:tcPr>
          <w:p>
            <w:pPr>
              <w:jc w:val="right"/>
              <w:spacing w:after="0"/>
              <w:rPr>
                <w:sz w:val="20"/>
                <w:szCs w:val="20"/>
                <w:color w:val="auto"/>
              </w:rPr>
            </w:pPr>
            <w:r>
              <w:rPr>
                <w:rFonts w:ascii="Arial" w:cs="Arial" w:eastAsia="Arial" w:hAnsi="Arial"/>
                <w:sz w:val="19"/>
                <w:szCs w:val="19"/>
                <w:color w:val="auto"/>
              </w:rPr>
              <w:t>51,050</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51,050</w:t>
            </w:r>
          </w:p>
        </w:tc>
        <w:tc>
          <w:tcPr>
            <w:tcW w:w="0" w:type="dxa"/>
            <w:vAlign w:val="bottom"/>
          </w:tcPr>
          <w:p>
            <w:pPr>
              <w:spacing w:after="0"/>
              <w:rPr>
                <w:sz w:val="1"/>
                <w:szCs w:val="1"/>
                <w:color w:val="auto"/>
              </w:rPr>
            </w:pPr>
          </w:p>
        </w:tc>
      </w:tr>
      <w:tr>
        <w:trPr>
          <w:trHeight w:val="429"/>
        </w:trPr>
        <w:tc>
          <w:tcPr>
            <w:tcW w:w="6800" w:type="dxa"/>
            <w:vAlign w:val="bottom"/>
            <w:gridSpan w:val="3"/>
          </w:tcPr>
          <w:p>
            <w:pPr>
              <w:spacing w:after="0"/>
              <w:rPr>
                <w:sz w:val="20"/>
                <w:szCs w:val="20"/>
                <w:color w:val="auto"/>
              </w:rPr>
            </w:pPr>
            <w:r>
              <w:rPr>
                <w:rFonts w:ascii="Arial" w:cs="Arial" w:eastAsia="Arial" w:hAnsi="Arial"/>
                <w:sz w:val="19"/>
                <w:szCs w:val="19"/>
                <w:color w:val="auto"/>
              </w:rPr>
              <w:t>GOODWILL</w:t>
            </w:r>
          </w:p>
        </w:tc>
        <w:tc>
          <w:tcPr>
            <w:tcW w:w="920" w:type="dxa"/>
            <w:vAlign w:val="bottom"/>
          </w:tcPr>
          <w:p>
            <w:pPr>
              <w:jc w:val="right"/>
              <w:spacing w:after="0"/>
              <w:rPr>
                <w:sz w:val="20"/>
                <w:szCs w:val="20"/>
                <w:color w:val="auto"/>
              </w:rPr>
            </w:pPr>
            <w:r>
              <w:rPr>
                <w:rFonts w:ascii="Arial" w:cs="Arial" w:eastAsia="Arial" w:hAnsi="Arial"/>
                <w:sz w:val="19"/>
                <w:szCs w:val="19"/>
                <w:color w:val="auto"/>
              </w:rPr>
              <w:t>14,840</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14,841</w:t>
            </w:r>
          </w:p>
        </w:tc>
        <w:tc>
          <w:tcPr>
            <w:tcW w:w="0" w:type="dxa"/>
            <w:vAlign w:val="bottom"/>
          </w:tcPr>
          <w:p>
            <w:pPr>
              <w:spacing w:after="0"/>
              <w:rPr>
                <w:sz w:val="1"/>
                <w:szCs w:val="1"/>
                <w:color w:val="auto"/>
              </w:rPr>
            </w:pPr>
          </w:p>
        </w:tc>
      </w:tr>
      <w:tr>
        <w:trPr>
          <w:trHeight w:val="402"/>
        </w:trPr>
        <w:tc>
          <w:tcPr>
            <w:tcW w:w="6800" w:type="dxa"/>
            <w:vAlign w:val="bottom"/>
            <w:gridSpan w:val="3"/>
          </w:tcPr>
          <w:p>
            <w:pPr>
              <w:spacing w:after="0"/>
              <w:rPr>
                <w:sz w:val="20"/>
                <w:szCs w:val="20"/>
                <w:color w:val="auto"/>
              </w:rPr>
            </w:pPr>
            <w:r>
              <w:rPr>
                <w:rFonts w:ascii="Arial" w:cs="Arial" w:eastAsia="Arial" w:hAnsi="Arial"/>
                <w:sz w:val="19"/>
                <w:szCs w:val="19"/>
                <w:color w:val="auto"/>
              </w:rPr>
              <w:t>OTHER INTANGIBLE ASSETS, net of accumulated amortization of $2,491 and</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80" w:type="dxa"/>
            <w:vAlign w:val="bottom"/>
          </w:tcPr>
          <w:p>
            <w:pPr>
              <w:spacing w:after="0"/>
              <w:rPr>
                <w:sz w:val="20"/>
                <w:szCs w:val="20"/>
                <w:color w:val="auto"/>
              </w:rPr>
            </w:pPr>
            <w:r>
              <w:rPr>
                <w:rFonts w:ascii="Arial" w:cs="Arial" w:eastAsia="Arial" w:hAnsi="Arial"/>
                <w:sz w:val="19"/>
                <w:szCs w:val="19"/>
                <w:color w:val="auto"/>
                <w:w w:val="96"/>
              </w:rPr>
              <w:t>$2,182 .</w:t>
            </w:r>
          </w:p>
        </w:tc>
        <w:tc>
          <w:tcPr>
            <w:tcW w:w="32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3,961</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3,859</w:t>
            </w:r>
          </w:p>
        </w:tc>
        <w:tc>
          <w:tcPr>
            <w:tcW w:w="0" w:type="dxa"/>
            <w:vAlign w:val="bottom"/>
          </w:tcPr>
          <w:p>
            <w:pPr>
              <w:spacing w:after="0"/>
              <w:rPr>
                <w:sz w:val="1"/>
                <w:szCs w:val="1"/>
                <w:color w:val="auto"/>
              </w:rPr>
            </w:pPr>
          </w:p>
        </w:tc>
      </w:tr>
      <w:tr>
        <w:trPr>
          <w:trHeight w:val="429"/>
        </w:trPr>
        <w:tc>
          <w:tcPr>
            <w:tcW w:w="6800" w:type="dxa"/>
            <w:vAlign w:val="bottom"/>
            <w:gridSpan w:val="3"/>
          </w:tcPr>
          <w:p>
            <w:pPr>
              <w:spacing w:after="0"/>
              <w:rPr>
                <w:sz w:val="20"/>
                <w:szCs w:val="20"/>
                <w:color w:val="auto"/>
              </w:rPr>
            </w:pPr>
            <w:r>
              <w:rPr>
                <w:rFonts w:ascii="Arial" w:cs="Arial" w:eastAsia="Arial" w:hAnsi="Arial"/>
                <w:sz w:val="19"/>
                <w:szCs w:val="19"/>
                <w:color w:val="auto"/>
              </w:rPr>
              <w:t>OTHER NONCURRENT ASSETS, net</w:t>
            </w:r>
          </w:p>
        </w:tc>
        <w:tc>
          <w:tcPr>
            <w:tcW w:w="920" w:type="dxa"/>
            <w:vAlign w:val="bottom"/>
          </w:tcPr>
          <w:p>
            <w:pPr>
              <w:jc w:val="right"/>
              <w:spacing w:after="0"/>
              <w:rPr>
                <w:sz w:val="20"/>
                <w:szCs w:val="20"/>
                <w:color w:val="auto"/>
              </w:rPr>
            </w:pPr>
            <w:r>
              <w:rPr>
                <w:rFonts w:ascii="Arial" w:cs="Arial" w:eastAsia="Arial" w:hAnsi="Arial"/>
                <w:sz w:val="19"/>
                <w:szCs w:val="19"/>
                <w:color w:val="auto"/>
              </w:rPr>
              <w:t>691</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715</w:t>
            </w: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32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$108,567</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$109,159</w:t>
            </w:r>
          </w:p>
        </w:tc>
        <w:tc>
          <w:tcPr>
            <w:tcW w:w="0" w:type="dxa"/>
            <w:vAlign w:val="bottom"/>
          </w:tcPr>
          <w:p>
            <w:pPr>
              <w:spacing w:after="0"/>
              <w:rPr>
                <w:sz w:val="1"/>
                <w:szCs w:val="1"/>
                <w:color w:val="auto"/>
              </w:rPr>
            </w:pPr>
          </w:p>
        </w:tc>
      </w:tr>
      <w:tr>
        <w:trPr>
          <w:trHeight w:val="95"/>
        </w:trPr>
        <w:tc>
          <w:tcPr>
            <w:tcW w:w="3900" w:type="dxa"/>
            <w:vAlign w:val="bottom"/>
            <w:gridSpan w:val="2"/>
            <w:vMerge w:val="restart"/>
          </w:tcPr>
          <w:p>
            <w:pPr>
              <w:spacing w:after="0"/>
              <w:rPr>
                <w:sz w:val="20"/>
                <w:szCs w:val="20"/>
                <w:color w:val="auto"/>
              </w:rPr>
            </w:pPr>
            <w:r>
              <w:rPr>
                <w:rFonts w:ascii="Arial" w:cs="Arial" w:eastAsia="Arial" w:hAnsi="Arial"/>
                <w:sz w:val="19"/>
                <w:szCs w:val="19"/>
                <w:color w:val="auto"/>
                <w:w w:val="98"/>
              </w:rPr>
              <w:t>LIABILITIES AND STOCKHOLDERS' EQUITY</w:t>
            </w:r>
          </w:p>
        </w:tc>
        <w:tc>
          <w:tcPr>
            <w:tcW w:w="2900" w:type="dxa"/>
            <w:vAlign w:val="bottom"/>
            <w:vMerge w:val="restart"/>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3900" w:type="dxa"/>
            <w:vAlign w:val="bottom"/>
            <w:tcBorders>
              <w:bottom w:val="single" w:sz="8" w:color="auto"/>
            </w:tcBorders>
            <w:gridSpan w:val="2"/>
            <w:vMerge w:val="continue"/>
          </w:tcPr>
          <w:p>
            <w:pPr>
              <w:spacing w:after="0"/>
              <w:rPr>
                <w:sz w:val="23"/>
                <w:szCs w:val="23"/>
                <w:color w:val="auto"/>
              </w:rPr>
            </w:pPr>
          </w:p>
        </w:tc>
        <w:tc>
          <w:tcPr>
            <w:tcW w:w="2900" w:type="dxa"/>
            <w:vAlign w:val="bottom"/>
            <w:vMerge w:val="continue"/>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6"/>
        </w:trPr>
        <w:tc>
          <w:tcPr>
            <w:tcW w:w="6800" w:type="dxa"/>
            <w:vAlign w:val="bottom"/>
            <w:gridSpan w:val="3"/>
          </w:tcPr>
          <w:p>
            <w:pPr>
              <w:spacing w:after="0"/>
              <w:rPr>
                <w:sz w:val="20"/>
                <w:szCs w:val="20"/>
                <w:color w:val="auto"/>
              </w:rPr>
            </w:pPr>
            <w:r>
              <w:rPr>
                <w:rFonts w:ascii="Arial" w:cs="Arial" w:eastAsia="Arial" w:hAnsi="Arial"/>
                <w:sz w:val="19"/>
                <w:szCs w:val="19"/>
                <w:color w:val="auto"/>
              </w:rPr>
              <w:t>CURRENT LIABILITIES</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00" w:type="dxa"/>
            <w:vAlign w:val="bottom"/>
            <w:gridSpan w:val="3"/>
          </w:tcPr>
          <w:p>
            <w:pPr>
              <w:ind w:left="120"/>
              <w:spacing w:after="0" w:line="214" w:lineRule="exact"/>
              <w:rPr>
                <w:sz w:val="20"/>
                <w:szCs w:val="20"/>
                <w:color w:val="auto"/>
              </w:rPr>
            </w:pPr>
            <w:r>
              <w:rPr>
                <w:rFonts w:ascii="Arial" w:cs="Arial" w:eastAsia="Arial" w:hAnsi="Arial"/>
                <w:sz w:val="19"/>
                <w:szCs w:val="19"/>
                <w:color w:val="auto"/>
              </w:rPr>
              <w:t>Accounts payable</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$1,024</w:t>
            </w:r>
          </w:p>
        </w:tc>
        <w:tc>
          <w:tcPr>
            <w:tcW w:w="11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$1,251</w:t>
            </w:r>
          </w:p>
        </w:tc>
        <w:tc>
          <w:tcPr>
            <w:tcW w:w="0" w:type="dxa"/>
            <w:vAlign w:val="bottom"/>
          </w:tcPr>
          <w:p>
            <w:pPr>
              <w:spacing w:after="0"/>
              <w:rPr>
                <w:sz w:val="1"/>
                <w:szCs w:val="1"/>
                <w:color w:val="auto"/>
              </w:rPr>
            </w:pPr>
          </w:p>
        </w:tc>
      </w:tr>
      <w:tr>
        <w:trPr>
          <w:trHeight w:val="215"/>
        </w:trPr>
        <w:tc>
          <w:tcPr>
            <w:tcW w:w="6800" w:type="dxa"/>
            <w:vAlign w:val="bottom"/>
            <w:gridSpan w:val="3"/>
          </w:tcPr>
          <w:p>
            <w:pPr>
              <w:ind w:left="120"/>
              <w:spacing w:after="0" w:line="214" w:lineRule="exact"/>
              <w:rPr>
                <w:sz w:val="20"/>
                <w:szCs w:val="20"/>
                <w:color w:val="auto"/>
              </w:rPr>
            </w:pPr>
            <w:r>
              <w:rPr>
                <w:rFonts w:ascii="Arial" w:cs="Arial" w:eastAsia="Arial" w:hAnsi="Arial"/>
                <w:sz w:val="19"/>
                <w:szCs w:val="19"/>
                <w:color w:val="auto"/>
              </w:rPr>
              <w:t>Accrued expenses and other current liabilities</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4,149</w:t>
            </w:r>
          </w:p>
        </w:tc>
        <w:tc>
          <w:tcPr>
            <w:tcW w:w="11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4,563</w:t>
            </w:r>
          </w:p>
        </w:tc>
        <w:tc>
          <w:tcPr>
            <w:tcW w:w="0" w:type="dxa"/>
            <w:vAlign w:val="bottom"/>
          </w:tcPr>
          <w:p>
            <w:pPr>
              <w:spacing w:after="0"/>
              <w:rPr>
                <w:sz w:val="1"/>
                <w:szCs w:val="1"/>
                <w:color w:val="auto"/>
              </w:rPr>
            </w:pPr>
          </w:p>
        </w:tc>
      </w:tr>
      <w:tr>
        <w:trPr>
          <w:trHeight w:val="242"/>
        </w:trPr>
        <w:tc>
          <w:tcPr>
            <w:tcW w:w="6800" w:type="dxa"/>
            <w:vAlign w:val="bottom"/>
            <w:gridSpan w:val="3"/>
          </w:tcPr>
          <w:p>
            <w:pPr>
              <w:ind w:left="140"/>
              <w:spacing w:after="0"/>
              <w:rPr>
                <w:sz w:val="20"/>
                <w:szCs w:val="20"/>
                <w:color w:val="auto"/>
              </w:rPr>
            </w:pPr>
            <w:r>
              <w:rPr>
                <w:rFonts w:ascii="Arial" w:cs="Arial" w:eastAsia="Arial" w:hAnsi="Arial"/>
                <w:sz w:val="19"/>
                <w:szCs w:val="19"/>
                <w:color w:val="auto"/>
              </w:rPr>
              <w:t>Deferred income taxes</w:t>
            </w:r>
          </w:p>
        </w:tc>
        <w:tc>
          <w:tcPr>
            <w:tcW w:w="920" w:type="dxa"/>
            <w:vAlign w:val="bottom"/>
          </w:tcPr>
          <w:p>
            <w:pPr>
              <w:jc w:val="right"/>
              <w:spacing w:after="0"/>
              <w:rPr>
                <w:sz w:val="20"/>
                <w:szCs w:val="20"/>
                <w:color w:val="auto"/>
              </w:rPr>
            </w:pPr>
            <w:r>
              <w:rPr>
                <w:rFonts w:ascii="Arial" w:cs="Arial" w:eastAsia="Arial" w:hAnsi="Arial"/>
                <w:sz w:val="19"/>
                <w:szCs w:val="19"/>
                <w:color w:val="auto"/>
              </w:rPr>
              <w:t>733</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679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4886960</wp:posOffset>
            </wp:positionH>
            <wp:positionV relativeFrom="paragraph">
              <wp:posOffset>-894715</wp:posOffset>
            </wp:positionV>
            <wp:extent cx="127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-894715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-894715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-894715</wp:posOffset>
            </wp:positionV>
            <wp:extent cx="127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42" w:orient="portrait"/>
          <w:cols w:equalWidth="0" w:num="1">
            <w:col w:w="11300"/>
          </w:cols>
          <w:pgMar w:left="240" w:top="120" w:right="359" w:bottom="0" w:gutter="0" w:footer="0" w:header="0"/>
        </w:sectPr>
      </w:pPr>
    </w:p>
    <w:bookmarkStart w:id="2" w:name="page3"/>
    <w:bookmarkEnd w:id="2"/>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00" w:type="dxa"/>
            <w:vAlign w:val="bottom"/>
            <w:gridSpan w:val="3"/>
          </w:tcPr>
          <w:p>
            <w:pPr>
              <w:ind w:left="140"/>
              <w:spacing w:after="0"/>
              <w:rPr>
                <w:sz w:val="20"/>
                <w:szCs w:val="20"/>
                <w:color w:val="auto"/>
              </w:rPr>
            </w:pPr>
            <w:r>
              <w:rPr>
                <w:rFonts w:ascii="Arial" w:cs="Arial" w:eastAsia="Arial" w:hAnsi="Arial"/>
                <w:sz w:val="19"/>
                <w:szCs w:val="19"/>
                <w:color w:val="auto"/>
              </w:rPr>
              <w:t>Current portion of long-term debt</w:t>
            </w:r>
          </w:p>
        </w:tc>
        <w:tc>
          <w:tcPr>
            <w:tcW w:w="920" w:type="dxa"/>
            <w:vAlign w:val="bottom"/>
          </w:tcPr>
          <w:p>
            <w:pPr>
              <w:jc w:val="right"/>
              <w:spacing w:after="0"/>
              <w:rPr>
                <w:sz w:val="20"/>
                <w:szCs w:val="20"/>
                <w:color w:val="auto"/>
              </w:rPr>
            </w:pPr>
            <w:r>
              <w:rPr>
                <w:rFonts w:ascii="Arial" w:cs="Arial" w:eastAsia="Arial" w:hAnsi="Arial"/>
                <w:sz w:val="19"/>
                <w:szCs w:val="19"/>
                <w:color w:val="auto"/>
              </w:rPr>
              <w:t>3,386</w:t>
            </w:r>
          </w:p>
        </w:tc>
        <w:tc>
          <w:tcPr>
            <w:tcW w:w="26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3,161</w:t>
            </w:r>
          </w:p>
        </w:tc>
      </w:tr>
      <w:tr>
        <w:trPr>
          <w:trHeight w:val="87"/>
        </w:trPr>
        <w:tc>
          <w:tcPr>
            <w:tcW w:w="3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310"/>
        </w:trPr>
        <w:tc>
          <w:tcPr>
            <w:tcW w:w="6800" w:type="dxa"/>
            <w:vAlign w:val="bottom"/>
            <w:gridSpan w:val="3"/>
          </w:tcPr>
          <w:p>
            <w:pPr>
              <w:ind w:left="320"/>
              <w:spacing w:after="0"/>
              <w:rPr>
                <w:sz w:val="20"/>
                <w:szCs w:val="20"/>
                <w:color w:val="auto"/>
              </w:rPr>
            </w:pPr>
            <w:r>
              <w:rPr>
                <w:rFonts w:ascii="Arial" w:cs="Arial" w:eastAsia="Arial" w:hAnsi="Arial"/>
                <w:sz w:val="19"/>
                <w:szCs w:val="19"/>
                <w:color w:val="auto"/>
              </w:rPr>
              <w:t>Total current liabilities</w:t>
            </w:r>
          </w:p>
        </w:tc>
        <w:tc>
          <w:tcPr>
            <w:tcW w:w="920" w:type="dxa"/>
            <w:vAlign w:val="bottom"/>
          </w:tcPr>
          <w:p>
            <w:pPr>
              <w:jc w:val="right"/>
              <w:spacing w:after="0"/>
              <w:rPr>
                <w:sz w:val="20"/>
                <w:szCs w:val="20"/>
                <w:color w:val="auto"/>
              </w:rPr>
            </w:pPr>
            <w:r>
              <w:rPr>
                <w:rFonts w:ascii="Arial" w:cs="Arial" w:eastAsia="Arial" w:hAnsi="Arial"/>
                <w:sz w:val="19"/>
                <w:szCs w:val="19"/>
                <w:color w:val="auto"/>
              </w:rPr>
              <w:t>9,292</w:t>
            </w:r>
          </w:p>
        </w:tc>
        <w:tc>
          <w:tcPr>
            <w:tcW w:w="2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9,654</w:t>
            </w:r>
          </w:p>
        </w:tc>
      </w:tr>
      <w:tr>
        <w:trPr>
          <w:trHeight w:val="87"/>
        </w:trPr>
        <w:tc>
          <w:tcPr>
            <w:tcW w:w="3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310"/>
        </w:trPr>
        <w:tc>
          <w:tcPr>
            <w:tcW w:w="6800" w:type="dxa"/>
            <w:vAlign w:val="bottom"/>
            <w:gridSpan w:val="3"/>
          </w:tcPr>
          <w:p>
            <w:pPr>
              <w:spacing w:after="0"/>
              <w:rPr>
                <w:sz w:val="20"/>
                <w:szCs w:val="20"/>
                <w:color w:val="auto"/>
              </w:rPr>
            </w:pPr>
            <w:r>
              <w:rPr>
                <w:rFonts w:ascii="Arial" w:cs="Arial" w:eastAsia="Arial" w:hAnsi="Arial"/>
                <w:sz w:val="19"/>
                <w:szCs w:val="19"/>
                <w:color w:val="auto"/>
              </w:rPr>
              <w:t>LONG-TERM DEBT, less current portion</w:t>
            </w:r>
          </w:p>
        </w:tc>
        <w:tc>
          <w:tcPr>
            <w:tcW w:w="920" w:type="dxa"/>
            <w:vAlign w:val="bottom"/>
          </w:tcPr>
          <w:p>
            <w:pPr>
              <w:jc w:val="right"/>
              <w:spacing w:after="0"/>
              <w:rPr>
                <w:sz w:val="20"/>
                <w:szCs w:val="20"/>
                <w:color w:val="auto"/>
              </w:rPr>
            </w:pPr>
            <w:r>
              <w:rPr>
                <w:rFonts w:ascii="Arial" w:cs="Arial" w:eastAsia="Arial" w:hAnsi="Arial"/>
                <w:sz w:val="19"/>
                <w:szCs w:val="19"/>
                <w:color w:val="auto"/>
              </w:rPr>
              <w:t>23,240</w:t>
            </w:r>
          </w:p>
        </w:tc>
        <w:tc>
          <w:tcPr>
            <w:tcW w:w="2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23,835</w:t>
            </w:r>
          </w:p>
        </w:tc>
      </w:tr>
      <w:tr>
        <w:trPr>
          <w:trHeight w:val="429"/>
        </w:trPr>
        <w:tc>
          <w:tcPr>
            <w:tcW w:w="6800" w:type="dxa"/>
            <w:vAlign w:val="bottom"/>
            <w:gridSpan w:val="3"/>
          </w:tcPr>
          <w:p>
            <w:pPr>
              <w:spacing w:after="0"/>
              <w:rPr>
                <w:sz w:val="20"/>
                <w:szCs w:val="20"/>
                <w:color w:val="auto"/>
              </w:rPr>
            </w:pPr>
            <w:r>
              <w:rPr>
                <w:rFonts w:ascii="Arial" w:cs="Arial" w:eastAsia="Arial" w:hAnsi="Arial"/>
                <w:sz w:val="19"/>
                <w:szCs w:val="19"/>
                <w:color w:val="auto"/>
              </w:rPr>
              <w:t>DEFERRED INCOME TAXES</w:t>
            </w:r>
          </w:p>
        </w:tc>
        <w:tc>
          <w:tcPr>
            <w:tcW w:w="920" w:type="dxa"/>
            <w:vAlign w:val="bottom"/>
          </w:tcPr>
          <w:p>
            <w:pPr>
              <w:jc w:val="right"/>
              <w:spacing w:after="0"/>
              <w:rPr>
                <w:sz w:val="20"/>
                <w:szCs w:val="20"/>
                <w:color w:val="auto"/>
              </w:rPr>
            </w:pPr>
            <w:r>
              <w:rPr>
                <w:rFonts w:ascii="Arial" w:cs="Arial" w:eastAsia="Arial" w:hAnsi="Arial"/>
                <w:sz w:val="19"/>
                <w:szCs w:val="19"/>
                <w:color w:val="auto"/>
              </w:rPr>
              <w:t>26,291</w:t>
            </w:r>
          </w:p>
        </w:tc>
        <w:tc>
          <w:tcPr>
            <w:tcW w:w="2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25,900</w:t>
            </w:r>
          </w:p>
        </w:tc>
      </w:tr>
      <w:tr>
        <w:trPr>
          <w:trHeight w:val="429"/>
        </w:trPr>
        <w:tc>
          <w:tcPr>
            <w:tcW w:w="6800" w:type="dxa"/>
            <w:vAlign w:val="bottom"/>
            <w:gridSpan w:val="3"/>
          </w:tcPr>
          <w:p>
            <w:pPr>
              <w:spacing w:after="0"/>
              <w:rPr>
                <w:sz w:val="20"/>
                <w:szCs w:val="20"/>
                <w:color w:val="auto"/>
              </w:rPr>
            </w:pPr>
            <w:r>
              <w:rPr>
                <w:rFonts w:ascii="Arial" w:cs="Arial" w:eastAsia="Arial" w:hAnsi="Arial"/>
                <w:sz w:val="19"/>
                <w:szCs w:val="19"/>
                <w:color w:val="auto"/>
              </w:rPr>
              <w:t>OTHER NONCURRENT LIABILITIES</w:t>
            </w:r>
          </w:p>
        </w:tc>
        <w:tc>
          <w:tcPr>
            <w:tcW w:w="920" w:type="dxa"/>
            <w:vAlign w:val="bottom"/>
          </w:tcPr>
          <w:p>
            <w:pPr>
              <w:jc w:val="right"/>
              <w:spacing w:after="0"/>
              <w:rPr>
                <w:sz w:val="20"/>
                <w:szCs w:val="20"/>
                <w:color w:val="auto"/>
              </w:rPr>
            </w:pPr>
            <w:r>
              <w:rPr>
                <w:rFonts w:ascii="Arial" w:cs="Arial" w:eastAsia="Arial" w:hAnsi="Arial"/>
                <w:sz w:val="19"/>
                <w:szCs w:val="19"/>
                <w:color w:val="auto"/>
              </w:rPr>
              <w:t>7,706</w:t>
            </w:r>
          </w:p>
        </w:tc>
        <w:tc>
          <w:tcPr>
            <w:tcW w:w="2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7,816</w:t>
            </w:r>
          </w:p>
        </w:tc>
      </w:tr>
      <w:tr>
        <w:trPr>
          <w:trHeight w:val="429"/>
        </w:trPr>
        <w:tc>
          <w:tcPr>
            <w:tcW w:w="6800" w:type="dxa"/>
            <w:vAlign w:val="bottom"/>
            <w:gridSpan w:val="3"/>
          </w:tcPr>
          <w:p>
            <w:pPr>
              <w:spacing w:after="0"/>
              <w:rPr>
                <w:sz w:val="20"/>
                <w:szCs w:val="20"/>
                <w:color w:val="auto"/>
              </w:rPr>
            </w:pPr>
            <w:r>
              <w:rPr>
                <w:rFonts w:ascii="Arial" w:cs="Arial" w:eastAsia="Arial" w:hAnsi="Arial"/>
                <w:sz w:val="19"/>
                <w:szCs w:val="19"/>
                <w:color w:val="auto"/>
              </w:rPr>
              <w:t>MINORITY INTEREST</w:t>
            </w:r>
          </w:p>
        </w:tc>
        <w:tc>
          <w:tcPr>
            <w:tcW w:w="920" w:type="dxa"/>
            <w:vAlign w:val="bottom"/>
          </w:tcPr>
          <w:p>
            <w:pPr>
              <w:jc w:val="right"/>
              <w:spacing w:after="0"/>
              <w:rPr>
                <w:sz w:val="20"/>
                <w:szCs w:val="20"/>
                <w:color w:val="auto"/>
              </w:rPr>
            </w:pPr>
            <w:r>
              <w:rPr>
                <w:rFonts w:ascii="Arial" w:cs="Arial" w:eastAsia="Arial" w:hAnsi="Arial"/>
                <w:sz w:val="19"/>
                <w:szCs w:val="19"/>
                <w:color w:val="auto"/>
              </w:rPr>
              <w:t>300</w:t>
            </w:r>
          </w:p>
        </w:tc>
        <w:tc>
          <w:tcPr>
            <w:tcW w:w="2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292</w:t>
            </w:r>
          </w:p>
        </w:tc>
      </w:tr>
      <w:tr>
        <w:trPr>
          <w:trHeight w:val="385"/>
        </w:trPr>
        <w:tc>
          <w:tcPr>
            <w:tcW w:w="6800" w:type="dxa"/>
            <w:vAlign w:val="bottom"/>
            <w:gridSpan w:val="3"/>
          </w:tcPr>
          <w:p>
            <w:pPr>
              <w:spacing w:after="0"/>
              <w:rPr>
                <w:rFonts w:ascii="Arial" w:cs="Arial" w:eastAsia="Arial" w:hAnsi="Arial"/>
                <w:sz w:val="19"/>
                <w:szCs w:val="19"/>
                <w:color w:val="auto"/>
              </w:rPr>
            </w:pPr>
            <w:r>
              <w:rPr>
                <w:rFonts w:ascii="Arial" w:cs="Arial" w:eastAsia="Arial" w:hAnsi="Arial"/>
                <w:sz w:val="19"/>
                <w:szCs w:val="19"/>
                <w:color w:val="auto"/>
              </w:rPr>
              <w:t>COMMITMENTS AND CONTINGENCIES (</w:t>
            </w:r>
            <w:hyperlink w:anchor="page11">
              <w:r>
                <w:rPr>
                  <w:rFonts w:ascii="Arial" w:cs="Arial" w:eastAsia="Arial" w:hAnsi="Arial"/>
                  <w:sz w:val="19"/>
                  <w:szCs w:val="19"/>
                  <w:color w:val="0000EE"/>
                </w:rPr>
                <w:t>Note 9</w:t>
              </w:r>
            </w:hyperlink>
            <w:r>
              <w:rPr>
                <w:rFonts w:ascii="Arial" w:cs="Arial" w:eastAsia="Arial" w:hAnsi="Arial"/>
                <w:sz w:val="19"/>
                <w:szCs w:val="19"/>
                <w:color w:val="auto"/>
              </w:rPr>
              <w:t>)</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6"/>
        </w:trPr>
        <w:tc>
          <w:tcPr>
            <w:tcW w:w="3580" w:type="dxa"/>
            <w:vAlign w:val="bottom"/>
          </w:tcPr>
          <w:p>
            <w:pPr>
              <w:spacing w:after="0"/>
              <w:rPr>
                <w:sz w:val="20"/>
                <w:szCs w:val="20"/>
                <w:color w:val="auto"/>
              </w:rPr>
            </w:pPr>
            <w:r>
              <w:rPr>
                <w:rFonts w:ascii="Arial" w:cs="Arial" w:eastAsia="Arial" w:hAnsi="Arial"/>
                <w:sz w:val="19"/>
                <w:szCs w:val="19"/>
                <w:color w:val="auto"/>
              </w:rPr>
              <w:t>STOCKHOLDERS' EQUITY</w:t>
            </w:r>
          </w:p>
        </w:tc>
        <w:tc>
          <w:tcPr>
            <w:tcW w:w="50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5"/>
        </w:trPr>
        <w:tc>
          <w:tcPr>
            <w:tcW w:w="6800" w:type="dxa"/>
            <w:vAlign w:val="bottom"/>
            <w:gridSpan w:val="3"/>
          </w:tcPr>
          <w:p>
            <w:pPr>
              <w:ind w:left="140"/>
              <w:spacing w:after="0" w:line="214" w:lineRule="exact"/>
              <w:rPr>
                <w:sz w:val="20"/>
                <w:szCs w:val="20"/>
                <w:color w:val="auto"/>
              </w:rPr>
            </w:pPr>
            <w:r>
              <w:rPr>
                <w:rFonts w:ascii="Arial" w:cs="Arial" w:eastAsia="Arial" w:hAnsi="Arial"/>
                <w:sz w:val="19"/>
                <w:szCs w:val="19"/>
                <w:color w:val="auto"/>
              </w:rPr>
              <w:t>Preferred stock - authorized 20,000,000 shares; issued, zero</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800" w:type="dxa"/>
            <w:vAlign w:val="bottom"/>
            <w:gridSpan w:val="3"/>
          </w:tcPr>
          <w:p>
            <w:pPr>
              <w:ind w:left="140"/>
              <w:spacing w:after="0" w:line="214" w:lineRule="exact"/>
              <w:rPr>
                <w:sz w:val="20"/>
                <w:szCs w:val="20"/>
                <w:color w:val="auto"/>
              </w:rPr>
            </w:pPr>
            <w:r>
              <w:rPr>
                <w:rFonts w:ascii="Arial" w:cs="Arial" w:eastAsia="Arial" w:hAnsi="Arial"/>
                <w:sz w:val="19"/>
                <w:szCs w:val="19"/>
                <w:color w:val="auto"/>
              </w:rPr>
              <w:t>Class A common stock, $0.01 par value - authorized,</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800" w:type="dxa"/>
            <w:vAlign w:val="bottom"/>
            <w:gridSpan w:val="3"/>
          </w:tcPr>
          <w:p>
            <w:pPr>
              <w:ind w:left="240"/>
              <w:spacing w:after="0" w:line="214" w:lineRule="exact"/>
              <w:rPr>
                <w:sz w:val="20"/>
                <w:szCs w:val="20"/>
                <w:color w:val="auto"/>
              </w:rPr>
            </w:pPr>
            <w:r>
              <w:rPr>
                <w:rFonts w:ascii="Arial" w:cs="Arial" w:eastAsia="Arial" w:hAnsi="Arial"/>
                <w:sz w:val="19"/>
                <w:szCs w:val="19"/>
                <w:color w:val="auto"/>
              </w:rPr>
              <w:t>7,500,000,000 shares; issued, 1,601,799,432 and 1,601,161,057;</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800" w:type="dxa"/>
            <w:vAlign w:val="bottom"/>
            <w:gridSpan w:val="3"/>
          </w:tcPr>
          <w:p>
            <w:pPr>
              <w:ind w:left="240"/>
              <w:spacing w:after="0" w:line="214" w:lineRule="exact"/>
              <w:rPr>
                <w:sz w:val="20"/>
                <w:szCs w:val="20"/>
                <w:color w:val="auto"/>
              </w:rPr>
            </w:pPr>
            <w:r>
              <w:rPr>
                <w:rFonts w:ascii="Arial" w:cs="Arial" w:eastAsia="Arial" w:hAnsi="Arial"/>
                <w:sz w:val="19"/>
                <w:szCs w:val="19"/>
                <w:color w:val="auto"/>
              </w:rPr>
              <w:t>outstanding, 1,358,158,932 and 1,357,520,557</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16</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16</w:t>
            </w:r>
          </w:p>
        </w:tc>
      </w:tr>
      <w:tr>
        <w:trPr>
          <w:trHeight w:val="215"/>
        </w:trPr>
        <w:tc>
          <w:tcPr>
            <w:tcW w:w="6800" w:type="dxa"/>
            <w:vAlign w:val="bottom"/>
            <w:gridSpan w:val="3"/>
          </w:tcPr>
          <w:p>
            <w:pPr>
              <w:ind w:left="140"/>
              <w:spacing w:after="0" w:line="214" w:lineRule="exact"/>
              <w:rPr>
                <w:sz w:val="20"/>
                <w:szCs w:val="20"/>
                <w:color w:val="auto"/>
              </w:rPr>
            </w:pPr>
            <w:r>
              <w:rPr>
                <w:rFonts w:ascii="Arial" w:cs="Arial" w:eastAsia="Arial" w:hAnsi="Arial"/>
                <w:sz w:val="19"/>
                <w:szCs w:val="19"/>
                <w:color w:val="auto"/>
              </w:rPr>
              <w:t>Class A special common stock, $0.01 par value - authorized,</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800" w:type="dxa"/>
            <w:vAlign w:val="bottom"/>
            <w:gridSpan w:val="3"/>
          </w:tcPr>
          <w:p>
            <w:pPr>
              <w:ind w:left="240"/>
              <w:spacing w:after="0" w:line="214" w:lineRule="exact"/>
              <w:rPr>
                <w:sz w:val="20"/>
                <w:szCs w:val="20"/>
                <w:color w:val="auto"/>
              </w:rPr>
            </w:pPr>
            <w:r>
              <w:rPr>
                <w:rFonts w:ascii="Arial" w:cs="Arial" w:eastAsia="Arial" w:hAnsi="Arial"/>
                <w:sz w:val="19"/>
                <w:szCs w:val="19"/>
                <w:color w:val="auto"/>
              </w:rPr>
              <w:t>7,500,000,000 shares; issued 931,567,964 and 931,732,876;</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800" w:type="dxa"/>
            <w:vAlign w:val="bottom"/>
            <w:gridSpan w:val="3"/>
          </w:tcPr>
          <w:p>
            <w:pPr>
              <w:ind w:left="240"/>
              <w:spacing w:after="0" w:line="214" w:lineRule="exact"/>
              <w:rPr>
                <w:sz w:val="20"/>
                <w:szCs w:val="20"/>
                <w:color w:val="auto"/>
              </w:rPr>
            </w:pPr>
            <w:r>
              <w:rPr>
                <w:rFonts w:ascii="Arial" w:cs="Arial" w:eastAsia="Arial" w:hAnsi="Arial"/>
                <w:sz w:val="19"/>
                <w:szCs w:val="19"/>
                <w:color w:val="auto"/>
              </w:rPr>
              <w:t>outstanding, 884,278,121 and 884,443,033</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9</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9</w:t>
            </w:r>
          </w:p>
        </w:tc>
      </w:tr>
      <w:tr>
        <w:trPr>
          <w:trHeight w:val="215"/>
        </w:trPr>
        <w:tc>
          <w:tcPr>
            <w:tcW w:w="6800" w:type="dxa"/>
            <w:vAlign w:val="bottom"/>
            <w:gridSpan w:val="3"/>
          </w:tcPr>
          <w:p>
            <w:pPr>
              <w:ind w:left="140"/>
              <w:spacing w:after="0" w:line="214" w:lineRule="exact"/>
              <w:rPr>
                <w:sz w:val="20"/>
                <w:szCs w:val="20"/>
                <w:color w:val="auto"/>
              </w:rPr>
            </w:pPr>
            <w:r>
              <w:rPr>
                <w:rFonts w:ascii="Arial" w:cs="Arial" w:eastAsia="Arial" w:hAnsi="Arial"/>
                <w:sz w:val="19"/>
                <w:szCs w:val="19"/>
                <w:color w:val="auto"/>
              </w:rPr>
              <w:t>Class B common stock, $0.01 par value - authorized, 75,000,000 shares;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800" w:type="dxa"/>
            <w:vAlign w:val="bottom"/>
            <w:gridSpan w:val="3"/>
          </w:tcPr>
          <w:p>
            <w:pPr>
              <w:ind w:left="240"/>
              <w:spacing w:after="0" w:line="214" w:lineRule="exact"/>
              <w:rPr>
                <w:sz w:val="20"/>
                <w:szCs w:val="20"/>
                <w:color w:val="auto"/>
              </w:rPr>
            </w:pPr>
            <w:r>
              <w:rPr>
                <w:rFonts w:ascii="Arial" w:cs="Arial" w:eastAsia="Arial" w:hAnsi="Arial"/>
                <w:sz w:val="19"/>
                <w:szCs w:val="19"/>
                <w:color w:val="auto"/>
              </w:rPr>
              <w:t>issued, 9,444,375</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800" w:type="dxa"/>
            <w:vAlign w:val="bottom"/>
            <w:gridSpan w:val="3"/>
          </w:tcPr>
          <w:p>
            <w:pPr>
              <w:ind w:left="120"/>
              <w:spacing w:after="0" w:line="214" w:lineRule="exact"/>
              <w:rPr>
                <w:sz w:val="20"/>
                <w:szCs w:val="20"/>
                <w:color w:val="auto"/>
              </w:rPr>
            </w:pPr>
            <w:r>
              <w:rPr>
                <w:rFonts w:ascii="Arial" w:cs="Arial" w:eastAsia="Arial" w:hAnsi="Arial"/>
                <w:sz w:val="19"/>
                <w:szCs w:val="19"/>
                <w:color w:val="auto"/>
              </w:rPr>
              <w:t>Additional capital</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44,762</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44,742</w:t>
            </w:r>
          </w:p>
        </w:tc>
      </w:tr>
      <w:tr>
        <w:trPr>
          <w:trHeight w:val="215"/>
        </w:trPr>
        <w:tc>
          <w:tcPr>
            <w:tcW w:w="6800" w:type="dxa"/>
            <w:vAlign w:val="bottom"/>
            <w:gridSpan w:val="3"/>
          </w:tcPr>
          <w:p>
            <w:pPr>
              <w:ind w:left="140"/>
              <w:spacing w:after="0" w:line="214" w:lineRule="exact"/>
              <w:rPr>
                <w:sz w:val="20"/>
                <w:szCs w:val="20"/>
                <w:color w:val="auto"/>
              </w:rPr>
            </w:pPr>
            <w:r>
              <w:rPr>
                <w:rFonts w:ascii="Arial" w:cs="Arial" w:eastAsia="Arial" w:hAnsi="Arial"/>
                <w:sz w:val="19"/>
                <w:szCs w:val="19"/>
                <w:color w:val="auto"/>
              </w:rPr>
              <w:t>Retained earnings</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4,598</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4,552</w:t>
            </w:r>
          </w:p>
        </w:tc>
      </w:tr>
      <w:tr>
        <w:trPr>
          <w:trHeight w:val="215"/>
        </w:trPr>
        <w:tc>
          <w:tcPr>
            <w:tcW w:w="6800" w:type="dxa"/>
            <w:vAlign w:val="bottom"/>
            <w:gridSpan w:val="3"/>
          </w:tcPr>
          <w:p>
            <w:pPr>
              <w:ind w:left="140"/>
              <w:spacing w:after="0" w:line="214" w:lineRule="exact"/>
              <w:rPr>
                <w:sz w:val="20"/>
                <w:szCs w:val="20"/>
                <w:color w:val="auto"/>
              </w:rPr>
            </w:pPr>
            <w:r>
              <w:rPr>
                <w:rFonts w:ascii="Arial" w:cs="Arial" w:eastAsia="Arial" w:hAnsi="Arial"/>
                <w:sz w:val="19"/>
                <w:szCs w:val="19"/>
                <w:color w:val="auto"/>
              </w:rPr>
              <w:t>Treasury stock, 243,640,500 Class A common shares and 47,289,843 Class A</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800" w:type="dxa"/>
            <w:vAlign w:val="bottom"/>
            <w:gridSpan w:val="3"/>
          </w:tcPr>
          <w:p>
            <w:pPr>
              <w:spacing w:after="0" w:line="214" w:lineRule="exact"/>
              <w:rPr>
                <w:sz w:val="20"/>
                <w:szCs w:val="20"/>
                <w:color w:val="auto"/>
              </w:rPr>
            </w:pPr>
            <w:r>
              <w:rPr>
                <w:rFonts w:ascii="Arial" w:cs="Arial" w:eastAsia="Arial" w:hAnsi="Arial"/>
                <w:sz w:val="19"/>
                <w:szCs w:val="19"/>
                <w:color w:val="auto"/>
              </w:rPr>
              <w:t>special</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800" w:type="dxa"/>
            <w:vAlign w:val="bottom"/>
            <w:gridSpan w:val="3"/>
          </w:tcPr>
          <w:p>
            <w:pPr>
              <w:ind w:left="240"/>
              <w:spacing w:after="0" w:line="214" w:lineRule="exact"/>
              <w:rPr>
                <w:sz w:val="20"/>
                <w:szCs w:val="20"/>
                <w:color w:val="auto"/>
              </w:rPr>
            </w:pPr>
            <w:r>
              <w:rPr>
                <w:rFonts w:ascii="Arial" w:cs="Arial" w:eastAsia="Arial" w:hAnsi="Arial"/>
                <w:sz w:val="19"/>
                <w:szCs w:val="19"/>
                <w:color w:val="auto"/>
              </w:rPr>
              <w:t>common shares</w:t>
            </w:r>
          </w:p>
        </w:tc>
        <w:tc>
          <w:tcPr>
            <w:tcW w:w="1180" w:type="dxa"/>
            <w:vAlign w:val="bottom"/>
            <w:gridSpan w:val="2"/>
          </w:tcPr>
          <w:p>
            <w:pPr>
              <w:jc w:val="right"/>
              <w:ind w:right="200"/>
              <w:spacing w:after="0" w:line="214" w:lineRule="exact"/>
              <w:rPr>
                <w:sz w:val="20"/>
                <w:szCs w:val="20"/>
                <w:color w:val="auto"/>
              </w:rPr>
            </w:pPr>
            <w:r>
              <w:rPr>
                <w:rFonts w:ascii="Arial" w:cs="Arial" w:eastAsia="Arial" w:hAnsi="Arial"/>
                <w:sz w:val="19"/>
                <w:szCs w:val="19"/>
                <w:color w:val="auto"/>
              </w:rPr>
              <w:t>(7,517)</w:t>
            </w:r>
          </w:p>
        </w:tc>
        <w:tc>
          <w:tcPr>
            <w:tcW w:w="9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(7,517)</w:t>
            </w:r>
          </w:p>
        </w:tc>
      </w:tr>
      <w:tr>
        <w:trPr>
          <w:trHeight w:val="242"/>
        </w:trPr>
        <w:tc>
          <w:tcPr>
            <w:tcW w:w="6800" w:type="dxa"/>
            <w:vAlign w:val="bottom"/>
            <w:gridSpan w:val="3"/>
          </w:tcPr>
          <w:p>
            <w:pPr>
              <w:ind w:left="120"/>
              <w:spacing w:after="0"/>
              <w:rPr>
                <w:sz w:val="20"/>
                <w:szCs w:val="20"/>
                <w:color w:val="auto"/>
              </w:rPr>
            </w:pPr>
            <w:r>
              <w:rPr>
                <w:rFonts w:ascii="Arial" w:cs="Arial" w:eastAsia="Arial" w:hAnsi="Arial"/>
                <w:sz w:val="19"/>
                <w:szCs w:val="19"/>
                <w:color w:val="auto"/>
              </w:rPr>
              <w:t>Accumulated other comprehensive loss</w:t>
            </w:r>
          </w:p>
        </w:tc>
        <w:tc>
          <w:tcPr>
            <w:tcW w:w="1180" w:type="dxa"/>
            <w:vAlign w:val="bottom"/>
            <w:gridSpan w:val="2"/>
          </w:tcPr>
          <w:p>
            <w:pPr>
              <w:jc w:val="right"/>
              <w:ind w:right="200"/>
              <w:spacing w:after="0"/>
              <w:rPr>
                <w:sz w:val="20"/>
                <w:szCs w:val="20"/>
                <w:color w:val="auto"/>
              </w:rPr>
            </w:pPr>
            <w:r>
              <w:rPr>
                <w:rFonts w:ascii="Arial" w:cs="Arial" w:eastAsia="Arial" w:hAnsi="Arial"/>
                <w:sz w:val="19"/>
                <w:szCs w:val="19"/>
                <w:color w:val="auto"/>
              </w:rPr>
              <w:t>(130)</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(140)</w:t>
            </w:r>
          </w:p>
        </w:tc>
      </w:tr>
      <w:tr>
        <w:trPr>
          <w:trHeight w:val="87"/>
        </w:trPr>
        <w:tc>
          <w:tcPr>
            <w:tcW w:w="3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310"/>
        </w:trPr>
        <w:tc>
          <w:tcPr>
            <w:tcW w:w="6800" w:type="dxa"/>
            <w:vAlign w:val="bottom"/>
            <w:gridSpan w:val="3"/>
          </w:tcPr>
          <w:p>
            <w:pPr>
              <w:ind w:left="320"/>
              <w:spacing w:after="0"/>
              <w:rPr>
                <w:sz w:val="20"/>
                <w:szCs w:val="20"/>
                <w:color w:val="auto"/>
              </w:rPr>
            </w:pPr>
            <w:r>
              <w:rPr>
                <w:rFonts w:ascii="Arial" w:cs="Arial" w:eastAsia="Arial" w:hAnsi="Arial"/>
                <w:sz w:val="19"/>
                <w:szCs w:val="19"/>
                <w:color w:val="auto"/>
              </w:rPr>
              <w:t>Total stockholders' equity</w:t>
            </w:r>
          </w:p>
        </w:tc>
        <w:tc>
          <w:tcPr>
            <w:tcW w:w="920" w:type="dxa"/>
            <w:vAlign w:val="bottom"/>
          </w:tcPr>
          <w:p>
            <w:pPr>
              <w:jc w:val="right"/>
              <w:spacing w:after="0"/>
              <w:rPr>
                <w:sz w:val="20"/>
                <w:szCs w:val="20"/>
                <w:color w:val="auto"/>
              </w:rPr>
            </w:pPr>
            <w:r>
              <w:rPr>
                <w:rFonts w:ascii="Arial" w:cs="Arial" w:eastAsia="Arial" w:hAnsi="Arial"/>
                <w:sz w:val="19"/>
                <w:szCs w:val="19"/>
                <w:color w:val="auto"/>
              </w:rPr>
              <w:t>41,738</w:t>
            </w:r>
          </w:p>
        </w:tc>
        <w:tc>
          <w:tcPr>
            <w:tcW w:w="2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41,662</w:t>
            </w:r>
          </w:p>
        </w:tc>
      </w:tr>
      <w:tr>
        <w:trPr>
          <w:trHeight w:val="87"/>
        </w:trPr>
        <w:tc>
          <w:tcPr>
            <w:tcW w:w="3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310"/>
        </w:trPr>
        <w:tc>
          <w:tcPr>
            <w:tcW w:w="3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$108,567</w:t>
            </w:r>
          </w:p>
        </w:tc>
        <w:tc>
          <w:tcPr>
            <w:tcW w:w="2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$109,159</w:t>
            </w:r>
          </w:p>
        </w:tc>
      </w:tr>
      <w:tr>
        <w:trPr>
          <w:trHeight w:val="95"/>
        </w:trPr>
        <w:tc>
          <w:tcPr>
            <w:tcW w:w="3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4886960</wp:posOffset>
            </wp:positionH>
            <wp:positionV relativeFrom="paragraph">
              <wp:posOffset>-13335</wp:posOffset>
            </wp:positionV>
            <wp:extent cx="12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See notes to condensed consolidated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960" w:type="dxa"/>
            <w:vAlign w:val="bottom"/>
          </w:tcPr>
          <w:p>
            <w:pPr>
              <w:spacing w:after="0"/>
              <w:rPr>
                <w:sz w:val="21"/>
                <w:szCs w:val="21"/>
                <w:color w:val="auto"/>
              </w:rPr>
            </w:pPr>
          </w:p>
        </w:tc>
        <w:tc>
          <w:tcPr>
            <w:tcW w:w="3840" w:type="dxa"/>
            <w:vAlign w:val="bottom"/>
          </w:tcPr>
          <w:p>
            <w:pPr>
              <w:jc w:val="center"/>
              <w:ind w:left="1565"/>
              <w:spacing w:after="0"/>
              <w:rPr>
                <w:sz w:val="20"/>
                <w:szCs w:val="20"/>
                <w:color w:val="auto"/>
              </w:rPr>
            </w:pPr>
            <w:r>
              <w:rPr>
                <w:rFonts w:ascii="Arial" w:cs="Arial" w:eastAsia="Arial" w:hAnsi="Arial"/>
                <w:sz w:val="19"/>
                <w:szCs w:val="19"/>
                <w:color w:val="auto"/>
                <w:w w:val="94"/>
              </w:rPr>
              <w:t>2</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183"/>
        </w:trPr>
        <w:tc>
          <w:tcPr>
            <w:tcW w:w="2960" w:type="dxa"/>
            <w:vAlign w:val="bottom"/>
            <w:tcBorders>
              <w:bottom w:val="single" w:sz="8" w:color="808080"/>
            </w:tcBorders>
          </w:tcPr>
          <w:p>
            <w:pPr>
              <w:spacing w:after="0"/>
              <w:rPr>
                <w:sz w:val="15"/>
                <w:szCs w:val="15"/>
                <w:color w:val="auto"/>
              </w:rPr>
            </w:pPr>
          </w:p>
        </w:tc>
        <w:tc>
          <w:tcPr>
            <w:tcW w:w="3840" w:type="dxa"/>
            <w:vAlign w:val="bottom"/>
            <w:tcBorders>
              <w:bottom w:val="single" w:sz="8" w:color="808080"/>
            </w:tcBorders>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900" w:type="dxa"/>
            <w:vAlign w:val="bottom"/>
            <w:tcBorders>
              <w:bottom w:val="single" w:sz="8" w:color="808080"/>
            </w:tcBorders>
          </w:tcPr>
          <w:p>
            <w:pPr>
              <w:spacing w:after="0"/>
              <w:rPr>
                <w:sz w:val="15"/>
                <w:szCs w:val="15"/>
                <w:color w:val="auto"/>
              </w:rPr>
            </w:pPr>
          </w:p>
        </w:tc>
        <w:tc>
          <w:tcPr>
            <w:tcW w:w="2580" w:type="dxa"/>
            <w:vAlign w:val="bottom"/>
            <w:tcBorders>
              <w:bottom w:val="single" w:sz="8" w:color="808080"/>
            </w:tcBorders>
          </w:tcPr>
          <w:p>
            <w:pPr>
              <w:spacing w:after="0"/>
              <w:rPr>
                <w:sz w:val="15"/>
                <w:szCs w:val="15"/>
                <w:color w:val="auto"/>
              </w:rPr>
            </w:pPr>
          </w:p>
        </w:tc>
      </w:tr>
      <w:tr>
        <w:trPr>
          <w:trHeight w:val="378"/>
        </w:trPr>
        <w:tc>
          <w:tcPr>
            <w:tcW w:w="2960" w:type="dxa"/>
            <w:vAlign w:val="bottom"/>
          </w:tcPr>
          <w:p>
            <w:pPr>
              <w:spacing w:after="0"/>
              <w:rPr>
                <w:sz w:val="24"/>
                <w:szCs w:val="24"/>
                <w:color w:val="auto"/>
              </w:rPr>
            </w:pPr>
          </w:p>
        </w:tc>
        <w:tc>
          <w:tcPr>
            <w:tcW w:w="4840" w:type="dxa"/>
            <w:vAlign w:val="bottom"/>
            <w:gridSpan w:val="3"/>
          </w:tcPr>
          <w:p>
            <w:pPr>
              <w:jc w:val="center"/>
              <w:ind w:left="525"/>
              <w:spacing w:after="0"/>
              <w:rPr>
                <w:sz w:val="20"/>
                <w:szCs w:val="20"/>
                <w:color w:val="auto"/>
              </w:rPr>
            </w:pPr>
            <w:r>
              <w:rPr>
                <w:rFonts w:ascii="Arial" w:cs="Arial" w:eastAsia="Arial" w:hAnsi="Arial"/>
                <w:sz w:val="19"/>
                <w:szCs w:val="19"/>
                <w:color w:val="auto"/>
                <w:w w:val="96"/>
              </w:rPr>
              <w:t>COMCAST CORPORATION AND SUBSIDIARIES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15"/>
        </w:trPr>
        <w:tc>
          <w:tcPr>
            <w:tcW w:w="2960" w:type="dxa"/>
            <w:vAlign w:val="bottom"/>
          </w:tcPr>
          <w:p>
            <w:pPr>
              <w:spacing w:after="0"/>
              <w:rPr>
                <w:sz w:val="18"/>
                <w:szCs w:val="18"/>
                <w:color w:val="auto"/>
              </w:rPr>
            </w:pPr>
          </w:p>
        </w:tc>
        <w:tc>
          <w:tcPr>
            <w:tcW w:w="4840" w:type="dxa"/>
            <w:vAlign w:val="bottom"/>
            <w:gridSpan w:val="3"/>
          </w:tcPr>
          <w:p>
            <w:pPr>
              <w:jc w:val="center"/>
              <w:ind w:left="525"/>
              <w:spacing w:after="0" w:line="214" w:lineRule="exact"/>
              <w:rPr>
                <w:sz w:val="20"/>
                <w:szCs w:val="20"/>
                <w:color w:val="auto"/>
              </w:rPr>
            </w:pPr>
            <w:r>
              <w:rPr>
                <w:rFonts w:ascii="Arial" w:cs="Arial" w:eastAsia="Arial" w:hAnsi="Arial"/>
                <w:sz w:val="19"/>
                <w:szCs w:val="19"/>
                <w:color w:val="auto"/>
                <w:w w:val="94"/>
              </w:rPr>
              <w:t>FORM 10-Q</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5"/>
        </w:trPr>
        <w:tc>
          <w:tcPr>
            <w:tcW w:w="2960" w:type="dxa"/>
            <w:vAlign w:val="bottom"/>
          </w:tcPr>
          <w:p>
            <w:pPr>
              <w:spacing w:after="0"/>
              <w:rPr>
                <w:sz w:val="18"/>
                <w:szCs w:val="18"/>
                <w:color w:val="auto"/>
              </w:rPr>
            </w:pPr>
          </w:p>
        </w:tc>
        <w:tc>
          <w:tcPr>
            <w:tcW w:w="4840" w:type="dxa"/>
            <w:vAlign w:val="bottom"/>
            <w:gridSpan w:val="3"/>
          </w:tcPr>
          <w:p>
            <w:pPr>
              <w:jc w:val="center"/>
              <w:ind w:left="525"/>
              <w:spacing w:after="0" w:line="214" w:lineRule="exact"/>
              <w:rPr>
                <w:sz w:val="20"/>
                <w:szCs w:val="20"/>
                <w:color w:val="auto"/>
              </w:rPr>
            </w:pPr>
            <w:r>
              <w:rPr>
                <w:rFonts w:ascii="Arial" w:cs="Arial" w:eastAsia="Arial" w:hAnsi="Arial"/>
                <w:sz w:val="19"/>
                <w:szCs w:val="19"/>
                <w:color w:val="auto"/>
                <w:w w:val="95"/>
              </w:rPr>
              <w:t>QUARTER ENDED MARCH 31, 2004</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5"/>
        </w:trPr>
        <w:tc>
          <w:tcPr>
            <w:tcW w:w="2960" w:type="dxa"/>
            <w:vAlign w:val="bottom"/>
          </w:tcPr>
          <w:p>
            <w:pPr>
              <w:spacing w:after="0"/>
              <w:rPr>
                <w:sz w:val="18"/>
                <w:szCs w:val="18"/>
                <w:color w:val="auto"/>
              </w:rPr>
            </w:pPr>
          </w:p>
        </w:tc>
        <w:tc>
          <w:tcPr>
            <w:tcW w:w="8500" w:type="dxa"/>
            <w:vAlign w:val="bottom"/>
            <w:gridSpan w:val="6"/>
          </w:tcPr>
          <w:p>
            <w:pPr>
              <w:jc w:val="center"/>
              <w:ind w:right="3040"/>
              <w:spacing w:after="0" w:line="214" w:lineRule="exact"/>
              <w:rPr>
                <w:sz w:val="20"/>
                <w:szCs w:val="20"/>
                <w:color w:val="auto"/>
              </w:rPr>
            </w:pPr>
            <w:r>
              <w:rPr>
                <w:rFonts w:ascii="Arial" w:cs="Arial" w:eastAsia="Arial" w:hAnsi="Arial"/>
                <w:sz w:val="19"/>
                <w:szCs w:val="19"/>
                <w:color w:val="auto"/>
                <w:w w:val="94"/>
              </w:rPr>
              <w:t>CONDENSED CONSOLIDATED STATEMENT OF OPERATIONS</w:t>
            </w:r>
          </w:p>
        </w:tc>
      </w:tr>
      <w:tr>
        <w:trPr>
          <w:trHeight w:val="242"/>
        </w:trPr>
        <w:tc>
          <w:tcPr>
            <w:tcW w:w="2960" w:type="dxa"/>
            <w:vAlign w:val="bottom"/>
          </w:tcPr>
          <w:p>
            <w:pPr>
              <w:spacing w:after="0"/>
              <w:rPr>
                <w:sz w:val="21"/>
                <w:szCs w:val="21"/>
                <w:color w:val="auto"/>
              </w:rPr>
            </w:pPr>
          </w:p>
        </w:tc>
        <w:tc>
          <w:tcPr>
            <w:tcW w:w="4840" w:type="dxa"/>
            <w:vAlign w:val="bottom"/>
            <w:gridSpan w:val="3"/>
          </w:tcPr>
          <w:p>
            <w:pPr>
              <w:jc w:val="center"/>
              <w:ind w:left="585"/>
              <w:spacing w:after="0"/>
              <w:rPr>
                <w:sz w:val="20"/>
                <w:szCs w:val="20"/>
                <w:color w:val="auto"/>
              </w:rPr>
            </w:pPr>
            <w:r>
              <w:rPr>
                <w:rFonts w:ascii="Arial" w:cs="Arial" w:eastAsia="Arial" w:hAnsi="Arial"/>
                <w:sz w:val="19"/>
                <w:szCs w:val="19"/>
                <w:color w:val="auto"/>
                <w:w w:val="92"/>
              </w:rPr>
              <w:t>(Unaudited)</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378"/>
        </w:trPr>
        <w:tc>
          <w:tcPr>
            <w:tcW w:w="29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60" w:type="dxa"/>
            <w:vAlign w:val="bottom"/>
            <w:gridSpan w:val="5"/>
          </w:tcPr>
          <w:p>
            <w:pPr>
              <w:jc w:val="center"/>
              <w:ind w:right="2440"/>
              <w:spacing w:after="0"/>
              <w:rPr>
                <w:sz w:val="20"/>
                <w:szCs w:val="20"/>
                <w:color w:val="auto"/>
              </w:rPr>
            </w:pPr>
            <w:r>
              <w:rPr>
                <w:rFonts w:ascii="Arial" w:cs="Arial" w:eastAsia="Arial" w:hAnsi="Arial"/>
                <w:sz w:val="19"/>
                <w:szCs w:val="19"/>
                <w:color w:val="auto"/>
                <w:w w:val="96"/>
              </w:rPr>
              <w:t>(Dollars in millions,</w:t>
            </w:r>
          </w:p>
        </w:tc>
      </w:tr>
      <w:tr>
        <w:trPr>
          <w:trHeight w:val="215"/>
        </w:trPr>
        <w:tc>
          <w:tcPr>
            <w:tcW w:w="29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60" w:type="dxa"/>
            <w:vAlign w:val="bottom"/>
            <w:gridSpan w:val="5"/>
          </w:tcPr>
          <w:p>
            <w:pPr>
              <w:jc w:val="center"/>
              <w:ind w:right="2400"/>
              <w:spacing w:after="0" w:line="214" w:lineRule="exact"/>
              <w:rPr>
                <w:sz w:val="20"/>
                <w:szCs w:val="20"/>
                <w:color w:val="auto"/>
              </w:rPr>
            </w:pPr>
            <w:r>
              <w:rPr>
                <w:rFonts w:ascii="Arial" w:cs="Arial" w:eastAsia="Arial" w:hAnsi="Arial"/>
                <w:sz w:val="19"/>
                <w:szCs w:val="19"/>
                <w:color w:val="auto"/>
                <w:w w:val="87"/>
              </w:rPr>
              <w:t>except per share data)</w:t>
            </w:r>
          </w:p>
        </w:tc>
      </w:tr>
      <w:tr>
        <w:trPr>
          <w:trHeight w:val="215"/>
        </w:trPr>
        <w:tc>
          <w:tcPr>
            <w:tcW w:w="29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60" w:type="dxa"/>
            <w:vAlign w:val="bottom"/>
            <w:gridSpan w:val="5"/>
          </w:tcPr>
          <w:p>
            <w:pPr>
              <w:jc w:val="center"/>
              <w:ind w:right="2380"/>
              <w:spacing w:after="0" w:line="214" w:lineRule="exact"/>
              <w:rPr>
                <w:sz w:val="20"/>
                <w:szCs w:val="20"/>
                <w:color w:val="auto"/>
              </w:rPr>
            </w:pPr>
            <w:r>
              <w:rPr>
                <w:rFonts w:ascii="Arial" w:cs="Arial" w:eastAsia="Arial" w:hAnsi="Arial"/>
                <w:sz w:val="19"/>
                <w:szCs w:val="19"/>
                <w:color w:val="auto"/>
                <w:w w:val="91"/>
              </w:rPr>
              <w:t>Three Months Ended March</w:t>
            </w:r>
          </w:p>
        </w:tc>
      </w:tr>
      <w:tr>
        <w:trPr>
          <w:trHeight w:val="215"/>
        </w:trPr>
        <w:tc>
          <w:tcPr>
            <w:tcW w:w="29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800"/>
              <w:spacing w:after="0" w:line="214" w:lineRule="exact"/>
              <w:rPr>
                <w:sz w:val="20"/>
                <w:szCs w:val="20"/>
                <w:color w:val="auto"/>
              </w:rPr>
            </w:pPr>
            <w:r>
              <w:rPr>
                <w:rFonts w:ascii="Arial" w:cs="Arial" w:eastAsia="Arial" w:hAnsi="Arial"/>
                <w:sz w:val="19"/>
                <w:szCs w:val="19"/>
                <w:color w:val="auto"/>
                <w:w w:val="90"/>
              </w:rPr>
              <w:t>31,</w:t>
            </w:r>
          </w:p>
        </w:tc>
        <w:tc>
          <w:tcPr>
            <w:tcW w:w="2580" w:type="dxa"/>
            <w:vAlign w:val="bottom"/>
          </w:tcPr>
          <w:p>
            <w:pPr>
              <w:spacing w:after="0"/>
              <w:rPr>
                <w:sz w:val="18"/>
                <w:szCs w:val="18"/>
                <w:color w:val="auto"/>
              </w:rPr>
            </w:pPr>
          </w:p>
        </w:tc>
      </w:tr>
      <w:tr>
        <w:trPr>
          <w:trHeight w:val="242"/>
        </w:trPr>
        <w:tc>
          <w:tcPr>
            <w:tcW w:w="2960" w:type="dxa"/>
            <w:vAlign w:val="bottom"/>
          </w:tcPr>
          <w:p>
            <w:pPr>
              <w:spacing w:after="0"/>
              <w:rPr>
                <w:sz w:val="21"/>
                <w:szCs w:val="21"/>
                <w:color w:val="auto"/>
              </w:rPr>
            </w:pPr>
          </w:p>
        </w:tc>
        <w:tc>
          <w:tcPr>
            <w:tcW w:w="4760" w:type="dxa"/>
            <w:vAlign w:val="bottom"/>
            <w:gridSpan w:val="2"/>
          </w:tcPr>
          <w:p>
            <w:pPr>
              <w:jc w:val="right"/>
              <w:ind w:right="185"/>
              <w:spacing w:after="0"/>
              <w:rPr>
                <w:sz w:val="20"/>
                <w:szCs w:val="20"/>
                <w:color w:val="auto"/>
              </w:rPr>
            </w:pPr>
            <w:r>
              <w:rPr>
                <w:rFonts w:ascii="Arial" w:cs="Arial" w:eastAsia="Arial" w:hAnsi="Arial"/>
                <w:sz w:val="19"/>
                <w:szCs w:val="19"/>
                <w:color w:val="auto"/>
              </w:rPr>
              <w:t>2004</w:t>
            </w:r>
          </w:p>
        </w:tc>
        <w:tc>
          <w:tcPr>
            <w:tcW w:w="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9"/>
                <w:szCs w:val="19"/>
                <w:color w:val="auto"/>
              </w:rPr>
              <w:t>2003</w:t>
            </w:r>
          </w:p>
        </w:tc>
        <w:tc>
          <w:tcPr>
            <w:tcW w:w="2580" w:type="dxa"/>
            <w:vAlign w:val="bottom"/>
          </w:tcPr>
          <w:p>
            <w:pPr>
              <w:spacing w:after="0"/>
              <w:rPr>
                <w:sz w:val="21"/>
                <w:szCs w:val="21"/>
                <w:color w:val="auto"/>
              </w:rPr>
            </w:pPr>
          </w:p>
        </w:tc>
      </w:tr>
      <w:tr>
        <w:trPr>
          <w:trHeight w:val="87"/>
        </w:trPr>
        <w:tc>
          <w:tcPr>
            <w:tcW w:w="2960" w:type="dxa"/>
            <w:vAlign w:val="bottom"/>
          </w:tcPr>
          <w:p>
            <w:pPr>
              <w:spacing w:after="0"/>
              <w:rPr>
                <w:sz w:val="7"/>
                <w:szCs w:val="7"/>
                <w:color w:val="auto"/>
              </w:rPr>
            </w:pPr>
          </w:p>
        </w:tc>
        <w:tc>
          <w:tcPr>
            <w:tcW w:w="384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580" w:type="dxa"/>
            <w:vAlign w:val="bottom"/>
          </w:tcPr>
          <w:p>
            <w:pPr>
              <w:spacing w:after="0"/>
              <w:rPr>
                <w:sz w:val="7"/>
                <w:szCs w:val="7"/>
                <w:color w:val="auto"/>
              </w:rPr>
            </w:pPr>
          </w:p>
        </w:tc>
      </w:tr>
      <w:tr>
        <w:trPr>
          <w:trHeight w:val="310"/>
        </w:trPr>
        <w:tc>
          <w:tcPr>
            <w:tcW w:w="2960" w:type="dxa"/>
            <w:vAlign w:val="bottom"/>
          </w:tcPr>
          <w:p>
            <w:pPr>
              <w:spacing w:after="0"/>
              <w:rPr>
                <w:sz w:val="20"/>
                <w:szCs w:val="20"/>
                <w:color w:val="auto"/>
              </w:rPr>
            </w:pPr>
            <w:r>
              <w:rPr>
                <w:rFonts w:ascii="Arial" w:cs="Arial" w:eastAsia="Arial" w:hAnsi="Arial"/>
                <w:sz w:val="19"/>
                <w:szCs w:val="19"/>
                <w:color w:val="auto"/>
              </w:rPr>
              <w:t>REVENUES</w:t>
            </w:r>
          </w:p>
        </w:tc>
        <w:tc>
          <w:tcPr>
            <w:tcW w:w="4760" w:type="dxa"/>
            <w:vAlign w:val="bottom"/>
            <w:gridSpan w:val="2"/>
          </w:tcPr>
          <w:p>
            <w:pPr>
              <w:jc w:val="right"/>
              <w:spacing w:after="0"/>
              <w:rPr>
                <w:sz w:val="20"/>
                <w:szCs w:val="20"/>
                <w:color w:val="auto"/>
              </w:rPr>
            </w:pPr>
            <w:r>
              <w:rPr>
                <w:rFonts w:ascii="Arial" w:cs="Arial" w:eastAsia="Arial" w:hAnsi="Arial"/>
                <w:sz w:val="19"/>
                <w:szCs w:val="19"/>
                <w:color w:val="auto"/>
              </w:rPr>
              <w:t>$4,908</w:t>
            </w:r>
          </w:p>
        </w:tc>
        <w:tc>
          <w:tcPr>
            <w:tcW w:w="80" w:type="dxa"/>
            <w:vAlign w:val="bottom"/>
          </w:tcPr>
          <w:p>
            <w:pPr>
              <w:spacing w:after="0"/>
              <w:rPr>
                <w:sz w:val="24"/>
                <w:szCs w:val="24"/>
                <w:color w:val="auto"/>
              </w:rPr>
            </w:pPr>
          </w:p>
        </w:tc>
        <w:tc>
          <w:tcPr>
            <w:tcW w:w="3660" w:type="dxa"/>
            <w:vAlign w:val="bottom"/>
            <w:gridSpan w:val="3"/>
          </w:tcPr>
          <w:p>
            <w:pPr>
              <w:jc w:val="right"/>
              <w:ind w:right="2580"/>
              <w:spacing w:after="0"/>
              <w:rPr>
                <w:sz w:val="20"/>
                <w:szCs w:val="20"/>
                <w:color w:val="auto"/>
              </w:rPr>
            </w:pPr>
            <w:r>
              <w:rPr>
                <w:rFonts w:ascii="Arial" w:cs="Arial" w:eastAsia="Arial" w:hAnsi="Arial"/>
                <w:sz w:val="19"/>
                <w:szCs w:val="19"/>
                <w:color w:val="auto"/>
              </w:rPr>
              <w:t>$4,466</w:t>
            </w:r>
          </w:p>
        </w:tc>
      </w:tr>
      <w:tr>
        <w:trPr>
          <w:trHeight w:val="402"/>
        </w:trPr>
        <w:tc>
          <w:tcPr>
            <w:tcW w:w="2960" w:type="dxa"/>
            <w:vAlign w:val="bottom"/>
          </w:tcPr>
          <w:p>
            <w:pPr>
              <w:spacing w:after="0"/>
              <w:rPr>
                <w:sz w:val="20"/>
                <w:szCs w:val="20"/>
                <w:color w:val="auto"/>
              </w:rPr>
            </w:pPr>
            <w:r>
              <w:rPr>
                <w:rFonts w:ascii="Arial" w:cs="Arial" w:eastAsia="Arial" w:hAnsi="Arial"/>
                <w:sz w:val="19"/>
                <w:szCs w:val="19"/>
                <w:color w:val="auto"/>
              </w:rPr>
              <w:t>COSTS AND EXPENSES</w:t>
            </w:r>
          </w:p>
        </w:tc>
        <w:tc>
          <w:tcPr>
            <w:tcW w:w="3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15"/>
        </w:trPr>
        <w:tc>
          <w:tcPr>
            <w:tcW w:w="2960" w:type="dxa"/>
            <w:vAlign w:val="bottom"/>
          </w:tcPr>
          <w:p>
            <w:pPr>
              <w:ind w:left="180"/>
              <w:spacing w:after="0" w:line="214" w:lineRule="exact"/>
              <w:rPr>
                <w:sz w:val="20"/>
                <w:szCs w:val="20"/>
                <w:color w:val="auto"/>
              </w:rPr>
            </w:pPr>
            <w:r>
              <w:rPr>
                <w:rFonts w:ascii="Arial" w:cs="Arial" w:eastAsia="Arial" w:hAnsi="Arial"/>
                <w:sz w:val="19"/>
                <w:szCs w:val="19"/>
                <w:color w:val="auto"/>
                <w:w w:val="95"/>
              </w:rPr>
              <w:t>Operating (excluding depreciation)</w:t>
            </w:r>
          </w:p>
        </w:tc>
        <w:tc>
          <w:tcPr>
            <w:tcW w:w="47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1,869</w:t>
            </w:r>
          </w:p>
        </w:tc>
        <w:tc>
          <w:tcPr>
            <w:tcW w:w="80" w:type="dxa"/>
            <w:vAlign w:val="bottom"/>
          </w:tcPr>
          <w:p>
            <w:pPr>
              <w:spacing w:after="0"/>
              <w:rPr>
                <w:sz w:val="18"/>
                <w:szCs w:val="18"/>
                <w:color w:val="auto"/>
              </w:rPr>
            </w:pPr>
          </w:p>
        </w:tc>
        <w:tc>
          <w:tcPr>
            <w:tcW w:w="3660" w:type="dxa"/>
            <w:vAlign w:val="bottom"/>
            <w:gridSpan w:val="3"/>
          </w:tcPr>
          <w:p>
            <w:pPr>
              <w:jc w:val="right"/>
              <w:ind w:right="2580"/>
              <w:spacing w:after="0" w:line="214" w:lineRule="exact"/>
              <w:rPr>
                <w:sz w:val="20"/>
                <w:szCs w:val="20"/>
                <w:color w:val="auto"/>
              </w:rPr>
            </w:pPr>
            <w:r>
              <w:rPr>
                <w:rFonts w:ascii="Arial" w:cs="Arial" w:eastAsia="Arial" w:hAnsi="Arial"/>
                <w:sz w:val="19"/>
                <w:szCs w:val="19"/>
                <w:color w:val="auto"/>
              </w:rPr>
              <w:t>1,811</w:t>
            </w:r>
          </w:p>
        </w:tc>
      </w:tr>
      <w:tr>
        <w:trPr>
          <w:trHeight w:val="215"/>
        </w:trPr>
        <w:tc>
          <w:tcPr>
            <w:tcW w:w="2960" w:type="dxa"/>
            <w:vAlign w:val="bottom"/>
          </w:tcPr>
          <w:p>
            <w:pPr>
              <w:ind w:left="180"/>
              <w:spacing w:after="0" w:line="214" w:lineRule="exact"/>
              <w:rPr>
                <w:sz w:val="20"/>
                <w:szCs w:val="20"/>
                <w:color w:val="auto"/>
              </w:rPr>
            </w:pPr>
            <w:r>
              <w:rPr>
                <w:rFonts w:ascii="Arial" w:cs="Arial" w:eastAsia="Arial" w:hAnsi="Arial"/>
                <w:sz w:val="19"/>
                <w:szCs w:val="19"/>
                <w:color w:val="auto"/>
                <w:w w:val="95"/>
              </w:rPr>
              <w:t>Selling, general and administrative</w:t>
            </w:r>
          </w:p>
        </w:tc>
        <w:tc>
          <w:tcPr>
            <w:tcW w:w="47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1,306</w:t>
            </w:r>
          </w:p>
        </w:tc>
        <w:tc>
          <w:tcPr>
            <w:tcW w:w="80" w:type="dxa"/>
            <w:vAlign w:val="bottom"/>
          </w:tcPr>
          <w:p>
            <w:pPr>
              <w:spacing w:after="0"/>
              <w:rPr>
                <w:sz w:val="18"/>
                <w:szCs w:val="18"/>
                <w:color w:val="auto"/>
              </w:rPr>
            </w:pPr>
          </w:p>
        </w:tc>
        <w:tc>
          <w:tcPr>
            <w:tcW w:w="3660" w:type="dxa"/>
            <w:vAlign w:val="bottom"/>
            <w:gridSpan w:val="3"/>
          </w:tcPr>
          <w:p>
            <w:pPr>
              <w:jc w:val="right"/>
              <w:ind w:right="2580"/>
              <w:spacing w:after="0" w:line="214" w:lineRule="exact"/>
              <w:rPr>
                <w:sz w:val="20"/>
                <w:szCs w:val="20"/>
                <w:color w:val="auto"/>
              </w:rPr>
            </w:pPr>
            <w:r>
              <w:rPr>
                <w:rFonts w:ascii="Arial" w:cs="Arial" w:eastAsia="Arial" w:hAnsi="Arial"/>
                <w:sz w:val="19"/>
                <w:szCs w:val="19"/>
                <w:color w:val="auto"/>
              </w:rPr>
              <w:t>1,227</w:t>
            </w:r>
          </w:p>
        </w:tc>
      </w:tr>
      <w:tr>
        <w:trPr>
          <w:trHeight w:val="215"/>
        </w:trPr>
        <w:tc>
          <w:tcPr>
            <w:tcW w:w="2960" w:type="dxa"/>
            <w:vAlign w:val="bottom"/>
          </w:tcPr>
          <w:p>
            <w:pPr>
              <w:ind w:left="180"/>
              <w:spacing w:after="0" w:line="214" w:lineRule="exact"/>
              <w:rPr>
                <w:sz w:val="20"/>
                <w:szCs w:val="20"/>
                <w:color w:val="auto"/>
              </w:rPr>
            </w:pPr>
            <w:r>
              <w:rPr>
                <w:rFonts w:ascii="Arial" w:cs="Arial" w:eastAsia="Arial" w:hAnsi="Arial"/>
                <w:sz w:val="19"/>
                <w:szCs w:val="19"/>
                <w:color w:val="auto"/>
              </w:rPr>
              <w:t>Depreciation</w:t>
            </w:r>
          </w:p>
        </w:tc>
        <w:tc>
          <w:tcPr>
            <w:tcW w:w="47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798</w:t>
            </w:r>
          </w:p>
        </w:tc>
        <w:tc>
          <w:tcPr>
            <w:tcW w:w="80" w:type="dxa"/>
            <w:vAlign w:val="bottom"/>
          </w:tcPr>
          <w:p>
            <w:pPr>
              <w:spacing w:after="0"/>
              <w:rPr>
                <w:sz w:val="18"/>
                <w:szCs w:val="18"/>
                <w:color w:val="auto"/>
              </w:rPr>
            </w:pPr>
          </w:p>
        </w:tc>
        <w:tc>
          <w:tcPr>
            <w:tcW w:w="3660" w:type="dxa"/>
            <w:vAlign w:val="bottom"/>
            <w:gridSpan w:val="3"/>
          </w:tcPr>
          <w:p>
            <w:pPr>
              <w:jc w:val="right"/>
              <w:ind w:right="2580"/>
              <w:spacing w:after="0" w:line="214" w:lineRule="exact"/>
              <w:rPr>
                <w:sz w:val="20"/>
                <w:szCs w:val="20"/>
                <w:color w:val="auto"/>
              </w:rPr>
            </w:pPr>
            <w:r>
              <w:rPr>
                <w:rFonts w:ascii="Arial" w:cs="Arial" w:eastAsia="Arial" w:hAnsi="Arial"/>
                <w:sz w:val="19"/>
                <w:szCs w:val="19"/>
                <w:color w:val="auto"/>
              </w:rPr>
              <w:t>780</w:t>
            </w:r>
          </w:p>
        </w:tc>
      </w:tr>
      <w:tr>
        <w:trPr>
          <w:trHeight w:val="242"/>
        </w:trPr>
        <w:tc>
          <w:tcPr>
            <w:tcW w:w="2960" w:type="dxa"/>
            <w:vAlign w:val="bottom"/>
          </w:tcPr>
          <w:p>
            <w:pPr>
              <w:ind w:left="180"/>
              <w:spacing w:after="0"/>
              <w:rPr>
                <w:sz w:val="20"/>
                <w:szCs w:val="20"/>
                <w:color w:val="auto"/>
              </w:rPr>
            </w:pPr>
            <w:r>
              <w:rPr>
                <w:rFonts w:ascii="Arial" w:cs="Arial" w:eastAsia="Arial" w:hAnsi="Arial"/>
                <w:sz w:val="19"/>
                <w:szCs w:val="19"/>
                <w:color w:val="auto"/>
              </w:rPr>
              <w:t>Amortization</w:t>
            </w:r>
          </w:p>
        </w:tc>
        <w:tc>
          <w:tcPr>
            <w:tcW w:w="4760" w:type="dxa"/>
            <w:vAlign w:val="bottom"/>
            <w:gridSpan w:val="2"/>
          </w:tcPr>
          <w:p>
            <w:pPr>
              <w:jc w:val="right"/>
              <w:spacing w:after="0"/>
              <w:rPr>
                <w:sz w:val="20"/>
                <w:szCs w:val="20"/>
                <w:color w:val="auto"/>
              </w:rPr>
            </w:pPr>
            <w:r>
              <w:rPr>
                <w:rFonts w:ascii="Arial" w:cs="Arial" w:eastAsia="Arial" w:hAnsi="Arial"/>
                <w:sz w:val="19"/>
                <w:szCs w:val="19"/>
                <w:color w:val="auto"/>
              </w:rPr>
              <w:t>276</w:t>
            </w:r>
          </w:p>
        </w:tc>
        <w:tc>
          <w:tcPr>
            <w:tcW w:w="80" w:type="dxa"/>
            <w:vAlign w:val="bottom"/>
          </w:tcPr>
          <w:p>
            <w:pPr>
              <w:spacing w:after="0"/>
              <w:rPr>
                <w:sz w:val="21"/>
                <w:szCs w:val="21"/>
                <w:color w:val="auto"/>
              </w:rPr>
            </w:pPr>
          </w:p>
        </w:tc>
        <w:tc>
          <w:tcPr>
            <w:tcW w:w="3660" w:type="dxa"/>
            <w:vAlign w:val="bottom"/>
            <w:gridSpan w:val="3"/>
          </w:tcPr>
          <w:p>
            <w:pPr>
              <w:jc w:val="right"/>
              <w:ind w:right="2580"/>
              <w:spacing w:after="0"/>
              <w:rPr>
                <w:sz w:val="20"/>
                <w:szCs w:val="20"/>
                <w:color w:val="auto"/>
              </w:rPr>
            </w:pPr>
            <w:r>
              <w:rPr>
                <w:rFonts w:ascii="Arial" w:cs="Arial" w:eastAsia="Arial" w:hAnsi="Arial"/>
                <w:sz w:val="19"/>
                <w:szCs w:val="19"/>
                <w:color w:val="auto"/>
              </w:rPr>
              <w:t>354</w:t>
            </w:r>
          </w:p>
        </w:tc>
      </w:tr>
      <w:tr>
        <w:trPr>
          <w:trHeight w:val="87"/>
        </w:trPr>
        <w:tc>
          <w:tcPr>
            <w:tcW w:w="2960" w:type="dxa"/>
            <w:vAlign w:val="bottom"/>
          </w:tcPr>
          <w:p>
            <w:pPr>
              <w:spacing w:after="0"/>
              <w:rPr>
                <w:sz w:val="7"/>
                <w:szCs w:val="7"/>
                <w:color w:val="auto"/>
              </w:rPr>
            </w:pPr>
          </w:p>
        </w:tc>
        <w:tc>
          <w:tcPr>
            <w:tcW w:w="384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580" w:type="dxa"/>
            <w:vAlign w:val="bottom"/>
          </w:tcPr>
          <w:p>
            <w:pPr>
              <w:spacing w:after="0"/>
              <w:rPr>
                <w:sz w:val="7"/>
                <w:szCs w:val="7"/>
                <w:color w:val="auto"/>
              </w:rPr>
            </w:pPr>
          </w:p>
        </w:tc>
      </w:tr>
      <w:tr>
        <w:trPr>
          <w:trHeight w:val="310"/>
        </w:trPr>
        <w:tc>
          <w:tcPr>
            <w:tcW w:w="2960" w:type="dxa"/>
            <w:vAlign w:val="bottom"/>
          </w:tcPr>
          <w:p>
            <w:pPr>
              <w:spacing w:after="0"/>
              <w:rPr>
                <w:sz w:val="24"/>
                <w:szCs w:val="24"/>
                <w:color w:val="auto"/>
              </w:rPr>
            </w:pPr>
          </w:p>
        </w:tc>
        <w:tc>
          <w:tcPr>
            <w:tcW w:w="4760" w:type="dxa"/>
            <w:vAlign w:val="bottom"/>
            <w:gridSpan w:val="2"/>
          </w:tcPr>
          <w:p>
            <w:pPr>
              <w:jc w:val="right"/>
              <w:spacing w:after="0"/>
              <w:rPr>
                <w:sz w:val="20"/>
                <w:szCs w:val="20"/>
                <w:color w:val="auto"/>
              </w:rPr>
            </w:pPr>
            <w:r>
              <w:rPr>
                <w:rFonts w:ascii="Arial" w:cs="Arial" w:eastAsia="Arial" w:hAnsi="Arial"/>
                <w:sz w:val="19"/>
                <w:szCs w:val="19"/>
                <w:color w:val="auto"/>
              </w:rPr>
              <w:t>4,249</w:t>
            </w:r>
          </w:p>
        </w:tc>
        <w:tc>
          <w:tcPr>
            <w:tcW w:w="80" w:type="dxa"/>
            <w:vAlign w:val="bottom"/>
          </w:tcPr>
          <w:p>
            <w:pPr>
              <w:spacing w:after="0"/>
              <w:rPr>
                <w:sz w:val="24"/>
                <w:szCs w:val="24"/>
                <w:color w:val="auto"/>
              </w:rPr>
            </w:pPr>
          </w:p>
        </w:tc>
        <w:tc>
          <w:tcPr>
            <w:tcW w:w="3660" w:type="dxa"/>
            <w:vAlign w:val="bottom"/>
            <w:gridSpan w:val="3"/>
          </w:tcPr>
          <w:p>
            <w:pPr>
              <w:jc w:val="right"/>
              <w:ind w:right="2580"/>
              <w:spacing w:after="0"/>
              <w:rPr>
                <w:sz w:val="20"/>
                <w:szCs w:val="20"/>
                <w:color w:val="auto"/>
              </w:rPr>
            </w:pPr>
            <w:r>
              <w:rPr>
                <w:rFonts w:ascii="Arial" w:cs="Arial" w:eastAsia="Arial" w:hAnsi="Arial"/>
                <w:sz w:val="19"/>
                <w:szCs w:val="19"/>
                <w:color w:val="auto"/>
              </w:rPr>
              <w:t>4,172</w:t>
            </w:r>
          </w:p>
        </w:tc>
      </w:tr>
      <w:tr>
        <w:trPr>
          <w:trHeight w:val="87"/>
        </w:trPr>
        <w:tc>
          <w:tcPr>
            <w:tcW w:w="2960" w:type="dxa"/>
            <w:vAlign w:val="bottom"/>
          </w:tcPr>
          <w:p>
            <w:pPr>
              <w:spacing w:after="0"/>
              <w:rPr>
                <w:sz w:val="7"/>
                <w:szCs w:val="7"/>
                <w:color w:val="auto"/>
              </w:rPr>
            </w:pPr>
          </w:p>
        </w:tc>
        <w:tc>
          <w:tcPr>
            <w:tcW w:w="384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580" w:type="dxa"/>
            <w:vAlign w:val="bottom"/>
          </w:tcPr>
          <w:p>
            <w:pPr>
              <w:spacing w:after="0"/>
              <w:rPr>
                <w:sz w:val="7"/>
                <w:szCs w:val="7"/>
                <w:color w:val="auto"/>
              </w:rPr>
            </w:pPr>
          </w:p>
        </w:tc>
      </w:tr>
      <w:tr>
        <w:trPr>
          <w:trHeight w:val="525"/>
        </w:trPr>
        <w:tc>
          <w:tcPr>
            <w:tcW w:w="2960" w:type="dxa"/>
            <w:vAlign w:val="bottom"/>
          </w:tcPr>
          <w:p>
            <w:pPr>
              <w:spacing w:after="0"/>
              <w:rPr>
                <w:sz w:val="20"/>
                <w:szCs w:val="20"/>
                <w:color w:val="auto"/>
              </w:rPr>
            </w:pPr>
            <w:r>
              <w:rPr>
                <w:rFonts w:ascii="Arial" w:cs="Arial" w:eastAsia="Arial" w:hAnsi="Arial"/>
                <w:sz w:val="19"/>
                <w:szCs w:val="19"/>
                <w:color w:val="auto"/>
              </w:rPr>
              <w:t>OPERATING INCOME</w:t>
            </w:r>
          </w:p>
        </w:tc>
        <w:tc>
          <w:tcPr>
            <w:tcW w:w="4760" w:type="dxa"/>
            <w:vAlign w:val="bottom"/>
            <w:gridSpan w:val="2"/>
          </w:tcPr>
          <w:p>
            <w:pPr>
              <w:jc w:val="right"/>
              <w:spacing w:after="0"/>
              <w:rPr>
                <w:sz w:val="20"/>
                <w:szCs w:val="20"/>
                <w:color w:val="auto"/>
              </w:rPr>
            </w:pPr>
            <w:r>
              <w:rPr>
                <w:rFonts w:ascii="Arial" w:cs="Arial" w:eastAsia="Arial" w:hAnsi="Arial"/>
                <w:sz w:val="19"/>
                <w:szCs w:val="19"/>
                <w:color w:val="auto"/>
              </w:rPr>
              <w:t>659</w:t>
            </w:r>
          </w:p>
        </w:tc>
        <w:tc>
          <w:tcPr>
            <w:tcW w:w="80" w:type="dxa"/>
            <w:vAlign w:val="bottom"/>
          </w:tcPr>
          <w:p>
            <w:pPr>
              <w:spacing w:after="0"/>
              <w:rPr>
                <w:sz w:val="24"/>
                <w:szCs w:val="24"/>
                <w:color w:val="auto"/>
              </w:rPr>
            </w:pPr>
          </w:p>
        </w:tc>
        <w:tc>
          <w:tcPr>
            <w:tcW w:w="3660" w:type="dxa"/>
            <w:vAlign w:val="bottom"/>
            <w:gridSpan w:val="3"/>
          </w:tcPr>
          <w:p>
            <w:pPr>
              <w:jc w:val="right"/>
              <w:ind w:right="2580"/>
              <w:spacing w:after="0"/>
              <w:rPr>
                <w:sz w:val="20"/>
                <w:szCs w:val="20"/>
                <w:color w:val="auto"/>
              </w:rPr>
            </w:pPr>
            <w:r>
              <w:rPr>
                <w:rFonts w:ascii="Arial" w:cs="Arial" w:eastAsia="Arial" w:hAnsi="Arial"/>
                <w:sz w:val="19"/>
                <w:szCs w:val="19"/>
                <w:color w:val="auto"/>
              </w:rPr>
              <w:t>294</w:t>
            </w:r>
          </w:p>
        </w:tc>
      </w:tr>
      <w:tr>
        <w:trPr>
          <w:trHeight w:val="402"/>
        </w:trPr>
        <w:tc>
          <w:tcPr>
            <w:tcW w:w="2960" w:type="dxa"/>
            <w:vAlign w:val="bottom"/>
          </w:tcPr>
          <w:p>
            <w:pPr>
              <w:spacing w:after="0"/>
              <w:rPr>
                <w:sz w:val="20"/>
                <w:szCs w:val="20"/>
                <w:color w:val="auto"/>
              </w:rPr>
            </w:pPr>
            <w:r>
              <w:rPr>
                <w:rFonts w:ascii="Arial" w:cs="Arial" w:eastAsia="Arial" w:hAnsi="Arial"/>
                <w:sz w:val="19"/>
                <w:szCs w:val="19"/>
                <w:color w:val="auto"/>
              </w:rPr>
              <w:t>OTHER INCOME (EXPENSE)</w:t>
            </w:r>
          </w:p>
        </w:tc>
        <w:tc>
          <w:tcPr>
            <w:tcW w:w="3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15"/>
        </w:trPr>
        <w:tc>
          <w:tcPr>
            <w:tcW w:w="2960" w:type="dxa"/>
            <w:vAlign w:val="bottom"/>
          </w:tcPr>
          <w:p>
            <w:pPr>
              <w:ind w:left="180"/>
              <w:spacing w:after="0" w:line="214" w:lineRule="exact"/>
              <w:rPr>
                <w:sz w:val="20"/>
                <w:szCs w:val="20"/>
                <w:color w:val="auto"/>
              </w:rPr>
            </w:pPr>
            <w:r>
              <w:rPr>
                <w:rFonts w:ascii="Arial" w:cs="Arial" w:eastAsia="Arial" w:hAnsi="Arial"/>
                <w:sz w:val="19"/>
                <w:szCs w:val="19"/>
                <w:color w:val="auto"/>
              </w:rPr>
              <w:t>Interest expense</w:t>
            </w:r>
          </w:p>
        </w:tc>
        <w:tc>
          <w:tcPr>
            <w:tcW w:w="4840" w:type="dxa"/>
            <w:vAlign w:val="bottom"/>
            <w:gridSpan w:val="3"/>
          </w:tcPr>
          <w:p>
            <w:pPr>
              <w:jc w:val="right"/>
              <w:ind w:right="20"/>
              <w:spacing w:after="0" w:line="214" w:lineRule="exact"/>
              <w:rPr>
                <w:sz w:val="20"/>
                <w:szCs w:val="20"/>
                <w:color w:val="auto"/>
              </w:rPr>
            </w:pPr>
            <w:r>
              <w:rPr>
                <w:rFonts w:ascii="Arial" w:cs="Arial" w:eastAsia="Arial" w:hAnsi="Arial"/>
                <w:sz w:val="19"/>
                <w:szCs w:val="19"/>
                <w:color w:val="auto"/>
              </w:rPr>
              <w:t>(500)</w:t>
            </w:r>
          </w:p>
        </w:tc>
        <w:tc>
          <w:tcPr>
            <w:tcW w:w="3660" w:type="dxa"/>
            <w:vAlign w:val="bottom"/>
            <w:gridSpan w:val="3"/>
          </w:tcPr>
          <w:p>
            <w:pPr>
              <w:jc w:val="right"/>
              <w:ind w:right="2520"/>
              <w:spacing w:after="0" w:line="214" w:lineRule="exact"/>
              <w:rPr>
                <w:sz w:val="20"/>
                <w:szCs w:val="20"/>
                <w:color w:val="auto"/>
              </w:rPr>
            </w:pPr>
            <w:r>
              <w:rPr>
                <w:rFonts w:ascii="Arial" w:cs="Arial" w:eastAsia="Arial" w:hAnsi="Arial"/>
                <w:sz w:val="19"/>
                <w:szCs w:val="19"/>
                <w:color w:val="auto"/>
              </w:rPr>
              <w:t>(524)</w:t>
            </w:r>
          </w:p>
        </w:tc>
      </w:tr>
      <w:tr>
        <w:trPr>
          <w:trHeight w:val="215"/>
        </w:trPr>
        <w:tc>
          <w:tcPr>
            <w:tcW w:w="2960" w:type="dxa"/>
            <w:vAlign w:val="bottom"/>
          </w:tcPr>
          <w:p>
            <w:pPr>
              <w:ind w:left="180"/>
              <w:spacing w:after="0" w:line="214" w:lineRule="exact"/>
              <w:rPr>
                <w:sz w:val="20"/>
                <w:szCs w:val="20"/>
                <w:color w:val="auto"/>
              </w:rPr>
            </w:pPr>
            <w:r>
              <w:rPr>
                <w:rFonts w:ascii="Arial" w:cs="Arial" w:eastAsia="Arial" w:hAnsi="Arial"/>
                <w:sz w:val="19"/>
                <w:szCs w:val="19"/>
                <w:color w:val="auto"/>
              </w:rPr>
              <w:t>Investment loss, net</w:t>
            </w:r>
          </w:p>
        </w:tc>
        <w:tc>
          <w:tcPr>
            <w:tcW w:w="4840" w:type="dxa"/>
            <w:vAlign w:val="bottom"/>
            <w:gridSpan w:val="3"/>
          </w:tcPr>
          <w:p>
            <w:pPr>
              <w:jc w:val="right"/>
              <w:ind w:right="20"/>
              <w:spacing w:after="0" w:line="214" w:lineRule="exact"/>
              <w:rPr>
                <w:sz w:val="20"/>
                <w:szCs w:val="20"/>
                <w:color w:val="auto"/>
              </w:rPr>
            </w:pPr>
            <w:r>
              <w:rPr>
                <w:rFonts w:ascii="Arial" w:cs="Arial" w:eastAsia="Arial" w:hAnsi="Arial"/>
                <w:sz w:val="19"/>
                <w:szCs w:val="19"/>
                <w:color w:val="auto"/>
              </w:rPr>
              <w:t>(9)</w:t>
            </w:r>
          </w:p>
        </w:tc>
        <w:tc>
          <w:tcPr>
            <w:tcW w:w="3660" w:type="dxa"/>
            <w:vAlign w:val="bottom"/>
            <w:gridSpan w:val="3"/>
          </w:tcPr>
          <w:p>
            <w:pPr>
              <w:jc w:val="right"/>
              <w:ind w:right="2520"/>
              <w:spacing w:after="0" w:line="214" w:lineRule="exact"/>
              <w:rPr>
                <w:sz w:val="20"/>
                <w:szCs w:val="20"/>
                <w:color w:val="auto"/>
              </w:rPr>
            </w:pPr>
            <w:r>
              <w:rPr>
                <w:rFonts w:ascii="Arial" w:cs="Arial" w:eastAsia="Arial" w:hAnsi="Arial"/>
                <w:sz w:val="19"/>
                <w:szCs w:val="19"/>
                <w:color w:val="auto"/>
              </w:rPr>
              <w:t>(223)</w:t>
            </w:r>
          </w:p>
        </w:tc>
      </w:tr>
      <w:tr>
        <w:trPr>
          <w:trHeight w:val="215"/>
        </w:trPr>
        <w:tc>
          <w:tcPr>
            <w:tcW w:w="2960" w:type="dxa"/>
            <w:vAlign w:val="bottom"/>
          </w:tcPr>
          <w:p>
            <w:pPr>
              <w:ind w:left="180"/>
              <w:spacing w:after="0" w:line="214" w:lineRule="exact"/>
              <w:rPr>
                <w:sz w:val="20"/>
                <w:szCs w:val="20"/>
                <w:color w:val="auto"/>
              </w:rPr>
            </w:pPr>
            <w:r>
              <w:rPr>
                <w:rFonts w:ascii="Arial" w:cs="Arial" w:eastAsia="Arial" w:hAnsi="Arial"/>
                <w:sz w:val="19"/>
                <w:szCs w:val="19"/>
                <w:color w:val="auto"/>
              </w:rPr>
              <w:t>Equity in net losses of affiliates</w:t>
            </w:r>
          </w:p>
        </w:tc>
        <w:tc>
          <w:tcPr>
            <w:tcW w:w="4840" w:type="dxa"/>
            <w:vAlign w:val="bottom"/>
            <w:gridSpan w:val="3"/>
          </w:tcPr>
          <w:p>
            <w:pPr>
              <w:jc w:val="right"/>
              <w:ind w:right="20"/>
              <w:spacing w:after="0" w:line="214" w:lineRule="exact"/>
              <w:rPr>
                <w:sz w:val="20"/>
                <w:szCs w:val="20"/>
                <w:color w:val="auto"/>
              </w:rPr>
            </w:pPr>
            <w:r>
              <w:rPr>
                <w:rFonts w:ascii="Arial" w:cs="Arial" w:eastAsia="Arial" w:hAnsi="Arial"/>
                <w:sz w:val="19"/>
                <w:szCs w:val="19"/>
                <w:color w:val="auto"/>
              </w:rPr>
              <w:t>(17)</w:t>
            </w:r>
          </w:p>
        </w:tc>
        <w:tc>
          <w:tcPr>
            <w:tcW w:w="3660" w:type="dxa"/>
            <w:vAlign w:val="bottom"/>
            <w:gridSpan w:val="3"/>
          </w:tcPr>
          <w:p>
            <w:pPr>
              <w:jc w:val="right"/>
              <w:ind w:right="2520"/>
              <w:spacing w:after="0" w:line="214" w:lineRule="exact"/>
              <w:rPr>
                <w:sz w:val="20"/>
                <w:szCs w:val="20"/>
                <w:color w:val="auto"/>
              </w:rPr>
            </w:pPr>
            <w:r>
              <w:rPr>
                <w:rFonts w:ascii="Arial" w:cs="Arial" w:eastAsia="Arial" w:hAnsi="Arial"/>
                <w:sz w:val="19"/>
                <w:szCs w:val="19"/>
                <w:color w:val="auto"/>
              </w:rPr>
              <w:t>(17)</w:t>
            </w:r>
          </w:p>
        </w:tc>
      </w:tr>
      <w:tr>
        <w:trPr>
          <w:trHeight w:val="242"/>
        </w:trPr>
        <w:tc>
          <w:tcPr>
            <w:tcW w:w="2960" w:type="dxa"/>
            <w:vAlign w:val="bottom"/>
          </w:tcPr>
          <w:p>
            <w:pPr>
              <w:ind w:left="180"/>
              <w:spacing w:after="0"/>
              <w:rPr>
                <w:sz w:val="20"/>
                <w:szCs w:val="20"/>
                <w:color w:val="auto"/>
              </w:rPr>
            </w:pPr>
            <w:r>
              <w:rPr>
                <w:rFonts w:ascii="Arial" w:cs="Arial" w:eastAsia="Arial" w:hAnsi="Arial"/>
                <w:sz w:val="19"/>
                <w:szCs w:val="19"/>
                <w:color w:val="auto"/>
              </w:rPr>
              <w:t>Other income</w:t>
            </w:r>
          </w:p>
        </w:tc>
        <w:tc>
          <w:tcPr>
            <w:tcW w:w="4760" w:type="dxa"/>
            <w:vAlign w:val="bottom"/>
            <w:gridSpan w:val="2"/>
          </w:tcPr>
          <w:p>
            <w:pPr>
              <w:jc w:val="right"/>
              <w:spacing w:after="0"/>
              <w:rPr>
                <w:sz w:val="20"/>
                <w:szCs w:val="20"/>
                <w:color w:val="auto"/>
              </w:rPr>
            </w:pPr>
            <w:r>
              <w:rPr>
                <w:rFonts w:ascii="Arial" w:cs="Arial" w:eastAsia="Arial" w:hAnsi="Arial"/>
                <w:sz w:val="19"/>
                <w:szCs w:val="19"/>
                <w:color w:val="auto"/>
              </w:rPr>
              <w:t>7</w:t>
            </w:r>
          </w:p>
        </w:tc>
        <w:tc>
          <w:tcPr>
            <w:tcW w:w="80" w:type="dxa"/>
            <w:vAlign w:val="bottom"/>
          </w:tcPr>
          <w:p>
            <w:pPr>
              <w:spacing w:after="0"/>
              <w:rPr>
                <w:sz w:val="21"/>
                <w:szCs w:val="21"/>
                <w:color w:val="auto"/>
              </w:rPr>
            </w:pPr>
          </w:p>
        </w:tc>
        <w:tc>
          <w:tcPr>
            <w:tcW w:w="3660" w:type="dxa"/>
            <w:vAlign w:val="bottom"/>
            <w:gridSpan w:val="3"/>
          </w:tcPr>
          <w:p>
            <w:pPr>
              <w:jc w:val="right"/>
              <w:ind w:right="2580"/>
              <w:spacing w:after="0"/>
              <w:rPr>
                <w:sz w:val="20"/>
                <w:szCs w:val="20"/>
                <w:color w:val="auto"/>
              </w:rPr>
            </w:pPr>
            <w:r>
              <w:rPr>
                <w:rFonts w:ascii="Arial" w:cs="Arial" w:eastAsia="Arial" w:hAnsi="Arial"/>
                <w:sz w:val="19"/>
                <w:szCs w:val="19"/>
                <w:color w:val="auto"/>
              </w:rPr>
              <w:t>13</w:t>
            </w:r>
          </w:p>
        </w:tc>
      </w:tr>
      <w:tr>
        <w:trPr>
          <w:trHeight w:val="87"/>
        </w:trPr>
        <w:tc>
          <w:tcPr>
            <w:tcW w:w="2960" w:type="dxa"/>
            <w:vAlign w:val="bottom"/>
          </w:tcPr>
          <w:p>
            <w:pPr>
              <w:spacing w:after="0"/>
              <w:rPr>
                <w:sz w:val="7"/>
                <w:szCs w:val="7"/>
                <w:color w:val="auto"/>
              </w:rPr>
            </w:pPr>
          </w:p>
        </w:tc>
        <w:tc>
          <w:tcPr>
            <w:tcW w:w="384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580" w:type="dxa"/>
            <w:vAlign w:val="bottom"/>
          </w:tcPr>
          <w:p>
            <w:pPr>
              <w:spacing w:after="0"/>
              <w:rPr>
                <w:sz w:val="7"/>
                <w:szCs w:val="7"/>
                <w:color w:val="auto"/>
              </w:rPr>
            </w:pPr>
          </w:p>
        </w:tc>
      </w:tr>
      <w:tr>
        <w:trPr>
          <w:trHeight w:val="310"/>
        </w:trPr>
        <w:tc>
          <w:tcPr>
            <w:tcW w:w="2960" w:type="dxa"/>
            <w:vAlign w:val="bottom"/>
          </w:tcPr>
          <w:p>
            <w:pPr>
              <w:spacing w:after="0"/>
              <w:rPr>
                <w:sz w:val="24"/>
                <w:szCs w:val="24"/>
                <w:color w:val="auto"/>
              </w:rPr>
            </w:pPr>
          </w:p>
        </w:tc>
        <w:tc>
          <w:tcPr>
            <w:tcW w:w="4840" w:type="dxa"/>
            <w:vAlign w:val="bottom"/>
            <w:gridSpan w:val="3"/>
          </w:tcPr>
          <w:p>
            <w:pPr>
              <w:jc w:val="right"/>
              <w:ind w:right="20"/>
              <w:spacing w:after="0"/>
              <w:rPr>
                <w:sz w:val="20"/>
                <w:szCs w:val="20"/>
                <w:color w:val="auto"/>
              </w:rPr>
            </w:pPr>
            <w:r>
              <w:rPr>
                <w:rFonts w:ascii="Arial" w:cs="Arial" w:eastAsia="Arial" w:hAnsi="Arial"/>
                <w:sz w:val="19"/>
                <w:szCs w:val="19"/>
                <w:color w:val="auto"/>
              </w:rPr>
              <w:t>(519)</w:t>
            </w:r>
          </w:p>
        </w:tc>
        <w:tc>
          <w:tcPr>
            <w:tcW w:w="3660" w:type="dxa"/>
            <w:vAlign w:val="bottom"/>
            <w:gridSpan w:val="3"/>
          </w:tcPr>
          <w:p>
            <w:pPr>
              <w:jc w:val="right"/>
              <w:ind w:right="2520"/>
              <w:spacing w:after="0"/>
              <w:rPr>
                <w:sz w:val="20"/>
                <w:szCs w:val="20"/>
                <w:color w:val="auto"/>
              </w:rPr>
            </w:pPr>
            <w:r>
              <w:rPr>
                <w:rFonts w:ascii="Arial" w:cs="Arial" w:eastAsia="Arial" w:hAnsi="Arial"/>
                <w:sz w:val="19"/>
                <w:szCs w:val="19"/>
                <w:color w:val="auto"/>
              </w:rPr>
              <w:t>(751)</w:t>
            </w:r>
          </w:p>
        </w:tc>
      </w:tr>
      <w:tr>
        <w:trPr>
          <w:trHeight w:val="87"/>
        </w:trPr>
        <w:tc>
          <w:tcPr>
            <w:tcW w:w="6800" w:type="dxa"/>
            <w:vAlign w:val="bottom"/>
            <w:gridSpan w:val="2"/>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580" w:type="dxa"/>
            <w:vAlign w:val="bottom"/>
          </w:tcPr>
          <w:p>
            <w:pPr>
              <w:spacing w:after="0"/>
              <w:rPr>
                <w:sz w:val="7"/>
                <w:szCs w:val="7"/>
                <w:color w:val="auto"/>
              </w:rPr>
            </w:pPr>
          </w:p>
        </w:tc>
      </w:tr>
      <w:tr>
        <w:trPr>
          <w:trHeight w:val="498"/>
        </w:trPr>
        <w:tc>
          <w:tcPr>
            <w:tcW w:w="7800" w:type="dxa"/>
            <w:vAlign w:val="bottom"/>
            <w:gridSpan w:val="4"/>
          </w:tcPr>
          <w:p>
            <w:pPr>
              <w:spacing w:after="0"/>
              <w:rPr>
                <w:sz w:val="20"/>
                <w:szCs w:val="20"/>
                <w:color w:val="auto"/>
              </w:rPr>
            </w:pPr>
            <w:r>
              <w:rPr>
                <w:rFonts w:ascii="Arial" w:cs="Arial" w:eastAsia="Arial" w:hAnsi="Arial"/>
                <w:sz w:val="19"/>
                <w:szCs w:val="19"/>
                <w:color w:val="auto"/>
              </w:rPr>
              <w:t>INCOME (LOSS) FROM CONTINUING OPERATIONS BEFORE INCOME</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TAXES</w:t>
            </w:r>
          </w:p>
        </w:tc>
        <w:tc>
          <w:tcPr>
            <w:tcW w:w="3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42"/>
        </w:trPr>
        <w:tc>
          <w:tcPr>
            <w:tcW w:w="2960" w:type="dxa"/>
            <w:vAlign w:val="bottom"/>
          </w:tcPr>
          <w:p>
            <w:pPr>
              <w:ind w:left="180"/>
              <w:spacing w:after="0"/>
              <w:rPr>
                <w:sz w:val="20"/>
                <w:szCs w:val="20"/>
                <w:color w:val="auto"/>
              </w:rPr>
            </w:pPr>
            <w:r>
              <w:rPr>
                <w:rFonts w:ascii="Arial" w:cs="Arial" w:eastAsia="Arial" w:hAnsi="Arial"/>
                <w:sz w:val="19"/>
                <w:szCs w:val="19"/>
                <w:color w:val="auto"/>
              </w:rPr>
              <w:t>AND MINORITY INTEREST</w:t>
            </w:r>
          </w:p>
        </w:tc>
        <w:tc>
          <w:tcPr>
            <w:tcW w:w="4760" w:type="dxa"/>
            <w:vAlign w:val="bottom"/>
            <w:gridSpan w:val="2"/>
          </w:tcPr>
          <w:p>
            <w:pPr>
              <w:jc w:val="right"/>
              <w:spacing w:after="0"/>
              <w:rPr>
                <w:sz w:val="20"/>
                <w:szCs w:val="20"/>
                <w:color w:val="auto"/>
              </w:rPr>
            </w:pPr>
            <w:r>
              <w:rPr>
                <w:rFonts w:ascii="Arial" w:cs="Arial" w:eastAsia="Arial" w:hAnsi="Arial"/>
                <w:sz w:val="19"/>
                <w:szCs w:val="19"/>
                <w:color w:val="auto"/>
              </w:rPr>
              <w:t>140</w:t>
            </w:r>
          </w:p>
        </w:tc>
        <w:tc>
          <w:tcPr>
            <w:tcW w:w="80" w:type="dxa"/>
            <w:vAlign w:val="bottom"/>
          </w:tcPr>
          <w:p>
            <w:pPr>
              <w:spacing w:after="0"/>
              <w:rPr>
                <w:sz w:val="21"/>
                <w:szCs w:val="21"/>
                <w:color w:val="auto"/>
              </w:rPr>
            </w:pPr>
          </w:p>
        </w:tc>
        <w:tc>
          <w:tcPr>
            <w:tcW w:w="3660" w:type="dxa"/>
            <w:vAlign w:val="bottom"/>
            <w:gridSpan w:val="3"/>
          </w:tcPr>
          <w:p>
            <w:pPr>
              <w:jc w:val="right"/>
              <w:ind w:right="2520"/>
              <w:spacing w:after="0"/>
              <w:rPr>
                <w:sz w:val="20"/>
                <w:szCs w:val="20"/>
                <w:color w:val="auto"/>
              </w:rPr>
            </w:pPr>
            <w:r>
              <w:rPr>
                <w:rFonts w:ascii="Arial" w:cs="Arial" w:eastAsia="Arial" w:hAnsi="Arial"/>
                <w:sz w:val="19"/>
                <w:szCs w:val="19"/>
                <w:color w:val="auto"/>
              </w:rPr>
              <w:t>(457)</w:t>
            </w:r>
          </w:p>
        </w:tc>
      </w:tr>
    </w:tbl>
    <w:p>
      <w:pPr>
        <w:sectPr>
          <w:pgSz w:w="11900" w:h="16878" w:orient="portrait"/>
          <w:cols w:equalWidth="0" w:num="1">
            <w:col w:w="11460"/>
          </w:cols>
          <w:pgMar w:left="240" w:top="120" w:right="199" w:bottom="0" w:gutter="0" w:footer="0" w:header="0"/>
        </w:sectPr>
      </w:pPr>
    </w:p>
    <w:bookmarkStart w:id="3" w:name="page4"/>
    <w:bookmarkEnd w:id="3"/>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800" w:type="dxa"/>
            <w:vAlign w:val="bottom"/>
          </w:tcPr>
          <w:p>
            <w:pPr>
              <w:spacing w:after="0"/>
              <w:rPr>
                <w:sz w:val="20"/>
                <w:szCs w:val="20"/>
                <w:color w:val="auto"/>
              </w:rPr>
            </w:pPr>
            <w:r>
              <w:rPr>
                <w:rFonts w:ascii="Arial" w:cs="Arial" w:eastAsia="Arial" w:hAnsi="Arial"/>
                <w:sz w:val="19"/>
                <w:szCs w:val="19"/>
                <w:color w:val="auto"/>
              </w:rPr>
              <w:t>INCOME TAX (EXPENSE) BENEFIT</w:t>
            </w:r>
          </w:p>
        </w:tc>
        <w:tc>
          <w:tcPr>
            <w:tcW w:w="1180" w:type="dxa"/>
            <w:vAlign w:val="bottom"/>
            <w:gridSpan w:val="2"/>
          </w:tcPr>
          <w:p>
            <w:pPr>
              <w:jc w:val="right"/>
              <w:ind w:right="200"/>
              <w:spacing w:after="0"/>
              <w:rPr>
                <w:sz w:val="20"/>
                <w:szCs w:val="20"/>
                <w:color w:val="auto"/>
              </w:rPr>
            </w:pPr>
            <w:r>
              <w:rPr>
                <w:rFonts w:ascii="Arial" w:cs="Arial" w:eastAsia="Arial" w:hAnsi="Arial"/>
                <w:sz w:val="19"/>
                <w:szCs w:val="19"/>
                <w:color w:val="auto"/>
              </w:rPr>
              <w:t>(76)</w:t>
            </w: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141</w:t>
            </w:r>
          </w:p>
        </w:tc>
        <w:tc>
          <w:tcPr>
            <w:tcW w:w="0" w:type="dxa"/>
            <w:vAlign w:val="bottom"/>
          </w:tcPr>
          <w:p>
            <w:pPr>
              <w:spacing w:after="0"/>
              <w:rPr>
                <w:sz w:val="1"/>
                <w:szCs w:val="1"/>
                <w:color w:val="auto"/>
              </w:rPr>
            </w:pPr>
          </w:p>
        </w:tc>
      </w:tr>
      <w:tr>
        <w:trPr>
          <w:trHeight w:val="87"/>
        </w:trPr>
        <w:tc>
          <w:tcPr>
            <w:tcW w:w="6800" w:type="dxa"/>
            <w:vAlign w:val="bottom"/>
            <w:vMerge w:val="restart"/>
          </w:tcPr>
          <w:p>
            <w:pPr>
              <w:spacing w:after="0"/>
              <w:rPr>
                <w:sz w:val="20"/>
                <w:szCs w:val="20"/>
                <w:color w:val="auto"/>
              </w:rPr>
            </w:pPr>
            <w:r>
              <w:rPr>
                <w:rFonts w:ascii="Arial" w:cs="Arial" w:eastAsia="Arial" w:hAnsi="Arial"/>
                <w:sz w:val="19"/>
                <w:szCs w:val="19"/>
                <w:color w:val="auto"/>
              </w:rPr>
              <w:t>INCOME (LOSS) FROM CONTINUING OPERATIONS BEFORE MINORITY</w:t>
            </w: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8"/>
        </w:trPr>
        <w:tc>
          <w:tcPr>
            <w:tcW w:w="6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800" w:type="dxa"/>
            <w:vAlign w:val="bottom"/>
          </w:tcPr>
          <w:p>
            <w:pPr>
              <w:ind w:left="180"/>
              <w:spacing w:after="0"/>
              <w:rPr>
                <w:sz w:val="20"/>
                <w:szCs w:val="20"/>
                <w:color w:val="auto"/>
              </w:rPr>
            </w:pPr>
            <w:r>
              <w:rPr>
                <w:rFonts w:ascii="Arial" w:cs="Arial" w:eastAsia="Arial" w:hAnsi="Arial"/>
                <w:sz w:val="19"/>
                <w:szCs w:val="19"/>
                <w:color w:val="auto"/>
              </w:rPr>
              <w:t>INTEREST</w:t>
            </w:r>
          </w:p>
        </w:tc>
        <w:tc>
          <w:tcPr>
            <w:tcW w:w="920" w:type="dxa"/>
            <w:vAlign w:val="bottom"/>
          </w:tcPr>
          <w:p>
            <w:pPr>
              <w:jc w:val="right"/>
              <w:spacing w:after="0"/>
              <w:rPr>
                <w:sz w:val="20"/>
                <w:szCs w:val="20"/>
                <w:color w:val="auto"/>
              </w:rPr>
            </w:pPr>
            <w:r>
              <w:rPr>
                <w:rFonts w:ascii="Arial" w:cs="Arial" w:eastAsia="Arial" w:hAnsi="Arial"/>
                <w:sz w:val="19"/>
                <w:szCs w:val="19"/>
                <w:color w:val="auto"/>
              </w:rPr>
              <w:t>64</w:t>
            </w:r>
          </w:p>
        </w:tc>
        <w:tc>
          <w:tcPr>
            <w:tcW w:w="2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(316)</w:t>
            </w:r>
          </w:p>
        </w:tc>
        <w:tc>
          <w:tcPr>
            <w:tcW w:w="0" w:type="dxa"/>
            <w:vAlign w:val="bottom"/>
          </w:tcPr>
          <w:p>
            <w:pPr>
              <w:spacing w:after="0"/>
              <w:rPr>
                <w:sz w:val="1"/>
                <w:szCs w:val="1"/>
                <w:color w:val="auto"/>
              </w:rPr>
            </w:pPr>
          </w:p>
        </w:tc>
      </w:tr>
      <w:tr>
        <w:trPr>
          <w:trHeight w:val="429"/>
        </w:trPr>
        <w:tc>
          <w:tcPr>
            <w:tcW w:w="6800" w:type="dxa"/>
            <w:vAlign w:val="bottom"/>
          </w:tcPr>
          <w:p>
            <w:pPr>
              <w:spacing w:after="0"/>
              <w:rPr>
                <w:sz w:val="20"/>
                <w:szCs w:val="20"/>
                <w:color w:val="auto"/>
              </w:rPr>
            </w:pPr>
            <w:r>
              <w:rPr>
                <w:rFonts w:ascii="Arial" w:cs="Arial" w:eastAsia="Arial" w:hAnsi="Arial"/>
                <w:sz w:val="19"/>
                <w:szCs w:val="19"/>
                <w:color w:val="auto"/>
              </w:rPr>
              <w:t>MINORITY INTEREST</w:t>
            </w:r>
          </w:p>
        </w:tc>
        <w:tc>
          <w:tcPr>
            <w:tcW w:w="920" w:type="dxa"/>
            <w:vAlign w:val="bottom"/>
          </w:tcPr>
          <w:p>
            <w:pPr>
              <w:jc w:val="right"/>
              <w:spacing w:after="0"/>
              <w:rPr>
                <w:sz w:val="20"/>
                <w:szCs w:val="20"/>
                <w:color w:val="auto"/>
              </w:rPr>
            </w:pPr>
            <w:r>
              <w:rPr>
                <w:rFonts w:ascii="Arial" w:cs="Arial" w:eastAsia="Arial" w:hAnsi="Arial"/>
                <w:sz w:val="19"/>
                <w:szCs w:val="19"/>
                <w:color w:val="auto"/>
              </w:rPr>
              <w:t>1</w:t>
            </w: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(39)</w:t>
            </w:r>
          </w:p>
        </w:tc>
        <w:tc>
          <w:tcPr>
            <w:tcW w:w="0" w:type="dxa"/>
            <w:vAlign w:val="bottom"/>
          </w:tcPr>
          <w:p>
            <w:pPr>
              <w:spacing w:after="0"/>
              <w:rPr>
                <w:sz w:val="1"/>
                <w:szCs w:val="1"/>
                <w:color w:val="auto"/>
              </w:rPr>
            </w:pPr>
          </w:p>
        </w:tc>
      </w:tr>
      <w:tr>
        <w:trPr>
          <w:trHeight w:val="87"/>
        </w:trPr>
        <w:tc>
          <w:tcPr>
            <w:tcW w:w="68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5"/>
        </w:trPr>
        <w:tc>
          <w:tcPr>
            <w:tcW w:w="6800" w:type="dxa"/>
            <w:vAlign w:val="bottom"/>
          </w:tcPr>
          <w:p>
            <w:pPr>
              <w:spacing w:after="0"/>
              <w:rPr>
                <w:sz w:val="20"/>
                <w:szCs w:val="20"/>
                <w:color w:val="auto"/>
              </w:rPr>
            </w:pPr>
            <w:r>
              <w:rPr>
                <w:rFonts w:ascii="Arial" w:cs="Arial" w:eastAsia="Arial" w:hAnsi="Arial"/>
                <w:sz w:val="19"/>
                <w:szCs w:val="19"/>
                <w:color w:val="auto"/>
              </w:rPr>
              <w:t>INCOME (LOSS) FROM CONTINUING OPERATIONS</w:t>
            </w:r>
          </w:p>
        </w:tc>
        <w:tc>
          <w:tcPr>
            <w:tcW w:w="920" w:type="dxa"/>
            <w:vAlign w:val="bottom"/>
          </w:tcPr>
          <w:p>
            <w:pPr>
              <w:jc w:val="right"/>
              <w:spacing w:after="0"/>
              <w:rPr>
                <w:sz w:val="20"/>
                <w:szCs w:val="20"/>
                <w:color w:val="auto"/>
              </w:rPr>
            </w:pPr>
            <w:r>
              <w:rPr>
                <w:rFonts w:ascii="Arial" w:cs="Arial" w:eastAsia="Arial" w:hAnsi="Arial"/>
                <w:sz w:val="19"/>
                <w:szCs w:val="19"/>
                <w:color w:val="auto"/>
              </w:rPr>
              <w:t>65</w:t>
            </w: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(355)</w:t>
            </w:r>
          </w:p>
        </w:tc>
        <w:tc>
          <w:tcPr>
            <w:tcW w:w="0" w:type="dxa"/>
            <w:vAlign w:val="bottom"/>
          </w:tcPr>
          <w:p>
            <w:pPr>
              <w:spacing w:after="0"/>
              <w:rPr>
                <w:sz w:val="1"/>
                <w:szCs w:val="1"/>
                <w:color w:val="auto"/>
              </w:rPr>
            </w:pPr>
          </w:p>
        </w:tc>
      </w:tr>
      <w:tr>
        <w:trPr>
          <w:trHeight w:val="429"/>
        </w:trPr>
        <w:tc>
          <w:tcPr>
            <w:tcW w:w="6800" w:type="dxa"/>
            <w:vAlign w:val="bottom"/>
          </w:tcPr>
          <w:p>
            <w:pPr>
              <w:spacing w:after="0"/>
              <w:rPr>
                <w:sz w:val="20"/>
                <w:szCs w:val="20"/>
                <w:color w:val="auto"/>
              </w:rPr>
            </w:pPr>
            <w:r>
              <w:rPr>
                <w:rFonts w:ascii="Arial" w:cs="Arial" w:eastAsia="Arial" w:hAnsi="Arial"/>
                <w:sz w:val="19"/>
                <w:szCs w:val="19"/>
                <w:color w:val="auto"/>
              </w:rPr>
              <w:t>INCOME FROM DISCONTINUED OPERATIONS, net of tax</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58</w:t>
            </w:r>
          </w:p>
        </w:tc>
        <w:tc>
          <w:tcPr>
            <w:tcW w:w="0" w:type="dxa"/>
            <w:vAlign w:val="bottom"/>
          </w:tcPr>
          <w:p>
            <w:pPr>
              <w:spacing w:after="0"/>
              <w:rPr>
                <w:sz w:val="1"/>
                <w:szCs w:val="1"/>
                <w:color w:val="auto"/>
              </w:rPr>
            </w:pPr>
          </w:p>
        </w:tc>
      </w:tr>
      <w:tr>
        <w:trPr>
          <w:trHeight w:val="87"/>
        </w:trPr>
        <w:tc>
          <w:tcPr>
            <w:tcW w:w="68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5"/>
        </w:trPr>
        <w:tc>
          <w:tcPr>
            <w:tcW w:w="6800" w:type="dxa"/>
            <w:vAlign w:val="bottom"/>
          </w:tcPr>
          <w:p>
            <w:pPr>
              <w:spacing w:after="0"/>
              <w:rPr>
                <w:sz w:val="20"/>
                <w:szCs w:val="20"/>
                <w:color w:val="auto"/>
              </w:rPr>
            </w:pPr>
            <w:r>
              <w:rPr>
                <w:rFonts w:ascii="Arial" w:cs="Arial" w:eastAsia="Arial" w:hAnsi="Arial"/>
                <w:sz w:val="19"/>
                <w:szCs w:val="19"/>
                <w:color w:val="auto"/>
              </w:rPr>
              <w:t>NET INCOME (LOSS)</w:t>
            </w:r>
          </w:p>
        </w:tc>
        <w:tc>
          <w:tcPr>
            <w:tcW w:w="920" w:type="dxa"/>
            <w:vAlign w:val="bottom"/>
          </w:tcPr>
          <w:p>
            <w:pPr>
              <w:jc w:val="right"/>
              <w:spacing w:after="0"/>
              <w:rPr>
                <w:sz w:val="20"/>
                <w:szCs w:val="20"/>
                <w:color w:val="auto"/>
              </w:rPr>
            </w:pPr>
            <w:r>
              <w:rPr>
                <w:rFonts w:ascii="Arial" w:cs="Arial" w:eastAsia="Arial" w:hAnsi="Arial"/>
                <w:sz w:val="19"/>
                <w:szCs w:val="19"/>
                <w:color w:val="auto"/>
              </w:rPr>
              <w:t>$65</w:t>
            </w: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($297)</w:t>
            </w:r>
          </w:p>
        </w:tc>
        <w:tc>
          <w:tcPr>
            <w:tcW w:w="0" w:type="dxa"/>
            <w:vAlign w:val="bottom"/>
          </w:tcPr>
          <w:p>
            <w:pPr>
              <w:spacing w:after="0"/>
              <w:rPr>
                <w:sz w:val="1"/>
                <w:szCs w:val="1"/>
                <w:color w:val="auto"/>
              </w:rPr>
            </w:pPr>
          </w:p>
        </w:tc>
      </w:tr>
      <w:tr>
        <w:trPr>
          <w:trHeight w:val="95"/>
        </w:trPr>
        <w:tc>
          <w:tcPr>
            <w:tcW w:w="6800" w:type="dxa"/>
            <w:vAlign w:val="bottom"/>
            <w:vMerge w:val="restart"/>
          </w:tcPr>
          <w:p>
            <w:pPr>
              <w:spacing w:after="0"/>
              <w:rPr>
                <w:sz w:val="20"/>
                <w:szCs w:val="20"/>
                <w:color w:val="auto"/>
              </w:rPr>
            </w:pPr>
            <w:r>
              <w:rPr>
                <w:rFonts w:ascii="Arial" w:cs="Arial" w:eastAsia="Arial" w:hAnsi="Arial"/>
                <w:sz w:val="19"/>
                <w:szCs w:val="19"/>
                <w:color w:val="auto"/>
              </w:rPr>
              <w:t>BASIC EARNINGS (LOSS) FOR COMMON STOCKHOLDERS PER COMMON</w:t>
            </w:r>
          </w:p>
        </w:tc>
        <w:tc>
          <w:tcPr>
            <w:tcW w:w="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2"/>
        </w:trPr>
        <w:tc>
          <w:tcPr>
            <w:tcW w:w="6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00" w:type="dxa"/>
            <w:vAlign w:val="bottom"/>
          </w:tcPr>
          <w:p>
            <w:pPr>
              <w:spacing w:after="0" w:line="214" w:lineRule="exact"/>
              <w:rPr>
                <w:sz w:val="20"/>
                <w:szCs w:val="20"/>
                <w:color w:val="auto"/>
              </w:rPr>
            </w:pPr>
            <w:r>
              <w:rPr>
                <w:rFonts w:ascii="Arial" w:cs="Arial" w:eastAsia="Arial" w:hAnsi="Arial"/>
                <w:sz w:val="19"/>
                <w:szCs w:val="19"/>
                <w:color w:val="auto"/>
              </w:rPr>
              <w:t>SHARE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180"/>
              <w:spacing w:after="0" w:line="214" w:lineRule="exact"/>
              <w:rPr>
                <w:sz w:val="20"/>
                <w:szCs w:val="20"/>
                <w:color w:val="auto"/>
              </w:rPr>
            </w:pPr>
            <w:r>
              <w:rPr>
                <w:rFonts w:ascii="Arial" w:cs="Arial" w:eastAsia="Arial" w:hAnsi="Arial"/>
                <w:sz w:val="19"/>
                <w:szCs w:val="19"/>
                <w:color w:val="auto"/>
              </w:rPr>
              <w:t>Income (loss) from continuing operations</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$0.03</w:t>
            </w:r>
          </w:p>
        </w:tc>
        <w:tc>
          <w:tcPr>
            <w:tcW w:w="260" w:type="dxa"/>
            <w:vAlign w:val="bottom"/>
          </w:tcPr>
          <w:p>
            <w:pPr>
              <w:spacing w:after="0"/>
              <w:rPr>
                <w:sz w:val="18"/>
                <w:szCs w:val="18"/>
                <w:color w:val="auto"/>
              </w:rPr>
            </w:pPr>
          </w:p>
        </w:tc>
        <w:tc>
          <w:tcPr>
            <w:tcW w:w="9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($0.16)</w:t>
            </w:r>
          </w:p>
        </w:tc>
        <w:tc>
          <w:tcPr>
            <w:tcW w:w="0" w:type="dxa"/>
            <w:vAlign w:val="bottom"/>
          </w:tcPr>
          <w:p>
            <w:pPr>
              <w:spacing w:after="0"/>
              <w:rPr>
                <w:sz w:val="1"/>
                <w:szCs w:val="1"/>
                <w:color w:val="auto"/>
              </w:rPr>
            </w:pPr>
          </w:p>
        </w:tc>
      </w:tr>
      <w:tr>
        <w:trPr>
          <w:trHeight w:val="242"/>
        </w:trPr>
        <w:tc>
          <w:tcPr>
            <w:tcW w:w="6800" w:type="dxa"/>
            <w:vAlign w:val="bottom"/>
          </w:tcPr>
          <w:p>
            <w:pPr>
              <w:ind w:left="180"/>
              <w:spacing w:after="0"/>
              <w:rPr>
                <w:sz w:val="20"/>
                <w:szCs w:val="20"/>
                <w:color w:val="auto"/>
              </w:rPr>
            </w:pPr>
            <w:r>
              <w:rPr>
                <w:rFonts w:ascii="Arial" w:cs="Arial" w:eastAsia="Arial" w:hAnsi="Arial"/>
                <w:sz w:val="19"/>
                <w:szCs w:val="19"/>
                <w:color w:val="auto"/>
              </w:rPr>
              <w:t>Income from discontinued operations</w:t>
            </w: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0.03</w:t>
            </w:r>
          </w:p>
        </w:tc>
        <w:tc>
          <w:tcPr>
            <w:tcW w:w="0" w:type="dxa"/>
            <w:vAlign w:val="bottom"/>
          </w:tcPr>
          <w:p>
            <w:pPr>
              <w:spacing w:after="0"/>
              <w:rPr>
                <w:sz w:val="1"/>
                <w:szCs w:val="1"/>
                <w:color w:val="auto"/>
              </w:rPr>
            </w:pPr>
          </w:p>
        </w:tc>
      </w:tr>
      <w:tr>
        <w:trPr>
          <w:trHeight w:val="87"/>
        </w:trPr>
        <w:tc>
          <w:tcPr>
            <w:tcW w:w="68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800" w:type="dxa"/>
            <w:vAlign w:val="bottom"/>
          </w:tcPr>
          <w:p>
            <w:pPr>
              <w:ind w:left="320"/>
              <w:spacing w:after="0"/>
              <w:rPr>
                <w:sz w:val="20"/>
                <w:szCs w:val="20"/>
                <w:color w:val="auto"/>
              </w:rPr>
            </w:pPr>
            <w:r>
              <w:rPr>
                <w:rFonts w:ascii="Arial" w:cs="Arial" w:eastAsia="Arial" w:hAnsi="Arial"/>
                <w:sz w:val="19"/>
                <w:szCs w:val="19"/>
                <w:color w:val="auto"/>
              </w:rPr>
              <w:t>Net income (loss)</w:t>
            </w:r>
          </w:p>
        </w:tc>
        <w:tc>
          <w:tcPr>
            <w:tcW w:w="920" w:type="dxa"/>
            <w:vAlign w:val="bottom"/>
          </w:tcPr>
          <w:p>
            <w:pPr>
              <w:jc w:val="right"/>
              <w:spacing w:after="0"/>
              <w:rPr>
                <w:sz w:val="20"/>
                <w:szCs w:val="20"/>
                <w:color w:val="auto"/>
              </w:rPr>
            </w:pPr>
            <w:r>
              <w:rPr>
                <w:rFonts w:ascii="Arial" w:cs="Arial" w:eastAsia="Arial" w:hAnsi="Arial"/>
                <w:sz w:val="19"/>
                <w:szCs w:val="19"/>
                <w:color w:val="auto"/>
              </w:rPr>
              <w:t>$0.03</w:t>
            </w: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($0.13)</w:t>
            </w:r>
          </w:p>
        </w:tc>
        <w:tc>
          <w:tcPr>
            <w:tcW w:w="0" w:type="dxa"/>
            <w:vAlign w:val="bottom"/>
          </w:tcPr>
          <w:p>
            <w:pPr>
              <w:spacing w:after="0"/>
              <w:rPr>
                <w:sz w:val="1"/>
                <w:szCs w:val="1"/>
                <w:color w:val="auto"/>
              </w:rPr>
            </w:pPr>
          </w:p>
        </w:tc>
      </w:tr>
      <w:tr>
        <w:trPr>
          <w:trHeight w:val="95"/>
        </w:trPr>
        <w:tc>
          <w:tcPr>
            <w:tcW w:w="6800" w:type="dxa"/>
            <w:vAlign w:val="bottom"/>
            <w:vMerge w:val="restart"/>
          </w:tcPr>
          <w:p>
            <w:pPr>
              <w:spacing w:after="0"/>
              <w:rPr>
                <w:sz w:val="20"/>
                <w:szCs w:val="20"/>
                <w:color w:val="auto"/>
              </w:rPr>
            </w:pPr>
            <w:r>
              <w:rPr>
                <w:rFonts w:ascii="Arial" w:cs="Arial" w:eastAsia="Arial" w:hAnsi="Arial"/>
                <w:sz w:val="19"/>
                <w:szCs w:val="19"/>
                <w:color w:val="auto"/>
              </w:rPr>
              <w:t>DILUTED EARNINGS (LOSS) FOR COMMON STOCKHOLDERS PER</w:t>
            </w:r>
          </w:p>
        </w:tc>
        <w:tc>
          <w:tcPr>
            <w:tcW w:w="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2"/>
        </w:trPr>
        <w:tc>
          <w:tcPr>
            <w:tcW w:w="6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180"/>
              <w:spacing w:after="0" w:line="214" w:lineRule="exact"/>
              <w:rPr>
                <w:sz w:val="20"/>
                <w:szCs w:val="20"/>
                <w:color w:val="auto"/>
              </w:rPr>
            </w:pPr>
            <w:r>
              <w:rPr>
                <w:rFonts w:ascii="Arial" w:cs="Arial" w:eastAsia="Arial" w:hAnsi="Arial"/>
                <w:sz w:val="19"/>
                <w:szCs w:val="19"/>
                <w:color w:val="auto"/>
              </w:rPr>
              <w:t>COMMON SHARE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180"/>
              <w:spacing w:after="0" w:line="214" w:lineRule="exact"/>
              <w:rPr>
                <w:sz w:val="20"/>
                <w:szCs w:val="20"/>
                <w:color w:val="auto"/>
              </w:rPr>
            </w:pPr>
            <w:r>
              <w:rPr>
                <w:rFonts w:ascii="Arial" w:cs="Arial" w:eastAsia="Arial" w:hAnsi="Arial"/>
                <w:sz w:val="19"/>
                <w:szCs w:val="19"/>
                <w:color w:val="auto"/>
              </w:rPr>
              <w:t>Income (loss) from continuing operations</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$0.03</w:t>
            </w:r>
          </w:p>
        </w:tc>
        <w:tc>
          <w:tcPr>
            <w:tcW w:w="260" w:type="dxa"/>
            <w:vAlign w:val="bottom"/>
          </w:tcPr>
          <w:p>
            <w:pPr>
              <w:spacing w:after="0"/>
              <w:rPr>
                <w:sz w:val="18"/>
                <w:szCs w:val="18"/>
                <w:color w:val="auto"/>
              </w:rPr>
            </w:pPr>
          </w:p>
        </w:tc>
        <w:tc>
          <w:tcPr>
            <w:tcW w:w="9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($0.16)</w:t>
            </w:r>
          </w:p>
        </w:tc>
        <w:tc>
          <w:tcPr>
            <w:tcW w:w="0" w:type="dxa"/>
            <w:vAlign w:val="bottom"/>
          </w:tcPr>
          <w:p>
            <w:pPr>
              <w:spacing w:after="0"/>
              <w:rPr>
                <w:sz w:val="1"/>
                <w:szCs w:val="1"/>
                <w:color w:val="auto"/>
              </w:rPr>
            </w:pPr>
          </w:p>
        </w:tc>
      </w:tr>
      <w:tr>
        <w:trPr>
          <w:trHeight w:val="242"/>
        </w:trPr>
        <w:tc>
          <w:tcPr>
            <w:tcW w:w="6800" w:type="dxa"/>
            <w:vAlign w:val="bottom"/>
          </w:tcPr>
          <w:p>
            <w:pPr>
              <w:ind w:left="180"/>
              <w:spacing w:after="0"/>
              <w:rPr>
                <w:sz w:val="20"/>
                <w:szCs w:val="20"/>
                <w:color w:val="auto"/>
              </w:rPr>
            </w:pPr>
            <w:r>
              <w:rPr>
                <w:rFonts w:ascii="Arial" w:cs="Arial" w:eastAsia="Arial" w:hAnsi="Arial"/>
                <w:sz w:val="19"/>
                <w:szCs w:val="19"/>
                <w:color w:val="auto"/>
              </w:rPr>
              <w:t>Income from discontinued operations</w:t>
            </w: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0.03</w:t>
            </w:r>
          </w:p>
        </w:tc>
        <w:tc>
          <w:tcPr>
            <w:tcW w:w="0" w:type="dxa"/>
            <w:vAlign w:val="bottom"/>
          </w:tcPr>
          <w:p>
            <w:pPr>
              <w:spacing w:after="0"/>
              <w:rPr>
                <w:sz w:val="1"/>
                <w:szCs w:val="1"/>
                <w:color w:val="auto"/>
              </w:rPr>
            </w:pPr>
          </w:p>
        </w:tc>
      </w:tr>
      <w:tr>
        <w:trPr>
          <w:trHeight w:val="87"/>
        </w:trPr>
        <w:tc>
          <w:tcPr>
            <w:tcW w:w="68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800" w:type="dxa"/>
            <w:vAlign w:val="bottom"/>
          </w:tcPr>
          <w:p>
            <w:pPr>
              <w:ind w:left="280"/>
              <w:spacing w:after="0"/>
              <w:rPr>
                <w:sz w:val="20"/>
                <w:szCs w:val="20"/>
                <w:color w:val="auto"/>
              </w:rPr>
            </w:pPr>
            <w:r>
              <w:rPr>
                <w:rFonts w:ascii="Arial" w:cs="Arial" w:eastAsia="Arial" w:hAnsi="Arial"/>
                <w:sz w:val="19"/>
                <w:szCs w:val="19"/>
                <w:color w:val="auto"/>
              </w:rPr>
              <w:t>Net income (loss)</w:t>
            </w:r>
          </w:p>
        </w:tc>
        <w:tc>
          <w:tcPr>
            <w:tcW w:w="920" w:type="dxa"/>
            <w:vAlign w:val="bottom"/>
          </w:tcPr>
          <w:p>
            <w:pPr>
              <w:jc w:val="right"/>
              <w:spacing w:after="0"/>
              <w:rPr>
                <w:sz w:val="20"/>
                <w:szCs w:val="20"/>
                <w:color w:val="auto"/>
              </w:rPr>
            </w:pPr>
            <w:r>
              <w:rPr>
                <w:rFonts w:ascii="Arial" w:cs="Arial" w:eastAsia="Arial" w:hAnsi="Arial"/>
                <w:sz w:val="19"/>
                <w:szCs w:val="19"/>
                <w:color w:val="auto"/>
              </w:rPr>
              <w:t>$0.03</w:t>
            </w: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($0.13)</w:t>
            </w:r>
          </w:p>
        </w:tc>
        <w:tc>
          <w:tcPr>
            <w:tcW w:w="0" w:type="dxa"/>
            <w:vAlign w:val="bottom"/>
          </w:tcPr>
          <w:p>
            <w:pPr>
              <w:spacing w:after="0"/>
              <w:rPr>
                <w:sz w:val="1"/>
                <w:szCs w:val="1"/>
                <w:color w:val="auto"/>
              </w:rPr>
            </w:pPr>
          </w:p>
        </w:tc>
      </w:tr>
      <w:tr>
        <w:trPr>
          <w:trHeight w:val="95"/>
        </w:trPr>
        <w:tc>
          <w:tcPr>
            <w:tcW w:w="68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4886960</wp:posOffset>
            </wp:positionH>
            <wp:positionV relativeFrom="paragraph">
              <wp:posOffset>-2179320</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-2179320</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-2179320</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-2179320</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-1096010</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-1096010</wp:posOffset>
            </wp:positionV>
            <wp:extent cx="127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-1096010</wp:posOffset>
            </wp:positionV>
            <wp:extent cx="1270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-1096010</wp:posOffset>
            </wp:positionV>
            <wp:extent cx="127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-13335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-13335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See notes to condensed consolidated financial statements.</w:t>
      </w:r>
    </w:p>
    <w:p>
      <w:pPr>
        <w:spacing w:after="0" w:line="187" w:lineRule="exact"/>
        <w:rPr>
          <w:sz w:val="20"/>
          <w:szCs w:val="20"/>
          <w:color w:val="auto"/>
        </w:rPr>
      </w:pPr>
    </w:p>
    <w:p>
      <w:pPr>
        <w:ind w:left="566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27773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FORM 10-Q</w:t>
      </w:r>
    </w:p>
    <w:p>
      <w:pPr>
        <w:jc w:val="center"/>
        <w:ind w:right="-1160"/>
        <w:spacing w:after="0" w:line="235" w:lineRule="auto"/>
        <w:rPr>
          <w:sz w:val="20"/>
          <w:szCs w:val="20"/>
          <w:color w:val="auto"/>
        </w:rPr>
      </w:pPr>
      <w:r>
        <w:rPr>
          <w:rFonts w:ascii="Arial" w:cs="Arial" w:eastAsia="Arial" w:hAnsi="Arial"/>
          <w:sz w:val="19"/>
          <w:szCs w:val="19"/>
          <w:color w:val="auto"/>
        </w:rPr>
        <w:t>QUARTER ENDED MARCH 31, 2004</w:t>
      </w:r>
    </w:p>
    <w:p>
      <w:pPr>
        <w:jc w:val="center"/>
        <w:ind w:right="-1200"/>
        <w:spacing w:after="0" w:line="236" w:lineRule="auto"/>
        <w:rPr>
          <w:sz w:val="20"/>
          <w:szCs w:val="20"/>
          <w:color w:val="auto"/>
        </w:rPr>
      </w:pPr>
      <w:r>
        <w:rPr>
          <w:rFonts w:ascii="Arial" w:cs="Arial" w:eastAsia="Arial" w:hAnsi="Arial"/>
          <w:sz w:val="19"/>
          <w:szCs w:val="19"/>
          <w:color w:val="auto"/>
        </w:rPr>
        <w:t>CONDENSED CONSOLIDATED STATEMENT OF CASH FLOWS</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0" w:type="dxa"/>
            <w:vAlign w:val="bottom"/>
          </w:tcPr>
          <w:p>
            <w:pPr>
              <w:spacing w:after="0"/>
              <w:rPr>
                <w:sz w:val="19"/>
                <w:szCs w:val="19"/>
                <w:color w:val="auto"/>
              </w:rPr>
            </w:pPr>
          </w:p>
        </w:tc>
        <w:tc>
          <w:tcPr>
            <w:tcW w:w="2220" w:type="dxa"/>
            <w:vAlign w:val="bottom"/>
            <w:gridSpan w:val="5"/>
          </w:tcPr>
          <w:p>
            <w:pPr>
              <w:jc w:val="center"/>
              <w:spacing w:after="0"/>
              <w:rPr>
                <w:sz w:val="20"/>
                <w:szCs w:val="20"/>
                <w:color w:val="auto"/>
              </w:rPr>
            </w:pPr>
            <w:r>
              <w:rPr>
                <w:rFonts w:ascii="Arial" w:cs="Arial" w:eastAsia="Arial" w:hAnsi="Arial"/>
                <w:sz w:val="19"/>
                <w:szCs w:val="19"/>
                <w:color w:val="auto"/>
                <w:w w:val="97"/>
              </w:rPr>
              <w:t>(Dollars in millions)</w:t>
            </w:r>
          </w:p>
        </w:tc>
        <w:tc>
          <w:tcPr>
            <w:tcW w:w="0" w:type="dxa"/>
            <w:vAlign w:val="bottom"/>
          </w:tcPr>
          <w:p>
            <w:pPr>
              <w:spacing w:after="0"/>
              <w:rPr>
                <w:sz w:val="1"/>
                <w:szCs w:val="1"/>
                <w:color w:val="auto"/>
              </w:rPr>
            </w:pPr>
          </w:p>
        </w:tc>
      </w:tr>
      <w:tr>
        <w:trPr>
          <w:trHeight w:val="215"/>
        </w:trPr>
        <w:tc>
          <w:tcPr>
            <w:tcW w:w="6800" w:type="dxa"/>
            <w:vAlign w:val="bottom"/>
          </w:tcPr>
          <w:p>
            <w:pPr>
              <w:spacing w:after="0"/>
              <w:rPr>
                <w:sz w:val="18"/>
                <w:szCs w:val="18"/>
                <w:color w:val="auto"/>
              </w:rPr>
            </w:pPr>
          </w:p>
        </w:tc>
        <w:tc>
          <w:tcPr>
            <w:tcW w:w="2220" w:type="dxa"/>
            <w:vAlign w:val="bottom"/>
            <w:gridSpan w:val="5"/>
          </w:tcPr>
          <w:p>
            <w:pPr>
              <w:jc w:val="center"/>
              <w:spacing w:after="0" w:line="214" w:lineRule="exact"/>
              <w:rPr>
                <w:sz w:val="20"/>
                <w:szCs w:val="20"/>
                <w:color w:val="auto"/>
              </w:rPr>
            </w:pPr>
            <w:r>
              <w:rPr>
                <w:rFonts w:ascii="Arial" w:cs="Arial" w:eastAsia="Arial" w:hAnsi="Arial"/>
                <w:sz w:val="19"/>
                <w:szCs w:val="19"/>
                <w:color w:val="auto"/>
                <w:w w:val="91"/>
              </w:rPr>
              <w:t>Three Months Ended March</w:t>
            </w:r>
          </w:p>
        </w:tc>
        <w:tc>
          <w:tcPr>
            <w:tcW w:w="0" w:type="dxa"/>
            <w:vAlign w:val="bottom"/>
          </w:tcPr>
          <w:p>
            <w:pPr>
              <w:spacing w:after="0"/>
              <w:rPr>
                <w:sz w:val="1"/>
                <w:szCs w:val="1"/>
                <w:color w:val="auto"/>
              </w:rPr>
            </w:pPr>
          </w:p>
        </w:tc>
      </w:tr>
      <w:tr>
        <w:trPr>
          <w:trHeight w:val="215"/>
        </w:trPr>
        <w:tc>
          <w:tcPr>
            <w:tcW w:w="6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800"/>
              <w:spacing w:after="0" w:line="214" w:lineRule="exact"/>
              <w:rPr>
                <w:sz w:val="20"/>
                <w:szCs w:val="20"/>
                <w:color w:val="auto"/>
              </w:rPr>
            </w:pPr>
            <w:r>
              <w:rPr>
                <w:rFonts w:ascii="Arial" w:cs="Arial" w:eastAsia="Arial" w:hAnsi="Arial"/>
                <w:sz w:val="19"/>
                <w:szCs w:val="19"/>
                <w:color w:val="auto"/>
                <w:w w:val="90"/>
              </w:rPr>
              <w:t>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800" w:type="dxa"/>
            <w:vAlign w:val="bottom"/>
          </w:tcPr>
          <w:p>
            <w:pPr>
              <w:spacing w:after="0"/>
              <w:rPr>
                <w:sz w:val="21"/>
                <w:szCs w:val="21"/>
                <w:color w:val="auto"/>
              </w:rPr>
            </w:pPr>
          </w:p>
        </w:tc>
        <w:tc>
          <w:tcPr>
            <w:tcW w:w="920" w:type="dxa"/>
            <w:vAlign w:val="bottom"/>
          </w:tcPr>
          <w:p>
            <w:pPr>
              <w:jc w:val="right"/>
              <w:ind w:right="185"/>
              <w:spacing w:after="0"/>
              <w:rPr>
                <w:sz w:val="20"/>
                <w:szCs w:val="20"/>
                <w:color w:val="auto"/>
              </w:rPr>
            </w:pPr>
            <w:r>
              <w:rPr>
                <w:rFonts w:ascii="Arial" w:cs="Arial" w:eastAsia="Arial" w:hAnsi="Arial"/>
                <w:sz w:val="19"/>
                <w:szCs w:val="19"/>
                <w:color w:val="auto"/>
              </w:rPr>
              <w:t>2004</w:t>
            </w:r>
          </w:p>
        </w:tc>
        <w:tc>
          <w:tcPr>
            <w:tcW w:w="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9"/>
                <w:szCs w:val="19"/>
                <w:color w:val="auto"/>
              </w:rPr>
              <w:t>2003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6800" w:type="dxa"/>
            <w:vAlign w:val="bottom"/>
            <w:vMerge w:val="restart"/>
          </w:tcPr>
          <w:p>
            <w:pPr>
              <w:spacing w:after="0"/>
              <w:rPr>
                <w:sz w:val="20"/>
                <w:szCs w:val="20"/>
                <w:color w:val="auto"/>
              </w:rPr>
            </w:pPr>
            <w:r>
              <w:rPr>
                <w:rFonts w:ascii="Arial" w:cs="Arial" w:eastAsia="Arial" w:hAnsi="Arial"/>
                <w:sz w:val="19"/>
                <w:szCs w:val="19"/>
                <w:color w:val="auto"/>
              </w:rPr>
              <w:t>OPERATING ACTIVITIES</w:t>
            </w:r>
          </w:p>
        </w:tc>
        <w:tc>
          <w:tcPr>
            <w:tcW w:w="9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6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140"/>
              <w:spacing w:after="0" w:line="214" w:lineRule="exact"/>
              <w:rPr>
                <w:sz w:val="20"/>
                <w:szCs w:val="20"/>
                <w:color w:val="auto"/>
              </w:rPr>
            </w:pPr>
            <w:r>
              <w:rPr>
                <w:rFonts w:ascii="Arial" w:cs="Arial" w:eastAsia="Arial" w:hAnsi="Arial"/>
                <w:sz w:val="19"/>
                <w:szCs w:val="19"/>
                <w:color w:val="auto"/>
              </w:rPr>
              <w:t>Net income (loss)</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$65</w:t>
            </w:r>
          </w:p>
        </w:tc>
        <w:tc>
          <w:tcPr>
            <w:tcW w:w="80" w:type="dxa"/>
            <w:vAlign w:val="bottom"/>
          </w:tcPr>
          <w:p>
            <w:pPr>
              <w:spacing w:after="0"/>
              <w:rPr>
                <w:sz w:val="18"/>
                <w:szCs w:val="18"/>
                <w:color w:val="auto"/>
              </w:rPr>
            </w:pPr>
          </w:p>
        </w:tc>
        <w:tc>
          <w:tcPr>
            <w:tcW w:w="1220" w:type="dxa"/>
            <w:vAlign w:val="bottom"/>
            <w:gridSpan w:val="3"/>
          </w:tcPr>
          <w:p>
            <w:pPr>
              <w:jc w:val="right"/>
              <w:ind w:right="80"/>
              <w:spacing w:after="0" w:line="214" w:lineRule="exact"/>
              <w:rPr>
                <w:sz w:val="20"/>
                <w:szCs w:val="20"/>
                <w:color w:val="auto"/>
              </w:rPr>
            </w:pPr>
            <w:r>
              <w:rPr>
                <w:rFonts w:ascii="Arial" w:cs="Arial" w:eastAsia="Arial" w:hAnsi="Arial"/>
                <w:sz w:val="19"/>
                <w:szCs w:val="19"/>
                <w:color w:val="auto"/>
              </w:rPr>
              <w:t>($297)</w:t>
            </w:r>
          </w:p>
        </w:tc>
        <w:tc>
          <w:tcPr>
            <w:tcW w:w="0" w:type="dxa"/>
            <w:vAlign w:val="bottom"/>
          </w:tcPr>
          <w:p>
            <w:pPr>
              <w:spacing w:after="0"/>
              <w:rPr>
                <w:sz w:val="1"/>
                <w:szCs w:val="1"/>
                <w:color w:val="auto"/>
              </w:rPr>
            </w:pPr>
          </w:p>
        </w:tc>
      </w:tr>
      <w:tr>
        <w:trPr>
          <w:trHeight w:val="242"/>
        </w:trPr>
        <w:tc>
          <w:tcPr>
            <w:tcW w:w="6800" w:type="dxa"/>
            <w:vAlign w:val="bottom"/>
          </w:tcPr>
          <w:p>
            <w:pPr>
              <w:ind w:left="140"/>
              <w:spacing w:after="0"/>
              <w:rPr>
                <w:sz w:val="20"/>
                <w:szCs w:val="20"/>
                <w:color w:val="auto"/>
              </w:rPr>
            </w:pPr>
            <w:r>
              <w:rPr>
                <w:rFonts w:ascii="Arial" w:cs="Arial" w:eastAsia="Arial" w:hAnsi="Arial"/>
                <w:sz w:val="19"/>
                <w:szCs w:val="19"/>
                <w:color w:val="auto"/>
              </w:rPr>
              <w:t>Income from discontinued operations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9"/>
                <w:szCs w:val="19"/>
                <w:color w:val="auto"/>
              </w:rPr>
              <w:t>(58)</w:t>
            </w:r>
          </w:p>
        </w:tc>
        <w:tc>
          <w:tcPr>
            <w:tcW w:w="0" w:type="dxa"/>
            <w:vAlign w:val="bottom"/>
          </w:tcPr>
          <w:p>
            <w:pPr>
              <w:spacing w:after="0"/>
              <w:rPr>
                <w:sz w:val="1"/>
                <w:szCs w:val="1"/>
                <w:color w:val="auto"/>
              </w:rPr>
            </w:pPr>
          </w:p>
        </w:tc>
      </w:tr>
      <w:tr>
        <w:trPr>
          <w:trHeight w:val="87"/>
        </w:trPr>
        <w:tc>
          <w:tcPr>
            <w:tcW w:w="68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6800" w:type="dxa"/>
            <w:vAlign w:val="bottom"/>
          </w:tcPr>
          <w:p>
            <w:pPr>
              <w:ind w:left="140"/>
              <w:spacing w:after="0"/>
              <w:rPr>
                <w:sz w:val="20"/>
                <w:szCs w:val="20"/>
                <w:color w:val="auto"/>
              </w:rPr>
            </w:pPr>
            <w:r>
              <w:rPr>
                <w:rFonts w:ascii="Arial" w:cs="Arial" w:eastAsia="Arial" w:hAnsi="Arial"/>
                <w:sz w:val="19"/>
                <w:szCs w:val="19"/>
                <w:color w:val="auto"/>
              </w:rPr>
              <w:t>Income (loss) from continuing operations</w:t>
            </w:r>
          </w:p>
        </w:tc>
        <w:tc>
          <w:tcPr>
            <w:tcW w:w="920" w:type="dxa"/>
            <w:vAlign w:val="bottom"/>
          </w:tcPr>
          <w:p>
            <w:pPr>
              <w:jc w:val="right"/>
              <w:spacing w:after="0"/>
              <w:rPr>
                <w:sz w:val="20"/>
                <w:szCs w:val="20"/>
                <w:color w:val="auto"/>
              </w:rPr>
            </w:pPr>
            <w:r>
              <w:rPr>
                <w:rFonts w:ascii="Arial" w:cs="Arial" w:eastAsia="Arial" w:hAnsi="Arial"/>
                <w:sz w:val="19"/>
                <w:szCs w:val="19"/>
                <w:color w:val="auto"/>
              </w:rPr>
              <w:t>65</w:t>
            </w:r>
          </w:p>
        </w:tc>
        <w:tc>
          <w:tcPr>
            <w:tcW w:w="80" w:type="dxa"/>
            <w:vAlign w:val="bottom"/>
          </w:tcPr>
          <w:p>
            <w:pPr>
              <w:spacing w:after="0"/>
              <w:rPr>
                <w:sz w:val="24"/>
                <w:szCs w:val="24"/>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9"/>
                <w:szCs w:val="19"/>
                <w:color w:val="auto"/>
              </w:rPr>
              <w:t>(355)</w:t>
            </w:r>
          </w:p>
        </w:tc>
        <w:tc>
          <w:tcPr>
            <w:tcW w:w="0" w:type="dxa"/>
            <w:vAlign w:val="bottom"/>
          </w:tcPr>
          <w:p>
            <w:pPr>
              <w:spacing w:after="0"/>
              <w:rPr>
                <w:sz w:val="1"/>
                <w:szCs w:val="1"/>
                <w:color w:val="auto"/>
              </w:rPr>
            </w:pPr>
          </w:p>
        </w:tc>
      </w:tr>
      <w:tr>
        <w:trPr>
          <w:trHeight w:val="215"/>
        </w:trPr>
        <w:tc>
          <w:tcPr>
            <w:tcW w:w="6800" w:type="dxa"/>
            <w:vAlign w:val="bottom"/>
          </w:tcPr>
          <w:p>
            <w:pPr>
              <w:ind w:left="120"/>
              <w:spacing w:after="0" w:line="214" w:lineRule="exact"/>
              <w:rPr>
                <w:sz w:val="20"/>
                <w:szCs w:val="20"/>
                <w:color w:val="auto"/>
              </w:rPr>
            </w:pPr>
            <w:r>
              <w:rPr>
                <w:rFonts w:ascii="Arial" w:cs="Arial" w:eastAsia="Arial" w:hAnsi="Arial"/>
                <w:sz w:val="19"/>
                <w:szCs w:val="19"/>
                <w:color w:val="auto"/>
              </w:rPr>
              <w:t>Adjustments to reconcile net income (loss) from continuing operations to net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line="214" w:lineRule="exact"/>
              <w:rPr>
                <w:sz w:val="20"/>
                <w:szCs w:val="20"/>
                <w:color w:val="auto"/>
              </w:rPr>
            </w:pPr>
            <w:r>
              <w:rPr>
                <w:rFonts w:ascii="Arial" w:cs="Arial" w:eastAsia="Arial" w:hAnsi="Arial"/>
                <w:sz w:val="19"/>
                <w:szCs w:val="19"/>
                <w:color w:val="auto"/>
              </w:rPr>
              <w:t>cash provided by operating activities from continuing operations: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line="214" w:lineRule="exact"/>
              <w:rPr>
                <w:sz w:val="20"/>
                <w:szCs w:val="20"/>
                <w:color w:val="auto"/>
              </w:rPr>
            </w:pPr>
            <w:r>
              <w:rPr>
                <w:rFonts w:ascii="Arial" w:cs="Arial" w:eastAsia="Arial" w:hAnsi="Arial"/>
                <w:sz w:val="19"/>
                <w:szCs w:val="19"/>
                <w:color w:val="auto"/>
              </w:rPr>
              <w:t>Depreciation</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798</w:t>
            </w:r>
          </w:p>
        </w:tc>
        <w:tc>
          <w:tcPr>
            <w:tcW w:w="80" w:type="dxa"/>
            <w:vAlign w:val="bottom"/>
          </w:tcPr>
          <w:p>
            <w:pPr>
              <w:spacing w:after="0"/>
              <w:rPr>
                <w:sz w:val="18"/>
                <w:szCs w:val="18"/>
                <w:color w:val="auto"/>
              </w:rPr>
            </w:pPr>
          </w:p>
        </w:tc>
        <w:tc>
          <w:tcPr>
            <w:tcW w:w="1220" w:type="dxa"/>
            <w:vAlign w:val="bottom"/>
            <w:gridSpan w:val="3"/>
          </w:tcPr>
          <w:p>
            <w:pPr>
              <w:jc w:val="right"/>
              <w:ind w:right="140"/>
              <w:spacing w:after="0" w:line="214" w:lineRule="exact"/>
              <w:rPr>
                <w:sz w:val="20"/>
                <w:szCs w:val="20"/>
                <w:color w:val="auto"/>
              </w:rPr>
            </w:pPr>
            <w:r>
              <w:rPr>
                <w:rFonts w:ascii="Arial" w:cs="Arial" w:eastAsia="Arial" w:hAnsi="Arial"/>
                <w:sz w:val="19"/>
                <w:szCs w:val="19"/>
                <w:color w:val="auto"/>
              </w:rPr>
              <w:t>780</w:t>
            </w:r>
          </w:p>
        </w:tc>
        <w:tc>
          <w:tcPr>
            <w:tcW w:w="0" w:type="dxa"/>
            <w:vAlign w:val="bottom"/>
          </w:tcPr>
          <w:p>
            <w:pPr>
              <w:spacing w:after="0"/>
              <w:rPr>
                <w:sz w:val="1"/>
                <w:szCs w:val="1"/>
                <w:color w:val="auto"/>
              </w:rPr>
            </w:pPr>
          </w:p>
        </w:tc>
      </w:tr>
      <w:tr>
        <w:trPr>
          <w:trHeight w:val="215"/>
        </w:trPr>
        <w:tc>
          <w:tcPr>
            <w:tcW w:w="6800" w:type="dxa"/>
            <w:vAlign w:val="bottom"/>
          </w:tcPr>
          <w:p>
            <w:pPr>
              <w:ind w:left="220"/>
              <w:spacing w:after="0" w:line="214" w:lineRule="exact"/>
              <w:rPr>
                <w:sz w:val="20"/>
                <w:szCs w:val="20"/>
                <w:color w:val="auto"/>
              </w:rPr>
            </w:pPr>
            <w:r>
              <w:rPr>
                <w:rFonts w:ascii="Arial" w:cs="Arial" w:eastAsia="Arial" w:hAnsi="Arial"/>
                <w:sz w:val="19"/>
                <w:szCs w:val="19"/>
                <w:color w:val="auto"/>
              </w:rPr>
              <w:t>Amortization</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276</w:t>
            </w:r>
          </w:p>
        </w:tc>
        <w:tc>
          <w:tcPr>
            <w:tcW w:w="80" w:type="dxa"/>
            <w:vAlign w:val="bottom"/>
          </w:tcPr>
          <w:p>
            <w:pPr>
              <w:spacing w:after="0"/>
              <w:rPr>
                <w:sz w:val="18"/>
                <w:szCs w:val="18"/>
                <w:color w:val="auto"/>
              </w:rPr>
            </w:pPr>
          </w:p>
        </w:tc>
        <w:tc>
          <w:tcPr>
            <w:tcW w:w="1220" w:type="dxa"/>
            <w:vAlign w:val="bottom"/>
            <w:gridSpan w:val="3"/>
          </w:tcPr>
          <w:p>
            <w:pPr>
              <w:jc w:val="right"/>
              <w:ind w:right="140"/>
              <w:spacing w:after="0" w:line="214" w:lineRule="exact"/>
              <w:rPr>
                <w:sz w:val="20"/>
                <w:szCs w:val="20"/>
                <w:color w:val="auto"/>
              </w:rPr>
            </w:pPr>
            <w:r>
              <w:rPr>
                <w:rFonts w:ascii="Arial" w:cs="Arial" w:eastAsia="Arial" w:hAnsi="Arial"/>
                <w:sz w:val="19"/>
                <w:szCs w:val="19"/>
                <w:color w:val="auto"/>
              </w:rPr>
              <w:t>354</w:t>
            </w: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line="214" w:lineRule="exact"/>
              <w:rPr>
                <w:sz w:val="20"/>
                <w:szCs w:val="20"/>
                <w:color w:val="auto"/>
              </w:rPr>
            </w:pPr>
            <w:r>
              <w:rPr>
                <w:rFonts w:ascii="Arial" w:cs="Arial" w:eastAsia="Arial" w:hAnsi="Arial"/>
                <w:sz w:val="19"/>
                <w:szCs w:val="19"/>
                <w:color w:val="auto"/>
              </w:rPr>
              <w:t>Non-cash interest expense (income), net</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22</w:t>
            </w:r>
          </w:p>
        </w:tc>
        <w:tc>
          <w:tcPr>
            <w:tcW w:w="80" w:type="dxa"/>
            <w:vAlign w:val="bottom"/>
          </w:tcPr>
          <w:p>
            <w:pPr>
              <w:spacing w:after="0"/>
              <w:rPr>
                <w:sz w:val="18"/>
                <w:szCs w:val="18"/>
                <w:color w:val="auto"/>
              </w:rPr>
            </w:pPr>
          </w:p>
        </w:tc>
        <w:tc>
          <w:tcPr>
            <w:tcW w:w="1220" w:type="dxa"/>
            <w:vAlign w:val="bottom"/>
            <w:gridSpan w:val="3"/>
          </w:tcPr>
          <w:p>
            <w:pPr>
              <w:jc w:val="right"/>
              <w:ind w:right="80"/>
              <w:spacing w:after="0" w:line="214" w:lineRule="exact"/>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line="214" w:lineRule="exact"/>
              <w:rPr>
                <w:sz w:val="20"/>
                <w:szCs w:val="20"/>
                <w:color w:val="auto"/>
              </w:rPr>
            </w:pPr>
            <w:r>
              <w:rPr>
                <w:rFonts w:ascii="Arial" w:cs="Arial" w:eastAsia="Arial" w:hAnsi="Arial"/>
                <w:sz w:val="19"/>
                <w:szCs w:val="19"/>
                <w:color w:val="auto"/>
              </w:rPr>
              <w:t>Equity in net losses of affiliates</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17</w:t>
            </w:r>
          </w:p>
        </w:tc>
        <w:tc>
          <w:tcPr>
            <w:tcW w:w="80" w:type="dxa"/>
            <w:vAlign w:val="bottom"/>
          </w:tcPr>
          <w:p>
            <w:pPr>
              <w:spacing w:after="0"/>
              <w:rPr>
                <w:sz w:val="18"/>
                <w:szCs w:val="18"/>
                <w:color w:val="auto"/>
              </w:rPr>
            </w:pPr>
          </w:p>
        </w:tc>
        <w:tc>
          <w:tcPr>
            <w:tcW w:w="1220" w:type="dxa"/>
            <w:vAlign w:val="bottom"/>
            <w:gridSpan w:val="3"/>
          </w:tcPr>
          <w:p>
            <w:pPr>
              <w:jc w:val="right"/>
              <w:ind w:right="140"/>
              <w:spacing w:after="0" w:line="214" w:lineRule="exact"/>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line="214" w:lineRule="exact"/>
              <w:rPr>
                <w:sz w:val="20"/>
                <w:szCs w:val="20"/>
                <w:color w:val="auto"/>
              </w:rPr>
            </w:pPr>
            <w:r>
              <w:rPr>
                <w:rFonts w:ascii="Arial" w:cs="Arial" w:eastAsia="Arial" w:hAnsi="Arial"/>
                <w:sz w:val="19"/>
                <w:szCs w:val="19"/>
                <w:color w:val="auto"/>
              </w:rPr>
              <w:t>Losses (gains) on investments and other (income) expense, net</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8</w:t>
            </w:r>
          </w:p>
        </w:tc>
        <w:tc>
          <w:tcPr>
            <w:tcW w:w="80" w:type="dxa"/>
            <w:vAlign w:val="bottom"/>
          </w:tcPr>
          <w:p>
            <w:pPr>
              <w:spacing w:after="0"/>
              <w:rPr>
                <w:sz w:val="18"/>
                <w:szCs w:val="18"/>
                <w:color w:val="auto"/>
              </w:rPr>
            </w:pPr>
          </w:p>
        </w:tc>
        <w:tc>
          <w:tcPr>
            <w:tcW w:w="1220" w:type="dxa"/>
            <w:vAlign w:val="bottom"/>
            <w:gridSpan w:val="3"/>
          </w:tcPr>
          <w:p>
            <w:pPr>
              <w:jc w:val="right"/>
              <w:ind w:right="140"/>
              <w:spacing w:after="0" w:line="214" w:lineRule="exact"/>
              <w:rPr>
                <w:sz w:val="20"/>
                <w:szCs w:val="20"/>
                <w:color w:val="auto"/>
              </w:rPr>
            </w:pPr>
            <w:r>
              <w:rPr>
                <w:rFonts w:ascii="Arial" w:cs="Arial" w:eastAsia="Arial" w:hAnsi="Arial"/>
                <w:sz w:val="19"/>
                <w:szCs w:val="19"/>
                <w:color w:val="auto"/>
              </w:rPr>
              <w:t>249</w:t>
            </w: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line="214" w:lineRule="exact"/>
              <w:rPr>
                <w:sz w:val="20"/>
                <w:szCs w:val="20"/>
                <w:color w:val="auto"/>
              </w:rPr>
            </w:pPr>
            <w:r>
              <w:rPr>
                <w:rFonts w:ascii="Arial" w:cs="Arial" w:eastAsia="Arial" w:hAnsi="Arial"/>
                <w:sz w:val="19"/>
                <w:szCs w:val="19"/>
                <w:color w:val="auto"/>
              </w:rPr>
              <w:t>Non-cash contribution expense</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line="214" w:lineRule="exact"/>
              <w:rPr>
                <w:sz w:val="20"/>
                <w:szCs w:val="20"/>
                <w:color w:val="auto"/>
              </w:rPr>
            </w:pPr>
            <w:r>
              <w:rPr>
                <w:rFonts w:ascii="Arial" w:cs="Arial" w:eastAsia="Arial" w:hAnsi="Arial"/>
                <w:sz w:val="19"/>
                <w:szCs w:val="19"/>
                <w:color w:val="auto"/>
              </w:rPr>
              <w:t>Minority interest</w:t>
            </w:r>
          </w:p>
        </w:tc>
        <w:tc>
          <w:tcPr>
            <w:tcW w:w="1000" w:type="dxa"/>
            <w:vAlign w:val="bottom"/>
            <w:gridSpan w:val="2"/>
          </w:tcPr>
          <w:p>
            <w:pPr>
              <w:jc w:val="right"/>
              <w:ind w:right="20"/>
              <w:spacing w:after="0" w:line="214" w:lineRule="exact"/>
              <w:rPr>
                <w:sz w:val="20"/>
                <w:szCs w:val="20"/>
                <w:color w:val="auto"/>
              </w:rPr>
            </w:pPr>
            <w:r>
              <w:rPr>
                <w:rFonts w:ascii="Arial" w:cs="Arial" w:eastAsia="Arial" w:hAnsi="Arial"/>
                <w:sz w:val="19"/>
                <w:szCs w:val="19"/>
                <w:color w:val="auto"/>
              </w:rPr>
              <w:t>(1)</w:t>
            </w:r>
          </w:p>
        </w:tc>
        <w:tc>
          <w:tcPr>
            <w:tcW w:w="1220" w:type="dxa"/>
            <w:vAlign w:val="bottom"/>
            <w:gridSpan w:val="3"/>
          </w:tcPr>
          <w:p>
            <w:pPr>
              <w:jc w:val="right"/>
              <w:ind w:right="140"/>
              <w:spacing w:after="0" w:line="214" w:lineRule="exact"/>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line="214" w:lineRule="exact"/>
              <w:rPr>
                <w:sz w:val="20"/>
                <w:szCs w:val="20"/>
                <w:color w:val="auto"/>
              </w:rPr>
            </w:pPr>
            <w:r>
              <w:rPr>
                <w:rFonts w:ascii="Arial" w:cs="Arial" w:eastAsia="Arial" w:hAnsi="Arial"/>
                <w:sz w:val="19"/>
                <w:szCs w:val="19"/>
                <w:color w:val="auto"/>
              </w:rPr>
              <w:t>Deferred income taxes</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5</w:t>
            </w:r>
          </w:p>
        </w:tc>
        <w:tc>
          <w:tcPr>
            <w:tcW w:w="80" w:type="dxa"/>
            <w:vAlign w:val="bottom"/>
          </w:tcPr>
          <w:p>
            <w:pPr>
              <w:spacing w:after="0"/>
              <w:rPr>
                <w:sz w:val="18"/>
                <w:szCs w:val="18"/>
                <w:color w:val="auto"/>
              </w:rPr>
            </w:pPr>
          </w:p>
        </w:tc>
        <w:tc>
          <w:tcPr>
            <w:tcW w:w="1220" w:type="dxa"/>
            <w:vAlign w:val="bottom"/>
            <w:gridSpan w:val="3"/>
          </w:tcPr>
          <w:p>
            <w:pPr>
              <w:jc w:val="right"/>
              <w:ind w:right="80"/>
              <w:spacing w:after="0" w:line="214" w:lineRule="exact"/>
              <w:rPr>
                <w:sz w:val="20"/>
                <w:szCs w:val="20"/>
                <w:color w:val="auto"/>
              </w:rPr>
            </w:pPr>
            <w:r>
              <w:rPr>
                <w:rFonts w:ascii="Arial" w:cs="Arial" w:eastAsia="Arial" w:hAnsi="Arial"/>
                <w:sz w:val="19"/>
                <w:szCs w:val="19"/>
                <w:color w:val="auto"/>
              </w:rPr>
              <w:t>(182)</w:t>
            </w: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line="214" w:lineRule="exact"/>
              <w:rPr>
                <w:sz w:val="20"/>
                <w:szCs w:val="20"/>
                <w:color w:val="auto"/>
              </w:rPr>
            </w:pPr>
            <w:r>
              <w:rPr>
                <w:rFonts w:ascii="Arial" w:cs="Arial" w:eastAsia="Arial" w:hAnsi="Arial"/>
                <w:sz w:val="19"/>
                <w:szCs w:val="19"/>
                <w:color w:val="auto"/>
              </w:rPr>
              <w:t>Proceeds from sales of trading securities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140"/>
              <w:spacing w:after="0" w:line="214" w:lineRule="exact"/>
              <w:rPr>
                <w:sz w:val="20"/>
                <w:szCs w:val="20"/>
                <w:color w:val="auto"/>
              </w:rPr>
            </w:pPr>
            <w:r>
              <w:rPr>
                <w:rFonts w:ascii="Arial" w:cs="Arial" w:eastAsia="Arial" w:hAnsi="Arial"/>
                <w:sz w:val="19"/>
                <w:szCs w:val="19"/>
                <w:color w:val="auto"/>
              </w:rPr>
              <w:t>32</w:t>
            </w: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line="214" w:lineRule="exact"/>
              <w:rPr>
                <w:sz w:val="20"/>
                <w:szCs w:val="20"/>
                <w:color w:val="auto"/>
              </w:rPr>
            </w:pPr>
            <w:r>
              <w:rPr>
                <w:rFonts w:ascii="Arial" w:cs="Arial" w:eastAsia="Arial" w:hAnsi="Arial"/>
                <w:sz w:val="19"/>
                <w:szCs w:val="19"/>
                <w:color w:val="auto"/>
              </w:rPr>
              <w:t>Changes in operating assets and liabilities, net of effects of</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320"/>
              <w:spacing w:after="0" w:line="214" w:lineRule="exact"/>
              <w:rPr>
                <w:sz w:val="20"/>
                <w:szCs w:val="20"/>
                <w:color w:val="auto"/>
              </w:rPr>
            </w:pPr>
            <w:r>
              <w:rPr>
                <w:rFonts w:ascii="Arial" w:cs="Arial" w:eastAsia="Arial" w:hAnsi="Arial"/>
                <w:sz w:val="19"/>
                <w:szCs w:val="19"/>
                <w:color w:val="auto"/>
              </w:rPr>
              <w:t>acquisitions and divestitures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320"/>
              <w:spacing w:after="0" w:line="214" w:lineRule="exact"/>
              <w:rPr>
                <w:sz w:val="20"/>
                <w:szCs w:val="20"/>
                <w:color w:val="auto"/>
              </w:rPr>
            </w:pPr>
            <w:r>
              <w:rPr>
                <w:rFonts w:ascii="Arial" w:cs="Arial" w:eastAsia="Arial" w:hAnsi="Arial"/>
                <w:sz w:val="19"/>
                <w:szCs w:val="19"/>
                <w:color w:val="auto"/>
              </w:rPr>
              <w:t>Change in accounts receivable, net</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131</w:t>
            </w:r>
          </w:p>
        </w:tc>
        <w:tc>
          <w:tcPr>
            <w:tcW w:w="80" w:type="dxa"/>
            <w:vAlign w:val="bottom"/>
          </w:tcPr>
          <w:p>
            <w:pPr>
              <w:spacing w:after="0"/>
              <w:rPr>
                <w:sz w:val="18"/>
                <w:szCs w:val="18"/>
                <w:color w:val="auto"/>
              </w:rPr>
            </w:pPr>
          </w:p>
        </w:tc>
        <w:tc>
          <w:tcPr>
            <w:tcW w:w="1220" w:type="dxa"/>
            <w:vAlign w:val="bottom"/>
            <w:gridSpan w:val="3"/>
          </w:tcPr>
          <w:p>
            <w:pPr>
              <w:jc w:val="right"/>
              <w:ind w:right="140"/>
              <w:spacing w:after="0" w:line="214" w:lineRule="exact"/>
              <w:rPr>
                <w:sz w:val="20"/>
                <w:szCs w:val="20"/>
                <w:color w:val="auto"/>
              </w:rPr>
            </w:pPr>
            <w:r>
              <w:rPr>
                <w:rFonts w:ascii="Arial" w:cs="Arial" w:eastAsia="Arial" w:hAnsi="Arial"/>
                <w:sz w:val="19"/>
                <w:szCs w:val="19"/>
                <w:color w:val="auto"/>
              </w:rPr>
              <w:t>72</w:t>
            </w:r>
          </w:p>
        </w:tc>
        <w:tc>
          <w:tcPr>
            <w:tcW w:w="0" w:type="dxa"/>
            <w:vAlign w:val="bottom"/>
          </w:tcPr>
          <w:p>
            <w:pPr>
              <w:spacing w:after="0"/>
              <w:rPr>
                <w:sz w:val="1"/>
                <w:szCs w:val="1"/>
                <w:color w:val="auto"/>
              </w:rPr>
            </w:pPr>
          </w:p>
        </w:tc>
      </w:tr>
      <w:tr>
        <w:trPr>
          <w:trHeight w:val="215"/>
        </w:trPr>
        <w:tc>
          <w:tcPr>
            <w:tcW w:w="6800" w:type="dxa"/>
            <w:vAlign w:val="bottom"/>
          </w:tcPr>
          <w:p>
            <w:pPr>
              <w:ind w:left="320"/>
              <w:spacing w:after="0" w:line="214" w:lineRule="exact"/>
              <w:rPr>
                <w:sz w:val="20"/>
                <w:szCs w:val="20"/>
                <w:color w:val="auto"/>
              </w:rPr>
            </w:pPr>
            <w:r>
              <w:rPr>
                <w:rFonts w:ascii="Arial" w:cs="Arial" w:eastAsia="Arial" w:hAnsi="Arial"/>
                <w:sz w:val="19"/>
                <w:szCs w:val="19"/>
                <w:color w:val="auto"/>
              </w:rPr>
              <w:t>Change in accounts payable</w:t>
            </w:r>
          </w:p>
        </w:tc>
        <w:tc>
          <w:tcPr>
            <w:tcW w:w="1000" w:type="dxa"/>
            <w:vAlign w:val="bottom"/>
            <w:gridSpan w:val="2"/>
          </w:tcPr>
          <w:p>
            <w:pPr>
              <w:jc w:val="right"/>
              <w:ind w:right="20"/>
              <w:spacing w:after="0" w:line="214" w:lineRule="exact"/>
              <w:rPr>
                <w:sz w:val="20"/>
                <w:szCs w:val="20"/>
                <w:color w:val="auto"/>
              </w:rPr>
            </w:pPr>
            <w:r>
              <w:rPr>
                <w:rFonts w:ascii="Arial" w:cs="Arial" w:eastAsia="Arial" w:hAnsi="Arial"/>
                <w:sz w:val="19"/>
                <w:szCs w:val="19"/>
                <w:color w:val="auto"/>
              </w:rPr>
              <w:t>(227)</w:t>
            </w:r>
          </w:p>
        </w:tc>
        <w:tc>
          <w:tcPr>
            <w:tcW w:w="1220" w:type="dxa"/>
            <w:vAlign w:val="bottom"/>
            <w:gridSpan w:val="3"/>
          </w:tcPr>
          <w:p>
            <w:pPr>
              <w:jc w:val="right"/>
              <w:ind w:right="80"/>
              <w:spacing w:after="0" w:line="214" w:lineRule="exact"/>
              <w:rPr>
                <w:sz w:val="20"/>
                <w:szCs w:val="20"/>
                <w:color w:val="auto"/>
              </w:rPr>
            </w:pPr>
            <w:r>
              <w:rPr>
                <w:rFonts w:ascii="Arial" w:cs="Arial" w:eastAsia="Arial" w:hAnsi="Arial"/>
                <w:sz w:val="19"/>
                <w:szCs w:val="19"/>
                <w:color w:val="auto"/>
              </w:rPr>
              <w:t>(29)</w:t>
            </w:r>
          </w:p>
        </w:tc>
        <w:tc>
          <w:tcPr>
            <w:tcW w:w="0" w:type="dxa"/>
            <w:vAlign w:val="bottom"/>
          </w:tcPr>
          <w:p>
            <w:pPr>
              <w:spacing w:after="0"/>
              <w:rPr>
                <w:sz w:val="1"/>
                <w:szCs w:val="1"/>
                <w:color w:val="auto"/>
              </w:rPr>
            </w:pPr>
          </w:p>
        </w:tc>
      </w:tr>
      <w:tr>
        <w:trPr>
          <w:trHeight w:val="242"/>
        </w:trPr>
        <w:tc>
          <w:tcPr>
            <w:tcW w:w="6800" w:type="dxa"/>
            <w:vAlign w:val="bottom"/>
          </w:tcPr>
          <w:p>
            <w:pPr>
              <w:ind w:left="320"/>
              <w:spacing w:after="0"/>
              <w:rPr>
                <w:sz w:val="20"/>
                <w:szCs w:val="20"/>
                <w:color w:val="auto"/>
              </w:rPr>
            </w:pPr>
            <w:r>
              <w:rPr>
                <w:rFonts w:ascii="Arial" w:cs="Arial" w:eastAsia="Arial" w:hAnsi="Arial"/>
                <w:sz w:val="19"/>
                <w:szCs w:val="19"/>
                <w:color w:val="auto"/>
              </w:rPr>
              <w:t>Change in other operating assets and liabilities</w:t>
            </w:r>
          </w:p>
        </w:tc>
        <w:tc>
          <w:tcPr>
            <w:tcW w:w="1000" w:type="dxa"/>
            <w:vAlign w:val="bottom"/>
            <w:gridSpan w:val="2"/>
          </w:tcPr>
          <w:p>
            <w:pPr>
              <w:jc w:val="right"/>
              <w:ind w:right="20"/>
              <w:spacing w:after="0"/>
              <w:rPr>
                <w:sz w:val="20"/>
                <w:szCs w:val="20"/>
                <w:color w:val="auto"/>
              </w:rPr>
            </w:pPr>
            <w:r>
              <w:rPr>
                <w:rFonts w:ascii="Arial" w:cs="Arial" w:eastAsia="Arial" w:hAnsi="Arial"/>
                <w:sz w:val="19"/>
                <w:szCs w:val="19"/>
                <w:color w:val="auto"/>
              </w:rPr>
              <w:t>(343)</w:t>
            </w:r>
          </w:p>
        </w:tc>
        <w:tc>
          <w:tcPr>
            <w:tcW w:w="1220" w:type="dxa"/>
            <w:vAlign w:val="bottom"/>
            <w:gridSpan w:val="3"/>
          </w:tcPr>
          <w:p>
            <w:pPr>
              <w:jc w:val="right"/>
              <w:ind w:right="80"/>
              <w:spacing w:after="0"/>
              <w:rPr>
                <w:sz w:val="20"/>
                <w:szCs w:val="20"/>
                <w:color w:val="auto"/>
              </w:rPr>
            </w:pPr>
            <w:r>
              <w:rPr>
                <w:rFonts w:ascii="Arial" w:cs="Arial" w:eastAsia="Arial" w:hAnsi="Arial"/>
                <w:sz w:val="19"/>
                <w:szCs w:val="19"/>
                <w:color w:val="auto"/>
              </w:rPr>
              <w:t>(277)</w:t>
            </w:r>
          </w:p>
        </w:tc>
        <w:tc>
          <w:tcPr>
            <w:tcW w:w="0" w:type="dxa"/>
            <w:vAlign w:val="bottom"/>
          </w:tcPr>
          <w:p>
            <w:pPr>
              <w:spacing w:after="0"/>
              <w:rPr>
                <w:sz w:val="1"/>
                <w:szCs w:val="1"/>
                <w:color w:val="auto"/>
              </w:rPr>
            </w:pPr>
          </w:p>
        </w:tc>
      </w:tr>
      <w:tr>
        <w:trPr>
          <w:trHeight w:val="87"/>
        </w:trPr>
        <w:tc>
          <w:tcPr>
            <w:tcW w:w="68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800" w:type="dxa"/>
            <w:vAlign w:val="bottom"/>
          </w:tcPr>
          <w:p>
            <w:pPr>
              <w:ind w:left="320"/>
              <w:spacing w:after="0"/>
              <w:rPr>
                <w:sz w:val="20"/>
                <w:szCs w:val="20"/>
                <w:color w:val="auto"/>
              </w:rPr>
            </w:pPr>
            <w:r>
              <w:rPr>
                <w:rFonts w:ascii="Arial" w:cs="Arial" w:eastAsia="Arial" w:hAnsi="Arial"/>
                <w:sz w:val="19"/>
                <w:szCs w:val="19"/>
                <w:color w:val="auto"/>
              </w:rPr>
              <w:t>Net cash provided by operating activities from continuing operations</w:t>
            </w:r>
          </w:p>
        </w:tc>
        <w:tc>
          <w:tcPr>
            <w:tcW w:w="920" w:type="dxa"/>
            <w:vAlign w:val="bottom"/>
          </w:tcPr>
          <w:p>
            <w:pPr>
              <w:jc w:val="right"/>
              <w:spacing w:after="0"/>
              <w:rPr>
                <w:sz w:val="20"/>
                <w:szCs w:val="20"/>
                <w:color w:val="auto"/>
              </w:rPr>
            </w:pPr>
            <w:r>
              <w:rPr>
                <w:rFonts w:ascii="Arial" w:cs="Arial" w:eastAsia="Arial" w:hAnsi="Arial"/>
                <w:sz w:val="19"/>
                <w:szCs w:val="19"/>
                <w:color w:val="auto"/>
              </w:rPr>
              <w:t>774</w:t>
            </w:r>
          </w:p>
        </w:tc>
        <w:tc>
          <w:tcPr>
            <w:tcW w:w="8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9"/>
                <w:szCs w:val="19"/>
                <w:color w:val="auto"/>
              </w:rPr>
              <w:t>653</w:t>
            </w:r>
          </w:p>
        </w:tc>
        <w:tc>
          <w:tcPr>
            <w:tcW w:w="0" w:type="dxa"/>
            <w:vAlign w:val="bottom"/>
          </w:tcPr>
          <w:p>
            <w:pPr>
              <w:spacing w:after="0"/>
              <w:rPr>
                <w:sz w:val="1"/>
                <w:szCs w:val="1"/>
                <w:color w:val="auto"/>
              </w:rPr>
            </w:pPr>
          </w:p>
        </w:tc>
      </w:tr>
      <w:tr>
        <w:trPr>
          <w:trHeight w:val="87"/>
        </w:trPr>
        <w:tc>
          <w:tcPr>
            <w:tcW w:w="6800" w:type="dxa"/>
            <w:vAlign w:val="bottom"/>
            <w:vMerge w:val="restart"/>
          </w:tcPr>
          <w:p>
            <w:pPr>
              <w:spacing w:after="0"/>
              <w:rPr>
                <w:sz w:val="20"/>
                <w:szCs w:val="20"/>
                <w:color w:val="auto"/>
              </w:rPr>
            </w:pPr>
            <w:r>
              <w:rPr>
                <w:rFonts w:ascii="Arial" w:cs="Arial" w:eastAsia="Arial" w:hAnsi="Arial"/>
                <w:sz w:val="19"/>
                <w:szCs w:val="19"/>
                <w:color w:val="auto"/>
              </w:rPr>
              <w:t>FINANCING ACTIVITIES</w:t>
            </w:r>
          </w:p>
        </w:tc>
        <w:tc>
          <w:tcPr>
            <w:tcW w:w="9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6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140"/>
              <w:spacing w:after="0" w:line="214" w:lineRule="exact"/>
              <w:rPr>
                <w:sz w:val="20"/>
                <w:szCs w:val="20"/>
                <w:color w:val="auto"/>
              </w:rPr>
            </w:pPr>
            <w:r>
              <w:rPr>
                <w:rFonts w:ascii="Arial" w:cs="Arial" w:eastAsia="Arial" w:hAnsi="Arial"/>
                <w:sz w:val="19"/>
                <w:szCs w:val="19"/>
                <w:color w:val="auto"/>
              </w:rPr>
              <w:t>Proceeds from borrowings</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4</w:t>
            </w:r>
          </w:p>
        </w:tc>
        <w:tc>
          <w:tcPr>
            <w:tcW w:w="80" w:type="dxa"/>
            <w:vAlign w:val="bottom"/>
          </w:tcPr>
          <w:p>
            <w:pPr>
              <w:spacing w:after="0"/>
              <w:rPr>
                <w:sz w:val="18"/>
                <w:szCs w:val="18"/>
                <w:color w:val="auto"/>
              </w:rPr>
            </w:pPr>
          </w:p>
        </w:tc>
        <w:tc>
          <w:tcPr>
            <w:tcW w:w="1220" w:type="dxa"/>
            <w:vAlign w:val="bottom"/>
            <w:gridSpan w:val="3"/>
          </w:tcPr>
          <w:p>
            <w:pPr>
              <w:jc w:val="right"/>
              <w:ind w:right="140"/>
              <w:spacing w:after="0" w:line="214" w:lineRule="exact"/>
              <w:rPr>
                <w:sz w:val="20"/>
                <w:szCs w:val="20"/>
                <w:color w:val="auto"/>
              </w:rPr>
            </w:pPr>
            <w:r>
              <w:rPr>
                <w:rFonts w:ascii="Arial" w:cs="Arial" w:eastAsia="Arial" w:hAnsi="Arial"/>
                <w:sz w:val="19"/>
                <w:szCs w:val="19"/>
                <w:color w:val="auto"/>
              </w:rPr>
              <w:t>3,900</w:t>
            </w:r>
          </w:p>
        </w:tc>
        <w:tc>
          <w:tcPr>
            <w:tcW w:w="0" w:type="dxa"/>
            <w:vAlign w:val="bottom"/>
          </w:tcPr>
          <w:p>
            <w:pPr>
              <w:spacing w:after="0"/>
              <w:rPr>
                <w:sz w:val="1"/>
                <w:szCs w:val="1"/>
                <w:color w:val="auto"/>
              </w:rPr>
            </w:pPr>
          </w:p>
        </w:tc>
      </w:tr>
      <w:tr>
        <w:trPr>
          <w:trHeight w:val="215"/>
        </w:trPr>
        <w:tc>
          <w:tcPr>
            <w:tcW w:w="6800" w:type="dxa"/>
            <w:vAlign w:val="bottom"/>
          </w:tcPr>
          <w:p>
            <w:pPr>
              <w:ind w:left="140"/>
              <w:spacing w:after="0" w:line="214" w:lineRule="exact"/>
              <w:rPr>
                <w:sz w:val="20"/>
                <w:szCs w:val="20"/>
                <w:color w:val="auto"/>
              </w:rPr>
            </w:pPr>
            <w:r>
              <w:rPr>
                <w:rFonts w:ascii="Arial" w:cs="Arial" w:eastAsia="Arial" w:hAnsi="Arial"/>
                <w:sz w:val="19"/>
                <w:szCs w:val="19"/>
                <w:color w:val="auto"/>
              </w:rPr>
              <w:t>Retirements and repayments of debt</w:t>
            </w:r>
          </w:p>
        </w:tc>
        <w:tc>
          <w:tcPr>
            <w:tcW w:w="1000" w:type="dxa"/>
            <w:vAlign w:val="bottom"/>
            <w:gridSpan w:val="2"/>
          </w:tcPr>
          <w:p>
            <w:pPr>
              <w:jc w:val="right"/>
              <w:ind w:right="20"/>
              <w:spacing w:after="0" w:line="214" w:lineRule="exact"/>
              <w:rPr>
                <w:sz w:val="20"/>
                <w:szCs w:val="20"/>
                <w:color w:val="auto"/>
              </w:rPr>
            </w:pPr>
            <w:r>
              <w:rPr>
                <w:rFonts w:ascii="Arial" w:cs="Arial" w:eastAsia="Arial" w:hAnsi="Arial"/>
                <w:sz w:val="19"/>
                <w:szCs w:val="19"/>
                <w:color w:val="auto"/>
              </w:rPr>
              <w:t>(273)</w:t>
            </w:r>
          </w:p>
        </w:tc>
        <w:tc>
          <w:tcPr>
            <w:tcW w:w="1220" w:type="dxa"/>
            <w:vAlign w:val="bottom"/>
            <w:gridSpan w:val="3"/>
          </w:tcPr>
          <w:p>
            <w:pPr>
              <w:jc w:val="right"/>
              <w:ind w:right="80"/>
              <w:spacing w:after="0" w:line="214" w:lineRule="exact"/>
              <w:rPr>
                <w:sz w:val="20"/>
                <w:szCs w:val="20"/>
                <w:color w:val="auto"/>
              </w:rPr>
            </w:pPr>
            <w:r>
              <w:rPr>
                <w:rFonts w:ascii="Arial" w:cs="Arial" w:eastAsia="Arial" w:hAnsi="Arial"/>
                <w:sz w:val="19"/>
                <w:szCs w:val="19"/>
                <w:color w:val="auto"/>
              </w:rPr>
              <w:t>(6,077)</w:t>
            </w:r>
          </w:p>
        </w:tc>
        <w:tc>
          <w:tcPr>
            <w:tcW w:w="0" w:type="dxa"/>
            <w:vAlign w:val="bottom"/>
          </w:tcPr>
          <w:p>
            <w:pPr>
              <w:spacing w:after="0"/>
              <w:rPr>
                <w:sz w:val="1"/>
                <w:szCs w:val="1"/>
                <w:color w:val="auto"/>
              </w:rPr>
            </w:pPr>
          </w:p>
        </w:tc>
      </w:tr>
      <w:tr>
        <w:trPr>
          <w:trHeight w:val="242"/>
        </w:trPr>
        <w:tc>
          <w:tcPr>
            <w:tcW w:w="6800" w:type="dxa"/>
            <w:vAlign w:val="bottom"/>
          </w:tcPr>
          <w:p>
            <w:pPr>
              <w:ind w:left="140"/>
              <w:spacing w:after="0"/>
              <w:rPr>
                <w:sz w:val="20"/>
                <w:szCs w:val="20"/>
                <w:color w:val="auto"/>
              </w:rPr>
            </w:pPr>
            <w:r>
              <w:rPr>
                <w:rFonts w:ascii="Arial" w:cs="Arial" w:eastAsia="Arial" w:hAnsi="Arial"/>
                <w:sz w:val="19"/>
                <w:szCs w:val="19"/>
                <w:color w:val="auto"/>
              </w:rPr>
              <w:t>Other</w:t>
            </w:r>
          </w:p>
        </w:tc>
        <w:tc>
          <w:tcPr>
            <w:tcW w:w="920" w:type="dxa"/>
            <w:vAlign w:val="bottom"/>
          </w:tcPr>
          <w:p>
            <w:pPr>
              <w:jc w:val="right"/>
              <w:spacing w:after="0"/>
              <w:rPr>
                <w:sz w:val="20"/>
                <w:szCs w:val="20"/>
                <w:color w:val="auto"/>
              </w:rPr>
            </w:pPr>
            <w:r>
              <w:rPr>
                <w:rFonts w:ascii="Arial" w:cs="Arial" w:eastAsia="Arial" w:hAnsi="Arial"/>
                <w:sz w:val="19"/>
                <w:szCs w:val="19"/>
                <w:color w:val="auto"/>
              </w:rPr>
              <w:t>18</w:t>
            </w:r>
          </w:p>
        </w:tc>
        <w:tc>
          <w:tcPr>
            <w:tcW w:w="80" w:type="dxa"/>
            <w:vAlign w:val="bottom"/>
          </w:tcPr>
          <w:p>
            <w:pPr>
              <w:spacing w:after="0"/>
              <w:rPr>
                <w:sz w:val="21"/>
                <w:szCs w:val="21"/>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bl>
    <w:p>
      <w:pPr>
        <w:sectPr>
          <w:pgSz w:w="11900" w:h="16878" w:orient="portrait"/>
          <w:cols w:equalWidth="0" w:num="1">
            <w:col w:w="10219"/>
          </w:cols>
          <w:pgMar w:left="240" w:top="335" w:right="1440" w:bottom="0" w:gutter="0" w:footer="0" w:header="0"/>
        </w:sectPr>
      </w:pPr>
    </w:p>
    <w:bookmarkStart w:id="4" w:name="page5"/>
    <w:bookmarkEnd w:id="4"/>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4473575</wp:posOffset>
            </wp:positionH>
            <wp:positionV relativeFrom="page">
              <wp:posOffset>88900</wp:posOffset>
            </wp:positionV>
            <wp:extent cx="131762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tbl>
      <w:tblPr>
        <w:tblLayout w:type="fixed"/>
        <w:tblInd w:w="5" w:type="dxa"/>
        <w:tblCellMar>
          <w:top w:w="0" w:type="dxa"/>
          <w:left w:w="0" w:type="dxa"/>
          <w:bottom w:w="0" w:type="dxa"/>
          <w:right w:w="0" w:type="dxa"/>
        </w:tblCellMar>
      </w:tblPr>
      <w:tr>
        <w:trPr>
          <w:trHeight w:val="242"/>
        </w:trPr>
        <w:tc>
          <w:tcPr>
            <w:tcW w:w="6800" w:type="dxa"/>
            <w:vAlign w:val="bottom"/>
          </w:tcPr>
          <w:p>
            <w:pPr>
              <w:ind w:left="320"/>
              <w:spacing w:after="0"/>
              <w:rPr>
                <w:sz w:val="20"/>
                <w:szCs w:val="20"/>
                <w:color w:val="auto"/>
              </w:rPr>
            </w:pPr>
            <w:r>
              <w:rPr>
                <w:rFonts w:ascii="Arial" w:cs="Arial" w:eastAsia="Arial" w:hAnsi="Arial"/>
                <w:sz w:val="19"/>
                <w:szCs w:val="19"/>
                <w:color w:val="auto"/>
              </w:rPr>
              <w:t>Net cash used in financing activities from continuing operations</w:t>
            </w:r>
          </w:p>
        </w:tc>
        <w:tc>
          <w:tcPr>
            <w:tcW w:w="1180" w:type="dxa"/>
            <w:vAlign w:val="bottom"/>
            <w:gridSpan w:val="2"/>
          </w:tcPr>
          <w:p>
            <w:pPr>
              <w:jc w:val="right"/>
              <w:ind w:right="200"/>
              <w:spacing w:after="0"/>
              <w:rPr>
                <w:sz w:val="20"/>
                <w:szCs w:val="20"/>
                <w:color w:val="auto"/>
              </w:rPr>
            </w:pPr>
            <w:r>
              <w:rPr>
                <w:rFonts w:ascii="Arial" w:cs="Arial" w:eastAsia="Arial" w:hAnsi="Arial"/>
                <w:sz w:val="19"/>
                <w:szCs w:val="19"/>
                <w:color w:val="auto"/>
              </w:rPr>
              <w:t>(251)</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(2,193)</w:t>
            </w:r>
          </w:p>
        </w:tc>
        <w:tc>
          <w:tcPr>
            <w:tcW w:w="0" w:type="dxa"/>
            <w:vAlign w:val="bottom"/>
          </w:tcPr>
          <w:p>
            <w:pPr>
              <w:spacing w:after="0"/>
              <w:rPr>
                <w:sz w:val="1"/>
                <w:szCs w:val="1"/>
                <w:color w:val="auto"/>
              </w:rPr>
            </w:pPr>
          </w:p>
        </w:tc>
      </w:tr>
      <w:tr>
        <w:trPr>
          <w:trHeight w:val="87"/>
        </w:trPr>
        <w:tc>
          <w:tcPr>
            <w:tcW w:w="6800" w:type="dxa"/>
            <w:vAlign w:val="bottom"/>
            <w:vMerge w:val="restart"/>
          </w:tcPr>
          <w:p>
            <w:pPr>
              <w:spacing w:after="0"/>
              <w:rPr>
                <w:sz w:val="20"/>
                <w:szCs w:val="20"/>
                <w:color w:val="auto"/>
              </w:rPr>
            </w:pPr>
            <w:r>
              <w:rPr>
                <w:rFonts w:ascii="Arial" w:cs="Arial" w:eastAsia="Arial" w:hAnsi="Arial"/>
                <w:sz w:val="19"/>
                <w:szCs w:val="19"/>
                <w:color w:val="auto"/>
              </w:rPr>
              <w:t>INVESTING ACTIVITIES</w:t>
            </w: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6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120"/>
              <w:spacing w:after="0" w:line="214" w:lineRule="exact"/>
              <w:rPr>
                <w:sz w:val="20"/>
                <w:szCs w:val="20"/>
                <w:color w:val="auto"/>
              </w:rPr>
            </w:pPr>
            <w:r>
              <w:rPr>
                <w:rFonts w:ascii="Arial" w:cs="Arial" w:eastAsia="Arial" w:hAnsi="Arial"/>
                <w:sz w:val="19"/>
                <w:szCs w:val="19"/>
                <w:color w:val="auto"/>
              </w:rPr>
              <w:t>Acquisitions, net of cash acquired</w:t>
            </w:r>
          </w:p>
        </w:tc>
        <w:tc>
          <w:tcPr>
            <w:tcW w:w="1180" w:type="dxa"/>
            <w:vAlign w:val="bottom"/>
            <w:gridSpan w:val="2"/>
          </w:tcPr>
          <w:p>
            <w:pPr>
              <w:jc w:val="right"/>
              <w:ind w:right="200"/>
              <w:spacing w:after="0" w:line="214" w:lineRule="exact"/>
              <w:rPr>
                <w:sz w:val="20"/>
                <w:szCs w:val="20"/>
                <w:color w:val="auto"/>
              </w:rPr>
            </w:pPr>
            <w:r>
              <w:rPr>
                <w:rFonts w:ascii="Arial" w:cs="Arial" w:eastAsia="Arial" w:hAnsi="Arial"/>
                <w:sz w:val="19"/>
                <w:szCs w:val="19"/>
                <w:color w:val="auto"/>
              </w:rPr>
              <w:t>(41)</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140"/>
              <w:spacing w:after="0" w:line="214" w:lineRule="exact"/>
              <w:rPr>
                <w:sz w:val="20"/>
                <w:szCs w:val="20"/>
                <w:color w:val="auto"/>
              </w:rPr>
            </w:pPr>
            <w:r>
              <w:rPr>
                <w:rFonts w:ascii="Arial" w:cs="Arial" w:eastAsia="Arial" w:hAnsi="Arial"/>
                <w:sz w:val="19"/>
                <w:szCs w:val="19"/>
                <w:color w:val="auto"/>
              </w:rPr>
              <w:t>Proceeds from sales of (purchases of) short-term investments, net</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6</w:t>
            </w:r>
          </w:p>
        </w:tc>
        <w:tc>
          <w:tcPr>
            <w:tcW w:w="260" w:type="dxa"/>
            <w:vAlign w:val="bottom"/>
          </w:tcPr>
          <w:p>
            <w:pPr>
              <w:spacing w:after="0"/>
              <w:rPr>
                <w:sz w:val="18"/>
                <w:szCs w:val="18"/>
                <w:color w:val="auto"/>
              </w:rPr>
            </w:pPr>
          </w:p>
        </w:tc>
        <w:tc>
          <w:tcPr>
            <w:tcW w:w="9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15"/>
        </w:trPr>
        <w:tc>
          <w:tcPr>
            <w:tcW w:w="6800" w:type="dxa"/>
            <w:vAlign w:val="bottom"/>
          </w:tcPr>
          <w:p>
            <w:pPr>
              <w:ind w:left="140"/>
              <w:spacing w:after="0" w:line="214" w:lineRule="exact"/>
              <w:rPr>
                <w:sz w:val="20"/>
                <w:szCs w:val="20"/>
                <w:color w:val="auto"/>
              </w:rPr>
            </w:pPr>
            <w:r>
              <w:rPr>
                <w:rFonts w:ascii="Arial" w:cs="Arial" w:eastAsia="Arial" w:hAnsi="Arial"/>
                <w:sz w:val="19"/>
                <w:szCs w:val="19"/>
                <w:color w:val="auto"/>
              </w:rPr>
              <w:t>Proceeds from sales and restructuring of investments and assets held for sale</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4</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2,768</w:t>
            </w:r>
          </w:p>
        </w:tc>
        <w:tc>
          <w:tcPr>
            <w:tcW w:w="0" w:type="dxa"/>
            <w:vAlign w:val="bottom"/>
          </w:tcPr>
          <w:p>
            <w:pPr>
              <w:spacing w:after="0"/>
              <w:rPr>
                <w:sz w:val="1"/>
                <w:szCs w:val="1"/>
                <w:color w:val="auto"/>
              </w:rPr>
            </w:pPr>
          </w:p>
        </w:tc>
      </w:tr>
      <w:tr>
        <w:trPr>
          <w:trHeight w:val="215"/>
        </w:trPr>
        <w:tc>
          <w:tcPr>
            <w:tcW w:w="6800" w:type="dxa"/>
            <w:vAlign w:val="bottom"/>
          </w:tcPr>
          <w:p>
            <w:pPr>
              <w:ind w:left="140"/>
              <w:spacing w:after="0" w:line="214" w:lineRule="exact"/>
              <w:rPr>
                <w:sz w:val="20"/>
                <w:szCs w:val="20"/>
                <w:color w:val="auto"/>
              </w:rPr>
            </w:pPr>
            <w:r>
              <w:rPr>
                <w:rFonts w:ascii="Arial" w:cs="Arial" w:eastAsia="Arial" w:hAnsi="Arial"/>
                <w:sz w:val="19"/>
                <w:szCs w:val="19"/>
                <w:color w:val="auto"/>
              </w:rPr>
              <w:t>Purchases of investments</w:t>
            </w:r>
          </w:p>
        </w:tc>
        <w:tc>
          <w:tcPr>
            <w:tcW w:w="1180" w:type="dxa"/>
            <w:vAlign w:val="bottom"/>
            <w:gridSpan w:val="2"/>
          </w:tcPr>
          <w:p>
            <w:pPr>
              <w:jc w:val="right"/>
              <w:ind w:right="200"/>
              <w:spacing w:after="0" w:line="214" w:lineRule="exact"/>
              <w:rPr>
                <w:sz w:val="20"/>
                <w:szCs w:val="20"/>
                <w:color w:val="auto"/>
              </w:rPr>
            </w:pPr>
            <w:r>
              <w:rPr>
                <w:rFonts w:ascii="Arial" w:cs="Arial" w:eastAsia="Arial" w:hAnsi="Arial"/>
                <w:sz w:val="19"/>
                <w:szCs w:val="19"/>
                <w:color w:val="auto"/>
              </w:rPr>
              <w:t>(60)</w:t>
            </w:r>
          </w:p>
        </w:tc>
        <w:tc>
          <w:tcPr>
            <w:tcW w:w="9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(72)</w:t>
            </w:r>
          </w:p>
        </w:tc>
        <w:tc>
          <w:tcPr>
            <w:tcW w:w="0" w:type="dxa"/>
            <w:vAlign w:val="bottom"/>
          </w:tcPr>
          <w:p>
            <w:pPr>
              <w:spacing w:after="0"/>
              <w:rPr>
                <w:sz w:val="1"/>
                <w:szCs w:val="1"/>
                <w:color w:val="auto"/>
              </w:rPr>
            </w:pPr>
          </w:p>
        </w:tc>
      </w:tr>
      <w:tr>
        <w:trPr>
          <w:trHeight w:val="215"/>
        </w:trPr>
        <w:tc>
          <w:tcPr>
            <w:tcW w:w="6800" w:type="dxa"/>
            <w:vAlign w:val="bottom"/>
          </w:tcPr>
          <w:p>
            <w:pPr>
              <w:ind w:left="140"/>
              <w:spacing w:after="0" w:line="214" w:lineRule="exact"/>
              <w:rPr>
                <w:sz w:val="20"/>
                <w:szCs w:val="20"/>
                <w:color w:val="auto"/>
              </w:rPr>
            </w:pPr>
            <w:r>
              <w:rPr>
                <w:rFonts w:ascii="Arial" w:cs="Arial" w:eastAsia="Arial" w:hAnsi="Arial"/>
                <w:sz w:val="19"/>
                <w:szCs w:val="19"/>
                <w:color w:val="auto"/>
              </w:rPr>
              <w:t>Capital expenditures</w:t>
            </w:r>
          </w:p>
        </w:tc>
        <w:tc>
          <w:tcPr>
            <w:tcW w:w="1180" w:type="dxa"/>
            <w:vAlign w:val="bottom"/>
            <w:gridSpan w:val="2"/>
          </w:tcPr>
          <w:p>
            <w:pPr>
              <w:jc w:val="right"/>
              <w:ind w:right="200"/>
              <w:spacing w:after="0" w:line="214" w:lineRule="exact"/>
              <w:rPr>
                <w:sz w:val="20"/>
                <w:szCs w:val="20"/>
                <w:color w:val="auto"/>
              </w:rPr>
            </w:pPr>
            <w:r>
              <w:rPr>
                <w:rFonts w:ascii="Arial" w:cs="Arial" w:eastAsia="Arial" w:hAnsi="Arial"/>
                <w:sz w:val="19"/>
                <w:szCs w:val="19"/>
                <w:color w:val="auto"/>
              </w:rPr>
              <w:t>(828)</w:t>
            </w:r>
          </w:p>
        </w:tc>
        <w:tc>
          <w:tcPr>
            <w:tcW w:w="9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(958)</w:t>
            </w:r>
          </w:p>
        </w:tc>
        <w:tc>
          <w:tcPr>
            <w:tcW w:w="0" w:type="dxa"/>
            <w:vAlign w:val="bottom"/>
          </w:tcPr>
          <w:p>
            <w:pPr>
              <w:spacing w:after="0"/>
              <w:rPr>
                <w:sz w:val="1"/>
                <w:szCs w:val="1"/>
                <w:color w:val="auto"/>
              </w:rPr>
            </w:pPr>
          </w:p>
        </w:tc>
      </w:tr>
      <w:tr>
        <w:trPr>
          <w:trHeight w:val="215"/>
        </w:trPr>
        <w:tc>
          <w:tcPr>
            <w:tcW w:w="6800" w:type="dxa"/>
            <w:vAlign w:val="bottom"/>
          </w:tcPr>
          <w:p>
            <w:pPr>
              <w:ind w:left="120"/>
              <w:spacing w:after="0" w:line="214" w:lineRule="exact"/>
              <w:rPr>
                <w:sz w:val="20"/>
                <w:szCs w:val="20"/>
                <w:color w:val="auto"/>
              </w:rPr>
            </w:pPr>
            <w:r>
              <w:rPr>
                <w:rFonts w:ascii="Arial" w:cs="Arial" w:eastAsia="Arial" w:hAnsi="Arial"/>
                <w:sz w:val="19"/>
                <w:szCs w:val="19"/>
                <w:color w:val="auto"/>
              </w:rPr>
              <w:t>Additions to intangible and other noncurrent assets</w:t>
            </w:r>
          </w:p>
        </w:tc>
        <w:tc>
          <w:tcPr>
            <w:tcW w:w="1180" w:type="dxa"/>
            <w:vAlign w:val="bottom"/>
            <w:gridSpan w:val="2"/>
          </w:tcPr>
          <w:p>
            <w:pPr>
              <w:jc w:val="right"/>
              <w:ind w:right="200"/>
              <w:spacing w:after="0" w:line="214" w:lineRule="exact"/>
              <w:rPr>
                <w:sz w:val="20"/>
                <w:szCs w:val="20"/>
                <w:color w:val="auto"/>
              </w:rPr>
            </w:pPr>
            <w:r>
              <w:rPr>
                <w:rFonts w:ascii="Arial" w:cs="Arial" w:eastAsia="Arial" w:hAnsi="Arial"/>
                <w:sz w:val="19"/>
                <w:szCs w:val="19"/>
                <w:color w:val="auto"/>
              </w:rPr>
              <w:t>(305)</w:t>
            </w:r>
          </w:p>
        </w:tc>
        <w:tc>
          <w:tcPr>
            <w:tcW w:w="9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(66)</w:t>
            </w:r>
          </w:p>
        </w:tc>
        <w:tc>
          <w:tcPr>
            <w:tcW w:w="0" w:type="dxa"/>
            <w:vAlign w:val="bottom"/>
          </w:tcPr>
          <w:p>
            <w:pPr>
              <w:spacing w:after="0"/>
              <w:rPr>
                <w:sz w:val="1"/>
                <w:szCs w:val="1"/>
                <w:color w:val="auto"/>
              </w:rPr>
            </w:pPr>
          </w:p>
        </w:tc>
      </w:tr>
      <w:tr>
        <w:trPr>
          <w:trHeight w:val="242"/>
        </w:trPr>
        <w:tc>
          <w:tcPr>
            <w:tcW w:w="6800" w:type="dxa"/>
            <w:vAlign w:val="bottom"/>
          </w:tcPr>
          <w:p>
            <w:pPr>
              <w:ind w:left="140"/>
              <w:spacing w:after="0"/>
              <w:rPr>
                <w:sz w:val="20"/>
                <w:szCs w:val="20"/>
                <w:color w:val="auto"/>
              </w:rPr>
            </w:pPr>
            <w:r>
              <w:rPr>
                <w:rFonts w:ascii="Arial" w:cs="Arial" w:eastAsia="Arial" w:hAnsi="Arial"/>
                <w:sz w:val="19"/>
                <w:szCs w:val="19"/>
                <w:color w:val="auto"/>
              </w:rPr>
              <w:t>Proceeds from settlement of contract of acquired company</w:t>
            </w:r>
          </w:p>
        </w:tc>
        <w:tc>
          <w:tcPr>
            <w:tcW w:w="920" w:type="dxa"/>
            <w:vAlign w:val="bottom"/>
          </w:tcPr>
          <w:p>
            <w:pPr>
              <w:jc w:val="right"/>
              <w:spacing w:after="0"/>
              <w:rPr>
                <w:sz w:val="20"/>
                <w:szCs w:val="20"/>
                <w:color w:val="auto"/>
              </w:rPr>
            </w:pPr>
            <w:r>
              <w:rPr>
                <w:rFonts w:ascii="Arial" w:cs="Arial" w:eastAsia="Arial" w:hAnsi="Arial"/>
                <w:sz w:val="19"/>
                <w:szCs w:val="19"/>
                <w:color w:val="auto"/>
              </w:rPr>
              <w:t>26</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6800" w:type="dxa"/>
            <w:vAlign w:val="bottom"/>
            <w:vMerge w:val="restart"/>
          </w:tcPr>
          <w:p>
            <w:pPr>
              <w:ind w:left="320"/>
              <w:spacing w:after="0"/>
              <w:rPr>
                <w:sz w:val="20"/>
                <w:szCs w:val="20"/>
                <w:color w:val="auto"/>
              </w:rPr>
            </w:pPr>
            <w:r>
              <w:rPr>
                <w:rFonts w:ascii="Arial" w:cs="Arial" w:eastAsia="Arial" w:hAnsi="Arial"/>
                <w:sz w:val="19"/>
                <w:szCs w:val="19"/>
                <w:color w:val="auto"/>
              </w:rPr>
              <w:t>Net cash (used in) provided by investing activities from</w:t>
            </w: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6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800" w:type="dxa"/>
            <w:vAlign w:val="bottom"/>
          </w:tcPr>
          <w:p>
            <w:pPr>
              <w:ind w:left="420"/>
              <w:spacing w:after="0"/>
              <w:rPr>
                <w:sz w:val="20"/>
                <w:szCs w:val="20"/>
                <w:color w:val="auto"/>
              </w:rPr>
            </w:pPr>
            <w:r>
              <w:rPr>
                <w:rFonts w:ascii="Arial" w:cs="Arial" w:eastAsia="Arial" w:hAnsi="Arial"/>
                <w:sz w:val="19"/>
                <w:szCs w:val="19"/>
                <w:color w:val="auto"/>
              </w:rPr>
              <w:t>continuing operations</w:t>
            </w:r>
          </w:p>
        </w:tc>
        <w:tc>
          <w:tcPr>
            <w:tcW w:w="1180" w:type="dxa"/>
            <w:vAlign w:val="bottom"/>
            <w:gridSpan w:val="2"/>
          </w:tcPr>
          <w:p>
            <w:pPr>
              <w:jc w:val="right"/>
              <w:ind w:right="200"/>
              <w:spacing w:after="0"/>
              <w:rPr>
                <w:sz w:val="20"/>
                <w:szCs w:val="20"/>
                <w:color w:val="auto"/>
              </w:rPr>
            </w:pPr>
            <w:r>
              <w:rPr>
                <w:rFonts w:ascii="Arial" w:cs="Arial" w:eastAsia="Arial" w:hAnsi="Arial"/>
                <w:sz w:val="19"/>
                <w:szCs w:val="19"/>
                <w:color w:val="auto"/>
              </w:rPr>
              <w:t>(1,198)</w:t>
            </w: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1,663</w:t>
            </w:r>
          </w:p>
        </w:tc>
        <w:tc>
          <w:tcPr>
            <w:tcW w:w="0" w:type="dxa"/>
            <w:vAlign w:val="bottom"/>
          </w:tcPr>
          <w:p>
            <w:pPr>
              <w:spacing w:after="0"/>
              <w:rPr>
                <w:sz w:val="1"/>
                <w:szCs w:val="1"/>
                <w:color w:val="auto"/>
              </w:rPr>
            </w:pPr>
          </w:p>
        </w:tc>
      </w:tr>
      <w:tr>
        <w:trPr>
          <w:trHeight w:val="87"/>
        </w:trPr>
        <w:tc>
          <w:tcPr>
            <w:tcW w:w="68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800" w:type="dxa"/>
            <w:vAlign w:val="bottom"/>
          </w:tcPr>
          <w:p>
            <w:pPr>
              <w:spacing w:after="0"/>
              <w:rPr>
                <w:sz w:val="20"/>
                <w:szCs w:val="20"/>
                <w:color w:val="auto"/>
              </w:rPr>
            </w:pPr>
            <w:r>
              <w:rPr>
                <w:rFonts w:ascii="Arial" w:cs="Arial" w:eastAsia="Arial" w:hAnsi="Arial"/>
                <w:sz w:val="19"/>
                <w:szCs w:val="19"/>
                <w:color w:val="auto"/>
              </w:rPr>
              <w:t>(DECREASE) INCREASE IN CASH AND CASH EQUIVALENTS</w:t>
            </w:r>
          </w:p>
        </w:tc>
        <w:tc>
          <w:tcPr>
            <w:tcW w:w="1180" w:type="dxa"/>
            <w:vAlign w:val="bottom"/>
            <w:gridSpan w:val="2"/>
          </w:tcPr>
          <w:p>
            <w:pPr>
              <w:jc w:val="right"/>
              <w:ind w:right="200"/>
              <w:spacing w:after="0"/>
              <w:rPr>
                <w:sz w:val="20"/>
                <w:szCs w:val="20"/>
                <w:color w:val="auto"/>
              </w:rPr>
            </w:pPr>
            <w:r>
              <w:rPr>
                <w:rFonts w:ascii="Arial" w:cs="Arial" w:eastAsia="Arial" w:hAnsi="Arial"/>
                <w:sz w:val="19"/>
                <w:szCs w:val="19"/>
                <w:color w:val="auto"/>
              </w:rPr>
              <w:t>(675)</w:t>
            </w: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123</w:t>
            </w:r>
          </w:p>
        </w:tc>
        <w:tc>
          <w:tcPr>
            <w:tcW w:w="0" w:type="dxa"/>
            <w:vAlign w:val="bottom"/>
          </w:tcPr>
          <w:p>
            <w:pPr>
              <w:spacing w:after="0"/>
              <w:rPr>
                <w:sz w:val="1"/>
                <w:szCs w:val="1"/>
                <w:color w:val="auto"/>
              </w:rPr>
            </w:pPr>
          </w:p>
        </w:tc>
      </w:tr>
      <w:tr>
        <w:trPr>
          <w:trHeight w:val="429"/>
        </w:trPr>
        <w:tc>
          <w:tcPr>
            <w:tcW w:w="6800" w:type="dxa"/>
            <w:vAlign w:val="bottom"/>
          </w:tcPr>
          <w:p>
            <w:pPr>
              <w:spacing w:after="0"/>
              <w:rPr>
                <w:sz w:val="20"/>
                <w:szCs w:val="20"/>
                <w:color w:val="auto"/>
              </w:rPr>
            </w:pPr>
            <w:r>
              <w:rPr>
                <w:rFonts w:ascii="Arial" w:cs="Arial" w:eastAsia="Arial" w:hAnsi="Arial"/>
                <w:sz w:val="19"/>
                <w:szCs w:val="19"/>
                <w:color w:val="auto"/>
              </w:rPr>
              <w:t>CASH AND CASH EQUIVALENTS, beginning of period</w:t>
            </w:r>
          </w:p>
        </w:tc>
        <w:tc>
          <w:tcPr>
            <w:tcW w:w="920" w:type="dxa"/>
            <w:vAlign w:val="bottom"/>
          </w:tcPr>
          <w:p>
            <w:pPr>
              <w:jc w:val="right"/>
              <w:spacing w:after="0"/>
              <w:rPr>
                <w:sz w:val="20"/>
                <w:szCs w:val="20"/>
                <w:color w:val="auto"/>
              </w:rPr>
            </w:pPr>
            <w:r>
              <w:rPr>
                <w:rFonts w:ascii="Arial" w:cs="Arial" w:eastAsia="Arial" w:hAnsi="Arial"/>
                <w:sz w:val="19"/>
                <w:szCs w:val="19"/>
                <w:color w:val="auto"/>
              </w:rPr>
              <w:t>1,550</w:t>
            </w:r>
          </w:p>
        </w:tc>
        <w:tc>
          <w:tcPr>
            <w:tcW w:w="2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505</w:t>
            </w:r>
          </w:p>
        </w:tc>
        <w:tc>
          <w:tcPr>
            <w:tcW w:w="0" w:type="dxa"/>
            <w:vAlign w:val="bottom"/>
          </w:tcPr>
          <w:p>
            <w:pPr>
              <w:spacing w:after="0"/>
              <w:rPr>
                <w:sz w:val="1"/>
                <w:szCs w:val="1"/>
                <w:color w:val="auto"/>
              </w:rPr>
            </w:pPr>
          </w:p>
        </w:tc>
      </w:tr>
      <w:tr>
        <w:trPr>
          <w:trHeight w:val="87"/>
        </w:trPr>
        <w:tc>
          <w:tcPr>
            <w:tcW w:w="68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5"/>
        </w:trPr>
        <w:tc>
          <w:tcPr>
            <w:tcW w:w="6800" w:type="dxa"/>
            <w:vAlign w:val="bottom"/>
          </w:tcPr>
          <w:p>
            <w:pPr>
              <w:spacing w:after="0"/>
              <w:rPr>
                <w:sz w:val="20"/>
                <w:szCs w:val="20"/>
                <w:color w:val="auto"/>
              </w:rPr>
            </w:pPr>
            <w:r>
              <w:rPr>
                <w:rFonts w:ascii="Arial" w:cs="Arial" w:eastAsia="Arial" w:hAnsi="Arial"/>
                <w:sz w:val="19"/>
                <w:szCs w:val="19"/>
                <w:color w:val="auto"/>
              </w:rPr>
              <w:t>CASH AND CASH EQUIVALENTS, end of period</w:t>
            </w:r>
          </w:p>
        </w:tc>
        <w:tc>
          <w:tcPr>
            <w:tcW w:w="920" w:type="dxa"/>
            <w:vAlign w:val="bottom"/>
          </w:tcPr>
          <w:p>
            <w:pPr>
              <w:jc w:val="right"/>
              <w:spacing w:after="0"/>
              <w:rPr>
                <w:sz w:val="20"/>
                <w:szCs w:val="20"/>
                <w:color w:val="auto"/>
              </w:rPr>
            </w:pPr>
            <w:r>
              <w:rPr>
                <w:rFonts w:ascii="Arial" w:cs="Arial" w:eastAsia="Arial" w:hAnsi="Arial"/>
                <w:sz w:val="19"/>
                <w:szCs w:val="19"/>
                <w:color w:val="auto"/>
              </w:rPr>
              <w:t>$875</w:t>
            </w:r>
          </w:p>
        </w:tc>
        <w:tc>
          <w:tcPr>
            <w:tcW w:w="2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$628</w:t>
            </w:r>
          </w:p>
        </w:tc>
        <w:tc>
          <w:tcPr>
            <w:tcW w:w="0" w:type="dxa"/>
            <w:vAlign w:val="bottom"/>
          </w:tcPr>
          <w:p>
            <w:pPr>
              <w:spacing w:after="0"/>
              <w:rPr>
                <w:sz w:val="1"/>
                <w:szCs w:val="1"/>
                <w:color w:val="auto"/>
              </w:rPr>
            </w:pPr>
          </w:p>
        </w:tc>
      </w:tr>
      <w:tr>
        <w:trPr>
          <w:trHeight w:val="95"/>
        </w:trPr>
        <w:tc>
          <w:tcPr>
            <w:tcW w:w="6800" w:type="dxa"/>
            <w:vAlign w:val="bottom"/>
            <w:vMerge w:val="restart"/>
          </w:tcPr>
          <w:p>
            <w:pPr>
              <w:spacing w:after="0"/>
              <w:rPr>
                <w:sz w:val="20"/>
                <w:szCs w:val="20"/>
                <w:color w:val="auto"/>
              </w:rPr>
            </w:pPr>
            <w:r>
              <w:rPr>
                <w:rFonts w:ascii="Arial" w:cs="Arial" w:eastAsia="Arial" w:hAnsi="Arial"/>
                <w:sz w:val="19"/>
                <w:szCs w:val="19"/>
                <w:color w:val="auto"/>
              </w:rPr>
              <w:t>See notes to condensed consolidated financial statements.</w:t>
            </w:r>
          </w:p>
        </w:tc>
        <w:tc>
          <w:tcPr>
            <w:tcW w:w="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5"/>
        </w:trPr>
        <w:tc>
          <w:tcPr>
            <w:tcW w:w="6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800" w:type="dxa"/>
            <w:vAlign w:val="bottom"/>
          </w:tcPr>
          <w:p>
            <w:pPr>
              <w:ind w:left="5660"/>
              <w:spacing w:after="0"/>
              <w:rPr>
                <w:sz w:val="20"/>
                <w:szCs w:val="20"/>
                <w:color w:val="auto"/>
              </w:rPr>
            </w:pPr>
            <w:r>
              <w:rPr>
                <w:rFonts w:ascii="Arial" w:cs="Arial" w:eastAsia="Arial" w:hAnsi="Arial"/>
                <w:sz w:val="19"/>
                <w:szCs w:val="19"/>
                <w:color w:val="auto"/>
              </w:rPr>
              <w:t>4</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4889500</wp:posOffset>
            </wp:positionH>
            <wp:positionV relativeFrom="paragraph">
              <wp:posOffset>-591820</wp:posOffset>
            </wp:positionV>
            <wp:extent cx="1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4321810</wp:posOffset>
            </wp:positionH>
            <wp:positionV relativeFrom="paragraph">
              <wp:posOffset>-591820</wp:posOffset>
            </wp:positionV>
            <wp:extent cx="12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-591820</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-591820</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727773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46"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auto"/>
        </w:rPr>
        <w:t>FORM 10-Q</w:t>
      </w:r>
    </w:p>
    <w:p>
      <w:pPr>
        <w:jc w:val="center"/>
        <w:ind w:right="-24"/>
        <w:spacing w:after="0" w:line="235" w:lineRule="auto"/>
        <w:rPr>
          <w:sz w:val="20"/>
          <w:szCs w:val="20"/>
          <w:color w:val="auto"/>
        </w:rPr>
      </w:pPr>
      <w:r>
        <w:rPr>
          <w:rFonts w:ascii="Arial" w:cs="Arial" w:eastAsia="Arial" w:hAnsi="Arial"/>
          <w:sz w:val="19"/>
          <w:szCs w:val="19"/>
          <w:color w:val="auto"/>
        </w:rPr>
        <w:t>QUARTER ENDED MARCH 31, 2004</w:t>
      </w:r>
    </w:p>
    <w:p>
      <w:pPr>
        <w:jc w:val="center"/>
        <w:ind w:right="-24"/>
        <w:spacing w:after="0" w:line="236" w:lineRule="auto"/>
        <w:rPr>
          <w:sz w:val="20"/>
          <w:szCs w:val="20"/>
          <w:color w:val="auto"/>
        </w:rPr>
      </w:pPr>
      <w:r>
        <w:rPr>
          <w:rFonts w:ascii="Arial" w:cs="Arial" w:eastAsia="Arial" w:hAnsi="Arial"/>
          <w:sz w:val="19"/>
          <w:szCs w:val="19"/>
          <w:color w:val="auto"/>
        </w:rPr>
        <w:t>NOTES TO CONDENSED CONSOLIDATED FINANCIAL STATEMENTS</w:t>
      </w:r>
    </w:p>
    <w:p>
      <w:pPr>
        <w:spacing w:after="0" w:line="1" w:lineRule="exact"/>
        <w:rPr>
          <w:sz w:val="20"/>
          <w:szCs w:val="20"/>
          <w:color w:val="auto"/>
        </w:rPr>
      </w:pPr>
    </w:p>
    <w:p>
      <w:pPr>
        <w:jc w:val="center"/>
        <w:ind w:right="-64"/>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p>
      <w:pPr>
        <w:ind w:left="465" w:hanging="465"/>
        <w:spacing w:after="0"/>
        <w:tabs>
          <w:tab w:leader="none" w:pos="465" w:val="left"/>
        </w:tabs>
        <w:numPr>
          <w:ilvl w:val="0"/>
          <w:numId w:val="4"/>
        </w:numPr>
        <w:rPr>
          <w:rFonts w:ascii="Arial" w:cs="Arial" w:eastAsia="Arial" w:hAnsi="Arial"/>
          <w:sz w:val="19"/>
          <w:szCs w:val="19"/>
          <w:color w:val="auto"/>
        </w:rPr>
      </w:pPr>
      <w:r>
        <w:rPr>
          <w:rFonts w:ascii="Arial" w:cs="Arial" w:eastAsia="Arial" w:hAnsi="Arial"/>
          <w:sz w:val="19"/>
          <w:szCs w:val="19"/>
          <w:color w:val="auto"/>
        </w:rPr>
        <w:t>CONDENSED CONSOLIDATED FINANCIAL STATEMENTS</w:t>
      </w:r>
    </w:p>
    <w:p>
      <w:pPr>
        <w:spacing w:after="0" w:line="210" w:lineRule="exact"/>
        <w:rPr>
          <w:rFonts w:ascii="Arial" w:cs="Arial" w:eastAsia="Arial" w:hAnsi="Arial"/>
          <w:sz w:val="19"/>
          <w:szCs w:val="19"/>
          <w:color w:val="auto"/>
        </w:rPr>
      </w:pPr>
    </w:p>
    <w:p>
      <w:pPr>
        <w:ind w:left="465"/>
        <w:spacing w:after="0"/>
        <w:rPr>
          <w:rFonts w:ascii="Arial" w:cs="Arial" w:eastAsia="Arial" w:hAnsi="Arial"/>
          <w:sz w:val="19"/>
          <w:szCs w:val="19"/>
          <w:color w:val="auto"/>
        </w:rPr>
      </w:pPr>
      <w:r>
        <w:rPr>
          <w:rFonts w:ascii="Arial" w:cs="Arial" w:eastAsia="Arial" w:hAnsi="Arial"/>
          <w:sz w:val="19"/>
          <w:szCs w:val="19"/>
          <w:i w:val="1"/>
          <w:iCs w:val="1"/>
          <w:color w:val="auto"/>
        </w:rPr>
        <w:t>Basis of Presentation</w:t>
      </w:r>
    </w:p>
    <w:p>
      <w:pPr>
        <w:spacing w:after="0" w:line="12" w:lineRule="exact"/>
        <w:rPr>
          <w:rFonts w:ascii="Arial" w:cs="Arial" w:eastAsia="Arial" w:hAnsi="Arial"/>
          <w:sz w:val="19"/>
          <w:szCs w:val="19"/>
          <w:color w:val="auto"/>
        </w:rPr>
      </w:pPr>
    </w:p>
    <w:p>
      <w:pPr>
        <w:ind w:left="465" w:right="320"/>
        <w:spacing w:after="0" w:line="244" w:lineRule="auto"/>
        <w:rPr>
          <w:rFonts w:ascii="Arial" w:cs="Arial" w:eastAsia="Arial" w:hAnsi="Arial"/>
          <w:sz w:val="19"/>
          <w:szCs w:val="19"/>
          <w:color w:val="auto"/>
        </w:rPr>
      </w:pPr>
      <w:r>
        <w:rPr>
          <w:rFonts w:ascii="Arial" w:cs="Arial" w:eastAsia="Arial" w:hAnsi="Arial"/>
          <w:sz w:val="19"/>
          <w:szCs w:val="19"/>
          <w:color w:val="auto"/>
        </w:rPr>
        <w:t>We have prepared these unaudited condensed consolidated financial statements based upon Securities and Exchange Commission (“SEC”) rules that permit reduced disclosure for interim periods.</w:t>
      </w:r>
    </w:p>
    <w:p>
      <w:pPr>
        <w:spacing w:after="0" w:line="183" w:lineRule="exact"/>
        <w:rPr>
          <w:rFonts w:ascii="Arial" w:cs="Arial" w:eastAsia="Arial" w:hAnsi="Arial"/>
          <w:sz w:val="19"/>
          <w:szCs w:val="19"/>
          <w:color w:val="auto"/>
        </w:rPr>
      </w:pPr>
    </w:p>
    <w:p>
      <w:pPr>
        <w:jc w:val="both"/>
        <w:ind w:left="465" w:right="60"/>
        <w:spacing w:after="0" w:line="248" w:lineRule="auto"/>
        <w:rPr>
          <w:rFonts w:ascii="Arial" w:cs="Arial" w:eastAsia="Arial" w:hAnsi="Arial"/>
          <w:sz w:val="19"/>
          <w:szCs w:val="19"/>
          <w:color w:val="auto"/>
        </w:rPr>
      </w:pPr>
      <w:r>
        <w:rPr>
          <w:rFonts w:ascii="Arial" w:cs="Arial" w:eastAsia="Arial" w:hAnsi="Arial"/>
          <w:sz w:val="19"/>
          <w:szCs w:val="19"/>
          <w:color w:val="auto"/>
        </w:rPr>
        <w:t>These financial statements include all adjustments that are necessary for a fair presentation of our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81" w:lineRule="exact"/>
        <w:rPr>
          <w:rFonts w:ascii="Arial" w:cs="Arial" w:eastAsia="Arial" w:hAnsi="Arial"/>
          <w:sz w:val="19"/>
          <w:szCs w:val="19"/>
          <w:color w:val="auto"/>
        </w:rPr>
      </w:pPr>
    </w:p>
    <w:p>
      <w:pPr>
        <w:jc w:val="both"/>
        <w:ind w:left="465" w:right="120"/>
        <w:spacing w:after="0" w:line="248" w:lineRule="auto"/>
        <w:rPr>
          <w:rFonts w:ascii="Arial" w:cs="Arial" w:eastAsia="Arial" w:hAnsi="Arial"/>
          <w:sz w:val="19"/>
          <w:szCs w:val="19"/>
          <w:color w:val="auto"/>
        </w:rPr>
      </w:pPr>
      <w:r>
        <w:rPr>
          <w:rFonts w:ascii="Arial" w:cs="Arial" w:eastAsia="Arial" w:hAnsi="Arial"/>
          <w:sz w:val="19"/>
          <w:szCs w:val="19"/>
          <w:color w:val="auto"/>
        </w:rPr>
        <w:t>Effective in the first quarter of 2004, we changed the unit of accounting used for testing impairment of our indefinite-lived franchise rights to geographic regions and performed impairment testing of our cable franchise rights. We did not record any impairment charges in connection with this impairment testing.</w:t>
      </w:r>
    </w:p>
    <w:p>
      <w:pPr>
        <w:spacing w:after="0" w:line="181" w:lineRule="exact"/>
        <w:rPr>
          <w:rFonts w:ascii="Arial" w:cs="Arial" w:eastAsia="Arial" w:hAnsi="Arial"/>
          <w:sz w:val="19"/>
          <w:szCs w:val="19"/>
          <w:color w:val="auto"/>
        </w:rPr>
      </w:pPr>
    </w:p>
    <w:p>
      <w:pPr>
        <w:ind w:left="465" w:right="460"/>
        <w:spacing w:after="0" w:line="261" w:lineRule="auto"/>
        <w:rPr>
          <w:rFonts w:ascii="Arial" w:cs="Arial" w:eastAsia="Arial" w:hAnsi="Arial"/>
          <w:sz w:val="19"/>
          <w:szCs w:val="19"/>
          <w:color w:val="auto"/>
        </w:rPr>
      </w:pPr>
      <w:r>
        <w:rPr>
          <w:rFonts w:ascii="Arial" w:cs="Arial" w:eastAsia="Arial" w:hAnsi="Arial"/>
          <w:sz w:val="19"/>
          <w:szCs w:val="19"/>
          <w:color w:val="auto"/>
        </w:rPr>
        <w:t>For a more complete discussion of our accounting policies and certain other information, refer to the financial statements included in our Annual Report on Form 10-K for the year ended December 31, 2003.</w:t>
      </w:r>
    </w:p>
    <w:p>
      <w:pPr>
        <w:spacing w:after="0" w:line="168" w:lineRule="exact"/>
        <w:rPr>
          <w:rFonts w:ascii="Arial" w:cs="Arial" w:eastAsia="Arial" w:hAnsi="Arial"/>
          <w:sz w:val="19"/>
          <w:szCs w:val="19"/>
          <w:color w:val="auto"/>
        </w:rPr>
      </w:pPr>
    </w:p>
    <w:p>
      <w:pPr>
        <w:ind w:left="465" w:right="440"/>
        <w:spacing w:after="0" w:line="248" w:lineRule="auto"/>
        <w:rPr>
          <w:rFonts w:ascii="Arial" w:cs="Arial" w:eastAsia="Arial" w:hAnsi="Arial"/>
          <w:sz w:val="19"/>
          <w:szCs w:val="19"/>
          <w:color w:val="auto"/>
        </w:rPr>
      </w:pPr>
      <w:r>
        <w:rPr>
          <w:rFonts w:ascii="Arial" w:cs="Arial" w:eastAsia="Arial" w:hAnsi="Arial"/>
          <w:sz w:val="19"/>
          <w:szCs w:val="19"/>
          <w:color w:val="auto"/>
        </w:rPr>
        <w:t>On September 17, 2003, we completed the sale of our approximate 57% interest in QVC, Inc. Accordingly, QVC has been presented as a discontinued operation pursuant to Statement of Financial Accounting Standards (“SFAS”) No. 144, “Accounting for the Impairment or Disposal of Long-Lived Assets.”</w:t>
      </w:r>
    </w:p>
    <w:p>
      <w:pPr>
        <w:spacing w:after="0" w:line="181" w:lineRule="exact"/>
        <w:rPr>
          <w:sz w:val="20"/>
          <w:szCs w:val="20"/>
          <w:color w:val="auto"/>
        </w:rPr>
      </w:pPr>
    </w:p>
    <w:p>
      <w:pPr>
        <w:ind w:left="465" w:right="40"/>
        <w:spacing w:after="0" w:line="261" w:lineRule="auto"/>
        <w:rPr>
          <w:sz w:val="20"/>
          <w:szCs w:val="20"/>
          <w:color w:val="auto"/>
        </w:rPr>
      </w:pPr>
      <w:r>
        <w:rPr>
          <w:rFonts w:ascii="Arial" w:cs="Arial" w:eastAsia="Arial" w:hAnsi="Arial"/>
          <w:sz w:val="19"/>
          <w:szCs w:val="19"/>
          <w:color w:val="auto"/>
        </w:rPr>
        <w:t>The results of operations of QVC included within income from discontinued operations, net of tax for the three months ended March 31, 2003 are as follows (in millions):</w:t>
      </w:r>
    </w:p>
    <w:p>
      <w:pPr>
        <w:spacing w:after="0" w:line="165" w:lineRule="exact"/>
        <w:rPr>
          <w:sz w:val="20"/>
          <w:szCs w:val="20"/>
          <w:color w:val="auto"/>
        </w:rPr>
      </w:pPr>
    </w:p>
    <w:tbl>
      <w:tblPr>
        <w:tblLayout w:type="fixed"/>
        <w:tblInd w:w="925" w:type="dxa"/>
        <w:tblCellMar>
          <w:top w:w="0" w:type="dxa"/>
          <w:left w:w="0" w:type="dxa"/>
          <w:bottom w:w="0" w:type="dxa"/>
          <w:right w:w="0" w:type="dxa"/>
        </w:tblCellMar>
      </w:tblPr>
      <w:tr>
        <w:trPr>
          <w:trHeight w:val="218"/>
        </w:trPr>
        <w:tc>
          <w:tcPr>
            <w:tcW w:w="5620" w:type="dxa"/>
            <w:vAlign w:val="bottom"/>
          </w:tcPr>
          <w:p>
            <w:pPr>
              <w:spacing w:after="0"/>
              <w:rPr>
                <w:sz w:val="20"/>
                <w:szCs w:val="20"/>
                <w:color w:val="auto"/>
              </w:rPr>
            </w:pPr>
            <w:r>
              <w:rPr>
                <w:rFonts w:ascii="Arial" w:cs="Arial" w:eastAsia="Arial" w:hAnsi="Arial"/>
                <w:sz w:val="19"/>
                <w:szCs w:val="19"/>
                <w:color w:val="auto"/>
              </w:rPr>
              <w:t>Revenues</w:t>
            </w:r>
          </w:p>
        </w:tc>
        <w:tc>
          <w:tcPr>
            <w:tcW w:w="2340" w:type="dxa"/>
            <w:vAlign w:val="bottom"/>
          </w:tcPr>
          <w:p>
            <w:pPr>
              <w:jc w:val="right"/>
              <w:spacing w:after="0"/>
              <w:rPr>
                <w:sz w:val="20"/>
                <w:szCs w:val="20"/>
                <w:color w:val="auto"/>
              </w:rPr>
            </w:pPr>
            <w:r>
              <w:rPr>
                <w:rFonts w:ascii="Arial" w:cs="Arial" w:eastAsia="Arial" w:hAnsi="Arial"/>
                <w:sz w:val="19"/>
                <w:szCs w:val="19"/>
                <w:color w:val="auto"/>
              </w:rPr>
              <w:t>$1,062</w:t>
            </w:r>
          </w:p>
        </w:tc>
      </w:tr>
      <w:tr>
        <w:trPr>
          <w:trHeight w:val="215"/>
        </w:trPr>
        <w:tc>
          <w:tcPr>
            <w:tcW w:w="5620" w:type="dxa"/>
            <w:vAlign w:val="bottom"/>
          </w:tcPr>
          <w:p>
            <w:pPr>
              <w:spacing w:after="0" w:line="214" w:lineRule="exact"/>
              <w:rPr>
                <w:sz w:val="20"/>
                <w:szCs w:val="20"/>
                <w:color w:val="auto"/>
              </w:rPr>
            </w:pPr>
            <w:r>
              <w:rPr>
                <w:rFonts w:ascii="Arial" w:cs="Arial" w:eastAsia="Arial" w:hAnsi="Arial"/>
                <w:sz w:val="19"/>
                <w:szCs w:val="19"/>
                <w:color w:val="auto"/>
              </w:rPr>
              <w:t>Income before income taxes and minority interest</w:t>
            </w:r>
          </w:p>
        </w:tc>
        <w:tc>
          <w:tcPr>
            <w:tcW w:w="2340" w:type="dxa"/>
            <w:vAlign w:val="bottom"/>
          </w:tcPr>
          <w:p>
            <w:pPr>
              <w:jc w:val="right"/>
              <w:spacing w:after="0" w:line="214" w:lineRule="exact"/>
              <w:rPr>
                <w:sz w:val="20"/>
                <w:szCs w:val="20"/>
                <w:color w:val="auto"/>
              </w:rPr>
            </w:pPr>
            <w:r>
              <w:rPr>
                <w:rFonts w:ascii="Arial" w:cs="Arial" w:eastAsia="Arial" w:hAnsi="Arial"/>
                <w:sz w:val="19"/>
                <w:szCs w:val="19"/>
                <w:color w:val="auto"/>
              </w:rPr>
              <w:t>$172</w:t>
            </w:r>
          </w:p>
        </w:tc>
      </w:tr>
      <w:tr>
        <w:trPr>
          <w:trHeight w:val="242"/>
        </w:trPr>
        <w:tc>
          <w:tcPr>
            <w:tcW w:w="5620" w:type="dxa"/>
            <w:vAlign w:val="bottom"/>
          </w:tcPr>
          <w:p>
            <w:pPr>
              <w:spacing w:after="0"/>
              <w:rPr>
                <w:sz w:val="20"/>
                <w:szCs w:val="20"/>
                <w:color w:val="auto"/>
              </w:rPr>
            </w:pPr>
            <w:r>
              <w:rPr>
                <w:rFonts w:ascii="Arial" w:cs="Arial" w:eastAsia="Arial" w:hAnsi="Arial"/>
                <w:sz w:val="19"/>
                <w:szCs w:val="19"/>
                <w:color w:val="auto"/>
              </w:rPr>
              <w:t>Income tax expense</w:t>
            </w:r>
          </w:p>
        </w:tc>
        <w:tc>
          <w:tcPr>
            <w:tcW w:w="2340" w:type="dxa"/>
            <w:vAlign w:val="bottom"/>
          </w:tcPr>
          <w:p>
            <w:pPr>
              <w:jc w:val="right"/>
              <w:spacing w:after="0"/>
              <w:rPr>
                <w:sz w:val="20"/>
                <w:szCs w:val="20"/>
                <w:color w:val="auto"/>
              </w:rPr>
            </w:pPr>
            <w:r>
              <w:rPr>
                <w:rFonts w:ascii="Arial" w:cs="Arial" w:eastAsia="Arial" w:hAnsi="Arial"/>
                <w:sz w:val="19"/>
                <w:szCs w:val="19"/>
                <w:color w:val="auto"/>
              </w:rPr>
              <w:t>$73</w:t>
            </w:r>
          </w:p>
        </w:tc>
      </w:tr>
    </w:tbl>
    <w:p>
      <w:pPr>
        <w:spacing w:after="0" w:line="187" w:lineRule="exact"/>
        <w:rPr>
          <w:sz w:val="20"/>
          <w:szCs w:val="20"/>
          <w:color w:val="auto"/>
        </w:rPr>
      </w:pPr>
    </w:p>
    <w:p>
      <w:pPr>
        <w:ind w:left="465"/>
        <w:spacing w:after="0"/>
        <w:rPr>
          <w:sz w:val="20"/>
          <w:szCs w:val="20"/>
          <w:color w:val="auto"/>
        </w:rPr>
      </w:pPr>
      <w:r>
        <w:rPr>
          <w:rFonts w:ascii="Arial" w:cs="Arial" w:eastAsia="Arial" w:hAnsi="Arial"/>
          <w:sz w:val="19"/>
          <w:szCs w:val="19"/>
          <w:i w:val="1"/>
          <w:iCs w:val="1"/>
          <w:color w:val="auto"/>
        </w:rPr>
        <w:t>Reclassifications</w:t>
      </w:r>
    </w:p>
    <w:p>
      <w:pPr>
        <w:spacing w:after="0" w:line="12" w:lineRule="exact"/>
        <w:rPr>
          <w:sz w:val="20"/>
          <w:szCs w:val="20"/>
          <w:color w:val="auto"/>
        </w:rPr>
      </w:pPr>
    </w:p>
    <w:p>
      <w:pPr>
        <w:ind w:left="465"/>
        <w:spacing w:after="0"/>
        <w:rPr>
          <w:sz w:val="20"/>
          <w:szCs w:val="20"/>
          <w:color w:val="auto"/>
        </w:rPr>
      </w:pPr>
      <w:r>
        <w:rPr>
          <w:rFonts w:ascii="Arial" w:cs="Arial" w:eastAsia="Arial" w:hAnsi="Arial"/>
          <w:sz w:val="19"/>
          <w:szCs w:val="19"/>
          <w:color w:val="auto"/>
        </w:rPr>
        <w:t>Certain reclassifications have been made to the prior year financial statements to conform to those classifications used in 2004.</w:t>
      </w:r>
    </w:p>
    <w:p>
      <w:pPr>
        <w:spacing w:after="0" w:line="195" w:lineRule="exact"/>
        <w:rPr>
          <w:sz w:val="20"/>
          <w:szCs w:val="20"/>
          <w:color w:val="auto"/>
        </w:rPr>
      </w:pPr>
    </w:p>
    <w:p>
      <w:pPr>
        <w:ind w:left="465" w:hanging="465"/>
        <w:spacing w:after="0"/>
        <w:tabs>
          <w:tab w:leader="none" w:pos="465" w:val="left"/>
        </w:tabs>
        <w:numPr>
          <w:ilvl w:val="0"/>
          <w:numId w:val="5"/>
        </w:numPr>
        <w:rPr>
          <w:rFonts w:ascii="Arial" w:cs="Arial" w:eastAsia="Arial" w:hAnsi="Arial"/>
          <w:sz w:val="19"/>
          <w:szCs w:val="19"/>
          <w:color w:val="auto"/>
        </w:rPr>
      </w:pPr>
      <w:r>
        <w:rPr>
          <w:rFonts w:ascii="Arial" w:cs="Arial" w:eastAsia="Arial" w:hAnsi="Arial"/>
          <w:sz w:val="19"/>
          <w:szCs w:val="19"/>
          <w:color w:val="auto"/>
        </w:rPr>
        <w:t>RECENT ACCOUNTING PRONOUNCEMENTS</w:t>
      </w:r>
    </w:p>
    <w:p>
      <w:pPr>
        <w:spacing w:after="0" w:line="210" w:lineRule="exact"/>
        <w:rPr>
          <w:rFonts w:ascii="Arial" w:cs="Arial" w:eastAsia="Arial" w:hAnsi="Arial"/>
          <w:sz w:val="19"/>
          <w:szCs w:val="19"/>
          <w:color w:val="auto"/>
        </w:rPr>
      </w:pPr>
    </w:p>
    <w:p>
      <w:pPr>
        <w:ind w:left="465"/>
        <w:spacing w:after="0"/>
        <w:rPr>
          <w:rFonts w:ascii="Arial" w:cs="Arial" w:eastAsia="Arial" w:hAnsi="Arial"/>
          <w:sz w:val="19"/>
          <w:szCs w:val="19"/>
          <w:color w:val="auto"/>
        </w:rPr>
      </w:pPr>
      <w:r>
        <w:rPr>
          <w:rFonts w:ascii="Arial" w:cs="Arial" w:eastAsia="Arial" w:hAnsi="Arial"/>
          <w:sz w:val="19"/>
          <w:szCs w:val="19"/>
          <w:i w:val="1"/>
          <w:iCs w:val="1"/>
          <w:color w:val="auto"/>
        </w:rPr>
        <w:t>FIN 46/FIN 46R</w:t>
      </w:r>
    </w:p>
    <w:p>
      <w:pPr>
        <w:spacing w:after="0" w:line="12" w:lineRule="exact"/>
        <w:rPr>
          <w:rFonts w:ascii="Arial" w:cs="Arial" w:eastAsia="Arial" w:hAnsi="Arial"/>
          <w:sz w:val="19"/>
          <w:szCs w:val="19"/>
          <w:color w:val="auto"/>
        </w:rPr>
      </w:pPr>
    </w:p>
    <w:p>
      <w:pPr>
        <w:ind w:left="465"/>
        <w:spacing w:after="0" w:line="237" w:lineRule="auto"/>
        <w:rPr>
          <w:rFonts w:ascii="Arial" w:cs="Arial" w:eastAsia="Arial" w:hAnsi="Arial"/>
          <w:sz w:val="19"/>
          <w:szCs w:val="19"/>
          <w:color w:val="auto"/>
        </w:rPr>
      </w:pPr>
      <w:r>
        <w:rPr>
          <w:rFonts w:ascii="Arial" w:cs="Arial" w:eastAsia="Arial" w:hAnsi="Arial"/>
          <w:sz w:val="19"/>
          <w:szCs w:val="19"/>
          <w:color w:val="auto"/>
        </w:rPr>
        <w:t>In January 2003, the Financial Accounting Standards Board (“FASB”) issued Interpretation No. 46, “Consolidation of Variable Interest Entities” (“FIN 46”). We adopted the provisions of FIN 46 effective January 1, 2002. Since our initial application of FIN 46, the FASB addressed various implementation issues regarding the application of FIN 46 to entities outside its originally interpreted scope, focusing on Special Purpose Entities, or SPEs. In December 2003, the FASB revised FIN 46 (“FIN 46R”), which delayed the required implementation date until March 31, 2004 for entities that are not SPEs. The adoption of FIN 46R did not have a material impact on our financial condition or results of operations.</w:t>
      </w:r>
    </w:p>
    <w:p>
      <w:pPr>
        <w:spacing w:after="0" w:line="192" w:lineRule="exact"/>
        <w:rPr>
          <w:rFonts w:ascii="Arial" w:cs="Arial" w:eastAsia="Arial" w:hAnsi="Arial"/>
          <w:sz w:val="19"/>
          <w:szCs w:val="19"/>
          <w:color w:val="auto"/>
        </w:rPr>
      </w:pPr>
    </w:p>
    <w:p>
      <w:pPr>
        <w:ind w:left="465"/>
        <w:spacing w:after="0"/>
        <w:rPr>
          <w:rFonts w:ascii="Arial" w:cs="Arial" w:eastAsia="Arial" w:hAnsi="Arial"/>
          <w:sz w:val="19"/>
          <w:szCs w:val="19"/>
          <w:color w:val="auto"/>
        </w:rPr>
      </w:pPr>
      <w:r>
        <w:rPr>
          <w:rFonts w:ascii="Arial" w:cs="Arial" w:eastAsia="Arial" w:hAnsi="Arial"/>
          <w:sz w:val="19"/>
          <w:szCs w:val="19"/>
          <w:i w:val="1"/>
          <w:iCs w:val="1"/>
          <w:color w:val="auto"/>
        </w:rPr>
        <w:t>EITF 03-16</w:t>
      </w:r>
    </w:p>
    <w:p>
      <w:pPr>
        <w:spacing w:after="0" w:line="12" w:lineRule="exact"/>
        <w:rPr>
          <w:rFonts w:ascii="Arial" w:cs="Arial" w:eastAsia="Arial" w:hAnsi="Arial"/>
          <w:sz w:val="19"/>
          <w:szCs w:val="19"/>
          <w:color w:val="auto"/>
        </w:rPr>
      </w:pPr>
    </w:p>
    <w:p>
      <w:pPr>
        <w:ind w:left="465" w:right="340"/>
        <w:spacing w:after="0" w:line="301" w:lineRule="auto"/>
        <w:rPr>
          <w:rFonts w:ascii="Arial" w:cs="Arial" w:eastAsia="Arial" w:hAnsi="Arial"/>
          <w:sz w:val="19"/>
          <w:szCs w:val="19"/>
          <w:color w:val="auto"/>
        </w:rPr>
      </w:pPr>
      <w:r>
        <w:rPr>
          <w:rFonts w:ascii="Arial" w:cs="Arial" w:eastAsia="Arial" w:hAnsi="Arial"/>
          <w:sz w:val="17"/>
          <w:szCs w:val="17"/>
          <w:color w:val="auto"/>
        </w:rPr>
        <w:t>In March 2004, the EITF reached a consensus regarding Issue No. 03-16, “Accounting for Investments in Limited Liability Companies” (“EITF 03-16”). EITF 03-16 requires investments in limited liability companies (“LLCs”) that have separate ownership accounts for each</w:t>
      </w:r>
    </w:p>
    <w:p>
      <w:pPr>
        <w:sectPr>
          <w:pgSz w:w="11900" w:h="16880" w:orient="portrait"/>
          <w:cols w:equalWidth="0" w:num="1">
            <w:col w:w="11365"/>
          </w:cols>
          <w:pgMar w:left="235" w:top="228" w:right="299" w:bottom="0" w:gutter="0" w:footer="0" w:header="0"/>
        </w:sectPr>
      </w:pPr>
    </w:p>
    <w:bookmarkStart w:id="5" w:name="page6"/>
    <w:bookmarkEnd w:id="5"/>
    <w:p>
      <w:pPr>
        <w:ind w:left="465" w:right="140"/>
        <w:spacing w:after="0" w:line="283" w:lineRule="auto"/>
        <w:rPr>
          <w:sz w:val="20"/>
          <w:szCs w:val="20"/>
          <w:color w:val="auto"/>
        </w:rPr>
      </w:pPr>
      <w:r>
        <w:rPr>
          <w:rFonts w:ascii="Arial" w:cs="Arial" w:eastAsia="Arial" w:hAnsi="Arial"/>
          <w:sz w:val="17"/>
          <w:szCs w:val="17"/>
          <w:color w:val="auto"/>
        </w:rPr>
        <w:t>investor to be accounted for similar to a limited partnership investment under Statement of Position No. 78-9, “Accounting for Investments in Real Estate Ventures.” Investors would be required to apply the equity method of accounting to their investments at a much lower ownership threshold than the 20% threshold applied under Accounting Principles Board (“APB”) No. 18, “The Equity Method of Accounting for Investments in Common Stock.” EITF 03-16 is effective for the first period beginning after June 15, 2004, and will</w:t>
      </w:r>
    </w:p>
    <w:p>
      <w:pPr>
        <w:spacing w:after="0" w:line="343"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7773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ind w:right="35"/>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35"/>
        <w:spacing w:after="0"/>
        <w:rPr>
          <w:sz w:val="20"/>
          <w:szCs w:val="20"/>
          <w:color w:val="auto"/>
        </w:rPr>
      </w:pPr>
      <w:r>
        <w:rPr>
          <w:rFonts w:ascii="Arial" w:cs="Arial" w:eastAsia="Arial" w:hAnsi="Arial"/>
          <w:sz w:val="19"/>
          <w:szCs w:val="19"/>
          <w:color w:val="auto"/>
        </w:rPr>
        <w:t>FORM 10-Q</w:t>
      </w:r>
    </w:p>
    <w:p>
      <w:pPr>
        <w:jc w:val="center"/>
        <w:ind w:right="35"/>
        <w:spacing w:after="0" w:line="235" w:lineRule="auto"/>
        <w:rPr>
          <w:sz w:val="20"/>
          <w:szCs w:val="20"/>
          <w:color w:val="auto"/>
        </w:rPr>
      </w:pPr>
      <w:r>
        <w:rPr>
          <w:rFonts w:ascii="Arial" w:cs="Arial" w:eastAsia="Arial" w:hAnsi="Arial"/>
          <w:sz w:val="19"/>
          <w:szCs w:val="19"/>
          <w:color w:val="auto"/>
        </w:rPr>
        <w:t>QUARTER ENDED MARCH 31, 2004</w:t>
      </w:r>
    </w:p>
    <w:p>
      <w:pPr>
        <w:jc w:val="center"/>
        <w:ind w:right="35"/>
        <w:spacing w:after="0" w:line="236" w:lineRule="auto"/>
        <w:rPr>
          <w:sz w:val="20"/>
          <w:szCs w:val="20"/>
          <w:color w:val="auto"/>
        </w:rPr>
      </w:pPr>
      <w:r>
        <w:rPr>
          <w:rFonts w:ascii="Arial" w:cs="Arial" w:eastAsia="Arial" w:hAnsi="Arial"/>
          <w:sz w:val="19"/>
          <w:szCs w:val="19"/>
          <w:color w:val="auto"/>
        </w:rPr>
        <w:t>NOTES TO CONDENSED CONSOLIDATED FINANCIAL STATEMENTS - CONTINUED</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p>
      <w:pPr>
        <w:ind w:left="465"/>
        <w:spacing w:after="0" w:line="261" w:lineRule="auto"/>
        <w:rPr>
          <w:sz w:val="20"/>
          <w:szCs w:val="20"/>
          <w:color w:val="auto"/>
        </w:rPr>
      </w:pPr>
      <w:r>
        <w:rPr>
          <w:rFonts w:ascii="Arial" w:cs="Arial" w:eastAsia="Arial" w:hAnsi="Arial"/>
          <w:sz w:val="19"/>
          <w:szCs w:val="19"/>
          <w:color w:val="auto"/>
        </w:rPr>
        <w:t>be applied as a change in accounting principle with a cumulative effect reflected in the income statement. We are currently assessing the impact that the adoption of EITF 03-16 will have on our financial condition and results of operations.</w:t>
      </w:r>
    </w:p>
    <w:p>
      <w:pPr>
        <w:spacing w:after="0" w:line="169" w:lineRule="exact"/>
        <w:rPr>
          <w:sz w:val="20"/>
          <w:szCs w:val="20"/>
          <w:color w:val="auto"/>
        </w:rPr>
      </w:pPr>
    </w:p>
    <w:p>
      <w:pPr>
        <w:ind w:left="465" w:hanging="465"/>
        <w:spacing w:after="0"/>
        <w:tabs>
          <w:tab w:leader="none" w:pos="465" w:val="left"/>
        </w:tabs>
        <w:numPr>
          <w:ilvl w:val="0"/>
          <w:numId w:val="6"/>
        </w:numPr>
        <w:rPr>
          <w:rFonts w:ascii="Arial" w:cs="Arial" w:eastAsia="Arial" w:hAnsi="Arial"/>
          <w:sz w:val="19"/>
          <w:szCs w:val="19"/>
          <w:color w:val="auto"/>
        </w:rPr>
      </w:pPr>
      <w:r>
        <w:rPr>
          <w:rFonts w:ascii="Arial" w:cs="Arial" w:eastAsia="Arial" w:hAnsi="Arial"/>
          <w:sz w:val="19"/>
          <w:szCs w:val="19"/>
          <w:color w:val="auto"/>
        </w:rPr>
        <w:t>EARNINGS PER SHARE</w:t>
      </w:r>
    </w:p>
    <w:p>
      <w:pPr>
        <w:spacing w:after="0" w:line="210" w:lineRule="exact"/>
        <w:rPr>
          <w:rFonts w:ascii="Arial" w:cs="Arial" w:eastAsia="Arial" w:hAnsi="Arial"/>
          <w:sz w:val="19"/>
          <w:szCs w:val="19"/>
          <w:color w:val="auto"/>
        </w:rPr>
      </w:pPr>
    </w:p>
    <w:p>
      <w:pPr>
        <w:ind w:left="465" w:right="460"/>
        <w:spacing w:after="0" w:line="261" w:lineRule="auto"/>
        <w:rPr>
          <w:rFonts w:ascii="Arial" w:cs="Arial" w:eastAsia="Arial" w:hAnsi="Arial"/>
          <w:sz w:val="19"/>
          <w:szCs w:val="19"/>
          <w:color w:val="auto"/>
        </w:rPr>
      </w:pPr>
      <w:r>
        <w:rPr>
          <w:rFonts w:ascii="Arial" w:cs="Arial" w:eastAsia="Arial" w:hAnsi="Arial"/>
          <w:sz w:val="19"/>
          <w:szCs w:val="19"/>
          <w:color w:val="auto"/>
        </w:rPr>
        <w:t>Earnings (loss) per common share is computed by dividing net income (loss) from continuing operations for common stockholders by the weighted average number of common shares outstanding during the period on a basic and diluted basis.</w:t>
      </w:r>
    </w:p>
    <w:p>
      <w:pPr>
        <w:spacing w:after="0" w:line="168" w:lineRule="exact"/>
        <w:rPr>
          <w:rFonts w:ascii="Arial" w:cs="Arial" w:eastAsia="Arial" w:hAnsi="Arial"/>
          <w:sz w:val="19"/>
          <w:szCs w:val="19"/>
          <w:color w:val="auto"/>
        </w:rPr>
      </w:pPr>
    </w:p>
    <w:p>
      <w:pPr>
        <w:ind w:left="465" w:right="140"/>
        <w:spacing w:after="0"/>
        <w:rPr>
          <w:rFonts w:ascii="Arial" w:cs="Arial" w:eastAsia="Arial" w:hAnsi="Arial"/>
          <w:sz w:val="19"/>
          <w:szCs w:val="19"/>
          <w:color w:val="auto"/>
        </w:rPr>
      </w:pPr>
      <w:r>
        <w:rPr>
          <w:rFonts w:ascii="Arial" w:cs="Arial" w:eastAsia="Arial" w:hAnsi="Arial"/>
          <w:sz w:val="19"/>
          <w:szCs w:val="19"/>
          <w:color w:val="auto"/>
        </w:rPr>
        <w:t xml:space="preserve">Our potentially dilutive securities include potential common shares related to our stock options, restricted stock and Comcast exchangeable notes (see </w:t>
      </w:r>
      <w:hyperlink w:anchor="page8">
        <w:r>
          <w:rPr>
            <w:rFonts w:ascii="Arial" w:cs="Arial" w:eastAsia="Arial" w:hAnsi="Arial"/>
            <w:sz w:val="19"/>
            <w:szCs w:val="19"/>
            <w:u w:val="single" w:color="auto"/>
            <w:color w:val="0000EE"/>
          </w:rPr>
          <w:t>Note 6</w:t>
        </w:r>
      </w:hyperlink>
      <w:r>
        <w:rPr>
          <w:rFonts w:ascii="Arial" w:cs="Arial" w:eastAsia="Arial" w:hAnsi="Arial"/>
          <w:sz w:val="19"/>
          <w:szCs w:val="19"/>
          <w:color w:val="auto"/>
        </w:rPr>
        <w:t>). Diluted earnings for common stockholders per common share (“Diluted EPS”) considers the impact of potentially dilutive securities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common stock for the period. Diluted EPS for the interim period in 2004 excludes the impact of potential common shares related to our Class A Special common stock held in treasury because it is our intent to settle the related Comcast exchangeable notes using cash.</w:t>
      </w:r>
    </w:p>
    <w:p>
      <w:pPr>
        <w:spacing w:after="0" w:line="187" w:lineRule="exact"/>
        <w:rPr>
          <w:rFonts w:ascii="Arial" w:cs="Arial" w:eastAsia="Arial" w:hAnsi="Arial"/>
          <w:sz w:val="19"/>
          <w:szCs w:val="19"/>
          <w:color w:val="auto"/>
        </w:rPr>
      </w:pPr>
    </w:p>
    <w:p>
      <w:pPr>
        <w:ind w:left="465" w:right="300"/>
        <w:spacing w:after="0" w:line="242" w:lineRule="auto"/>
        <w:rPr>
          <w:rFonts w:ascii="Arial" w:cs="Arial" w:eastAsia="Arial" w:hAnsi="Arial"/>
          <w:sz w:val="19"/>
          <w:szCs w:val="19"/>
          <w:color w:val="auto"/>
        </w:rPr>
      </w:pPr>
      <w:r>
        <w:rPr>
          <w:rFonts w:ascii="Arial" w:cs="Arial" w:eastAsia="Arial" w:hAnsi="Arial"/>
          <w:sz w:val="19"/>
          <w:szCs w:val="19"/>
          <w:color w:val="auto"/>
        </w:rPr>
        <w:t>Diluted EPS for the interim period in 2004 excludes approximately 89.3 million potential common shares related to our stock option plans because the option exercise price was greater than the average market price of our Class A common stock and our Class A Special common stock for the period. Diluted EPS for the interim period in 2003 excludes approximately 179.0 million potential common shares primarily related to our stock option and restricted stock plans and our common stock held in treasury because the assumed issuance of such potential common shares is antidilutive in periods in which there is a loss.</w:t>
      </w:r>
    </w:p>
    <w:p>
      <w:pPr>
        <w:spacing w:after="0" w:line="186" w:lineRule="exact"/>
        <w:rPr>
          <w:sz w:val="20"/>
          <w:szCs w:val="20"/>
          <w:color w:val="auto"/>
        </w:rPr>
      </w:pPr>
    </w:p>
    <w:p>
      <w:pPr>
        <w:ind w:left="465" w:right="140"/>
        <w:spacing w:after="0" w:line="261" w:lineRule="auto"/>
        <w:rPr>
          <w:sz w:val="20"/>
          <w:szCs w:val="20"/>
          <w:color w:val="auto"/>
        </w:rPr>
      </w:pPr>
      <w:r>
        <w:rPr>
          <w:rFonts w:ascii="Arial" w:cs="Arial" w:eastAsia="Arial" w:hAnsi="Arial"/>
          <w:sz w:val="19"/>
          <w:szCs w:val="19"/>
          <w:color w:val="auto"/>
        </w:rPr>
        <w:t>The following table reconciles the numerator and denominator of the computations of Diluted EPS for common stockholders from continuing operations for the interim periods presented:</w:t>
      </w:r>
    </w:p>
    <w:p>
      <w:pPr>
        <w:spacing w:after="0" w:line="165" w:lineRule="exact"/>
        <w:rPr>
          <w:sz w:val="20"/>
          <w:szCs w:val="20"/>
          <w:color w:val="auto"/>
        </w:rPr>
      </w:pPr>
    </w:p>
    <w:tbl>
      <w:tblPr>
        <w:tblLayout w:type="fixed"/>
        <w:tblInd w:w="5" w:type="dxa"/>
        <w:tblCellMar>
          <w:top w:w="0" w:type="dxa"/>
          <w:left w:w="0" w:type="dxa"/>
          <w:bottom w:w="0" w:type="dxa"/>
          <w:right w:w="0" w:type="dxa"/>
        </w:tblCellMar>
      </w:tblPr>
      <w:tr>
        <w:trPr>
          <w:trHeight w:val="218"/>
        </w:trPr>
        <w:tc>
          <w:tcPr>
            <w:tcW w:w="2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40" w:type="dxa"/>
            <w:vAlign w:val="bottom"/>
            <w:gridSpan w:val="8"/>
          </w:tcPr>
          <w:p>
            <w:pPr>
              <w:jc w:val="center"/>
              <w:ind w:left="185"/>
              <w:spacing w:after="0"/>
              <w:rPr>
                <w:sz w:val="20"/>
                <w:szCs w:val="20"/>
                <w:color w:val="auto"/>
              </w:rPr>
            </w:pPr>
            <w:r>
              <w:rPr>
                <w:rFonts w:ascii="Arial" w:cs="Arial" w:eastAsia="Arial" w:hAnsi="Arial"/>
                <w:sz w:val="19"/>
                <w:szCs w:val="19"/>
                <w:color w:val="auto"/>
                <w:w w:val="91"/>
              </w:rPr>
              <w:t>(Amounts in millions, except per share data)</w:t>
            </w: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gridSpan w:val="6"/>
          </w:tcPr>
          <w:p>
            <w:pPr>
              <w:jc w:val="center"/>
              <w:ind w:right="445"/>
              <w:spacing w:after="0" w:line="214" w:lineRule="exact"/>
              <w:rPr>
                <w:sz w:val="20"/>
                <w:szCs w:val="20"/>
                <w:color w:val="auto"/>
              </w:rPr>
            </w:pPr>
            <w:r>
              <w:rPr>
                <w:rFonts w:ascii="Arial" w:cs="Arial" w:eastAsia="Arial" w:hAnsi="Arial"/>
                <w:sz w:val="19"/>
                <w:szCs w:val="19"/>
                <w:color w:val="auto"/>
                <w:w w:val="91"/>
              </w:rPr>
              <w:t>Three Months Ended March 31,</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2004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ind w:left="420"/>
              <w:spacing w:after="0"/>
              <w:rPr>
                <w:sz w:val="20"/>
                <w:szCs w:val="20"/>
                <w:color w:val="auto"/>
              </w:rPr>
            </w:pPr>
            <w:r>
              <w:rPr>
                <w:rFonts w:ascii="Arial" w:cs="Arial" w:eastAsia="Arial" w:hAnsi="Arial"/>
                <w:sz w:val="19"/>
                <w:szCs w:val="19"/>
                <w:color w:val="auto"/>
                <w:w w:val="94"/>
              </w:rPr>
              <w:t>2003</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90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jc w:val="right"/>
              <w:ind w:right="125"/>
              <w:spacing w:after="0"/>
              <w:rPr>
                <w:sz w:val="20"/>
                <w:szCs w:val="20"/>
                <w:color w:val="auto"/>
              </w:rPr>
            </w:pPr>
            <w:r>
              <w:rPr>
                <w:rFonts w:ascii="Arial" w:cs="Arial" w:eastAsia="Arial" w:hAnsi="Arial"/>
                <w:sz w:val="19"/>
                <w:szCs w:val="19"/>
                <w:color w:val="auto"/>
              </w:rPr>
              <w:t>Per Share</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jc w:val="right"/>
              <w:ind w:right="145"/>
              <w:spacing w:after="0"/>
              <w:rPr>
                <w:sz w:val="20"/>
                <w:szCs w:val="20"/>
                <w:color w:val="auto"/>
              </w:rPr>
            </w:pPr>
            <w:r>
              <w:rPr>
                <w:rFonts w:ascii="Arial" w:cs="Arial" w:eastAsia="Arial" w:hAnsi="Arial"/>
                <w:sz w:val="19"/>
                <w:szCs w:val="19"/>
                <w:color w:val="auto"/>
              </w:rPr>
              <w:t>Per Share</w:t>
            </w:r>
          </w:p>
        </w:tc>
        <w:tc>
          <w:tcPr>
            <w:tcW w:w="0" w:type="dxa"/>
            <w:vAlign w:val="bottom"/>
          </w:tcPr>
          <w:p>
            <w:pPr>
              <w:spacing w:after="0"/>
              <w:rPr>
                <w:sz w:val="1"/>
                <w:szCs w:val="1"/>
                <w:color w:val="auto"/>
              </w:rPr>
            </w:pPr>
          </w:p>
        </w:tc>
      </w:tr>
      <w:tr>
        <w:trPr>
          <w:trHeight w:val="242"/>
        </w:trPr>
        <w:tc>
          <w:tcPr>
            <w:tcW w:w="2900" w:type="dxa"/>
            <w:vAlign w:val="bottom"/>
          </w:tcPr>
          <w:p>
            <w:pPr>
              <w:spacing w:after="0"/>
              <w:rPr>
                <w:sz w:val="21"/>
                <w:szCs w:val="21"/>
                <w:color w:val="auto"/>
              </w:rPr>
            </w:pPr>
          </w:p>
        </w:tc>
        <w:tc>
          <w:tcPr>
            <w:tcW w:w="900" w:type="dxa"/>
            <w:vAlign w:val="bottom"/>
          </w:tcPr>
          <w:p>
            <w:pPr>
              <w:jc w:val="right"/>
              <w:ind w:right="65"/>
              <w:spacing w:after="0"/>
              <w:rPr>
                <w:sz w:val="20"/>
                <w:szCs w:val="20"/>
                <w:color w:val="auto"/>
              </w:rPr>
            </w:pPr>
            <w:r>
              <w:rPr>
                <w:rFonts w:ascii="Arial" w:cs="Arial" w:eastAsia="Arial" w:hAnsi="Arial"/>
                <w:sz w:val="19"/>
                <w:szCs w:val="19"/>
                <w:color w:val="auto"/>
              </w:rPr>
              <w:t>Income</w:t>
            </w:r>
          </w:p>
        </w:tc>
        <w:tc>
          <w:tcPr>
            <w:tcW w:w="8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9"/>
                <w:szCs w:val="19"/>
                <w:color w:val="auto"/>
              </w:rPr>
              <w:t>Shares</w:t>
            </w:r>
          </w:p>
        </w:tc>
        <w:tc>
          <w:tcPr>
            <w:tcW w:w="60" w:type="dxa"/>
            <w:vAlign w:val="bottom"/>
          </w:tcPr>
          <w:p>
            <w:pPr>
              <w:spacing w:after="0"/>
              <w:rPr>
                <w:sz w:val="21"/>
                <w:szCs w:val="21"/>
                <w:color w:val="auto"/>
              </w:rPr>
            </w:pPr>
          </w:p>
        </w:tc>
        <w:tc>
          <w:tcPr>
            <w:tcW w:w="1180" w:type="dxa"/>
            <w:vAlign w:val="bottom"/>
          </w:tcPr>
          <w:p>
            <w:pPr>
              <w:jc w:val="right"/>
              <w:ind w:right="185"/>
              <w:spacing w:after="0"/>
              <w:rPr>
                <w:sz w:val="20"/>
                <w:szCs w:val="20"/>
                <w:color w:val="auto"/>
              </w:rPr>
            </w:pPr>
            <w:r>
              <w:rPr>
                <w:rFonts w:ascii="Arial" w:cs="Arial" w:eastAsia="Arial" w:hAnsi="Arial"/>
                <w:sz w:val="19"/>
                <w:szCs w:val="19"/>
                <w:color w:val="auto"/>
              </w:rPr>
              <w:t>Amount</w:t>
            </w:r>
          </w:p>
        </w:tc>
        <w:tc>
          <w:tcPr>
            <w:tcW w:w="60" w:type="dxa"/>
            <w:vAlign w:val="bottom"/>
          </w:tcPr>
          <w:p>
            <w:pPr>
              <w:spacing w:after="0"/>
              <w:rPr>
                <w:sz w:val="21"/>
                <w:szCs w:val="21"/>
                <w:color w:val="auto"/>
              </w:rPr>
            </w:pPr>
          </w:p>
        </w:tc>
        <w:tc>
          <w:tcPr>
            <w:tcW w:w="880" w:type="dxa"/>
            <w:vAlign w:val="bottom"/>
            <w:gridSpan w:val="2"/>
          </w:tcPr>
          <w:p>
            <w:pPr>
              <w:ind w:left="240"/>
              <w:spacing w:after="0"/>
              <w:rPr>
                <w:sz w:val="20"/>
                <w:szCs w:val="20"/>
                <w:color w:val="auto"/>
              </w:rPr>
            </w:pPr>
            <w:r>
              <w:rPr>
                <w:rFonts w:ascii="Arial" w:cs="Arial" w:eastAsia="Arial" w:hAnsi="Arial"/>
                <w:sz w:val="19"/>
                <w:szCs w:val="19"/>
                <w:color w:val="auto"/>
              </w:rPr>
              <w:t>Loss</w:t>
            </w:r>
          </w:p>
        </w:tc>
        <w:tc>
          <w:tcPr>
            <w:tcW w:w="840" w:type="dxa"/>
            <w:vAlign w:val="bottom"/>
          </w:tcPr>
          <w:p>
            <w:pPr>
              <w:ind w:left="160"/>
              <w:spacing w:after="0"/>
              <w:rPr>
                <w:sz w:val="20"/>
                <w:szCs w:val="20"/>
                <w:color w:val="auto"/>
              </w:rPr>
            </w:pPr>
            <w:r>
              <w:rPr>
                <w:rFonts w:ascii="Arial" w:cs="Arial" w:eastAsia="Arial" w:hAnsi="Arial"/>
                <w:sz w:val="19"/>
                <w:szCs w:val="19"/>
                <w:color w:val="auto"/>
              </w:rPr>
              <w:t>Shares</w:t>
            </w:r>
          </w:p>
        </w:tc>
        <w:tc>
          <w:tcPr>
            <w:tcW w:w="60" w:type="dxa"/>
            <w:vAlign w:val="bottom"/>
          </w:tcPr>
          <w:p>
            <w:pPr>
              <w:spacing w:after="0"/>
              <w:rPr>
                <w:sz w:val="21"/>
                <w:szCs w:val="21"/>
                <w:color w:val="auto"/>
              </w:rPr>
            </w:pPr>
          </w:p>
        </w:tc>
        <w:tc>
          <w:tcPr>
            <w:tcW w:w="1200" w:type="dxa"/>
            <w:vAlign w:val="bottom"/>
          </w:tcPr>
          <w:p>
            <w:pPr>
              <w:jc w:val="right"/>
              <w:ind w:right="185"/>
              <w:spacing w:after="0"/>
              <w:rPr>
                <w:sz w:val="20"/>
                <w:szCs w:val="20"/>
                <w:color w:val="auto"/>
              </w:rPr>
            </w:pPr>
            <w:r>
              <w:rPr>
                <w:rFonts w:ascii="Arial" w:cs="Arial" w:eastAsia="Arial" w:hAnsi="Arial"/>
                <w:sz w:val="19"/>
                <w:szCs w:val="19"/>
                <w:color w:val="auto"/>
              </w:rPr>
              <w:t>Amount</w:t>
            </w:r>
          </w:p>
        </w:tc>
        <w:tc>
          <w:tcPr>
            <w:tcW w:w="0" w:type="dxa"/>
            <w:vAlign w:val="bottom"/>
          </w:tcPr>
          <w:p>
            <w:pPr>
              <w:spacing w:after="0"/>
              <w:rPr>
                <w:sz w:val="1"/>
                <w:szCs w:val="1"/>
                <w:color w:val="auto"/>
              </w:rPr>
            </w:pPr>
          </w:p>
        </w:tc>
      </w:tr>
      <w:tr>
        <w:trPr>
          <w:trHeight w:val="87"/>
        </w:trPr>
        <w:tc>
          <w:tcPr>
            <w:tcW w:w="2900" w:type="dxa"/>
            <w:vAlign w:val="bottom"/>
            <w:vMerge w:val="restart"/>
          </w:tcPr>
          <w:p>
            <w:pPr>
              <w:spacing w:after="0"/>
              <w:rPr>
                <w:sz w:val="20"/>
                <w:szCs w:val="20"/>
                <w:color w:val="auto"/>
              </w:rPr>
            </w:pPr>
            <w:r>
              <w:rPr>
                <w:rFonts w:ascii="Arial" w:cs="Arial" w:eastAsia="Arial" w:hAnsi="Arial"/>
                <w:sz w:val="19"/>
                <w:szCs w:val="19"/>
                <w:color w:val="auto"/>
              </w:rPr>
              <w:t>Basic EPS for common</w:t>
            </w:r>
          </w:p>
        </w:tc>
        <w:tc>
          <w:tcPr>
            <w:tcW w:w="90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100"/>
              <w:spacing w:after="0" w:line="214" w:lineRule="exact"/>
              <w:rPr>
                <w:sz w:val="20"/>
                <w:szCs w:val="20"/>
                <w:color w:val="auto"/>
              </w:rPr>
            </w:pPr>
            <w:r>
              <w:rPr>
                <w:rFonts w:ascii="Arial" w:cs="Arial" w:eastAsia="Arial" w:hAnsi="Arial"/>
                <w:sz w:val="19"/>
                <w:szCs w:val="19"/>
                <w:color w:val="auto"/>
              </w:rPr>
              <w:t>stockholders</w:t>
            </w:r>
          </w:p>
        </w:tc>
        <w:tc>
          <w:tcPr>
            <w:tcW w:w="900" w:type="dxa"/>
            <w:vAlign w:val="bottom"/>
          </w:tcPr>
          <w:p>
            <w:pPr>
              <w:jc w:val="right"/>
              <w:spacing w:after="0" w:line="214" w:lineRule="exact"/>
              <w:rPr>
                <w:sz w:val="20"/>
                <w:szCs w:val="20"/>
                <w:color w:val="auto"/>
              </w:rPr>
            </w:pPr>
            <w:r>
              <w:rPr>
                <w:rFonts w:ascii="Arial" w:cs="Arial" w:eastAsia="Arial" w:hAnsi="Arial"/>
                <w:sz w:val="19"/>
                <w:szCs w:val="19"/>
                <w:color w:val="auto"/>
              </w:rPr>
              <w:t>$65</w:t>
            </w:r>
          </w:p>
        </w:tc>
        <w:tc>
          <w:tcPr>
            <w:tcW w:w="900" w:type="dxa"/>
            <w:vAlign w:val="bottom"/>
            <w:gridSpan w:val="3"/>
          </w:tcPr>
          <w:p>
            <w:pPr>
              <w:jc w:val="right"/>
              <w:ind w:right="20"/>
              <w:spacing w:after="0" w:line="214" w:lineRule="exact"/>
              <w:rPr>
                <w:sz w:val="20"/>
                <w:szCs w:val="20"/>
                <w:color w:val="auto"/>
              </w:rPr>
            </w:pPr>
            <w:r>
              <w:rPr>
                <w:rFonts w:ascii="Arial" w:cs="Arial" w:eastAsia="Arial" w:hAnsi="Arial"/>
                <w:sz w:val="19"/>
                <w:szCs w:val="19"/>
                <w:color w:val="auto"/>
              </w:rPr>
              <w:t>2,258</w:t>
            </w:r>
          </w:p>
        </w:tc>
        <w:tc>
          <w:tcPr>
            <w:tcW w:w="124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$0.03</w:t>
            </w:r>
          </w:p>
        </w:tc>
        <w:tc>
          <w:tcPr>
            <w:tcW w:w="940" w:type="dxa"/>
            <w:vAlign w:val="bottom"/>
            <w:gridSpan w:val="3"/>
          </w:tcPr>
          <w:p>
            <w:pPr>
              <w:jc w:val="right"/>
              <w:ind w:right="60"/>
              <w:spacing w:after="0" w:line="214" w:lineRule="exact"/>
              <w:rPr>
                <w:sz w:val="20"/>
                <w:szCs w:val="20"/>
                <w:color w:val="auto"/>
              </w:rPr>
            </w:pPr>
            <w:r>
              <w:rPr>
                <w:rFonts w:ascii="Arial" w:cs="Arial" w:eastAsia="Arial" w:hAnsi="Arial"/>
                <w:sz w:val="19"/>
                <w:szCs w:val="19"/>
                <w:color w:val="auto"/>
              </w:rPr>
              <w:t>($355)</w:t>
            </w:r>
          </w:p>
        </w:tc>
        <w:tc>
          <w:tcPr>
            <w:tcW w:w="840" w:type="dxa"/>
            <w:vAlign w:val="bottom"/>
          </w:tcPr>
          <w:p>
            <w:pPr>
              <w:ind w:left="400"/>
              <w:spacing w:after="0" w:line="214" w:lineRule="exact"/>
              <w:rPr>
                <w:sz w:val="20"/>
                <w:szCs w:val="20"/>
                <w:color w:val="auto"/>
              </w:rPr>
            </w:pPr>
            <w:r>
              <w:rPr>
                <w:rFonts w:ascii="Arial" w:cs="Arial" w:eastAsia="Arial" w:hAnsi="Arial"/>
                <w:sz w:val="19"/>
                <w:szCs w:val="19"/>
                <w:color w:val="auto"/>
                <w:w w:val="88"/>
              </w:rPr>
              <w:t>2,255</w:t>
            </w:r>
          </w:p>
        </w:tc>
        <w:tc>
          <w:tcPr>
            <w:tcW w:w="12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($0.16)</w:t>
            </w:r>
          </w:p>
        </w:tc>
        <w:tc>
          <w:tcPr>
            <w:tcW w:w="0" w:type="dxa"/>
            <w:vAlign w:val="bottom"/>
          </w:tcPr>
          <w:p>
            <w:pPr>
              <w:spacing w:after="0"/>
              <w:rPr>
                <w:sz w:val="1"/>
                <w:szCs w:val="1"/>
                <w:color w:val="auto"/>
              </w:rPr>
            </w:pPr>
          </w:p>
        </w:tc>
      </w:tr>
      <w:tr>
        <w:trPr>
          <w:trHeight w:val="215"/>
        </w:trPr>
        <w:tc>
          <w:tcPr>
            <w:tcW w:w="2900" w:type="dxa"/>
            <w:vAlign w:val="bottom"/>
          </w:tcPr>
          <w:p>
            <w:pPr>
              <w:spacing w:after="0" w:line="214" w:lineRule="exact"/>
              <w:rPr>
                <w:sz w:val="20"/>
                <w:szCs w:val="20"/>
                <w:color w:val="auto"/>
              </w:rPr>
            </w:pPr>
            <w:r>
              <w:rPr>
                <w:rFonts w:ascii="Arial" w:cs="Arial" w:eastAsia="Arial" w:hAnsi="Arial"/>
                <w:sz w:val="19"/>
                <w:szCs w:val="19"/>
                <w:color w:val="auto"/>
              </w:rPr>
              <w:t>Effect of Dilutive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spacing w:after="0" w:line="214" w:lineRule="exact"/>
              <w:rPr>
                <w:sz w:val="20"/>
                <w:szCs w:val="20"/>
                <w:color w:val="auto"/>
              </w:rPr>
            </w:pPr>
            <w:r>
              <w:rPr>
                <w:rFonts w:ascii="Arial" w:cs="Arial" w:eastAsia="Arial" w:hAnsi="Arial"/>
                <w:sz w:val="19"/>
                <w:szCs w:val="19"/>
                <w:color w:val="auto"/>
              </w:rPr>
              <w:t>Securities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80"/>
              <w:spacing w:after="0" w:line="214" w:lineRule="exact"/>
              <w:rPr>
                <w:sz w:val="20"/>
                <w:szCs w:val="20"/>
                <w:color w:val="auto"/>
              </w:rPr>
            </w:pPr>
            <w:r>
              <w:rPr>
                <w:rFonts w:ascii="Arial" w:cs="Arial" w:eastAsia="Arial" w:hAnsi="Arial"/>
                <w:sz w:val="19"/>
                <w:szCs w:val="19"/>
                <w:color w:val="auto"/>
              </w:rPr>
              <w:t>Assumed exercise of</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140"/>
              <w:spacing w:after="0" w:line="214" w:lineRule="exact"/>
              <w:rPr>
                <w:sz w:val="20"/>
                <w:szCs w:val="20"/>
                <w:color w:val="auto"/>
              </w:rPr>
            </w:pPr>
            <w:r>
              <w:rPr>
                <w:rFonts w:ascii="Arial" w:cs="Arial" w:eastAsia="Arial" w:hAnsi="Arial"/>
                <w:sz w:val="19"/>
                <w:szCs w:val="19"/>
                <w:color w:val="auto"/>
              </w:rPr>
              <w:t>stock option and</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00" w:type="dxa"/>
            <w:vAlign w:val="bottom"/>
          </w:tcPr>
          <w:p>
            <w:pPr>
              <w:ind w:left="140"/>
              <w:spacing w:after="0"/>
              <w:rPr>
                <w:sz w:val="20"/>
                <w:szCs w:val="20"/>
                <w:color w:val="auto"/>
              </w:rPr>
            </w:pPr>
            <w:r>
              <w:rPr>
                <w:rFonts w:ascii="Arial" w:cs="Arial" w:eastAsia="Arial" w:hAnsi="Arial"/>
                <w:sz w:val="19"/>
                <w:szCs w:val="19"/>
                <w:color w:val="auto"/>
              </w:rPr>
              <w:t>restricted stock plans</w:t>
            </w:r>
          </w:p>
        </w:tc>
        <w:tc>
          <w:tcPr>
            <w:tcW w:w="90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9"/>
                <w:szCs w:val="19"/>
                <w:color w:val="auto"/>
              </w:rPr>
              <w:t>10</w:t>
            </w: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90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00" w:type="dxa"/>
            <w:vAlign w:val="bottom"/>
          </w:tcPr>
          <w:p>
            <w:pPr>
              <w:spacing w:after="0"/>
              <w:rPr>
                <w:sz w:val="20"/>
                <w:szCs w:val="20"/>
                <w:color w:val="auto"/>
              </w:rPr>
            </w:pPr>
            <w:r>
              <w:rPr>
                <w:rFonts w:ascii="Arial" w:cs="Arial" w:eastAsia="Arial" w:hAnsi="Arial"/>
                <w:sz w:val="19"/>
                <w:szCs w:val="19"/>
                <w:color w:val="auto"/>
              </w:rPr>
              <w:t>Diluted EPS</w:t>
            </w:r>
          </w:p>
        </w:tc>
        <w:tc>
          <w:tcPr>
            <w:tcW w:w="900" w:type="dxa"/>
            <w:vAlign w:val="bottom"/>
          </w:tcPr>
          <w:p>
            <w:pPr>
              <w:jc w:val="right"/>
              <w:spacing w:after="0"/>
              <w:rPr>
                <w:sz w:val="20"/>
                <w:szCs w:val="20"/>
                <w:color w:val="auto"/>
              </w:rPr>
            </w:pPr>
            <w:r>
              <w:rPr>
                <w:rFonts w:ascii="Arial" w:cs="Arial" w:eastAsia="Arial" w:hAnsi="Arial"/>
                <w:sz w:val="19"/>
                <w:szCs w:val="19"/>
                <w:color w:val="auto"/>
              </w:rPr>
              <w:t>$65</w:t>
            </w:r>
          </w:p>
        </w:tc>
        <w:tc>
          <w:tcPr>
            <w:tcW w:w="900" w:type="dxa"/>
            <w:vAlign w:val="bottom"/>
            <w:gridSpan w:val="3"/>
          </w:tcPr>
          <w:p>
            <w:pPr>
              <w:jc w:val="right"/>
              <w:ind w:right="20"/>
              <w:spacing w:after="0"/>
              <w:rPr>
                <w:sz w:val="20"/>
                <w:szCs w:val="20"/>
                <w:color w:val="auto"/>
              </w:rPr>
            </w:pPr>
            <w:r>
              <w:rPr>
                <w:rFonts w:ascii="Arial" w:cs="Arial" w:eastAsia="Arial" w:hAnsi="Arial"/>
                <w:sz w:val="19"/>
                <w:szCs w:val="19"/>
                <w:color w:val="auto"/>
              </w:rPr>
              <w:t>2,268</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$0.03</w:t>
            </w:r>
          </w:p>
        </w:tc>
        <w:tc>
          <w:tcPr>
            <w:tcW w:w="940" w:type="dxa"/>
            <w:vAlign w:val="bottom"/>
            <w:gridSpan w:val="3"/>
          </w:tcPr>
          <w:p>
            <w:pPr>
              <w:jc w:val="right"/>
              <w:ind w:right="60"/>
              <w:spacing w:after="0"/>
              <w:rPr>
                <w:sz w:val="20"/>
                <w:szCs w:val="20"/>
                <w:color w:val="auto"/>
              </w:rPr>
            </w:pPr>
            <w:r>
              <w:rPr>
                <w:rFonts w:ascii="Arial" w:cs="Arial" w:eastAsia="Arial" w:hAnsi="Arial"/>
                <w:sz w:val="19"/>
                <w:szCs w:val="19"/>
                <w:color w:val="auto"/>
              </w:rPr>
              <w:t>($355)</w:t>
            </w:r>
          </w:p>
        </w:tc>
        <w:tc>
          <w:tcPr>
            <w:tcW w:w="840" w:type="dxa"/>
            <w:vAlign w:val="bottom"/>
          </w:tcPr>
          <w:p>
            <w:pPr>
              <w:ind w:left="400"/>
              <w:spacing w:after="0"/>
              <w:rPr>
                <w:sz w:val="20"/>
                <w:szCs w:val="20"/>
                <w:color w:val="auto"/>
              </w:rPr>
            </w:pPr>
            <w:r>
              <w:rPr>
                <w:rFonts w:ascii="Arial" w:cs="Arial" w:eastAsia="Arial" w:hAnsi="Arial"/>
                <w:sz w:val="19"/>
                <w:szCs w:val="19"/>
                <w:color w:val="auto"/>
                <w:w w:val="88"/>
              </w:rPr>
              <w:t>2,255</w:t>
            </w:r>
          </w:p>
        </w:tc>
        <w:tc>
          <w:tcPr>
            <w:tcW w:w="1260" w:type="dxa"/>
            <w:vAlign w:val="bottom"/>
            <w:gridSpan w:val="2"/>
          </w:tcPr>
          <w:p>
            <w:pPr>
              <w:jc w:val="right"/>
              <w:spacing w:after="0"/>
              <w:rPr>
                <w:sz w:val="20"/>
                <w:szCs w:val="20"/>
                <w:color w:val="auto"/>
              </w:rPr>
            </w:pPr>
            <w:r>
              <w:rPr>
                <w:rFonts w:ascii="Arial" w:cs="Arial" w:eastAsia="Arial" w:hAnsi="Arial"/>
                <w:sz w:val="19"/>
                <w:szCs w:val="19"/>
                <w:color w:val="auto"/>
              </w:rPr>
              <w:t>($0.16)</w:t>
            </w:r>
          </w:p>
        </w:tc>
        <w:tc>
          <w:tcPr>
            <w:tcW w:w="0" w:type="dxa"/>
            <w:vAlign w:val="bottom"/>
          </w:tcPr>
          <w:p>
            <w:pPr>
              <w:spacing w:after="0"/>
              <w:rPr>
                <w:sz w:val="1"/>
                <w:szCs w:val="1"/>
                <w:color w:val="auto"/>
              </w:rPr>
            </w:pPr>
          </w:p>
        </w:tc>
      </w:tr>
      <w:tr>
        <w:trPr>
          <w:trHeight w:val="95"/>
        </w:trPr>
        <w:tc>
          <w:tcPr>
            <w:tcW w:w="29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-13335</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-13335</wp:posOffset>
            </wp:positionV>
            <wp:extent cx="127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-13335</wp:posOffset>
            </wp:positionV>
            <wp:extent cx="127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2458720</wp:posOffset>
            </wp:positionH>
            <wp:positionV relativeFrom="paragraph">
              <wp:posOffset>-13335</wp:posOffset>
            </wp:positionV>
            <wp:extent cx="127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-13335</wp:posOffset>
            </wp:positionV>
            <wp:extent cx="127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3019425</wp:posOffset>
            </wp:positionH>
            <wp:positionV relativeFrom="paragraph">
              <wp:posOffset>-13335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4321810</wp:posOffset>
            </wp:positionH>
            <wp:positionV relativeFrom="paragraph">
              <wp:posOffset>-13335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-13335</wp:posOffset>
            </wp:positionV>
            <wp:extent cx="1270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4889500</wp:posOffset>
            </wp:positionH>
            <wp:positionV relativeFrom="paragraph">
              <wp:posOffset>-13335</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-13335</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-13335</wp:posOffset>
            </wp:positionV>
            <wp:extent cx="127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-13335</wp:posOffset>
            </wp:positionV>
            <wp:extent cx="127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7773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ind w:right="35"/>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35"/>
        <w:spacing w:after="0"/>
        <w:rPr>
          <w:sz w:val="20"/>
          <w:szCs w:val="20"/>
          <w:color w:val="auto"/>
        </w:rPr>
      </w:pPr>
      <w:r>
        <w:rPr>
          <w:rFonts w:ascii="Arial" w:cs="Arial" w:eastAsia="Arial" w:hAnsi="Arial"/>
          <w:sz w:val="19"/>
          <w:szCs w:val="19"/>
          <w:color w:val="auto"/>
        </w:rPr>
        <w:t>FORM 10-Q</w:t>
      </w:r>
    </w:p>
    <w:p>
      <w:pPr>
        <w:jc w:val="center"/>
        <w:ind w:right="35"/>
        <w:spacing w:after="0" w:line="235" w:lineRule="auto"/>
        <w:rPr>
          <w:sz w:val="20"/>
          <w:szCs w:val="20"/>
          <w:color w:val="auto"/>
        </w:rPr>
      </w:pPr>
      <w:r>
        <w:rPr>
          <w:rFonts w:ascii="Arial" w:cs="Arial" w:eastAsia="Arial" w:hAnsi="Arial"/>
          <w:sz w:val="19"/>
          <w:szCs w:val="19"/>
          <w:color w:val="auto"/>
        </w:rPr>
        <w:t>QUARTER ENDED MARCH 31, 2004</w:t>
      </w:r>
    </w:p>
    <w:p>
      <w:pPr>
        <w:jc w:val="center"/>
        <w:ind w:right="35"/>
        <w:spacing w:after="0" w:line="236" w:lineRule="auto"/>
        <w:rPr>
          <w:sz w:val="20"/>
          <w:szCs w:val="20"/>
          <w:color w:val="auto"/>
        </w:rPr>
      </w:pPr>
      <w:r>
        <w:rPr>
          <w:rFonts w:ascii="Arial" w:cs="Arial" w:eastAsia="Arial" w:hAnsi="Arial"/>
          <w:sz w:val="19"/>
          <w:szCs w:val="19"/>
          <w:color w:val="auto"/>
        </w:rPr>
        <w:t>NOTES TO CONDENSED CONSOLIDATED FINANCIAL STATEMENTS - CONTINUED</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p>
      <w:pPr>
        <w:ind w:left="465" w:hanging="465"/>
        <w:spacing w:after="0"/>
        <w:tabs>
          <w:tab w:leader="none" w:pos="465" w:val="left"/>
        </w:tabs>
        <w:numPr>
          <w:ilvl w:val="0"/>
          <w:numId w:val="7"/>
        </w:numPr>
        <w:rPr>
          <w:rFonts w:ascii="Arial" w:cs="Arial" w:eastAsia="Arial" w:hAnsi="Arial"/>
          <w:sz w:val="19"/>
          <w:szCs w:val="19"/>
          <w:color w:val="auto"/>
        </w:rPr>
      </w:pPr>
      <w:r>
        <w:rPr>
          <w:rFonts w:ascii="Arial" w:cs="Arial" w:eastAsia="Arial" w:hAnsi="Arial"/>
          <w:sz w:val="19"/>
          <w:szCs w:val="19"/>
          <w:color w:val="auto"/>
        </w:rPr>
        <w:t>ACQUISITIONS AND OTHER SIGNIFICANT EVENTS</w:t>
      </w:r>
    </w:p>
    <w:p>
      <w:pPr>
        <w:spacing w:after="0" w:line="210" w:lineRule="exact"/>
        <w:rPr>
          <w:rFonts w:ascii="Arial" w:cs="Arial" w:eastAsia="Arial" w:hAnsi="Arial"/>
          <w:sz w:val="19"/>
          <w:szCs w:val="19"/>
          <w:color w:val="auto"/>
        </w:rPr>
      </w:pPr>
    </w:p>
    <w:p>
      <w:pPr>
        <w:ind w:left="465"/>
        <w:spacing w:after="0"/>
        <w:rPr>
          <w:rFonts w:ascii="Arial" w:cs="Arial" w:eastAsia="Arial" w:hAnsi="Arial"/>
          <w:sz w:val="19"/>
          <w:szCs w:val="19"/>
          <w:color w:val="auto"/>
        </w:rPr>
      </w:pPr>
      <w:r>
        <w:rPr>
          <w:rFonts w:ascii="Arial" w:cs="Arial" w:eastAsia="Arial" w:hAnsi="Arial"/>
          <w:sz w:val="19"/>
          <w:szCs w:val="19"/>
          <w:i w:val="1"/>
          <w:iCs w:val="1"/>
          <w:color w:val="auto"/>
        </w:rPr>
        <w:t>Acquisition of Broadband</w:t>
      </w:r>
    </w:p>
    <w:p>
      <w:pPr>
        <w:spacing w:after="0" w:line="12" w:lineRule="exact"/>
        <w:rPr>
          <w:rFonts w:ascii="Arial" w:cs="Arial" w:eastAsia="Arial" w:hAnsi="Arial"/>
          <w:sz w:val="19"/>
          <w:szCs w:val="19"/>
          <w:color w:val="auto"/>
        </w:rPr>
      </w:pPr>
    </w:p>
    <w:p>
      <w:pPr>
        <w:ind w:left="465" w:right="20"/>
        <w:spacing w:after="0" w:line="270" w:lineRule="auto"/>
        <w:rPr>
          <w:rFonts w:ascii="Arial" w:cs="Arial" w:eastAsia="Arial" w:hAnsi="Arial"/>
          <w:sz w:val="19"/>
          <w:szCs w:val="19"/>
          <w:color w:val="auto"/>
        </w:rPr>
      </w:pPr>
      <w:r>
        <w:rPr>
          <w:rFonts w:ascii="Arial" w:cs="Arial" w:eastAsia="Arial" w:hAnsi="Arial"/>
          <w:sz w:val="18"/>
          <w:szCs w:val="18"/>
          <w:color w:val="auto"/>
        </w:rPr>
        <w:t>On November 18, 2002, we completed the acquisition of AT&amp;T Corp.'s (“AT&amp;T”) broadband business, which we refer to as "Broadband." The acquisition created the largest cable operator in the United States by combining Broadband's and our cable networks.</w:t>
      </w:r>
    </w:p>
    <w:p>
      <w:pPr>
        <w:spacing w:after="0" w:line="162" w:lineRule="exact"/>
        <w:rPr>
          <w:rFonts w:ascii="Arial" w:cs="Arial" w:eastAsia="Arial" w:hAnsi="Arial"/>
          <w:sz w:val="19"/>
          <w:szCs w:val="19"/>
          <w:color w:val="auto"/>
        </w:rPr>
      </w:pPr>
    </w:p>
    <w:p>
      <w:pPr>
        <w:ind w:left="465" w:right="80"/>
        <w:spacing w:after="0" w:line="292" w:lineRule="auto"/>
        <w:rPr>
          <w:rFonts w:ascii="Arial" w:cs="Arial" w:eastAsia="Arial" w:hAnsi="Arial"/>
          <w:sz w:val="19"/>
          <w:szCs w:val="19"/>
          <w:color w:val="auto"/>
        </w:rPr>
      </w:pPr>
      <w:r>
        <w:rPr>
          <w:rFonts w:ascii="Arial" w:cs="Arial" w:eastAsia="Arial" w:hAnsi="Arial"/>
          <w:sz w:val="17"/>
          <w:szCs w:val="17"/>
          <w:color w:val="auto"/>
        </w:rPr>
        <w:t>The application of purchase accounting under SFAS No. 141, "Business Combinations," requires that the total purchase price of an acquisition be allocated to the fair value of the assets acquired and liabilities assumed based on their fair values at the acquisition date. During 2003, we finalized the Broadband purchase price allocation, except for certain litigation contingencies relating to our share of AT&amp;T's potential liability</w:t>
      </w:r>
    </w:p>
    <w:p>
      <w:pPr>
        <w:sectPr>
          <w:pgSz w:w="11900" w:h="16838" w:orient="portrait"/>
          <w:cols w:equalWidth="0" w:num="1">
            <w:col w:w="11425"/>
          </w:cols>
          <w:pgMar w:left="235" w:top="120" w:right="239" w:bottom="0" w:gutter="0" w:footer="0" w:header="0"/>
        </w:sectPr>
      </w:pPr>
    </w:p>
    <w:bookmarkStart w:id="6" w:name="page7"/>
    <w:bookmarkEnd w:id="6"/>
    <w:p>
      <w:pPr>
        <w:spacing w:after="0" w:line="56" w:lineRule="exact"/>
        <w:rPr>
          <w:sz w:val="20"/>
          <w:szCs w:val="20"/>
          <w:color w:val="auto"/>
        </w:rPr>
      </w:pPr>
    </w:p>
    <w:p>
      <w:pPr>
        <w:ind w:left="460" w:right="660"/>
        <w:spacing w:after="0" w:line="262" w:lineRule="auto"/>
        <w:rPr>
          <w:rFonts w:ascii="Arial" w:cs="Arial" w:eastAsia="Arial" w:hAnsi="Arial"/>
          <w:sz w:val="19"/>
          <w:szCs w:val="19"/>
          <w:color w:val="auto"/>
        </w:rPr>
      </w:pPr>
      <w:r>
        <w:rPr>
          <w:rFonts w:ascii="Arial" w:cs="Arial" w:eastAsia="Arial" w:hAnsi="Arial"/>
          <w:sz w:val="19"/>
          <w:szCs w:val="19"/>
          <w:color w:val="auto"/>
        </w:rPr>
        <w:t xml:space="preserve">associated with the At Home Corporation litigation (see </w:t>
      </w:r>
      <w:hyperlink w:anchor="page11">
        <w:r>
          <w:rPr>
            <w:rFonts w:ascii="Arial" w:cs="Arial" w:eastAsia="Arial" w:hAnsi="Arial"/>
            <w:sz w:val="19"/>
            <w:szCs w:val="19"/>
            <w:u w:val="single" w:color="auto"/>
            <w:color w:val="0000EE"/>
          </w:rPr>
          <w:t>Note 9</w:t>
        </w:r>
      </w:hyperlink>
      <w:r>
        <w:rPr>
          <w:rFonts w:ascii="Arial" w:cs="Arial" w:eastAsia="Arial" w:hAnsi="Arial"/>
          <w:sz w:val="19"/>
          <w:szCs w:val="19"/>
          <w:color w:val="auto"/>
        </w:rPr>
        <w:t>). We are waiting for additional information to complete the Broadband purchase price allocation, which we have arranged with AT&amp;T to obtain and expect to receive during 2004.</w:t>
      </w:r>
    </w:p>
    <w:p>
      <w:pPr>
        <w:spacing w:after="0" w:line="168" w:lineRule="exact"/>
        <w:rPr>
          <w:sz w:val="20"/>
          <w:szCs w:val="20"/>
          <w:color w:val="auto"/>
        </w:rPr>
      </w:pPr>
    </w:p>
    <w:p>
      <w:pPr>
        <w:ind w:left="460" w:right="260"/>
        <w:spacing w:after="0" w:line="244" w:lineRule="auto"/>
        <w:rPr>
          <w:sz w:val="20"/>
          <w:szCs w:val="20"/>
          <w:color w:val="auto"/>
        </w:rPr>
      </w:pPr>
      <w:r>
        <w:rPr>
          <w:rFonts w:ascii="Arial" w:cs="Arial" w:eastAsia="Arial" w:hAnsi="Arial"/>
          <w:sz w:val="19"/>
          <w:szCs w:val="19"/>
          <w:color w:val="auto"/>
        </w:rPr>
        <w:t>Liabilities associated with exit activities recorded in the purchase price allocation consist of $602 million associated with accrued employee termination and related costs and $929 million associated with either the cost of terminating contracts or the present value of remaining amounts payable under non-cancelable contracts. Amounts paid, adjustments made against these accruals and interest accretion during the 2004 interim period were as follows (in millions):</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18"/>
        </w:trPr>
        <w:tc>
          <w:tcPr>
            <w:tcW w:w="5420" w:type="dxa"/>
            <w:vAlign w:val="bottom"/>
          </w:tcPr>
          <w:p>
            <w:pPr>
              <w:spacing w:after="0"/>
              <w:rPr>
                <w:sz w:val="18"/>
                <w:szCs w:val="18"/>
                <w:color w:val="auto"/>
              </w:rPr>
            </w:pPr>
          </w:p>
        </w:tc>
        <w:tc>
          <w:tcPr>
            <w:tcW w:w="1660" w:type="dxa"/>
            <w:vAlign w:val="bottom"/>
            <w:gridSpan w:val="2"/>
          </w:tcPr>
          <w:p>
            <w:pPr>
              <w:jc w:val="center"/>
              <w:ind w:right="720"/>
              <w:spacing w:after="0"/>
              <w:rPr>
                <w:sz w:val="20"/>
                <w:szCs w:val="20"/>
                <w:color w:val="auto"/>
              </w:rPr>
            </w:pPr>
            <w:r>
              <w:rPr>
                <w:rFonts w:ascii="Arial" w:cs="Arial" w:eastAsia="Arial" w:hAnsi="Arial"/>
                <w:sz w:val="19"/>
                <w:szCs w:val="19"/>
                <w:color w:val="auto"/>
                <w:w w:val="92"/>
              </w:rPr>
              <w:t>Employee</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5420" w:type="dxa"/>
            <w:vAlign w:val="bottom"/>
          </w:tcPr>
          <w:p>
            <w:pPr>
              <w:spacing w:after="0"/>
              <w:rPr>
                <w:sz w:val="18"/>
                <w:szCs w:val="18"/>
                <w:color w:val="auto"/>
              </w:rPr>
            </w:pPr>
          </w:p>
        </w:tc>
        <w:tc>
          <w:tcPr>
            <w:tcW w:w="1660" w:type="dxa"/>
            <w:vAlign w:val="bottom"/>
            <w:gridSpan w:val="2"/>
          </w:tcPr>
          <w:p>
            <w:pPr>
              <w:jc w:val="center"/>
              <w:ind w:right="720"/>
              <w:spacing w:after="0" w:line="214" w:lineRule="exact"/>
              <w:rPr>
                <w:sz w:val="20"/>
                <w:szCs w:val="20"/>
                <w:color w:val="auto"/>
              </w:rPr>
            </w:pPr>
            <w:r>
              <w:rPr>
                <w:rFonts w:ascii="Arial" w:cs="Arial" w:eastAsia="Arial" w:hAnsi="Arial"/>
                <w:sz w:val="19"/>
                <w:szCs w:val="19"/>
                <w:color w:val="auto"/>
                <w:w w:val="93"/>
              </w:rPr>
              <w:t>Termination</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5420" w:type="dxa"/>
            <w:vAlign w:val="bottom"/>
          </w:tcPr>
          <w:p>
            <w:pPr>
              <w:spacing w:after="0"/>
              <w:rPr>
                <w:sz w:val="18"/>
                <w:szCs w:val="18"/>
                <w:color w:val="auto"/>
              </w:rPr>
            </w:pPr>
          </w:p>
        </w:tc>
        <w:tc>
          <w:tcPr>
            <w:tcW w:w="1660" w:type="dxa"/>
            <w:vAlign w:val="bottom"/>
            <w:gridSpan w:val="2"/>
          </w:tcPr>
          <w:p>
            <w:pPr>
              <w:jc w:val="center"/>
              <w:ind w:right="760"/>
              <w:spacing w:after="0" w:line="214" w:lineRule="exact"/>
              <w:rPr>
                <w:sz w:val="20"/>
                <w:szCs w:val="20"/>
                <w:color w:val="auto"/>
              </w:rPr>
            </w:pPr>
            <w:r>
              <w:rPr>
                <w:rFonts w:ascii="Arial" w:cs="Arial" w:eastAsia="Arial" w:hAnsi="Arial"/>
                <w:sz w:val="19"/>
                <w:szCs w:val="19"/>
                <w:color w:val="auto"/>
                <w:w w:val="81"/>
              </w:rPr>
              <w:t>and</w:t>
            </w:r>
          </w:p>
        </w:tc>
        <w:tc>
          <w:tcPr>
            <w:tcW w:w="960" w:type="dxa"/>
            <w:vAlign w:val="bottom"/>
            <w:gridSpan w:val="2"/>
          </w:tcPr>
          <w:p>
            <w:pPr>
              <w:jc w:val="center"/>
              <w:ind w:right="60"/>
              <w:spacing w:after="0" w:line="214" w:lineRule="exact"/>
              <w:rPr>
                <w:sz w:val="20"/>
                <w:szCs w:val="20"/>
                <w:color w:val="auto"/>
              </w:rPr>
            </w:pPr>
            <w:r>
              <w:rPr>
                <w:rFonts w:ascii="Arial" w:cs="Arial" w:eastAsia="Arial" w:hAnsi="Arial"/>
                <w:sz w:val="19"/>
                <w:szCs w:val="19"/>
                <w:color w:val="auto"/>
                <w:w w:val="91"/>
              </w:rPr>
              <w:t>Contract</w:t>
            </w:r>
          </w:p>
        </w:tc>
      </w:tr>
      <w:tr>
        <w:trPr>
          <w:trHeight w:val="215"/>
        </w:trPr>
        <w:tc>
          <w:tcPr>
            <w:tcW w:w="5420" w:type="dxa"/>
            <w:vAlign w:val="bottom"/>
          </w:tcPr>
          <w:p>
            <w:pPr>
              <w:spacing w:after="0"/>
              <w:rPr>
                <w:sz w:val="18"/>
                <w:szCs w:val="18"/>
                <w:color w:val="auto"/>
              </w:rPr>
            </w:pPr>
          </w:p>
        </w:tc>
        <w:tc>
          <w:tcPr>
            <w:tcW w:w="1660" w:type="dxa"/>
            <w:vAlign w:val="bottom"/>
            <w:gridSpan w:val="2"/>
          </w:tcPr>
          <w:p>
            <w:pPr>
              <w:jc w:val="center"/>
              <w:ind w:right="720"/>
              <w:spacing w:after="0" w:line="214" w:lineRule="exact"/>
              <w:rPr>
                <w:sz w:val="20"/>
                <w:szCs w:val="20"/>
                <w:color w:val="auto"/>
              </w:rPr>
            </w:pPr>
            <w:r>
              <w:rPr>
                <w:rFonts w:ascii="Arial" w:cs="Arial" w:eastAsia="Arial" w:hAnsi="Arial"/>
                <w:sz w:val="19"/>
                <w:szCs w:val="19"/>
                <w:color w:val="auto"/>
                <w:w w:val="88"/>
              </w:rPr>
              <w:t>Related</w:t>
            </w:r>
          </w:p>
        </w:tc>
        <w:tc>
          <w:tcPr>
            <w:tcW w:w="960" w:type="dxa"/>
            <w:vAlign w:val="bottom"/>
            <w:gridSpan w:val="2"/>
          </w:tcPr>
          <w:p>
            <w:pPr>
              <w:jc w:val="center"/>
              <w:ind w:right="80"/>
              <w:spacing w:after="0" w:line="214" w:lineRule="exact"/>
              <w:rPr>
                <w:sz w:val="20"/>
                <w:szCs w:val="20"/>
                <w:color w:val="auto"/>
              </w:rPr>
            </w:pPr>
            <w:r>
              <w:rPr>
                <w:rFonts w:ascii="Arial" w:cs="Arial" w:eastAsia="Arial" w:hAnsi="Arial"/>
                <w:sz w:val="19"/>
                <w:szCs w:val="19"/>
                <w:color w:val="auto"/>
              </w:rPr>
              <w:t>Exit</w:t>
            </w:r>
          </w:p>
        </w:tc>
      </w:tr>
      <w:tr>
        <w:trPr>
          <w:trHeight w:val="242"/>
        </w:trPr>
        <w:tc>
          <w:tcPr>
            <w:tcW w:w="5420" w:type="dxa"/>
            <w:vAlign w:val="bottom"/>
          </w:tcPr>
          <w:p>
            <w:pPr>
              <w:spacing w:after="0"/>
              <w:rPr>
                <w:sz w:val="21"/>
                <w:szCs w:val="21"/>
                <w:color w:val="auto"/>
              </w:rPr>
            </w:pPr>
          </w:p>
        </w:tc>
        <w:tc>
          <w:tcPr>
            <w:tcW w:w="1660" w:type="dxa"/>
            <w:vAlign w:val="bottom"/>
            <w:gridSpan w:val="2"/>
          </w:tcPr>
          <w:p>
            <w:pPr>
              <w:jc w:val="center"/>
              <w:ind w:right="720"/>
              <w:spacing w:after="0"/>
              <w:rPr>
                <w:sz w:val="20"/>
                <w:szCs w:val="20"/>
                <w:color w:val="auto"/>
              </w:rPr>
            </w:pPr>
            <w:r>
              <w:rPr>
                <w:rFonts w:ascii="Arial" w:cs="Arial" w:eastAsia="Arial" w:hAnsi="Arial"/>
                <w:sz w:val="19"/>
                <w:szCs w:val="19"/>
                <w:color w:val="auto"/>
                <w:w w:val="86"/>
              </w:rPr>
              <w:t>Costs</w:t>
            </w:r>
          </w:p>
        </w:tc>
        <w:tc>
          <w:tcPr>
            <w:tcW w:w="960" w:type="dxa"/>
            <w:vAlign w:val="bottom"/>
            <w:gridSpan w:val="2"/>
          </w:tcPr>
          <w:p>
            <w:pPr>
              <w:jc w:val="center"/>
              <w:ind w:right="60"/>
              <w:spacing w:after="0"/>
              <w:rPr>
                <w:sz w:val="20"/>
                <w:szCs w:val="20"/>
                <w:color w:val="auto"/>
              </w:rPr>
            </w:pPr>
            <w:r>
              <w:rPr>
                <w:rFonts w:ascii="Arial" w:cs="Arial" w:eastAsia="Arial" w:hAnsi="Arial"/>
                <w:sz w:val="19"/>
                <w:szCs w:val="19"/>
                <w:color w:val="auto"/>
                <w:w w:val="86"/>
              </w:rPr>
              <w:t>Costs</w:t>
            </w:r>
          </w:p>
        </w:tc>
      </w:tr>
      <w:tr>
        <w:trPr>
          <w:trHeight w:val="87"/>
        </w:trPr>
        <w:tc>
          <w:tcPr>
            <w:tcW w:w="542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283"/>
        </w:trPr>
        <w:tc>
          <w:tcPr>
            <w:tcW w:w="5420" w:type="dxa"/>
            <w:vAlign w:val="bottom"/>
          </w:tcPr>
          <w:p>
            <w:pPr>
              <w:spacing w:after="0"/>
              <w:rPr>
                <w:sz w:val="20"/>
                <w:szCs w:val="20"/>
                <w:color w:val="auto"/>
              </w:rPr>
            </w:pPr>
            <w:r>
              <w:rPr>
                <w:rFonts w:ascii="Arial" w:cs="Arial" w:eastAsia="Arial" w:hAnsi="Arial"/>
                <w:sz w:val="19"/>
                <w:szCs w:val="19"/>
                <w:color w:val="auto"/>
              </w:rPr>
              <w:t>Balance, December 31, 2003</w:t>
            </w:r>
          </w:p>
        </w:tc>
        <w:tc>
          <w:tcPr>
            <w:tcW w:w="940" w:type="dxa"/>
            <w:vAlign w:val="bottom"/>
          </w:tcPr>
          <w:p>
            <w:pPr>
              <w:jc w:val="right"/>
              <w:spacing w:after="0"/>
              <w:rPr>
                <w:sz w:val="20"/>
                <w:szCs w:val="20"/>
                <w:color w:val="auto"/>
              </w:rPr>
            </w:pPr>
            <w:r>
              <w:rPr>
                <w:rFonts w:ascii="Arial" w:cs="Arial" w:eastAsia="Arial" w:hAnsi="Arial"/>
                <w:sz w:val="19"/>
                <w:szCs w:val="19"/>
                <w:color w:val="auto"/>
              </w:rPr>
              <w:t>$135</w:t>
            </w:r>
          </w:p>
        </w:tc>
        <w:tc>
          <w:tcPr>
            <w:tcW w:w="7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$461</w:t>
            </w:r>
          </w:p>
        </w:tc>
      </w:tr>
      <w:tr>
        <w:trPr>
          <w:trHeight w:val="215"/>
        </w:trPr>
        <w:tc>
          <w:tcPr>
            <w:tcW w:w="5420" w:type="dxa"/>
            <w:vAlign w:val="bottom"/>
          </w:tcPr>
          <w:p>
            <w:pPr>
              <w:spacing w:after="0" w:line="214" w:lineRule="exact"/>
              <w:rPr>
                <w:sz w:val="20"/>
                <w:szCs w:val="20"/>
                <w:color w:val="auto"/>
              </w:rPr>
            </w:pPr>
            <w:r>
              <w:rPr>
                <w:rFonts w:ascii="Arial" w:cs="Arial" w:eastAsia="Arial" w:hAnsi="Arial"/>
                <w:sz w:val="19"/>
                <w:szCs w:val="19"/>
                <w:color w:val="auto"/>
              </w:rPr>
              <w:t>Payments</w:t>
            </w:r>
          </w:p>
        </w:tc>
        <w:tc>
          <w:tcPr>
            <w:tcW w:w="1660" w:type="dxa"/>
            <w:vAlign w:val="bottom"/>
            <w:gridSpan w:val="2"/>
          </w:tcPr>
          <w:p>
            <w:pPr>
              <w:jc w:val="right"/>
              <w:ind w:right="660"/>
              <w:spacing w:after="0" w:line="214" w:lineRule="exact"/>
              <w:rPr>
                <w:sz w:val="20"/>
                <w:szCs w:val="20"/>
                <w:color w:val="auto"/>
              </w:rPr>
            </w:pPr>
            <w:r>
              <w:rPr>
                <w:rFonts w:ascii="Arial" w:cs="Arial" w:eastAsia="Arial" w:hAnsi="Arial"/>
                <w:sz w:val="19"/>
                <w:szCs w:val="19"/>
                <w:color w:val="auto"/>
              </w:rPr>
              <w:t>(21)</w:t>
            </w:r>
          </w:p>
        </w:tc>
        <w:tc>
          <w:tcPr>
            <w:tcW w:w="96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(6)</w:t>
            </w:r>
          </w:p>
        </w:tc>
      </w:tr>
      <w:tr>
        <w:trPr>
          <w:trHeight w:val="242"/>
        </w:trPr>
        <w:tc>
          <w:tcPr>
            <w:tcW w:w="5420" w:type="dxa"/>
            <w:vAlign w:val="bottom"/>
          </w:tcPr>
          <w:p>
            <w:pPr>
              <w:spacing w:after="0"/>
              <w:rPr>
                <w:sz w:val="20"/>
                <w:szCs w:val="20"/>
                <w:color w:val="auto"/>
              </w:rPr>
            </w:pPr>
            <w:r>
              <w:rPr>
                <w:rFonts w:ascii="Arial" w:cs="Arial" w:eastAsia="Arial" w:hAnsi="Arial"/>
                <w:sz w:val="19"/>
                <w:szCs w:val="19"/>
                <w:color w:val="auto"/>
              </w:rPr>
              <w:t>Interest accretion</w:t>
            </w: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1</w:t>
            </w:r>
          </w:p>
        </w:tc>
      </w:tr>
      <w:tr>
        <w:trPr>
          <w:trHeight w:val="87"/>
        </w:trPr>
        <w:tc>
          <w:tcPr>
            <w:tcW w:w="542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310"/>
        </w:trPr>
        <w:tc>
          <w:tcPr>
            <w:tcW w:w="5420" w:type="dxa"/>
            <w:vAlign w:val="bottom"/>
          </w:tcPr>
          <w:p>
            <w:pPr>
              <w:spacing w:after="0"/>
              <w:rPr>
                <w:sz w:val="20"/>
                <w:szCs w:val="20"/>
                <w:color w:val="auto"/>
              </w:rPr>
            </w:pPr>
            <w:r>
              <w:rPr>
                <w:rFonts w:ascii="Arial" w:cs="Arial" w:eastAsia="Arial" w:hAnsi="Arial"/>
                <w:sz w:val="19"/>
                <w:szCs w:val="19"/>
                <w:color w:val="auto"/>
              </w:rPr>
              <w:t>Balance, March 31, 2004</w:t>
            </w:r>
          </w:p>
        </w:tc>
        <w:tc>
          <w:tcPr>
            <w:tcW w:w="940" w:type="dxa"/>
            <w:vAlign w:val="bottom"/>
          </w:tcPr>
          <w:p>
            <w:pPr>
              <w:jc w:val="right"/>
              <w:spacing w:after="0"/>
              <w:rPr>
                <w:sz w:val="20"/>
                <w:szCs w:val="20"/>
                <w:color w:val="auto"/>
              </w:rPr>
            </w:pPr>
            <w:r>
              <w:rPr>
                <w:rFonts w:ascii="Arial" w:cs="Arial" w:eastAsia="Arial" w:hAnsi="Arial"/>
                <w:sz w:val="19"/>
                <w:szCs w:val="19"/>
                <w:color w:val="auto"/>
              </w:rPr>
              <w:t>$114</w:t>
            </w:r>
          </w:p>
        </w:tc>
        <w:tc>
          <w:tcPr>
            <w:tcW w:w="7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9"/>
                <w:szCs w:val="19"/>
                <w:color w:val="auto"/>
              </w:rPr>
              <w:t>$456</w:t>
            </w:r>
          </w:p>
        </w:tc>
      </w:tr>
      <w:tr>
        <w:trPr>
          <w:trHeight w:val="95"/>
        </w:trPr>
        <w:tc>
          <w:tcPr>
            <w:tcW w:w="54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4598670</wp:posOffset>
            </wp:positionH>
            <wp:positionV relativeFrom="paragraph">
              <wp:posOffset>-13335</wp:posOffset>
            </wp:positionV>
            <wp:extent cx="127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-13335</wp:posOffset>
            </wp:positionV>
            <wp:extent cx="127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-13335</wp:posOffset>
            </wp:positionV>
            <wp:extent cx="127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-13335</wp:posOffset>
            </wp:positionV>
            <wp:extent cx="127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9"/>
          <w:szCs w:val="19"/>
          <w:i w:val="1"/>
          <w:iCs w:val="1"/>
          <w:color w:val="auto"/>
        </w:rPr>
        <w:t>Gemstar</w:t>
      </w:r>
    </w:p>
    <w:p>
      <w:pPr>
        <w:spacing w:after="0" w:line="12" w:lineRule="exact"/>
        <w:rPr>
          <w:sz w:val="20"/>
          <w:szCs w:val="20"/>
          <w:color w:val="auto"/>
        </w:rPr>
      </w:pPr>
    </w:p>
    <w:p>
      <w:pPr>
        <w:ind w:left="460"/>
        <w:spacing w:after="0" w:line="238" w:lineRule="auto"/>
        <w:rPr>
          <w:sz w:val="20"/>
          <w:szCs w:val="20"/>
          <w:color w:val="auto"/>
        </w:rPr>
      </w:pPr>
      <w:r>
        <w:rPr>
          <w:rFonts w:ascii="Arial" w:cs="Arial" w:eastAsia="Arial" w:hAnsi="Arial"/>
          <w:sz w:val="19"/>
          <w:szCs w:val="19"/>
          <w:color w:val="auto"/>
        </w:rPr>
        <w:t>On March 31, 2004, we entered into a long-term, non-exclusive patent license and distribution agreement with Gemstar-TV Guide International (“Gemstar”) in exchange for a one-time payment of $250 million to Gemstar. This amount is included in other intangible assets in our condensed consolidated balance sheet based on a preliminary allocation of value. This agreement allows us to utilize Gemstar’s intellectual property and technology and the TV Guide brand and content on our interactive program guides. In addition, we formed an entity along with Gemstar to develop and enhance interactive programming guides.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27773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FORM 10-Q</w:t>
      </w:r>
    </w:p>
    <w:p>
      <w:pPr>
        <w:jc w:val="center"/>
        <w:ind w:right="20"/>
        <w:spacing w:after="0" w:line="235" w:lineRule="auto"/>
        <w:rPr>
          <w:sz w:val="20"/>
          <w:szCs w:val="20"/>
          <w:color w:val="auto"/>
        </w:rPr>
      </w:pPr>
      <w:r>
        <w:rPr>
          <w:rFonts w:ascii="Arial" w:cs="Arial" w:eastAsia="Arial" w:hAnsi="Arial"/>
          <w:sz w:val="19"/>
          <w:szCs w:val="19"/>
          <w:color w:val="auto"/>
        </w:rPr>
        <w:t>QUARTER ENDED MARCH 31, 2004</w:t>
      </w:r>
    </w:p>
    <w:p>
      <w:pPr>
        <w:jc w:val="center"/>
        <w:ind w:right="20"/>
        <w:spacing w:after="0" w:line="236" w:lineRule="auto"/>
        <w:rPr>
          <w:sz w:val="20"/>
          <w:szCs w:val="20"/>
          <w:color w:val="auto"/>
        </w:rPr>
      </w:pPr>
      <w:r>
        <w:rPr>
          <w:rFonts w:ascii="Arial" w:cs="Arial" w:eastAsia="Arial" w:hAnsi="Arial"/>
          <w:sz w:val="19"/>
          <w:szCs w:val="19"/>
          <w:color w:val="auto"/>
        </w:rPr>
        <w:t>NOTES TO CONDENSED CONSOLIDATED FINANCIAL STATEMENTS -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80" w:type="dxa"/>
            <w:vAlign w:val="bottom"/>
          </w:tcPr>
          <w:p>
            <w:pPr>
              <w:spacing w:after="0"/>
              <w:rPr>
                <w:sz w:val="20"/>
                <w:szCs w:val="20"/>
                <w:color w:val="auto"/>
              </w:rPr>
            </w:pPr>
            <w:r>
              <w:rPr>
                <w:rFonts w:ascii="Arial" w:cs="Arial" w:eastAsia="Arial" w:hAnsi="Arial"/>
                <w:sz w:val="19"/>
                <w:szCs w:val="19"/>
                <w:color w:val="auto"/>
              </w:rPr>
              <w:t>5.</w:t>
            </w:r>
          </w:p>
        </w:tc>
        <w:tc>
          <w:tcPr>
            <w:tcW w:w="6080" w:type="dxa"/>
            <w:vAlign w:val="bottom"/>
          </w:tcPr>
          <w:p>
            <w:pPr>
              <w:ind w:left="280"/>
              <w:spacing w:after="0"/>
              <w:rPr>
                <w:sz w:val="20"/>
                <w:szCs w:val="20"/>
                <w:color w:val="auto"/>
              </w:rPr>
            </w:pPr>
            <w:r>
              <w:rPr>
                <w:rFonts w:ascii="Arial" w:cs="Arial" w:eastAsia="Arial" w:hAnsi="Arial"/>
                <w:sz w:val="19"/>
                <w:szCs w:val="19"/>
                <w:color w:val="auto"/>
              </w:rPr>
              <w:t>INVESTMENTS</w:t>
            </w: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1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540" w:type="dxa"/>
            <w:vAlign w:val="bottom"/>
            <w:gridSpan w:val="2"/>
          </w:tcPr>
          <w:p>
            <w:pPr>
              <w:ind w:left="140"/>
              <w:spacing w:after="0"/>
              <w:rPr>
                <w:sz w:val="20"/>
                <w:szCs w:val="20"/>
                <w:color w:val="auto"/>
              </w:rPr>
            </w:pPr>
            <w:r>
              <w:rPr>
                <w:rFonts w:ascii="Arial" w:cs="Arial" w:eastAsia="Arial" w:hAnsi="Arial"/>
                <w:sz w:val="19"/>
                <w:szCs w:val="19"/>
                <w:color w:val="auto"/>
              </w:rPr>
              <w:t>March 31,</w:t>
            </w:r>
          </w:p>
        </w:tc>
        <w:tc>
          <w:tcPr>
            <w:tcW w:w="1080" w:type="dxa"/>
            <w:vAlign w:val="bottom"/>
          </w:tcPr>
          <w:p>
            <w:pPr>
              <w:jc w:val="right"/>
              <w:spacing w:after="0"/>
              <w:rPr>
                <w:sz w:val="20"/>
                <w:szCs w:val="20"/>
                <w:color w:val="auto"/>
              </w:rPr>
            </w:pPr>
            <w:r>
              <w:rPr>
                <w:rFonts w:ascii="Arial" w:cs="Arial" w:eastAsia="Arial" w:hAnsi="Arial"/>
                <w:sz w:val="19"/>
                <w:szCs w:val="19"/>
                <w:color w:val="auto"/>
                <w:w w:val="88"/>
              </w:rPr>
              <w:t>December 31,</w:t>
            </w:r>
          </w:p>
        </w:tc>
        <w:tc>
          <w:tcPr>
            <w:tcW w:w="0" w:type="dxa"/>
            <w:vAlign w:val="bottom"/>
          </w:tcPr>
          <w:p>
            <w:pPr>
              <w:spacing w:after="0"/>
              <w:rPr>
                <w:sz w:val="1"/>
                <w:szCs w:val="1"/>
                <w:color w:val="auto"/>
              </w:rPr>
            </w:pPr>
          </w:p>
        </w:tc>
      </w:tr>
      <w:tr>
        <w:trPr>
          <w:trHeight w:val="242"/>
        </w:trPr>
        <w:tc>
          <w:tcPr>
            <w:tcW w:w="18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1080" w:type="dxa"/>
            <w:vAlign w:val="bottom"/>
          </w:tcPr>
          <w:p>
            <w:pPr>
              <w:jc w:val="right"/>
              <w:ind w:right="245"/>
              <w:spacing w:after="0"/>
              <w:rPr>
                <w:sz w:val="20"/>
                <w:szCs w:val="20"/>
                <w:color w:val="auto"/>
              </w:rPr>
            </w:pPr>
            <w:r>
              <w:rPr>
                <w:rFonts w:ascii="Arial" w:cs="Arial" w:eastAsia="Arial" w:hAnsi="Arial"/>
                <w:sz w:val="19"/>
                <w:szCs w:val="19"/>
                <w:color w:val="auto"/>
              </w:rPr>
              <w:t>2004</w:t>
            </w:r>
          </w:p>
        </w:tc>
        <w:tc>
          <w:tcPr>
            <w:tcW w:w="460" w:type="dxa"/>
            <w:vAlign w:val="bottom"/>
          </w:tcPr>
          <w:p>
            <w:pPr>
              <w:spacing w:after="0"/>
              <w:rPr>
                <w:sz w:val="21"/>
                <w:szCs w:val="21"/>
                <w:color w:val="auto"/>
              </w:rPr>
            </w:pPr>
          </w:p>
        </w:tc>
        <w:tc>
          <w:tcPr>
            <w:tcW w:w="1080" w:type="dxa"/>
            <w:vAlign w:val="bottom"/>
          </w:tcPr>
          <w:p>
            <w:pPr>
              <w:jc w:val="right"/>
              <w:ind w:right="265"/>
              <w:spacing w:after="0"/>
              <w:rPr>
                <w:sz w:val="20"/>
                <w:szCs w:val="20"/>
                <w:color w:val="auto"/>
              </w:rPr>
            </w:pPr>
            <w:r>
              <w:rPr>
                <w:rFonts w:ascii="Arial" w:cs="Arial" w:eastAsia="Arial" w:hAnsi="Arial"/>
                <w:sz w:val="19"/>
                <w:szCs w:val="19"/>
                <w:color w:val="auto"/>
              </w:rPr>
              <w:t>2003</w:t>
            </w:r>
          </w:p>
        </w:tc>
        <w:tc>
          <w:tcPr>
            <w:tcW w:w="0" w:type="dxa"/>
            <w:vAlign w:val="bottom"/>
          </w:tcPr>
          <w:p>
            <w:pPr>
              <w:spacing w:after="0"/>
              <w:rPr>
                <w:sz w:val="1"/>
                <w:szCs w:val="1"/>
                <w:color w:val="auto"/>
              </w:rPr>
            </w:pPr>
          </w:p>
        </w:tc>
      </w:tr>
      <w:tr>
        <w:trPr>
          <w:trHeight w:val="87"/>
        </w:trPr>
        <w:tc>
          <w:tcPr>
            <w:tcW w:w="180" w:type="dxa"/>
            <w:vAlign w:val="bottom"/>
          </w:tcPr>
          <w:p>
            <w:pPr>
              <w:spacing w:after="0"/>
              <w:rPr>
                <w:sz w:val="7"/>
                <w:szCs w:val="7"/>
                <w:color w:val="auto"/>
              </w:rPr>
            </w:pPr>
          </w:p>
        </w:tc>
        <w:tc>
          <w:tcPr>
            <w:tcW w:w="6080" w:type="dxa"/>
            <w:vAlign w:val="bottom"/>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260" w:type="dxa"/>
            <w:vAlign w:val="bottom"/>
            <w:gridSpan w:val="2"/>
            <w:vMerge w:val="restart"/>
          </w:tcPr>
          <w:p>
            <w:pPr>
              <w:spacing w:after="0"/>
              <w:rPr>
                <w:sz w:val="20"/>
                <w:szCs w:val="20"/>
                <w:color w:val="auto"/>
              </w:rPr>
            </w:pPr>
            <w:r>
              <w:rPr>
                <w:rFonts w:ascii="Arial" w:cs="Arial" w:eastAsia="Arial" w:hAnsi="Arial"/>
                <w:sz w:val="19"/>
                <w:szCs w:val="19"/>
                <w:color w:val="auto"/>
              </w:rPr>
              <w:t>Fair value method</w:t>
            </w:r>
          </w:p>
        </w:tc>
        <w:tc>
          <w:tcPr>
            <w:tcW w:w="2620" w:type="dxa"/>
            <w:vAlign w:val="bottom"/>
            <w:gridSpan w:val="3"/>
          </w:tcPr>
          <w:p>
            <w:pPr>
              <w:jc w:val="right"/>
              <w:ind w:right="745"/>
              <w:spacing w:after="0"/>
              <w:rPr>
                <w:sz w:val="20"/>
                <w:szCs w:val="20"/>
                <w:color w:val="auto"/>
              </w:rPr>
            </w:pPr>
            <w:r>
              <w:rPr>
                <w:rFonts w:ascii="Arial" w:cs="Arial" w:eastAsia="Arial" w:hAnsi="Arial"/>
                <w:sz w:val="19"/>
                <w:szCs w:val="19"/>
                <w:color w:val="auto"/>
              </w:rPr>
              <w:t>(in millions)</w:t>
            </w:r>
          </w:p>
        </w:tc>
        <w:tc>
          <w:tcPr>
            <w:tcW w:w="0" w:type="dxa"/>
            <w:vAlign w:val="bottom"/>
          </w:tcPr>
          <w:p>
            <w:pPr>
              <w:spacing w:after="0"/>
              <w:rPr>
                <w:sz w:val="1"/>
                <w:szCs w:val="1"/>
                <w:color w:val="auto"/>
              </w:rPr>
            </w:pPr>
          </w:p>
        </w:tc>
      </w:tr>
      <w:tr>
        <w:trPr>
          <w:trHeight w:val="187"/>
        </w:trPr>
        <w:tc>
          <w:tcPr>
            <w:tcW w:w="626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6080" w:type="dxa"/>
            <w:vAlign w:val="bottom"/>
          </w:tcPr>
          <w:p>
            <w:pPr>
              <w:ind w:left="60"/>
              <w:spacing w:after="0" w:line="214" w:lineRule="exact"/>
              <w:rPr>
                <w:sz w:val="20"/>
                <w:szCs w:val="20"/>
                <w:color w:val="auto"/>
              </w:rPr>
            </w:pPr>
            <w:r>
              <w:rPr>
                <w:rFonts w:ascii="Arial" w:cs="Arial" w:eastAsia="Arial" w:hAnsi="Arial"/>
                <w:sz w:val="19"/>
                <w:szCs w:val="19"/>
                <w:color w:val="auto"/>
              </w:rPr>
              <w:t>Cablevision</w:t>
            </w:r>
          </w:p>
        </w:tc>
        <w:tc>
          <w:tcPr>
            <w:tcW w:w="1080" w:type="dxa"/>
            <w:vAlign w:val="bottom"/>
          </w:tcPr>
          <w:p>
            <w:pPr>
              <w:jc w:val="right"/>
              <w:spacing w:after="0" w:line="214" w:lineRule="exact"/>
              <w:rPr>
                <w:sz w:val="20"/>
                <w:szCs w:val="20"/>
                <w:color w:val="auto"/>
              </w:rPr>
            </w:pPr>
            <w:r>
              <w:rPr>
                <w:rFonts w:ascii="Arial" w:cs="Arial" w:eastAsia="Arial" w:hAnsi="Arial"/>
                <w:sz w:val="19"/>
                <w:szCs w:val="19"/>
                <w:color w:val="auto"/>
              </w:rPr>
              <w:t>$948</w:t>
            </w:r>
          </w:p>
        </w:tc>
        <w:tc>
          <w:tcPr>
            <w:tcW w:w="460" w:type="dxa"/>
            <w:vAlign w:val="bottom"/>
          </w:tcPr>
          <w:p>
            <w:pPr>
              <w:spacing w:after="0"/>
              <w:rPr>
                <w:sz w:val="18"/>
                <w:szCs w:val="18"/>
                <w:color w:val="auto"/>
              </w:rPr>
            </w:pPr>
          </w:p>
        </w:tc>
        <w:tc>
          <w:tcPr>
            <w:tcW w:w="1080" w:type="dxa"/>
            <w:vAlign w:val="bottom"/>
          </w:tcPr>
          <w:p>
            <w:pPr>
              <w:jc w:val="right"/>
              <w:spacing w:after="0" w:line="214" w:lineRule="exact"/>
              <w:rPr>
                <w:sz w:val="20"/>
                <w:szCs w:val="20"/>
                <w:color w:val="auto"/>
              </w:rPr>
            </w:pPr>
            <w:r>
              <w:rPr>
                <w:rFonts w:ascii="Arial" w:cs="Arial" w:eastAsia="Arial" w:hAnsi="Arial"/>
                <w:sz w:val="19"/>
                <w:szCs w:val="19"/>
                <w:color w:val="auto"/>
              </w:rPr>
              <w:t>$970</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6080" w:type="dxa"/>
            <w:vAlign w:val="bottom"/>
          </w:tcPr>
          <w:p>
            <w:pPr>
              <w:ind w:left="60"/>
              <w:spacing w:after="0" w:line="214" w:lineRule="exact"/>
              <w:rPr>
                <w:sz w:val="20"/>
                <w:szCs w:val="20"/>
                <w:color w:val="auto"/>
              </w:rPr>
            </w:pPr>
            <w:r>
              <w:rPr>
                <w:rFonts w:ascii="Arial" w:cs="Arial" w:eastAsia="Arial" w:hAnsi="Arial"/>
                <w:sz w:val="19"/>
                <w:szCs w:val="19"/>
                <w:color w:val="auto"/>
              </w:rPr>
              <w:t>Liberty</w:t>
            </w:r>
          </w:p>
        </w:tc>
        <w:tc>
          <w:tcPr>
            <w:tcW w:w="1080" w:type="dxa"/>
            <w:vAlign w:val="bottom"/>
          </w:tcPr>
          <w:p>
            <w:pPr>
              <w:jc w:val="right"/>
              <w:spacing w:after="0" w:line="214" w:lineRule="exact"/>
              <w:rPr>
                <w:sz w:val="20"/>
                <w:szCs w:val="20"/>
                <w:color w:val="auto"/>
              </w:rPr>
            </w:pPr>
            <w:r>
              <w:rPr>
                <w:rFonts w:ascii="Arial" w:cs="Arial" w:eastAsia="Arial" w:hAnsi="Arial"/>
                <w:sz w:val="19"/>
                <w:szCs w:val="19"/>
                <w:color w:val="auto"/>
              </w:rPr>
              <w:t>2,413</w:t>
            </w:r>
          </w:p>
        </w:tc>
        <w:tc>
          <w:tcPr>
            <w:tcW w:w="460" w:type="dxa"/>
            <w:vAlign w:val="bottom"/>
          </w:tcPr>
          <w:p>
            <w:pPr>
              <w:spacing w:after="0"/>
              <w:rPr>
                <w:sz w:val="18"/>
                <w:szCs w:val="18"/>
                <w:color w:val="auto"/>
              </w:rPr>
            </w:pPr>
          </w:p>
        </w:tc>
        <w:tc>
          <w:tcPr>
            <w:tcW w:w="1080" w:type="dxa"/>
            <w:vAlign w:val="bottom"/>
          </w:tcPr>
          <w:p>
            <w:pPr>
              <w:jc w:val="right"/>
              <w:spacing w:after="0" w:line="214" w:lineRule="exact"/>
              <w:rPr>
                <w:sz w:val="20"/>
                <w:szCs w:val="20"/>
                <w:color w:val="auto"/>
              </w:rPr>
            </w:pPr>
            <w:r>
              <w:rPr>
                <w:rFonts w:ascii="Arial" w:cs="Arial" w:eastAsia="Arial" w:hAnsi="Arial"/>
                <w:sz w:val="19"/>
                <w:szCs w:val="19"/>
                <w:color w:val="auto"/>
              </w:rPr>
              <w:t>2,644</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6080" w:type="dxa"/>
            <w:vAlign w:val="bottom"/>
          </w:tcPr>
          <w:p>
            <w:pPr>
              <w:ind w:left="60"/>
              <w:spacing w:after="0" w:line="214" w:lineRule="exact"/>
              <w:rPr>
                <w:sz w:val="20"/>
                <w:szCs w:val="20"/>
                <w:color w:val="auto"/>
              </w:rPr>
            </w:pPr>
            <w:r>
              <w:rPr>
                <w:rFonts w:ascii="Arial" w:cs="Arial" w:eastAsia="Arial" w:hAnsi="Arial"/>
                <w:sz w:val="19"/>
                <w:szCs w:val="19"/>
                <w:color w:val="auto"/>
              </w:rPr>
              <w:t>Microsoft</w:t>
            </w:r>
          </w:p>
        </w:tc>
        <w:tc>
          <w:tcPr>
            <w:tcW w:w="1080" w:type="dxa"/>
            <w:vAlign w:val="bottom"/>
          </w:tcPr>
          <w:p>
            <w:pPr>
              <w:jc w:val="right"/>
              <w:spacing w:after="0" w:line="214" w:lineRule="exact"/>
              <w:rPr>
                <w:sz w:val="20"/>
                <w:szCs w:val="20"/>
                <w:color w:val="auto"/>
              </w:rPr>
            </w:pPr>
            <w:r>
              <w:rPr>
                <w:rFonts w:ascii="Arial" w:cs="Arial" w:eastAsia="Arial" w:hAnsi="Arial"/>
                <w:sz w:val="19"/>
                <w:szCs w:val="19"/>
                <w:color w:val="auto"/>
              </w:rPr>
              <w:t>1,267</w:t>
            </w:r>
          </w:p>
        </w:tc>
        <w:tc>
          <w:tcPr>
            <w:tcW w:w="460" w:type="dxa"/>
            <w:vAlign w:val="bottom"/>
          </w:tcPr>
          <w:p>
            <w:pPr>
              <w:spacing w:after="0"/>
              <w:rPr>
                <w:sz w:val="18"/>
                <w:szCs w:val="18"/>
                <w:color w:val="auto"/>
              </w:rPr>
            </w:pPr>
          </w:p>
        </w:tc>
        <w:tc>
          <w:tcPr>
            <w:tcW w:w="1080" w:type="dxa"/>
            <w:vAlign w:val="bottom"/>
          </w:tcPr>
          <w:p>
            <w:pPr>
              <w:jc w:val="right"/>
              <w:spacing w:after="0" w:line="214" w:lineRule="exact"/>
              <w:rPr>
                <w:sz w:val="20"/>
                <w:szCs w:val="20"/>
                <w:color w:val="auto"/>
              </w:rPr>
            </w:pPr>
            <w:r>
              <w:rPr>
                <w:rFonts w:ascii="Arial" w:cs="Arial" w:eastAsia="Arial" w:hAnsi="Arial"/>
                <w:sz w:val="19"/>
                <w:szCs w:val="19"/>
                <w:color w:val="auto"/>
              </w:rPr>
              <w:t>1,331</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6080" w:type="dxa"/>
            <w:vAlign w:val="bottom"/>
          </w:tcPr>
          <w:p>
            <w:pPr>
              <w:ind w:left="60"/>
              <w:spacing w:after="0" w:line="214" w:lineRule="exact"/>
              <w:rPr>
                <w:sz w:val="20"/>
                <w:szCs w:val="20"/>
                <w:color w:val="auto"/>
              </w:rPr>
            </w:pPr>
            <w:r>
              <w:rPr>
                <w:rFonts w:ascii="Arial" w:cs="Arial" w:eastAsia="Arial" w:hAnsi="Arial"/>
                <w:sz w:val="19"/>
                <w:szCs w:val="19"/>
                <w:color w:val="auto"/>
              </w:rPr>
              <w:t>Sprint</w:t>
            </w:r>
          </w:p>
        </w:tc>
        <w:tc>
          <w:tcPr>
            <w:tcW w:w="1080" w:type="dxa"/>
            <w:vAlign w:val="bottom"/>
          </w:tcPr>
          <w:p>
            <w:pPr>
              <w:jc w:val="right"/>
              <w:spacing w:after="0" w:line="214" w:lineRule="exact"/>
              <w:rPr>
                <w:sz w:val="20"/>
                <w:szCs w:val="20"/>
                <w:color w:val="auto"/>
              </w:rPr>
            </w:pPr>
            <w:r>
              <w:rPr>
                <w:rFonts w:ascii="Arial" w:cs="Arial" w:eastAsia="Arial" w:hAnsi="Arial"/>
                <w:sz w:val="19"/>
                <w:szCs w:val="19"/>
                <w:color w:val="auto"/>
              </w:rPr>
              <w:t>546</w:t>
            </w:r>
          </w:p>
        </w:tc>
        <w:tc>
          <w:tcPr>
            <w:tcW w:w="460" w:type="dxa"/>
            <w:vAlign w:val="bottom"/>
          </w:tcPr>
          <w:p>
            <w:pPr>
              <w:spacing w:after="0"/>
              <w:rPr>
                <w:sz w:val="18"/>
                <w:szCs w:val="18"/>
                <w:color w:val="auto"/>
              </w:rPr>
            </w:pPr>
          </w:p>
        </w:tc>
        <w:tc>
          <w:tcPr>
            <w:tcW w:w="1080" w:type="dxa"/>
            <w:vAlign w:val="bottom"/>
          </w:tcPr>
          <w:p>
            <w:pPr>
              <w:jc w:val="right"/>
              <w:spacing w:after="0" w:line="214" w:lineRule="exact"/>
              <w:rPr>
                <w:sz w:val="20"/>
                <w:szCs w:val="20"/>
                <w:color w:val="auto"/>
              </w:rPr>
            </w:pPr>
            <w:r>
              <w:rPr>
                <w:rFonts w:ascii="Arial" w:cs="Arial" w:eastAsia="Arial" w:hAnsi="Arial"/>
                <w:sz w:val="19"/>
                <w:szCs w:val="19"/>
                <w:color w:val="auto"/>
              </w:rPr>
              <w:t>349</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6080" w:type="dxa"/>
            <w:vAlign w:val="bottom"/>
          </w:tcPr>
          <w:p>
            <w:pPr>
              <w:ind w:left="60"/>
              <w:spacing w:after="0" w:line="214" w:lineRule="exact"/>
              <w:rPr>
                <w:sz w:val="20"/>
                <w:szCs w:val="20"/>
                <w:color w:val="auto"/>
              </w:rPr>
            </w:pPr>
            <w:r>
              <w:rPr>
                <w:rFonts w:ascii="Arial" w:cs="Arial" w:eastAsia="Arial" w:hAnsi="Arial"/>
                <w:sz w:val="19"/>
                <w:szCs w:val="19"/>
                <w:color w:val="auto"/>
              </w:rPr>
              <w:t>Vodafone</w:t>
            </w:r>
          </w:p>
        </w:tc>
        <w:tc>
          <w:tcPr>
            <w:tcW w:w="1080" w:type="dxa"/>
            <w:vAlign w:val="bottom"/>
          </w:tcPr>
          <w:p>
            <w:pPr>
              <w:jc w:val="right"/>
              <w:spacing w:after="0" w:line="214" w:lineRule="exact"/>
              <w:rPr>
                <w:sz w:val="20"/>
                <w:szCs w:val="20"/>
                <w:color w:val="auto"/>
              </w:rPr>
            </w:pPr>
            <w:r>
              <w:rPr>
                <w:rFonts w:ascii="Arial" w:cs="Arial" w:eastAsia="Arial" w:hAnsi="Arial"/>
                <w:sz w:val="19"/>
                <w:szCs w:val="19"/>
                <w:color w:val="auto"/>
              </w:rPr>
              <w:t>1,056</w:t>
            </w:r>
          </w:p>
        </w:tc>
        <w:tc>
          <w:tcPr>
            <w:tcW w:w="460" w:type="dxa"/>
            <w:vAlign w:val="bottom"/>
          </w:tcPr>
          <w:p>
            <w:pPr>
              <w:spacing w:after="0"/>
              <w:rPr>
                <w:sz w:val="18"/>
                <w:szCs w:val="18"/>
                <w:color w:val="auto"/>
              </w:rPr>
            </w:pPr>
          </w:p>
        </w:tc>
        <w:tc>
          <w:tcPr>
            <w:tcW w:w="1080" w:type="dxa"/>
            <w:vAlign w:val="bottom"/>
          </w:tcPr>
          <w:p>
            <w:pPr>
              <w:jc w:val="right"/>
              <w:spacing w:after="0" w:line="214" w:lineRule="exact"/>
              <w:rPr>
                <w:sz w:val="20"/>
                <w:szCs w:val="20"/>
                <w:color w:val="auto"/>
              </w:rPr>
            </w:pPr>
            <w:r>
              <w:rPr>
                <w:rFonts w:ascii="Arial" w:cs="Arial" w:eastAsia="Arial" w:hAnsi="Arial"/>
                <w:sz w:val="19"/>
                <w:szCs w:val="19"/>
                <w:color w:val="auto"/>
              </w:rPr>
              <w:t>1,245</w:t>
            </w:r>
          </w:p>
        </w:tc>
        <w:tc>
          <w:tcPr>
            <w:tcW w:w="0" w:type="dxa"/>
            <w:vAlign w:val="bottom"/>
          </w:tcPr>
          <w:p>
            <w:pPr>
              <w:spacing w:after="0"/>
              <w:rPr>
                <w:sz w:val="1"/>
                <w:szCs w:val="1"/>
                <w:color w:val="auto"/>
              </w:rPr>
            </w:pPr>
          </w:p>
        </w:tc>
      </w:tr>
      <w:tr>
        <w:trPr>
          <w:trHeight w:val="242"/>
        </w:trPr>
        <w:tc>
          <w:tcPr>
            <w:tcW w:w="180" w:type="dxa"/>
            <w:vAlign w:val="bottom"/>
          </w:tcPr>
          <w:p>
            <w:pPr>
              <w:spacing w:after="0"/>
              <w:rPr>
                <w:sz w:val="21"/>
                <w:szCs w:val="21"/>
                <w:color w:val="auto"/>
              </w:rPr>
            </w:pPr>
          </w:p>
        </w:tc>
        <w:tc>
          <w:tcPr>
            <w:tcW w:w="6080" w:type="dxa"/>
            <w:vAlign w:val="bottom"/>
          </w:tcPr>
          <w:p>
            <w:pPr>
              <w:ind w:left="60"/>
              <w:spacing w:after="0"/>
              <w:rPr>
                <w:sz w:val="20"/>
                <w:szCs w:val="20"/>
                <w:color w:val="auto"/>
              </w:rPr>
            </w:pPr>
            <w:r>
              <w:rPr>
                <w:rFonts w:ascii="Arial" w:cs="Arial" w:eastAsia="Arial" w:hAnsi="Arial"/>
                <w:sz w:val="19"/>
                <w:szCs w:val="19"/>
                <w:color w:val="auto"/>
              </w:rPr>
              <w:t>Other</w:t>
            </w:r>
          </w:p>
        </w:tc>
        <w:tc>
          <w:tcPr>
            <w:tcW w:w="1080" w:type="dxa"/>
            <w:vAlign w:val="bottom"/>
          </w:tcPr>
          <w:p>
            <w:pPr>
              <w:jc w:val="right"/>
              <w:spacing w:after="0"/>
              <w:rPr>
                <w:sz w:val="20"/>
                <w:szCs w:val="20"/>
                <w:color w:val="auto"/>
              </w:rPr>
            </w:pPr>
            <w:r>
              <w:rPr>
                <w:rFonts w:ascii="Arial" w:cs="Arial" w:eastAsia="Arial" w:hAnsi="Arial"/>
                <w:sz w:val="19"/>
                <w:szCs w:val="19"/>
                <w:color w:val="auto"/>
              </w:rPr>
              <w:t>92</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44</w:t>
            </w:r>
          </w:p>
        </w:tc>
        <w:tc>
          <w:tcPr>
            <w:tcW w:w="0" w:type="dxa"/>
            <w:vAlign w:val="bottom"/>
          </w:tcPr>
          <w:p>
            <w:pPr>
              <w:spacing w:after="0"/>
              <w:rPr>
                <w:sz w:val="1"/>
                <w:szCs w:val="1"/>
                <w:color w:val="auto"/>
              </w:rPr>
            </w:pPr>
          </w:p>
        </w:tc>
      </w:tr>
      <w:tr>
        <w:trPr>
          <w:trHeight w:val="87"/>
        </w:trPr>
        <w:tc>
          <w:tcPr>
            <w:tcW w:w="180" w:type="dxa"/>
            <w:vAlign w:val="bottom"/>
          </w:tcPr>
          <w:p>
            <w:pPr>
              <w:spacing w:after="0"/>
              <w:rPr>
                <w:sz w:val="7"/>
                <w:szCs w:val="7"/>
                <w:color w:val="auto"/>
              </w:rPr>
            </w:pPr>
          </w:p>
        </w:tc>
        <w:tc>
          <w:tcPr>
            <w:tcW w:w="6080" w:type="dxa"/>
            <w:vAlign w:val="bottom"/>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1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6,322</w:t>
            </w: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6,583</w:t>
            </w:r>
          </w:p>
        </w:tc>
        <w:tc>
          <w:tcPr>
            <w:tcW w:w="0" w:type="dxa"/>
            <w:vAlign w:val="bottom"/>
          </w:tcPr>
          <w:p>
            <w:pPr>
              <w:spacing w:after="0"/>
              <w:rPr>
                <w:sz w:val="1"/>
                <w:szCs w:val="1"/>
                <w:color w:val="auto"/>
              </w:rPr>
            </w:pPr>
          </w:p>
        </w:tc>
      </w:tr>
      <w:tr>
        <w:trPr>
          <w:trHeight w:val="87"/>
        </w:trPr>
        <w:tc>
          <w:tcPr>
            <w:tcW w:w="6260" w:type="dxa"/>
            <w:vAlign w:val="bottom"/>
            <w:gridSpan w:val="2"/>
            <w:vMerge w:val="restart"/>
          </w:tcPr>
          <w:p>
            <w:pPr>
              <w:spacing w:after="0"/>
              <w:rPr>
                <w:sz w:val="20"/>
                <w:szCs w:val="20"/>
                <w:color w:val="auto"/>
              </w:rPr>
            </w:pPr>
            <w:r>
              <w:rPr>
                <w:rFonts w:ascii="Arial" w:cs="Arial" w:eastAsia="Arial" w:hAnsi="Arial"/>
                <w:sz w:val="19"/>
                <w:szCs w:val="19"/>
                <w:color w:val="auto"/>
              </w:rPr>
              <w:t>Equity Method</w:t>
            </w:r>
          </w:p>
        </w:tc>
        <w:tc>
          <w:tcPr>
            <w:tcW w:w="108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62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6080" w:type="dxa"/>
            <w:vAlign w:val="bottom"/>
          </w:tcPr>
          <w:p>
            <w:pPr>
              <w:ind w:left="60"/>
              <w:spacing w:after="0" w:line="214" w:lineRule="exact"/>
              <w:rPr>
                <w:sz w:val="20"/>
                <w:szCs w:val="20"/>
                <w:color w:val="auto"/>
              </w:rPr>
            </w:pPr>
            <w:r>
              <w:rPr>
                <w:rFonts w:ascii="Arial" w:cs="Arial" w:eastAsia="Arial" w:hAnsi="Arial"/>
                <w:sz w:val="19"/>
                <w:szCs w:val="19"/>
                <w:color w:val="auto"/>
              </w:rPr>
              <w:t>Cable related</w:t>
            </w:r>
          </w:p>
        </w:tc>
        <w:tc>
          <w:tcPr>
            <w:tcW w:w="1080" w:type="dxa"/>
            <w:vAlign w:val="bottom"/>
          </w:tcPr>
          <w:p>
            <w:pPr>
              <w:jc w:val="right"/>
              <w:spacing w:after="0" w:line="214" w:lineRule="exact"/>
              <w:rPr>
                <w:sz w:val="20"/>
                <w:szCs w:val="20"/>
                <w:color w:val="auto"/>
              </w:rPr>
            </w:pPr>
            <w:r>
              <w:rPr>
                <w:rFonts w:ascii="Arial" w:cs="Arial" w:eastAsia="Arial" w:hAnsi="Arial"/>
                <w:sz w:val="19"/>
                <w:szCs w:val="19"/>
                <w:color w:val="auto"/>
              </w:rPr>
              <w:t>2,167</w:t>
            </w:r>
          </w:p>
        </w:tc>
        <w:tc>
          <w:tcPr>
            <w:tcW w:w="460" w:type="dxa"/>
            <w:vAlign w:val="bottom"/>
          </w:tcPr>
          <w:p>
            <w:pPr>
              <w:spacing w:after="0"/>
              <w:rPr>
                <w:sz w:val="18"/>
                <w:szCs w:val="18"/>
                <w:color w:val="auto"/>
              </w:rPr>
            </w:pPr>
          </w:p>
        </w:tc>
        <w:tc>
          <w:tcPr>
            <w:tcW w:w="1080" w:type="dxa"/>
            <w:vAlign w:val="bottom"/>
          </w:tcPr>
          <w:p>
            <w:pPr>
              <w:jc w:val="right"/>
              <w:spacing w:after="0" w:line="214" w:lineRule="exact"/>
              <w:rPr>
                <w:sz w:val="20"/>
                <w:szCs w:val="20"/>
                <w:color w:val="auto"/>
              </w:rPr>
            </w:pPr>
            <w:r>
              <w:rPr>
                <w:rFonts w:ascii="Arial" w:cs="Arial" w:eastAsia="Arial" w:hAnsi="Arial"/>
                <w:sz w:val="19"/>
                <w:szCs w:val="19"/>
                <w:color w:val="auto"/>
              </w:rPr>
              <w:t>2,145</w:t>
            </w:r>
          </w:p>
        </w:tc>
        <w:tc>
          <w:tcPr>
            <w:tcW w:w="0" w:type="dxa"/>
            <w:vAlign w:val="bottom"/>
          </w:tcPr>
          <w:p>
            <w:pPr>
              <w:spacing w:after="0"/>
              <w:rPr>
                <w:sz w:val="1"/>
                <w:szCs w:val="1"/>
                <w:color w:val="auto"/>
              </w:rPr>
            </w:pPr>
          </w:p>
        </w:tc>
      </w:tr>
      <w:tr>
        <w:trPr>
          <w:trHeight w:val="242"/>
        </w:trPr>
        <w:tc>
          <w:tcPr>
            <w:tcW w:w="180" w:type="dxa"/>
            <w:vAlign w:val="bottom"/>
          </w:tcPr>
          <w:p>
            <w:pPr>
              <w:spacing w:after="0"/>
              <w:rPr>
                <w:sz w:val="21"/>
                <w:szCs w:val="21"/>
                <w:color w:val="auto"/>
              </w:rPr>
            </w:pPr>
          </w:p>
        </w:tc>
        <w:tc>
          <w:tcPr>
            <w:tcW w:w="6080" w:type="dxa"/>
            <w:vAlign w:val="bottom"/>
          </w:tcPr>
          <w:p>
            <w:pPr>
              <w:ind w:left="60"/>
              <w:spacing w:after="0"/>
              <w:rPr>
                <w:sz w:val="20"/>
                <w:szCs w:val="20"/>
                <w:color w:val="auto"/>
              </w:rPr>
            </w:pPr>
            <w:r>
              <w:rPr>
                <w:rFonts w:ascii="Arial" w:cs="Arial" w:eastAsia="Arial" w:hAnsi="Arial"/>
                <w:sz w:val="19"/>
                <w:szCs w:val="19"/>
                <w:color w:val="auto"/>
              </w:rPr>
              <w:t>Other</w:t>
            </w:r>
          </w:p>
        </w:tc>
        <w:tc>
          <w:tcPr>
            <w:tcW w:w="1080" w:type="dxa"/>
            <w:vAlign w:val="bottom"/>
          </w:tcPr>
          <w:p>
            <w:pPr>
              <w:jc w:val="right"/>
              <w:spacing w:after="0"/>
              <w:rPr>
                <w:sz w:val="20"/>
                <w:szCs w:val="20"/>
                <w:color w:val="auto"/>
              </w:rPr>
            </w:pPr>
            <w:r>
              <w:rPr>
                <w:rFonts w:ascii="Arial" w:cs="Arial" w:eastAsia="Arial" w:hAnsi="Arial"/>
                <w:sz w:val="19"/>
                <w:szCs w:val="19"/>
                <w:color w:val="auto"/>
              </w:rPr>
              <w:t>234</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242</w:t>
            </w:r>
          </w:p>
        </w:tc>
        <w:tc>
          <w:tcPr>
            <w:tcW w:w="0" w:type="dxa"/>
            <w:vAlign w:val="bottom"/>
          </w:tcPr>
          <w:p>
            <w:pPr>
              <w:spacing w:after="0"/>
              <w:rPr>
                <w:sz w:val="1"/>
                <w:szCs w:val="1"/>
                <w:color w:val="auto"/>
              </w:rPr>
            </w:pPr>
          </w:p>
        </w:tc>
      </w:tr>
      <w:tr>
        <w:trPr>
          <w:trHeight w:val="87"/>
        </w:trPr>
        <w:tc>
          <w:tcPr>
            <w:tcW w:w="180" w:type="dxa"/>
            <w:vAlign w:val="bottom"/>
          </w:tcPr>
          <w:p>
            <w:pPr>
              <w:spacing w:after="0"/>
              <w:rPr>
                <w:sz w:val="7"/>
                <w:szCs w:val="7"/>
                <w:color w:val="auto"/>
              </w:rPr>
            </w:pPr>
          </w:p>
        </w:tc>
        <w:tc>
          <w:tcPr>
            <w:tcW w:w="6080" w:type="dxa"/>
            <w:vAlign w:val="bottom"/>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1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2,401</w:t>
            </w: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2,387</w:t>
            </w:r>
          </w:p>
        </w:tc>
        <w:tc>
          <w:tcPr>
            <w:tcW w:w="0" w:type="dxa"/>
            <w:vAlign w:val="bottom"/>
          </w:tcPr>
          <w:p>
            <w:pPr>
              <w:spacing w:after="0"/>
              <w:rPr>
                <w:sz w:val="1"/>
                <w:szCs w:val="1"/>
                <w:color w:val="auto"/>
              </w:rPr>
            </w:pPr>
          </w:p>
        </w:tc>
      </w:tr>
      <w:tr>
        <w:trPr>
          <w:trHeight w:val="87"/>
        </w:trPr>
        <w:tc>
          <w:tcPr>
            <w:tcW w:w="6260" w:type="dxa"/>
            <w:vAlign w:val="bottom"/>
            <w:gridSpan w:val="2"/>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260" w:type="dxa"/>
            <w:vAlign w:val="bottom"/>
            <w:gridSpan w:val="2"/>
          </w:tcPr>
          <w:p>
            <w:pPr>
              <w:spacing w:after="0"/>
              <w:rPr>
                <w:sz w:val="20"/>
                <w:szCs w:val="20"/>
                <w:color w:val="auto"/>
              </w:rPr>
            </w:pPr>
            <w:r>
              <w:rPr>
                <w:rFonts w:ascii="Arial" w:cs="Arial" w:eastAsia="Arial" w:hAnsi="Arial"/>
                <w:sz w:val="19"/>
                <w:szCs w:val="19"/>
                <w:color w:val="auto"/>
              </w:rPr>
              <w:t>Cost method, principally Time Warner Cable and Time Warner</w:t>
            </w:r>
          </w:p>
        </w:tc>
        <w:tc>
          <w:tcPr>
            <w:tcW w:w="1080" w:type="dxa"/>
            <w:vAlign w:val="bottom"/>
          </w:tcPr>
          <w:p>
            <w:pPr>
              <w:jc w:val="right"/>
              <w:spacing w:after="0"/>
              <w:rPr>
                <w:sz w:val="20"/>
                <w:szCs w:val="20"/>
                <w:color w:val="auto"/>
              </w:rPr>
            </w:pPr>
            <w:r>
              <w:rPr>
                <w:rFonts w:ascii="Arial" w:cs="Arial" w:eastAsia="Arial" w:hAnsi="Arial"/>
                <w:sz w:val="19"/>
                <w:szCs w:val="19"/>
                <w:color w:val="auto"/>
              </w:rPr>
              <w:t>8,329</w:t>
            </w: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8,341</w:t>
            </w:r>
          </w:p>
        </w:tc>
        <w:tc>
          <w:tcPr>
            <w:tcW w:w="0" w:type="dxa"/>
            <w:vAlign w:val="bottom"/>
          </w:tcPr>
          <w:p>
            <w:pPr>
              <w:spacing w:after="0"/>
              <w:rPr>
                <w:sz w:val="1"/>
                <w:szCs w:val="1"/>
                <w:color w:val="auto"/>
              </w:rPr>
            </w:pPr>
          </w:p>
        </w:tc>
      </w:tr>
      <w:tr>
        <w:trPr>
          <w:trHeight w:val="87"/>
        </w:trPr>
        <w:tc>
          <w:tcPr>
            <w:tcW w:w="180" w:type="dxa"/>
            <w:vAlign w:val="bottom"/>
          </w:tcPr>
          <w:p>
            <w:pPr>
              <w:spacing w:after="0"/>
              <w:rPr>
                <w:sz w:val="7"/>
                <w:szCs w:val="7"/>
                <w:color w:val="auto"/>
              </w:rPr>
            </w:pPr>
          </w:p>
        </w:tc>
        <w:tc>
          <w:tcPr>
            <w:tcW w:w="6080" w:type="dxa"/>
            <w:vAlign w:val="bottom"/>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80" w:type="dxa"/>
            <w:vAlign w:val="bottom"/>
          </w:tcPr>
          <w:p>
            <w:pPr>
              <w:spacing w:after="0"/>
              <w:rPr>
                <w:sz w:val="24"/>
                <w:szCs w:val="24"/>
                <w:color w:val="auto"/>
              </w:rPr>
            </w:pPr>
          </w:p>
        </w:tc>
        <w:tc>
          <w:tcPr>
            <w:tcW w:w="6080" w:type="dxa"/>
            <w:vAlign w:val="bottom"/>
          </w:tcPr>
          <w:p>
            <w:pPr>
              <w:ind w:left="60"/>
              <w:spacing w:after="0"/>
              <w:rPr>
                <w:sz w:val="20"/>
                <w:szCs w:val="20"/>
                <w:color w:val="auto"/>
              </w:rPr>
            </w:pPr>
            <w:r>
              <w:rPr>
                <w:rFonts w:ascii="Arial" w:cs="Arial" w:eastAsia="Arial" w:hAnsi="Arial"/>
                <w:sz w:val="19"/>
                <w:szCs w:val="19"/>
                <w:color w:val="auto"/>
              </w:rPr>
              <w:t>Total investments</w:t>
            </w:r>
          </w:p>
        </w:tc>
        <w:tc>
          <w:tcPr>
            <w:tcW w:w="1080" w:type="dxa"/>
            <w:vAlign w:val="bottom"/>
          </w:tcPr>
          <w:p>
            <w:pPr>
              <w:jc w:val="right"/>
              <w:spacing w:after="0"/>
              <w:rPr>
                <w:sz w:val="20"/>
                <w:szCs w:val="20"/>
                <w:color w:val="auto"/>
              </w:rPr>
            </w:pPr>
            <w:r>
              <w:rPr>
                <w:rFonts w:ascii="Arial" w:cs="Arial" w:eastAsia="Arial" w:hAnsi="Arial"/>
                <w:sz w:val="19"/>
                <w:szCs w:val="19"/>
                <w:color w:val="auto"/>
              </w:rPr>
              <w:t>17,052</w:t>
            </w: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17,311</w:t>
            </w:r>
          </w:p>
        </w:tc>
        <w:tc>
          <w:tcPr>
            <w:tcW w:w="0" w:type="dxa"/>
            <w:vAlign w:val="bottom"/>
          </w:tcPr>
          <w:p>
            <w:pPr>
              <w:spacing w:after="0"/>
              <w:rPr>
                <w:sz w:val="1"/>
                <w:szCs w:val="1"/>
                <w:color w:val="auto"/>
              </w:rPr>
            </w:pPr>
          </w:p>
        </w:tc>
      </w:tr>
      <w:tr>
        <w:trPr>
          <w:trHeight w:val="242"/>
        </w:trPr>
        <w:tc>
          <w:tcPr>
            <w:tcW w:w="6260" w:type="dxa"/>
            <w:vAlign w:val="bottom"/>
            <w:gridSpan w:val="2"/>
          </w:tcPr>
          <w:p>
            <w:pPr>
              <w:spacing w:after="0"/>
              <w:rPr>
                <w:sz w:val="20"/>
                <w:szCs w:val="20"/>
                <w:color w:val="auto"/>
              </w:rPr>
            </w:pPr>
            <w:r>
              <w:rPr>
                <w:rFonts w:ascii="Arial" w:cs="Arial" w:eastAsia="Arial" w:hAnsi="Arial"/>
                <w:sz w:val="19"/>
                <w:szCs w:val="19"/>
                <w:color w:val="auto"/>
              </w:rPr>
              <w:t>Less, current investments</w:t>
            </w:r>
          </w:p>
        </w:tc>
        <w:tc>
          <w:tcPr>
            <w:tcW w:w="1080" w:type="dxa"/>
            <w:vAlign w:val="bottom"/>
          </w:tcPr>
          <w:p>
            <w:pPr>
              <w:jc w:val="right"/>
              <w:spacing w:after="0"/>
              <w:rPr>
                <w:sz w:val="20"/>
                <w:szCs w:val="20"/>
                <w:color w:val="auto"/>
              </w:rPr>
            </w:pPr>
            <w:r>
              <w:rPr>
                <w:rFonts w:ascii="Arial" w:cs="Arial" w:eastAsia="Arial" w:hAnsi="Arial"/>
                <w:sz w:val="19"/>
                <w:szCs w:val="19"/>
                <w:color w:val="auto"/>
              </w:rPr>
              <w:t>2,782</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2,493</w:t>
            </w:r>
          </w:p>
        </w:tc>
        <w:tc>
          <w:tcPr>
            <w:tcW w:w="0" w:type="dxa"/>
            <w:vAlign w:val="bottom"/>
          </w:tcPr>
          <w:p>
            <w:pPr>
              <w:spacing w:after="0"/>
              <w:rPr>
                <w:sz w:val="1"/>
                <w:szCs w:val="1"/>
                <w:color w:val="auto"/>
              </w:rPr>
            </w:pPr>
          </w:p>
        </w:tc>
      </w:tr>
      <w:tr>
        <w:trPr>
          <w:trHeight w:val="87"/>
        </w:trPr>
        <w:tc>
          <w:tcPr>
            <w:tcW w:w="6260" w:type="dxa"/>
            <w:vAlign w:val="bottom"/>
            <w:gridSpan w:val="2"/>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260" w:type="dxa"/>
            <w:vAlign w:val="bottom"/>
            <w:gridSpan w:val="2"/>
          </w:tcPr>
          <w:p>
            <w:pPr>
              <w:spacing w:after="0"/>
              <w:rPr>
                <w:sz w:val="20"/>
                <w:szCs w:val="20"/>
                <w:color w:val="auto"/>
              </w:rPr>
            </w:pPr>
            <w:r>
              <w:rPr>
                <w:rFonts w:ascii="Arial" w:cs="Arial" w:eastAsia="Arial" w:hAnsi="Arial"/>
                <w:sz w:val="19"/>
                <w:szCs w:val="19"/>
                <w:color w:val="auto"/>
              </w:rPr>
              <w:t>Non-current investments</w:t>
            </w:r>
          </w:p>
        </w:tc>
        <w:tc>
          <w:tcPr>
            <w:tcW w:w="1080" w:type="dxa"/>
            <w:vAlign w:val="bottom"/>
          </w:tcPr>
          <w:p>
            <w:pPr>
              <w:jc w:val="right"/>
              <w:spacing w:after="0"/>
              <w:rPr>
                <w:sz w:val="20"/>
                <w:szCs w:val="20"/>
                <w:color w:val="auto"/>
              </w:rPr>
            </w:pPr>
            <w:r>
              <w:rPr>
                <w:rFonts w:ascii="Arial" w:cs="Arial" w:eastAsia="Arial" w:hAnsi="Arial"/>
                <w:sz w:val="19"/>
                <w:szCs w:val="19"/>
                <w:color w:val="auto"/>
              </w:rPr>
              <w:t>$14,270</w:t>
            </w: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$14,818</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-13335</wp:posOffset>
            </wp:positionV>
            <wp:extent cx="12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3970655</wp:posOffset>
            </wp:positionH>
            <wp:positionV relativeFrom="paragraph">
              <wp:posOffset>-13335</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-13335</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-13335</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9"/>
          <w:szCs w:val="19"/>
          <w:i w:val="1"/>
          <w:iCs w:val="1"/>
          <w:color w:val="auto"/>
        </w:rPr>
        <w:t>Fair Value Method</w:t>
      </w:r>
    </w:p>
    <w:p>
      <w:pPr>
        <w:spacing w:after="0" w:line="12"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We hold unrestricted equity investments, which we account for as available for sale or trading securities, in certain publicly traded companies. The net unrealized pre-tax gains on investments accounted for as available for sale securities as of March 31, 2004 and December 31, 2003 of $66 million and $65 million, respectively, have been reported in our consolidated balance sheet principally as a component of accumulated other comprehensive loss, net of related deferred income taxes of $23 million and $23 million, respectively.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9"/>
          <w:szCs w:val="19"/>
          <w:color w:val="auto"/>
        </w:rPr>
        <w:t>The cost, fair value and unrealized gains and losses related to our available for sale securities are as follows (in millions):</w:t>
      </w:r>
    </w:p>
    <w:p>
      <w:pPr>
        <w:sectPr>
          <w:pgSz w:w="11900" w:h="16894" w:orient="portrait"/>
          <w:cols w:equalWidth="0" w:num="1">
            <w:col w:w="11400"/>
          </w:cols>
          <w:pgMar w:left="240" w:top="120" w:right="259" w:bottom="0" w:gutter="0" w:footer="0" w:header="0"/>
        </w:sectPr>
      </w:pPr>
    </w:p>
    <w:p>
      <w:pPr>
        <w:spacing w:after="0" w:line="211"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March 31,</w:t>
      </w:r>
    </w:p>
    <w:p>
      <w:pPr>
        <w:spacing w:after="0" w:line="35" w:lineRule="exact"/>
        <w:rPr>
          <w:sz w:val="20"/>
          <w:szCs w:val="20"/>
          <w:color w:val="auto"/>
        </w:rPr>
      </w:pPr>
    </w:p>
    <w:p>
      <w:pPr>
        <w:ind w:left="6660"/>
        <w:spacing w:after="0"/>
        <w:rPr>
          <w:sz w:val="20"/>
          <w:szCs w:val="20"/>
          <w:color w:val="auto"/>
        </w:rPr>
      </w:pPr>
      <w:r>
        <w:rPr>
          <w:rFonts w:ascii="Arial" w:cs="Arial" w:eastAsia="Arial" w:hAnsi="Arial"/>
          <w:sz w:val="19"/>
          <w:szCs w:val="19"/>
          <w:color w:val="auto"/>
        </w:rPr>
        <w:t>2004</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2560"/>
        <w:spacing w:after="0"/>
        <w:rPr>
          <w:sz w:val="20"/>
          <w:szCs w:val="20"/>
          <w:color w:val="auto"/>
        </w:rPr>
      </w:pPr>
      <w:r>
        <w:rPr>
          <w:rFonts w:ascii="Arial" w:cs="Arial" w:eastAsia="Arial" w:hAnsi="Arial"/>
          <w:sz w:val="17"/>
          <w:szCs w:val="17"/>
          <w:color w:val="auto"/>
        </w:rPr>
        <w:t>December 31,</w:t>
      </w:r>
    </w:p>
    <w:p>
      <w:pPr>
        <w:spacing w:after="0" w:line="35" w:lineRule="exact"/>
        <w:rPr>
          <w:sz w:val="20"/>
          <w:szCs w:val="20"/>
          <w:color w:val="auto"/>
        </w:rPr>
      </w:pPr>
    </w:p>
    <w:p>
      <w:pPr>
        <w:jc w:val="center"/>
        <w:ind w:right="2560"/>
        <w:spacing w:after="0"/>
        <w:rPr>
          <w:sz w:val="20"/>
          <w:szCs w:val="20"/>
          <w:color w:val="auto"/>
        </w:rPr>
      </w:pPr>
      <w:r>
        <w:rPr>
          <w:rFonts w:ascii="Arial" w:cs="Arial" w:eastAsia="Arial" w:hAnsi="Arial"/>
          <w:sz w:val="19"/>
          <w:szCs w:val="19"/>
          <w:color w:val="auto"/>
        </w:rPr>
        <w:t>2003</w:t>
      </w:r>
    </w:p>
    <w:p>
      <w:pPr>
        <w:sectPr>
          <w:pgSz w:w="11900" w:h="16894" w:orient="portrait"/>
          <w:cols w:equalWidth="0" w:num="2">
            <w:col w:w="7220" w:space="540"/>
            <w:col w:w="3640"/>
          </w:cols>
          <w:pgMar w:left="240" w:top="120" w:right="25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8"/>
        </w:trPr>
        <w:tc>
          <w:tcPr>
            <w:tcW w:w="4920" w:type="dxa"/>
            <w:vAlign w:val="bottom"/>
          </w:tcPr>
          <w:p>
            <w:pPr>
              <w:spacing w:after="0"/>
              <w:rPr>
                <w:sz w:val="20"/>
                <w:szCs w:val="20"/>
                <w:color w:val="auto"/>
              </w:rPr>
            </w:pPr>
            <w:r>
              <w:rPr>
                <w:rFonts w:ascii="Arial" w:cs="Arial" w:eastAsia="Arial" w:hAnsi="Arial"/>
                <w:sz w:val="19"/>
                <w:szCs w:val="19"/>
                <w:color w:val="auto"/>
              </w:rPr>
              <w:t>Cost</w:t>
            </w:r>
          </w:p>
        </w:tc>
        <w:tc>
          <w:tcPr>
            <w:tcW w:w="2520" w:type="dxa"/>
            <w:vAlign w:val="bottom"/>
            <w:gridSpan w:val="3"/>
          </w:tcPr>
          <w:p>
            <w:pPr>
              <w:jc w:val="right"/>
              <w:spacing w:after="0"/>
              <w:rPr>
                <w:sz w:val="20"/>
                <w:szCs w:val="20"/>
                <w:color w:val="auto"/>
              </w:rPr>
            </w:pPr>
            <w:r>
              <w:rPr>
                <w:rFonts w:ascii="Arial" w:cs="Arial" w:eastAsia="Arial" w:hAnsi="Arial"/>
                <w:sz w:val="19"/>
                <w:szCs w:val="19"/>
                <w:color w:val="auto"/>
              </w:rPr>
              <w:t>$128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60" w:type="dxa"/>
            <w:vAlign w:val="bottom"/>
            <w:gridSpan w:val="3"/>
          </w:tcPr>
          <w:p>
            <w:pPr>
              <w:jc w:val="right"/>
              <w:ind w:right="2580"/>
              <w:spacing w:after="0"/>
              <w:rPr>
                <w:sz w:val="20"/>
                <w:szCs w:val="20"/>
                <w:color w:val="auto"/>
              </w:rPr>
            </w:pPr>
            <w:r>
              <w:rPr>
                <w:rFonts w:ascii="Arial" w:cs="Arial" w:eastAsia="Arial" w:hAnsi="Arial"/>
                <w:sz w:val="19"/>
                <w:szCs w:val="19"/>
                <w:color w:val="auto"/>
              </w:rPr>
              <w:t>$92</w:t>
            </w:r>
          </w:p>
        </w:tc>
        <w:tc>
          <w:tcPr>
            <w:tcW w:w="0" w:type="dxa"/>
            <w:vAlign w:val="bottom"/>
          </w:tcPr>
          <w:p>
            <w:pPr>
              <w:spacing w:after="0"/>
              <w:rPr>
                <w:sz w:val="1"/>
                <w:szCs w:val="1"/>
                <w:color w:val="auto"/>
              </w:rPr>
            </w:pPr>
          </w:p>
        </w:tc>
      </w:tr>
      <w:tr>
        <w:trPr>
          <w:trHeight w:val="215"/>
        </w:trPr>
        <w:tc>
          <w:tcPr>
            <w:tcW w:w="4920" w:type="dxa"/>
            <w:vAlign w:val="bottom"/>
          </w:tcPr>
          <w:p>
            <w:pPr>
              <w:spacing w:after="0" w:line="214" w:lineRule="exact"/>
              <w:rPr>
                <w:sz w:val="20"/>
                <w:szCs w:val="20"/>
                <w:color w:val="auto"/>
              </w:rPr>
            </w:pPr>
            <w:r>
              <w:rPr>
                <w:rFonts w:ascii="Arial" w:cs="Arial" w:eastAsia="Arial" w:hAnsi="Arial"/>
                <w:sz w:val="19"/>
                <w:szCs w:val="19"/>
                <w:color w:val="auto"/>
              </w:rPr>
              <w:t>Unrealized gains</w:t>
            </w:r>
          </w:p>
        </w:tc>
        <w:tc>
          <w:tcPr>
            <w:tcW w:w="2520" w:type="dxa"/>
            <w:vAlign w:val="bottom"/>
            <w:gridSpan w:val="3"/>
          </w:tcPr>
          <w:p>
            <w:pPr>
              <w:jc w:val="right"/>
              <w:spacing w:after="0" w:line="214" w:lineRule="exact"/>
              <w:rPr>
                <w:sz w:val="20"/>
                <w:szCs w:val="20"/>
                <w:color w:val="auto"/>
              </w:rPr>
            </w:pPr>
            <w:r>
              <w:rPr>
                <w:rFonts w:ascii="Arial" w:cs="Arial" w:eastAsia="Arial" w:hAnsi="Arial"/>
                <w:sz w:val="19"/>
                <w:szCs w:val="19"/>
                <w:color w:val="auto"/>
              </w:rPr>
              <w:t>66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60" w:type="dxa"/>
            <w:vAlign w:val="bottom"/>
            <w:gridSpan w:val="3"/>
          </w:tcPr>
          <w:p>
            <w:pPr>
              <w:jc w:val="right"/>
              <w:ind w:right="2580"/>
              <w:spacing w:after="0" w:line="214" w:lineRule="exact"/>
              <w:rPr>
                <w:sz w:val="20"/>
                <w:szCs w:val="20"/>
                <w:color w:val="auto"/>
              </w:rPr>
            </w:pPr>
            <w:r>
              <w:rPr>
                <w:rFonts w:ascii="Arial" w:cs="Arial" w:eastAsia="Arial" w:hAnsi="Arial"/>
                <w:sz w:val="19"/>
                <w:szCs w:val="19"/>
                <w:color w:val="auto"/>
              </w:rPr>
              <w:t>66</w:t>
            </w: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0"/>
                <w:szCs w:val="20"/>
                <w:color w:val="auto"/>
              </w:rPr>
            </w:pPr>
            <w:r>
              <w:rPr>
                <w:rFonts w:ascii="Arial" w:cs="Arial" w:eastAsia="Arial" w:hAnsi="Arial"/>
                <w:sz w:val="19"/>
                <w:szCs w:val="19"/>
                <w:color w:val="auto"/>
              </w:rPr>
              <w:t>Unrealized losses</w:t>
            </w:r>
          </w:p>
        </w:tc>
        <w:tc>
          <w:tcPr>
            <w:tcW w:w="1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60" w:type="dxa"/>
            <w:vAlign w:val="bottom"/>
            <w:gridSpan w:val="3"/>
          </w:tcPr>
          <w:p>
            <w:pPr>
              <w:jc w:val="right"/>
              <w:ind w:right="252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87"/>
        </w:trPr>
        <w:tc>
          <w:tcPr>
            <w:tcW w:w="4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4920" w:type="dxa"/>
            <w:vAlign w:val="bottom"/>
          </w:tcPr>
          <w:p>
            <w:pPr>
              <w:spacing w:after="0"/>
              <w:rPr>
                <w:sz w:val="20"/>
                <w:szCs w:val="20"/>
                <w:color w:val="auto"/>
              </w:rPr>
            </w:pPr>
            <w:r>
              <w:rPr>
                <w:rFonts w:ascii="Arial" w:cs="Arial" w:eastAsia="Arial" w:hAnsi="Arial"/>
                <w:sz w:val="19"/>
                <w:szCs w:val="19"/>
                <w:color w:val="auto"/>
              </w:rPr>
              <w:t>Fair value</w:t>
            </w:r>
          </w:p>
        </w:tc>
        <w:tc>
          <w:tcPr>
            <w:tcW w:w="2520" w:type="dxa"/>
            <w:vAlign w:val="bottom"/>
            <w:gridSpan w:val="3"/>
          </w:tcPr>
          <w:p>
            <w:pPr>
              <w:jc w:val="right"/>
              <w:spacing w:after="0"/>
              <w:rPr>
                <w:sz w:val="20"/>
                <w:szCs w:val="20"/>
                <w:color w:val="auto"/>
              </w:rPr>
            </w:pPr>
            <w:r>
              <w:rPr>
                <w:rFonts w:ascii="Arial" w:cs="Arial" w:eastAsia="Arial" w:hAnsi="Arial"/>
                <w:sz w:val="19"/>
                <w:szCs w:val="19"/>
                <w:color w:val="auto"/>
              </w:rPr>
              <w:t>$194</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60" w:type="dxa"/>
            <w:vAlign w:val="bottom"/>
            <w:gridSpan w:val="3"/>
          </w:tcPr>
          <w:p>
            <w:pPr>
              <w:jc w:val="right"/>
              <w:ind w:right="2580"/>
              <w:spacing w:after="0"/>
              <w:rPr>
                <w:sz w:val="20"/>
                <w:szCs w:val="20"/>
                <w:color w:val="auto"/>
              </w:rPr>
            </w:pPr>
            <w:r>
              <w:rPr>
                <w:rFonts w:ascii="Arial" w:cs="Arial" w:eastAsia="Arial" w:hAnsi="Arial"/>
                <w:sz w:val="19"/>
                <w:szCs w:val="19"/>
                <w:color w:val="auto"/>
              </w:rPr>
              <w:t>$157</w:t>
            </w:r>
          </w:p>
        </w:tc>
        <w:tc>
          <w:tcPr>
            <w:tcW w:w="0" w:type="dxa"/>
            <w:vAlign w:val="bottom"/>
          </w:tcPr>
          <w:p>
            <w:pPr>
              <w:spacing w:after="0"/>
              <w:rPr>
                <w:sz w:val="1"/>
                <w:szCs w:val="1"/>
                <w:color w:val="auto"/>
              </w:rPr>
            </w:pPr>
          </w:p>
        </w:tc>
      </w:tr>
      <w:tr>
        <w:trPr>
          <w:trHeight w:val="95"/>
        </w:trPr>
        <w:tc>
          <w:tcPr>
            <w:tcW w:w="4920" w:type="dxa"/>
            <w:vAlign w:val="bottom"/>
          </w:tcPr>
          <w:p>
            <w:pPr>
              <w:spacing w:after="0"/>
              <w:rPr>
                <w:sz w:val="8"/>
                <w:szCs w:val="8"/>
                <w:color w:val="auto"/>
              </w:rPr>
            </w:pPr>
          </w:p>
        </w:tc>
        <w:tc>
          <w:tcPr>
            <w:tcW w:w="1340" w:type="dxa"/>
            <w:vAlign w:val="bottom"/>
            <w:vMerge w:val="restart"/>
          </w:tcPr>
          <w:p>
            <w:pPr>
              <w:jc w:val="center"/>
              <w:ind w:left="145"/>
              <w:spacing w:after="0"/>
              <w:rPr>
                <w:sz w:val="20"/>
                <w:szCs w:val="20"/>
                <w:color w:val="auto"/>
              </w:rPr>
            </w:pPr>
            <w:r>
              <w:rPr>
                <w:rFonts w:ascii="Arial" w:cs="Arial" w:eastAsia="Arial" w:hAnsi="Arial"/>
                <w:sz w:val="19"/>
                <w:szCs w:val="19"/>
                <w:color w:val="auto"/>
                <w:w w:val="94"/>
              </w:rPr>
              <w:t>8</w:t>
            </w:r>
          </w:p>
        </w:tc>
        <w:tc>
          <w:tcPr>
            <w:tcW w:w="5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0"/>
        </w:trPr>
        <w:tc>
          <w:tcPr>
            <w:tcW w:w="49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800" w:type="dxa"/>
            <w:vAlign w:val="bottom"/>
            <w:tcBorders>
              <w:bottom w:val="single" w:sz="8" w:color="808080"/>
            </w:tcBorders>
            <w:gridSpan w:val="3"/>
          </w:tcPr>
          <w:p>
            <w:pPr>
              <w:spacing w:after="0"/>
              <w:rPr>
                <w:sz w:val="15"/>
                <w:szCs w:val="15"/>
                <w:color w:val="auto"/>
              </w:rPr>
            </w:pPr>
          </w:p>
        </w:tc>
        <w:tc>
          <w:tcPr>
            <w:tcW w:w="960" w:type="dxa"/>
            <w:vAlign w:val="bottom"/>
            <w:tcBorders>
              <w:bottom w:val="single" w:sz="8" w:color="808080"/>
            </w:tcBorders>
            <w:gridSpan w:val="3"/>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900" w:type="dxa"/>
            <w:vAlign w:val="bottom"/>
            <w:tcBorders>
              <w:bottom w:val="single" w:sz="8" w:color="808080"/>
            </w:tcBorders>
          </w:tcPr>
          <w:p>
            <w:pPr>
              <w:spacing w:after="0"/>
              <w:rPr>
                <w:sz w:val="15"/>
                <w:szCs w:val="15"/>
                <w:color w:val="auto"/>
              </w:rPr>
            </w:pPr>
          </w:p>
        </w:tc>
        <w:tc>
          <w:tcPr>
            <w:tcW w:w="25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7760" w:type="dxa"/>
            <w:vAlign w:val="bottom"/>
            <w:gridSpan w:val="6"/>
          </w:tcPr>
          <w:p>
            <w:pPr>
              <w:jc w:val="center"/>
              <w:ind w:left="3525"/>
              <w:spacing w:after="0"/>
              <w:rPr>
                <w:sz w:val="20"/>
                <w:szCs w:val="20"/>
                <w:color w:val="auto"/>
              </w:rPr>
            </w:pPr>
            <w:r>
              <w:rPr>
                <w:rFonts w:ascii="Arial" w:cs="Arial" w:eastAsia="Arial" w:hAnsi="Arial"/>
                <w:sz w:val="19"/>
                <w:szCs w:val="19"/>
                <w:color w:val="auto"/>
                <w:w w:val="96"/>
              </w:rPr>
              <w:t>COMCAST CORPORATION AND SUBSIDIARIES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920" w:type="dxa"/>
            <w:vAlign w:val="bottom"/>
          </w:tcPr>
          <w:p>
            <w:pPr>
              <w:spacing w:after="0"/>
              <w:rPr>
                <w:sz w:val="18"/>
                <w:szCs w:val="18"/>
                <w:color w:val="auto"/>
              </w:rPr>
            </w:pPr>
          </w:p>
        </w:tc>
        <w:tc>
          <w:tcPr>
            <w:tcW w:w="2840" w:type="dxa"/>
            <w:vAlign w:val="bottom"/>
            <w:gridSpan w:val="5"/>
          </w:tcPr>
          <w:p>
            <w:pPr>
              <w:jc w:val="center"/>
              <w:ind w:right="1300"/>
              <w:spacing w:after="0" w:line="214" w:lineRule="exact"/>
              <w:rPr>
                <w:sz w:val="20"/>
                <w:szCs w:val="20"/>
                <w:color w:val="auto"/>
              </w:rPr>
            </w:pPr>
            <w:r>
              <w:rPr>
                <w:rFonts w:ascii="Arial" w:cs="Arial" w:eastAsia="Arial" w:hAnsi="Arial"/>
                <w:sz w:val="19"/>
                <w:szCs w:val="19"/>
                <w:color w:val="auto"/>
                <w:w w:val="94"/>
              </w:rPr>
              <w:t>FORM 10-Q</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6"/>
          </w:tcPr>
          <w:p>
            <w:pPr>
              <w:jc w:val="center"/>
              <w:ind w:left="3525"/>
              <w:spacing w:after="0" w:line="214" w:lineRule="exact"/>
              <w:rPr>
                <w:sz w:val="20"/>
                <w:szCs w:val="20"/>
                <w:color w:val="auto"/>
              </w:rPr>
            </w:pPr>
            <w:r>
              <w:rPr>
                <w:rFonts w:ascii="Arial" w:cs="Arial" w:eastAsia="Arial" w:hAnsi="Arial"/>
                <w:sz w:val="19"/>
                <w:szCs w:val="19"/>
                <w:color w:val="auto"/>
                <w:w w:val="95"/>
              </w:rPr>
              <w:t>QUARTER ENDED MARCH 31, 2004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60" w:type="dxa"/>
            <w:vAlign w:val="bottom"/>
            <w:gridSpan w:val="10"/>
          </w:tcPr>
          <w:p>
            <w:pPr>
              <w:jc w:val="center"/>
              <w:ind w:right="80"/>
              <w:spacing w:after="0" w:line="214" w:lineRule="exact"/>
              <w:rPr>
                <w:sz w:val="20"/>
                <w:szCs w:val="20"/>
                <w:color w:val="auto"/>
              </w:rPr>
            </w:pPr>
            <w:r>
              <w:rPr>
                <w:rFonts w:ascii="Arial" w:cs="Arial" w:eastAsia="Arial" w:hAnsi="Arial"/>
                <w:sz w:val="19"/>
                <w:szCs w:val="19"/>
                <w:color w:val="auto"/>
                <w:w w:val="96"/>
              </w:rPr>
              <w:t>NOTES TO CONDENSED CONSOLIDATED FINANCIAL STATEMENTS - CONTINUED</w:t>
            </w: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1"/>
                <w:szCs w:val="21"/>
                <w:color w:val="auto"/>
              </w:rPr>
            </w:pPr>
          </w:p>
        </w:tc>
        <w:tc>
          <w:tcPr>
            <w:tcW w:w="2840" w:type="dxa"/>
            <w:vAlign w:val="bottom"/>
            <w:gridSpan w:val="5"/>
          </w:tcPr>
          <w:p>
            <w:pPr>
              <w:jc w:val="center"/>
              <w:ind w:right="1240"/>
              <w:spacing w:after="0"/>
              <w:rPr>
                <w:sz w:val="20"/>
                <w:szCs w:val="20"/>
                <w:color w:val="auto"/>
              </w:rPr>
            </w:pPr>
            <w:r>
              <w:rPr>
                <w:rFonts w:ascii="Arial" w:cs="Arial" w:eastAsia="Arial" w:hAnsi="Arial"/>
                <w:sz w:val="19"/>
                <w:szCs w:val="19"/>
                <w:color w:val="auto"/>
                <w:w w:val="92"/>
              </w:rPr>
              <w:t>(Unaudited)</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4"/>
        </w:trPr>
        <w:tc>
          <w:tcPr>
            <w:tcW w:w="4920" w:type="dxa"/>
            <w:vAlign w:val="bottom"/>
          </w:tcPr>
          <w:p>
            <w:pPr>
              <w:ind w:left="460"/>
              <w:spacing w:after="0"/>
              <w:rPr>
                <w:sz w:val="20"/>
                <w:szCs w:val="20"/>
                <w:color w:val="auto"/>
              </w:rPr>
            </w:pPr>
            <w:r>
              <w:rPr>
                <w:rFonts w:ascii="Arial" w:cs="Arial" w:eastAsia="Arial" w:hAnsi="Arial"/>
                <w:sz w:val="19"/>
                <w:szCs w:val="19"/>
                <w:i w:val="1"/>
                <w:iCs w:val="1"/>
                <w:color w:val="auto"/>
              </w:rPr>
              <w:t>Investment Loss, Net</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760" w:type="dxa"/>
            <w:vAlign w:val="bottom"/>
            <w:gridSpan w:val="6"/>
          </w:tcPr>
          <w:p>
            <w:pPr>
              <w:ind w:left="460"/>
              <w:spacing w:after="0"/>
              <w:rPr>
                <w:sz w:val="20"/>
                <w:szCs w:val="20"/>
                <w:color w:val="auto"/>
              </w:rPr>
            </w:pPr>
            <w:r>
              <w:rPr>
                <w:rFonts w:ascii="Arial" w:cs="Arial" w:eastAsia="Arial" w:hAnsi="Arial"/>
                <w:sz w:val="19"/>
                <w:szCs w:val="19"/>
                <w:color w:val="auto"/>
              </w:rPr>
              <w:t>Investment loss, net for the interim periods includes the following (in millions):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4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60" w:type="dxa"/>
            <w:vAlign w:val="bottom"/>
            <w:gridSpan w:val="7"/>
          </w:tcPr>
          <w:p>
            <w:pPr>
              <w:jc w:val="right"/>
              <w:ind w:right="2440"/>
              <w:spacing w:after="0"/>
              <w:rPr>
                <w:sz w:val="20"/>
                <w:szCs w:val="20"/>
                <w:color w:val="auto"/>
              </w:rPr>
            </w:pPr>
            <w:r>
              <w:rPr>
                <w:rFonts w:ascii="Arial" w:cs="Arial" w:eastAsia="Arial" w:hAnsi="Arial"/>
                <w:sz w:val="19"/>
                <w:szCs w:val="19"/>
                <w:color w:val="auto"/>
                <w:w w:val="93"/>
              </w:rPr>
              <w:t>Three Months Ended March</w:t>
            </w:r>
          </w:p>
        </w:tc>
        <w:tc>
          <w:tcPr>
            <w:tcW w:w="0" w:type="dxa"/>
            <w:vAlign w:val="bottom"/>
          </w:tcPr>
          <w:p>
            <w:pPr>
              <w:spacing w:after="0"/>
              <w:rPr>
                <w:sz w:val="1"/>
                <w:szCs w:val="1"/>
                <w:color w:val="auto"/>
              </w:rPr>
            </w:pPr>
          </w:p>
        </w:tc>
      </w:tr>
      <w:tr>
        <w:trPr>
          <w:trHeight w:val="215"/>
        </w:trPr>
        <w:tc>
          <w:tcPr>
            <w:tcW w:w="4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ind w:right="820"/>
              <w:spacing w:after="0" w:line="214" w:lineRule="exact"/>
              <w:rPr>
                <w:sz w:val="20"/>
                <w:szCs w:val="20"/>
                <w:color w:val="auto"/>
              </w:rPr>
            </w:pPr>
            <w:r>
              <w:rPr>
                <w:rFonts w:ascii="Arial" w:cs="Arial" w:eastAsia="Arial" w:hAnsi="Arial"/>
                <w:sz w:val="19"/>
                <w:szCs w:val="19"/>
                <w:color w:val="auto"/>
                <w:w w:val="90"/>
              </w:rPr>
              <w:t>31,</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1"/>
                <w:szCs w:val="21"/>
                <w:color w:val="auto"/>
              </w:rPr>
            </w:pPr>
          </w:p>
        </w:tc>
        <w:tc>
          <w:tcPr>
            <w:tcW w:w="2520" w:type="dxa"/>
            <w:vAlign w:val="bottom"/>
            <w:gridSpan w:val="3"/>
          </w:tcPr>
          <w:p>
            <w:pPr>
              <w:jc w:val="right"/>
              <w:spacing w:after="0"/>
              <w:rPr>
                <w:sz w:val="20"/>
                <w:szCs w:val="20"/>
                <w:color w:val="auto"/>
              </w:rPr>
            </w:pPr>
            <w:r>
              <w:rPr>
                <w:rFonts w:ascii="Arial" w:cs="Arial" w:eastAsia="Arial" w:hAnsi="Arial"/>
                <w:sz w:val="19"/>
                <w:szCs w:val="19"/>
                <w:color w:val="auto"/>
              </w:rPr>
              <w:t>2004</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9"/>
                <w:szCs w:val="19"/>
                <w:color w:val="auto"/>
              </w:rPr>
              <w:t>2003</w:t>
            </w: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4920" w:type="dxa"/>
            <w:vAlign w:val="bottom"/>
          </w:tcPr>
          <w:p>
            <w:pPr>
              <w:spacing w:after="0"/>
              <w:rPr>
                <w:sz w:val="7"/>
                <w:szCs w:val="7"/>
                <w:color w:val="auto"/>
              </w:rPr>
            </w:pPr>
          </w:p>
        </w:tc>
        <w:tc>
          <w:tcPr>
            <w:tcW w:w="1880" w:type="dxa"/>
            <w:vAlign w:val="bottom"/>
            <w:gridSpan w:val="2"/>
          </w:tcPr>
          <w:p>
            <w:pPr>
              <w:spacing w:after="0"/>
              <w:rPr>
                <w:sz w:val="7"/>
                <w:szCs w:val="7"/>
                <w:color w:val="auto"/>
              </w:rPr>
            </w:pPr>
          </w:p>
        </w:tc>
        <w:tc>
          <w:tcPr>
            <w:tcW w:w="920" w:type="dxa"/>
            <w:vAlign w:val="bottom"/>
            <w:tcBorders>
              <w:bottom w:val="single" w:sz="8" w:color="808080"/>
            </w:tcBorders>
            <w:gridSpan w:val="2"/>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4920" w:type="dxa"/>
            <w:vAlign w:val="bottom"/>
          </w:tcPr>
          <w:p>
            <w:pPr>
              <w:spacing w:after="0"/>
              <w:rPr>
                <w:sz w:val="20"/>
                <w:szCs w:val="20"/>
                <w:color w:val="auto"/>
              </w:rPr>
            </w:pPr>
            <w:r>
              <w:rPr>
                <w:rFonts w:ascii="Arial" w:cs="Arial" w:eastAsia="Arial" w:hAnsi="Arial"/>
                <w:sz w:val="19"/>
                <w:szCs w:val="19"/>
                <w:color w:val="auto"/>
              </w:rPr>
              <w:t>Interest and dividend income</w:t>
            </w:r>
          </w:p>
        </w:tc>
        <w:tc>
          <w:tcPr>
            <w:tcW w:w="2800" w:type="dxa"/>
            <w:vAlign w:val="bottom"/>
            <w:gridSpan w:val="4"/>
          </w:tcPr>
          <w:p>
            <w:pPr>
              <w:jc w:val="right"/>
              <w:spacing w:after="0"/>
              <w:rPr>
                <w:sz w:val="20"/>
                <w:szCs w:val="20"/>
                <w:color w:val="auto"/>
              </w:rPr>
            </w:pPr>
            <w:r>
              <w:rPr>
                <w:rFonts w:ascii="Arial" w:cs="Arial" w:eastAsia="Arial" w:hAnsi="Arial"/>
                <w:sz w:val="19"/>
                <w:szCs w:val="19"/>
                <w:color w:val="auto"/>
              </w:rPr>
              <w:t>$17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60" w:type="dxa"/>
            <w:vAlign w:val="bottom"/>
            <w:gridSpan w:val="3"/>
          </w:tcPr>
          <w:p>
            <w:pPr>
              <w:jc w:val="right"/>
              <w:ind w:right="2580"/>
              <w:spacing w:after="0"/>
              <w:rPr>
                <w:sz w:val="20"/>
                <w:szCs w:val="20"/>
                <w:color w:val="auto"/>
              </w:rPr>
            </w:pPr>
            <w:r>
              <w:rPr>
                <w:rFonts w:ascii="Arial" w:cs="Arial" w:eastAsia="Arial" w:hAnsi="Arial"/>
                <w:sz w:val="19"/>
                <w:szCs w:val="19"/>
                <w:color w:val="auto"/>
              </w:rPr>
              <w:t>$34</w:t>
            </w:r>
          </w:p>
        </w:tc>
        <w:tc>
          <w:tcPr>
            <w:tcW w:w="0" w:type="dxa"/>
            <w:vAlign w:val="bottom"/>
          </w:tcPr>
          <w:p>
            <w:pPr>
              <w:spacing w:after="0"/>
              <w:rPr>
                <w:sz w:val="1"/>
                <w:szCs w:val="1"/>
                <w:color w:val="auto"/>
              </w:rPr>
            </w:pPr>
          </w:p>
        </w:tc>
      </w:tr>
      <w:tr>
        <w:trPr>
          <w:trHeight w:val="215"/>
        </w:trPr>
        <w:tc>
          <w:tcPr>
            <w:tcW w:w="4920" w:type="dxa"/>
            <w:vAlign w:val="bottom"/>
          </w:tcPr>
          <w:p>
            <w:pPr>
              <w:spacing w:after="0" w:line="214" w:lineRule="exact"/>
              <w:rPr>
                <w:sz w:val="20"/>
                <w:szCs w:val="20"/>
                <w:color w:val="auto"/>
              </w:rPr>
            </w:pPr>
            <w:r>
              <w:rPr>
                <w:rFonts w:ascii="Arial" w:cs="Arial" w:eastAsia="Arial" w:hAnsi="Arial"/>
                <w:sz w:val="19"/>
                <w:szCs w:val="19"/>
                <w:color w:val="auto"/>
              </w:rPr>
              <w:t>Gains on sales and exchanges of investments, net</w:t>
            </w:r>
          </w:p>
        </w:tc>
        <w:tc>
          <w:tcPr>
            <w:tcW w:w="2800" w:type="dxa"/>
            <w:vAlign w:val="bottom"/>
            <w:gridSpan w:val="4"/>
          </w:tcPr>
          <w:p>
            <w:pPr>
              <w:jc w:val="right"/>
              <w:spacing w:after="0" w:line="214" w:lineRule="exact"/>
              <w:rPr>
                <w:sz w:val="20"/>
                <w:szCs w:val="20"/>
                <w:color w:val="auto"/>
              </w:rPr>
            </w:pPr>
            <w:r>
              <w:rPr>
                <w:rFonts w:ascii="Arial" w:cs="Arial" w:eastAsia="Arial" w:hAnsi="Arial"/>
                <w:sz w:val="19"/>
                <w:szCs w:val="19"/>
                <w:color w:val="auto"/>
              </w:rPr>
              <w:t>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60" w:type="dxa"/>
            <w:vAlign w:val="bottom"/>
            <w:gridSpan w:val="3"/>
          </w:tcPr>
          <w:p>
            <w:pPr>
              <w:jc w:val="right"/>
              <w:ind w:right="2580"/>
              <w:spacing w:after="0" w:line="214" w:lineRule="exact"/>
              <w:rPr>
                <w:sz w:val="20"/>
                <w:szCs w:val="20"/>
                <w:color w:val="auto"/>
              </w:rPr>
            </w:pPr>
            <w:r>
              <w:rPr>
                <w:rFonts w:ascii="Arial" w:cs="Arial" w:eastAsia="Arial" w:hAnsi="Arial"/>
                <w:sz w:val="19"/>
                <w:szCs w:val="19"/>
                <w:color w:val="auto"/>
              </w:rPr>
              <w:t>22</w:t>
            </w:r>
          </w:p>
        </w:tc>
        <w:tc>
          <w:tcPr>
            <w:tcW w:w="0" w:type="dxa"/>
            <w:vAlign w:val="bottom"/>
          </w:tcPr>
          <w:p>
            <w:pPr>
              <w:spacing w:after="0"/>
              <w:rPr>
                <w:sz w:val="1"/>
                <w:szCs w:val="1"/>
                <w:color w:val="auto"/>
              </w:rPr>
            </w:pPr>
          </w:p>
        </w:tc>
      </w:tr>
      <w:tr>
        <w:trPr>
          <w:trHeight w:val="215"/>
        </w:trPr>
        <w:tc>
          <w:tcPr>
            <w:tcW w:w="4920" w:type="dxa"/>
            <w:vAlign w:val="bottom"/>
          </w:tcPr>
          <w:p>
            <w:pPr>
              <w:spacing w:after="0" w:line="214" w:lineRule="exact"/>
              <w:rPr>
                <w:sz w:val="20"/>
                <w:szCs w:val="20"/>
                <w:color w:val="auto"/>
              </w:rPr>
            </w:pPr>
            <w:r>
              <w:rPr>
                <w:rFonts w:ascii="Arial" w:cs="Arial" w:eastAsia="Arial" w:hAnsi="Arial"/>
                <w:sz w:val="19"/>
                <w:szCs w:val="19"/>
                <w:color w:val="auto"/>
              </w:rPr>
              <w:t>Investment impairment losses</w:t>
            </w: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60" w:type="dxa"/>
            <w:vAlign w:val="bottom"/>
            <w:gridSpan w:val="3"/>
          </w:tcPr>
          <w:p>
            <w:pPr>
              <w:jc w:val="right"/>
              <w:ind w:right="2520"/>
              <w:spacing w:after="0" w:line="214" w:lineRule="exact"/>
              <w:rPr>
                <w:sz w:val="20"/>
                <w:szCs w:val="20"/>
                <w:color w:val="auto"/>
              </w:rPr>
            </w:pPr>
            <w:r>
              <w:rPr>
                <w:rFonts w:ascii="Arial" w:cs="Arial" w:eastAsia="Arial" w:hAnsi="Arial"/>
                <w:sz w:val="19"/>
                <w:szCs w:val="19"/>
                <w:color w:val="auto"/>
              </w:rPr>
              <w:t>(55)</w:t>
            </w:r>
          </w:p>
        </w:tc>
        <w:tc>
          <w:tcPr>
            <w:tcW w:w="0" w:type="dxa"/>
            <w:vAlign w:val="bottom"/>
          </w:tcPr>
          <w:p>
            <w:pPr>
              <w:spacing w:after="0"/>
              <w:rPr>
                <w:sz w:val="1"/>
                <w:szCs w:val="1"/>
                <w:color w:val="auto"/>
              </w:rPr>
            </w:pPr>
          </w:p>
        </w:tc>
      </w:tr>
      <w:tr>
        <w:trPr>
          <w:trHeight w:val="215"/>
        </w:trPr>
        <w:tc>
          <w:tcPr>
            <w:tcW w:w="4920" w:type="dxa"/>
            <w:vAlign w:val="bottom"/>
          </w:tcPr>
          <w:p>
            <w:pPr>
              <w:spacing w:after="0" w:line="214" w:lineRule="exact"/>
              <w:rPr>
                <w:sz w:val="20"/>
                <w:szCs w:val="20"/>
                <w:color w:val="auto"/>
              </w:rPr>
            </w:pPr>
            <w:r>
              <w:rPr>
                <w:rFonts w:ascii="Arial" w:cs="Arial" w:eastAsia="Arial" w:hAnsi="Arial"/>
                <w:sz w:val="19"/>
                <w:szCs w:val="19"/>
                <w:color w:val="auto"/>
              </w:rPr>
              <w:t>Mark to market adjustments on trading securities</w:t>
            </w:r>
          </w:p>
        </w:tc>
        <w:tc>
          <w:tcPr>
            <w:tcW w:w="2880" w:type="dxa"/>
            <w:vAlign w:val="bottom"/>
            <w:gridSpan w:val="6"/>
          </w:tcPr>
          <w:p>
            <w:pPr>
              <w:jc w:val="right"/>
              <w:spacing w:after="0" w:line="214" w:lineRule="exact"/>
              <w:rPr>
                <w:sz w:val="20"/>
                <w:szCs w:val="20"/>
                <w:color w:val="auto"/>
              </w:rPr>
            </w:pPr>
            <w:r>
              <w:rPr>
                <w:rFonts w:ascii="Arial" w:cs="Arial" w:eastAsia="Arial" w:hAnsi="Arial"/>
                <w:sz w:val="19"/>
                <w:szCs w:val="19"/>
                <w:color w:val="auto"/>
              </w:rPr>
              <w:t>(174)</w:t>
            </w:r>
          </w:p>
        </w:tc>
        <w:tc>
          <w:tcPr>
            <w:tcW w:w="3660" w:type="dxa"/>
            <w:vAlign w:val="bottom"/>
            <w:gridSpan w:val="3"/>
          </w:tcPr>
          <w:p>
            <w:pPr>
              <w:jc w:val="right"/>
              <w:ind w:right="2520"/>
              <w:spacing w:after="0" w:line="214" w:lineRule="exact"/>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15"/>
        </w:trPr>
        <w:tc>
          <w:tcPr>
            <w:tcW w:w="4920" w:type="dxa"/>
            <w:vAlign w:val="bottom"/>
          </w:tcPr>
          <w:p>
            <w:pPr>
              <w:spacing w:after="0" w:line="214" w:lineRule="exact"/>
              <w:rPr>
                <w:sz w:val="20"/>
                <w:szCs w:val="20"/>
                <w:color w:val="auto"/>
              </w:rPr>
            </w:pPr>
            <w:r>
              <w:rPr>
                <w:rFonts w:ascii="Arial" w:cs="Arial" w:eastAsia="Arial" w:hAnsi="Arial"/>
                <w:sz w:val="19"/>
                <w:szCs w:val="19"/>
                <w:color w:val="auto"/>
              </w:rPr>
              <w:t>Mark to market adjustments on derivatives related</w:t>
            </w: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ind w:left="240"/>
              <w:spacing w:after="0" w:line="214" w:lineRule="exact"/>
              <w:rPr>
                <w:sz w:val="20"/>
                <w:szCs w:val="20"/>
                <w:color w:val="auto"/>
              </w:rPr>
            </w:pPr>
            <w:r>
              <w:rPr>
                <w:rFonts w:ascii="Arial" w:cs="Arial" w:eastAsia="Arial" w:hAnsi="Arial"/>
                <w:sz w:val="19"/>
                <w:szCs w:val="19"/>
                <w:color w:val="auto"/>
              </w:rPr>
              <w:t>to trading securities</w:t>
            </w:r>
          </w:p>
        </w:tc>
        <w:tc>
          <w:tcPr>
            <w:tcW w:w="2800" w:type="dxa"/>
            <w:vAlign w:val="bottom"/>
            <w:gridSpan w:val="4"/>
          </w:tcPr>
          <w:p>
            <w:pPr>
              <w:jc w:val="right"/>
              <w:spacing w:after="0" w:line="214" w:lineRule="exact"/>
              <w:rPr>
                <w:sz w:val="20"/>
                <w:szCs w:val="20"/>
                <w:color w:val="auto"/>
              </w:rPr>
            </w:pPr>
            <w:r>
              <w:rPr>
                <w:rFonts w:ascii="Arial" w:cs="Arial" w:eastAsia="Arial" w:hAnsi="Arial"/>
                <w:sz w:val="19"/>
                <w:szCs w:val="19"/>
                <w:color w:val="auto"/>
              </w:rPr>
              <w:t>55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60" w:type="dxa"/>
            <w:vAlign w:val="bottom"/>
            <w:gridSpan w:val="3"/>
          </w:tcPr>
          <w:p>
            <w:pPr>
              <w:jc w:val="right"/>
              <w:ind w:right="2520"/>
              <w:spacing w:after="0" w:line="214" w:lineRule="exact"/>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0"/>
                <w:szCs w:val="20"/>
                <w:color w:val="auto"/>
              </w:rPr>
            </w:pPr>
            <w:r>
              <w:rPr>
                <w:rFonts w:ascii="Arial" w:cs="Arial" w:eastAsia="Arial" w:hAnsi="Arial"/>
                <w:sz w:val="19"/>
                <w:szCs w:val="19"/>
                <w:color w:val="auto"/>
                <w:w w:val="95"/>
              </w:rPr>
              <w:t>Mark to market adjustments on derivatives and hedged items</w:t>
            </w:r>
          </w:p>
        </w:tc>
        <w:tc>
          <w:tcPr>
            <w:tcW w:w="2800" w:type="dxa"/>
            <w:vAlign w:val="bottom"/>
            <w:gridSpan w:val="4"/>
          </w:tcPr>
          <w:p>
            <w:pPr>
              <w:jc w:val="right"/>
              <w:spacing w:after="0"/>
              <w:rPr>
                <w:sz w:val="20"/>
                <w:szCs w:val="20"/>
                <w:color w:val="auto"/>
              </w:rPr>
            </w:pPr>
            <w:r>
              <w:rPr>
                <w:rFonts w:ascii="Arial" w:cs="Arial" w:eastAsia="Arial" w:hAnsi="Arial"/>
                <w:sz w:val="19"/>
                <w:szCs w:val="19"/>
                <w:color w:val="auto"/>
              </w:rPr>
              <w:t>91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60" w:type="dxa"/>
            <w:vAlign w:val="bottom"/>
            <w:gridSpan w:val="3"/>
          </w:tcPr>
          <w:p>
            <w:pPr>
              <w:jc w:val="right"/>
              <w:ind w:right="2520"/>
              <w:spacing w:after="0"/>
              <w:rPr>
                <w:sz w:val="20"/>
                <w:szCs w:val="20"/>
                <w:color w:val="auto"/>
              </w:rPr>
            </w:pPr>
            <w:r>
              <w:rPr>
                <w:rFonts w:ascii="Arial" w:cs="Arial" w:eastAsia="Arial" w:hAnsi="Arial"/>
                <w:sz w:val="19"/>
                <w:szCs w:val="19"/>
                <w:color w:val="auto"/>
              </w:rPr>
              <w:t>(199)</w:t>
            </w:r>
          </w:p>
        </w:tc>
        <w:tc>
          <w:tcPr>
            <w:tcW w:w="0" w:type="dxa"/>
            <w:vAlign w:val="bottom"/>
          </w:tcPr>
          <w:p>
            <w:pPr>
              <w:spacing w:after="0"/>
              <w:rPr>
                <w:sz w:val="1"/>
                <w:szCs w:val="1"/>
                <w:color w:val="auto"/>
              </w:rPr>
            </w:pPr>
          </w:p>
        </w:tc>
      </w:tr>
      <w:tr>
        <w:trPr>
          <w:trHeight w:val="87"/>
        </w:trPr>
        <w:tc>
          <w:tcPr>
            <w:tcW w:w="4920" w:type="dxa"/>
            <w:vAlign w:val="bottom"/>
          </w:tcPr>
          <w:p>
            <w:pPr>
              <w:spacing w:after="0"/>
              <w:rPr>
                <w:sz w:val="7"/>
                <w:szCs w:val="7"/>
                <w:color w:val="auto"/>
              </w:rPr>
            </w:pPr>
          </w:p>
        </w:tc>
        <w:tc>
          <w:tcPr>
            <w:tcW w:w="1880" w:type="dxa"/>
            <w:vAlign w:val="bottom"/>
            <w:gridSpan w:val="2"/>
          </w:tcPr>
          <w:p>
            <w:pPr>
              <w:spacing w:after="0"/>
              <w:rPr>
                <w:sz w:val="7"/>
                <w:szCs w:val="7"/>
                <w:color w:val="auto"/>
              </w:rPr>
            </w:pPr>
          </w:p>
        </w:tc>
        <w:tc>
          <w:tcPr>
            <w:tcW w:w="920" w:type="dxa"/>
            <w:vAlign w:val="bottom"/>
            <w:tcBorders>
              <w:bottom w:val="single" w:sz="8" w:color="808080"/>
            </w:tcBorders>
            <w:gridSpan w:val="2"/>
          </w:tcPr>
          <w:p>
            <w:pPr>
              <w:spacing w:after="0"/>
              <w:rPr>
                <w:sz w:val="7"/>
                <w:szCs w:val="7"/>
                <w:color w:val="auto"/>
              </w:rPr>
            </w:pPr>
          </w:p>
        </w:tc>
        <w:tc>
          <w:tcPr>
            <w:tcW w:w="8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4920" w:type="dxa"/>
            <w:vAlign w:val="bottom"/>
          </w:tcPr>
          <w:p>
            <w:pPr>
              <w:ind w:left="240"/>
              <w:spacing w:after="0"/>
              <w:rPr>
                <w:sz w:val="20"/>
                <w:szCs w:val="20"/>
                <w:color w:val="auto"/>
              </w:rPr>
            </w:pPr>
            <w:r>
              <w:rPr>
                <w:rFonts w:ascii="Arial" w:cs="Arial" w:eastAsia="Arial" w:hAnsi="Arial"/>
                <w:sz w:val="19"/>
                <w:szCs w:val="19"/>
                <w:color w:val="auto"/>
              </w:rPr>
              <w:t>Investment loss, net</w:t>
            </w:r>
          </w:p>
        </w:tc>
        <w:tc>
          <w:tcPr>
            <w:tcW w:w="2880" w:type="dxa"/>
            <w:vAlign w:val="bottom"/>
            <w:gridSpan w:val="6"/>
          </w:tcPr>
          <w:p>
            <w:pPr>
              <w:jc w:val="right"/>
              <w:spacing w:after="0"/>
              <w:rPr>
                <w:sz w:val="20"/>
                <w:szCs w:val="20"/>
                <w:color w:val="auto"/>
              </w:rPr>
            </w:pPr>
            <w:r>
              <w:rPr>
                <w:rFonts w:ascii="Arial" w:cs="Arial" w:eastAsia="Arial" w:hAnsi="Arial"/>
                <w:sz w:val="19"/>
                <w:szCs w:val="19"/>
                <w:color w:val="auto"/>
              </w:rPr>
              <w:t>($9)</w:t>
            </w:r>
          </w:p>
        </w:tc>
        <w:tc>
          <w:tcPr>
            <w:tcW w:w="3660" w:type="dxa"/>
            <w:vAlign w:val="bottom"/>
            <w:gridSpan w:val="3"/>
          </w:tcPr>
          <w:p>
            <w:pPr>
              <w:jc w:val="right"/>
              <w:ind w:right="2520"/>
              <w:spacing w:after="0"/>
              <w:rPr>
                <w:sz w:val="20"/>
                <w:szCs w:val="20"/>
                <w:color w:val="auto"/>
              </w:rPr>
            </w:pPr>
            <w:r>
              <w:rPr>
                <w:rFonts w:ascii="Arial" w:cs="Arial" w:eastAsia="Arial" w:hAnsi="Arial"/>
                <w:sz w:val="19"/>
                <w:szCs w:val="19"/>
                <w:color w:val="auto"/>
              </w:rPr>
              <w:t>($223)</w:t>
            </w:r>
          </w:p>
        </w:tc>
        <w:tc>
          <w:tcPr>
            <w:tcW w:w="0" w:type="dxa"/>
            <w:vAlign w:val="bottom"/>
          </w:tcPr>
          <w:p>
            <w:pPr>
              <w:spacing w:after="0"/>
              <w:rPr>
                <w:sz w:val="1"/>
                <w:szCs w:val="1"/>
                <w:color w:val="auto"/>
              </w:rPr>
            </w:pPr>
          </w:p>
        </w:tc>
      </w:tr>
      <w:tr>
        <w:trPr>
          <w:trHeight w:val="95"/>
        </w:trPr>
        <w:tc>
          <w:tcPr>
            <w:tcW w:w="4920" w:type="dxa"/>
            <w:vAlign w:val="bottom"/>
            <w:vMerge w:val="restart"/>
          </w:tcPr>
          <w:p>
            <w:pPr>
              <w:spacing w:after="0"/>
              <w:rPr>
                <w:sz w:val="20"/>
                <w:szCs w:val="20"/>
                <w:color w:val="auto"/>
              </w:rPr>
            </w:pPr>
            <w:r>
              <w:rPr>
                <w:rFonts w:ascii="Arial" w:cs="Arial" w:eastAsia="Arial" w:hAnsi="Arial"/>
                <w:sz w:val="19"/>
                <w:szCs w:val="19"/>
                <w:color w:val="auto"/>
              </w:rPr>
              <w:t>6.    LONG-TERM DEBT</w:t>
            </w:r>
          </w:p>
        </w:tc>
        <w:tc>
          <w:tcPr>
            <w:tcW w:w="1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9"/>
        </w:trPr>
        <w:tc>
          <w:tcPr>
            <w:tcW w:w="49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gridSpan w:val="4"/>
          </w:tcPr>
          <w:p>
            <w:pPr>
              <w:ind w:left="180"/>
              <w:spacing w:after="0"/>
              <w:rPr>
                <w:sz w:val="20"/>
                <w:szCs w:val="20"/>
                <w:color w:val="auto"/>
              </w:rPr>
            </w:pPr>
            <w:r>
              <w:rPr>
                <w:rFonts w:ascii="Arial" w:cs="Arial" w:eastAsia="Arial" w:hAnsi="Arial"/>
                <w:sz w:val="19"/>
                <w:szCs w:val="19"/>
                <w:color w:val="auto"/>
              </w:rPr>
              <w:t>March 31,</w:t>
            </w:r>
          </w:p>
        </w:tc>
        <w:tc>
          <w:tcPr>
            <w:tcW w:w="3700" w:type="dxa"/>
            <w:vAlign w:val="bottom"/>
            <w:gridSpan w:val="4"/>
          </w:tcPr>
          <w:p>
            <w:pPr>
              <w:jc w:val="right"/>
              <w:ind w:right="2620"/>
              <w:spacing w:after="0"/>
              <w:rPr>
                <w:sz w:val="20"/>
                <w:szCs w:val="20"/>
                <w:color w:val="auto"/>
              </w:rPr>
            </w:pPr>
            <w:r>
              <w:rPr>
                <w:rFonts w:ascii="Arial" w:cs="Arial" w:eastAsia="Arial" w:hAnsi="Arial"/>
                <w:sz w:val="19"/>
                <w:szCs w:val="19"/>
                <w:color w:val="auto"/>
                <w:w w:val="88"/>
              </w:rPr>
              <w:t>December 31,</w:t>
            </w: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1"/>
                <w:szCs w:val="21"/>
                <w:color w:val="auto"/>
              </w:rPr>
            </w:pPr>
          </w:p>
        </w:tc>
        <w:tc>
          <w:tcPr>
            <w:tcW w:w="2520" w:type="dxa"/>
            <w:vAlign w:val="bottom"/>
            <w:gridSpan w:val="3"/>
          </w:tcPr>
          <w:p>
            <w:pPr>
              <w:jc w:val="right"/>
              <w:ind w:right="305"/>
              <w:spacing w:after="0"/>
              <w:rPr>
                <w:sz w:val="20"/>
                <w:szCs w:val="20"/>
                <w:color w:val="auto"/>
              </w:rPr>
            </w:pPr>
            <w:r>
              <w:rPr>
                <w:rFonts w:ascii="Arial" w:cs="Arial" w:eastAsia="Arial" w:hAnsi="Arial"/>
                <w:sz w:val="19"/>
                <w:szCs w:val="19"/>
                <w:color w:val="auto"/>
              </w:rPr>
              <w:t>2004</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9"/>
                <w:szCs w:val="19"/>
                <w:color w:val="auto"/>
              </w:rPr>
              <w:t>2003</w:t>
            </w: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4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Borders>
              <w:bottom w:val="single" w:sz="8" w:color="808080"/>
            </w:tcBorders>
            <w:gridSpan w:val="4"/>
          </w:tcPr>
          <w:p>
            <w:pPr>
              <w:spacing w:after="0"/>
              <w:rPr>
                <w:sz w:val="7"/>
                <w:szCs w:val="7"/>
                <w:color w:val="auto"/>
              </w:rPr>
            </w:pPr>
          </w:p>
        </w:tc>
        <w:tc>
          <w:tcPr>
            <w:tcW w:w="2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4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60" w:type="dxa"/>
            <w:vAlign w:val="bottom"/>
            <w:gridSpan w:val="7"/>
          </w:tcPr>
          <w:p>
            <w:pPr>
              <w:jc w:val="right"/>
              <w:ind w:right="3320"/>
              <w:spacing w:after="0"/>
              <w:rPr>
                <w:sz w:val="20"/>
                <w:szCs w:val="20"/>
                <w:color w:val="auto"/>
              </w:rPr>
            </w:pPr>
            <w:r>
              <w:rPr>
                <w:rFonts w:ascii="Arial" w:cs="Arial" w:eastAsia="Arial" w:hAnsi="Arial"/>
                <w:sz w:val="19"/>
                <w:szCs w:val="19"/>
                <w:color w:val="auto"/>
              </w:rPr>
              <w:t>(in millions)</w:t>
            </w:r>
          </w:p>
        </w:tc>
        <w:tc>
          <w:tcPr>
            <w:tcW w:w="0" w:type="dxa"/>
            <w:vAlign w:val="bottom"/>
          </w:tcPr>
          <w:p>
            <w:pPr>
              <w:spacing w:after="0"/>
              <w:rPr>
                <w:sz w:val="1"/>
                <w:szCs w:val="1"/>
                <w:color w:val="auto"/>
              </w:rPr>
            </w:pPr>
          </w:p>
        </w:tc>
      </w:tr>
      <w:tr>
        <w:trPr>
          <w:trHeight w:val="215"/>
        </w:trPr>
        <w:tc>
          <w:tcPr>
            <w:tcW w:w="4920" w:type="dxa"/>
            <w:vAlign w:val="bottom"/>
          </w:tcPr>
          <w:p>
            <w:pPr>
              <w:spacing w:after="0" w:line="214" w:lineRule="exact"/>
              <w:rPr>
                <w:sz w:val="20"/>
                <w:szCs w:val="20"/>
                <w:color w:val="auto"/>
              </w:rPr>
            </w:pPr>
            <w:r>
              <w:rPr>
                <w:rFonts w:ascii="Arial" w:cs="Arial" w:eastAsia="Arial" w:hAnsi="Arial"/>
                <w:sz w:val="19"/>
                <w:szCs w:val="19"/>
                <w:color w:val="auto"/>
              </w:rPr>
              <w:t>Notes exchangeable into common stock</w:t>
            </w:r>
          </w:p>
        </w:tc>
        <w:tc>
          <w:tcPr>
            <w:tcW w:w="2520" w:type="dxa"/>
            <w:vAlign w:val="bottom"/>
            <w:gridSpan w:val="3"/>
          </w:tcPr>
          <w:p>
            <w:pPr>
              <w:jc w:val="right"/>
              <w:spacing w:after="0" w:line="214" w:lineRule="exact"/>
              <w:rPr>
                <w:sz w:val="20"/>
                <w:szCs w:val="20"/>
                <w:color w:val="auto"/>
              </w:rPr>
            </w:pPr>
            <w:r>
              <w:rPr>
                <w:rFonts w:ascii="Arial" w:cs="Arial" w:eastAsia="Arial" w:hAnsi="Arial"/>
                <w:sz w:val="19"/>
                <w:szCs w:val="19"/>
                <w:color w:val="auto"/>
              </w:rPr>
              <w:t>$4,005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60" w:type="dxa"/>
            <w:vAlign w:val="bottom"/>
            <w:gridSpan w:val="3"/>
          </w:tcPr>
          <w:p>
            <w:pPr>
              <w:jc w:val="right"/>
              <w:ind w:right="2580"/>
              <w:spacing w:after="0" w:line="214" w:lineRule="exact"/>
              <w:rPr>
                <w:sz w:val="20"/>
                <w:szCs w:val="20"/>
                <w:color w:val="auto"/>
              </w:rPr>
            </w:pPr>
            <w:r>
              <w:rPr>
                <w:rFonts w:ascii="Arial" w:cs="Arial" w:eastAsia="Arial" w:hAnsi="Arial"/>
                <w:sz w:val="19"/>
                <w:szCs w:val="19"/>
                <w:color w:val="auto"/>
              </w:rPr>
              <w:t>$4,318</w:t>
            </w:r>
          </w:p>
        </w:tc>
        <w:tc>
          <w:tcPr>
            <w:tcW w:w="0" w:type="dxa"/>
            <w:vAlign w:val="bottom"/>
          </w:tcPr>
          <w:p>
            <w:pPr>
              <w:spacing w:after="0"/>
              <w:rPr>
                <w:sz w:val="1"/>
                <w:szCs w:val="1"/>
                <w:color w:val="auto"/>
              </w:rPr>
            </w:pPr>
          </w:p>
        </w:tc>
      </w:tr>
      <w:tr>
        <w:trPr>
          <w:trHeight w:val="215"/>
        </w:trPr>
        <w:tc>
          <w:tcPr>
            <w:tcW w:w="4920" w:type="dxa"/>
            <w:vAlign w:val="bottom"/>
          </w:tcPr>
          <w:p>
            <w:pPr>
              <w:spacing w:after="0" w:line="214" w:lineRule="exact"/>
              <w:rPr>
                <w:sz w:val="20"/>
                <w:szCs w:val="20"/>
                <w:color w:val="auto"/>
              </w:rPr>
            </w:pPr>
            <w:r>
              <w:rPr>
                <w:rFonts w:ascii="Arial" w:cs="Arial" w:eastAsia="Arial" w:hAnsi="Arial"/>
                <w:sz w:val="19"/>
                <w:szCs w:val="19"/>
                <w:color w:val="auto"/>
              </w:rPr>
              <w:t>Bank and public debt</w:t>
            </w:r>
          </w:p>
        </w:tc>
        <w:tc>
          <w:tcPr>
            <w:tcW w:w="2520" w:type="dxa"/>
            <w:vAlign w:val="bottom"/>
            <w:gridSpan w:val="3"/>
          </w:tcPr>
          <w:p>
            <w:pPr>
              <w:jc w:val="right"/>
              <w:spacing w:after="0" w:line="214" w:lineRule="exact"/>
              <w:rPr>
                <w:sz w:val="20"/>
                <w:szCs w:val="20"/>
                <w:color w:val="auto"/>
              </w:rPr>
            </w:pPr>
            <w:r>
              <w:rPr>
                <w:rFonts w:ascii="Arial" w:cs="Arial" w:eastAsia="Arial" w:hAnsi="Arial"/>
                <w:sz w:val="19"/>
                <w:szCs w:val="19"/>
                <w:color w:val="auto"/>
              </w:rPr>
              <w:t>22,146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60" w:type="dxa"/>
            <w:vAlign w:val="bottom"/>
            <w:gridSpan w:val="3"/>
          </w:tcPr>
          <w:p>
            <w:pPr>
              <w:jc w:val="right"/>
              <w:ind w:right="2580"/>
              <w:spacing w:after="0" w:line="214" w:lineRule="exact"/>
              <w:rPr>
                <w:sz w:val="20"/>
                <w:szCs w:val="20"/>
                <w:color w:val="auto"/>
              </w:rPr>
            </w:pPr>
            <w:r>
              <w:rPr>
                <w:rFonts w:ascii="Arial" w:cs="Arial" w:eastAsia="Arial" w:hAnsi="Arial"/>
                <w:sz w:val="19"/>
                <w:szCs w:val="19"/>
                <w:color w:val="auto"/>
              </w:rPr>
              <w:t>22,193</w:t>
            </w: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0"/>
                <w:szCs w:val="20"/>
                <w:color w:val="auto"/>
              </w:rPr>
            </w:pPr>
            <w:r>
              <w:rPr>
                <w:rFonts w:ascii="Arial" w:cs="Arial" w:eastAsia="Arial" w:hAnsi="Arial"/>
                <w:sz w:val="19"/>
                <w:szCs w:val="19"/>
                <w:color w:val="auto"/>
              </w:rPr>
              <w:t>Other, including capital lease obligations</w:t>
            </w:r>
          </w:p>
        </w:tc>
        <w:tc>
          <w:tcPr>
            <w:tcW w:w="2520" w:type="dxa"/>
            <w:vAlign w:val="bottom"/>
            <w:gridSpan w:val="3"/>
          </w:tcPr>
          <w:p>
            <w:pPr>
              <w:jc w:val="right"/>
              <w:spacing w:after="0"/>
              <w:rPr>
                <w:sz w:val="20"/>
                <w:szCs w:val="20"/>
                <w:color w:val="auto"/>
              </w:rPr>
            </w:pPr>
            <w:r>
              <w:rPr>
                <w:rFonts w:ascii="Arial" w:cs="Arial" w:eastAsia="Arial" w:hAnsi="Arial"/>
                <w:sz w:val="19"/>
                <w:szCs w:val="19"/>
                <w:color w:val="auto"/>
              </w:rPr>
              <w:t>475</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60" w:type="dxa"/>
            <w:vAlign w:val="bottom"/>
            <w:gridSpan w:val="3"/>
          </w:tcPr>
          <w:p>
            <w:pPr>
              <w:jc w:val="right"/>
              <w:ind w:right="2580"/>
              <w:spacing w:after="0"/>
              <w:rPr>
                <w:sz w:val="20"/>
                <w:szCs w:val="20"/>
                <w:color w:val="auto"/>
              </w:rPr>
            </w:pPr>
            <w:r>
              <w:rPr>
                <w:rFonts w:ascii="Arial" w:cs="Arial" w:eastAsia="Arial" w:hAnsi="Arial"/>
                <w:sz w:val="19"/>
                <w:szCs w:val="19"/>
                <w:color w:val="auto"/>
              </w:rPr>
              <w:t>485</w:t>
            </w:r>
          </w:p>
        </w:tc>
        <w:tc>
          <w:tcPr>
            <w:tcW w:w="0" w:type="dxa"/>
            <w:vAlign w:val="bottom"/>
          </w:tcPr>
          <w:p>
            <w:pPr>
              <w:spacing w:after="0"/>
              <w:rPr>
                <w:sz w:val="1"/>
                <w:szCs w:val="1"/>
                <w:color w:val="auto"/>
              </w:rPr>
            </w:pPr>
          </w:p>
        </w:tc>
      </w:tr>
      <w:tr>
        <w:trPr>
          <w:trHeight w:val="87"/>
        </w:trPr>
        <w:tc>
          <w:tcPr>
            <w:tcW w:w="4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180" w:type="dxa"/>
            <w:vAlign w:val="bottom"/>
            <w:tcBorders>
              <w:bottom w:val="single" w:sz="8" w:color="808080"/>
            </w:tcBorders>
            <w:gridSpan w:val="2"/>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2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4920" w:type="dxa"/>
            <w:vAlign w:val="bottom"/>
          </w:tcPr>
          <w:p>
            <w:pPr>
              <w:ind w:left="240"/>
              <w:spacing w:after="0"/>
              <w:rPr>
                <w:sz w:val="20"/>
                <w:szCs w:val="20"/>
                <w:color w:val="auto"/>
              </w:rPr>
            </w:pPr>
            <w:r>
              <w:rPr>
                <w:rFonts w:ascii="Arial" w:cs="Arial" w:eastAsia="Arial" w:hAnsi="Arial"/>
                <w:sz w:val="19"/>
                <w:szCs w:val="19"/>
                <w:color w:val="auto"/>
              </w:rPr>
              <w:t>Total debt</w:t>
            </w:r>
          </w:p>
        </w:tc>
        <w:tc>
          <w:tcPr>
            <w:tcW w:w="2520" w:type="dxa"/>
            <w:vAlign w:val="bottom"/>
            <w:gridSpan w:val="3"/>
          </w:tcPr>
          <w:p>
            <w:pPr>
              <w:jc w:val="right"/>
              <w:spacing w:after="0"/>
              <w:rPr>
                <w:sz w:val="20"/>
                <w:szCs w:val="20"/>
                <w:color w:val="auto"/>
              </w:rPr>
            </w:pPr>
            <w:r>
              <w:rPr>
                <w:rFonts w:ascii="Arial" w:cs="Arial" w:eastAsia="Arial" w:hAnsi="Arial"/>
                <w:sz w:val="19"/>
                <w:szCs w:val="19"/>
                <w:color w:val="auto"/>
              </w:rPr>
              <w:t>$26,626</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60" w:type="dxa"/>
            <w:vAlign w:val="bottom"/>
            <w:gridSpan w:val="3"/>
          </w:tcPr>
          <w:p>
            <w:pPr>
              <w:jc w:val="right"/>
              <w:ind w:right="2580"/>
              <w:spacing w:after="0"/>
              <w:rPr>
                <w:sz w:val="20"/>
                <w:szCs w:val="20"/>
                <w:color w:val="auto"/>
              </w:rPr>
            </w:pPr>
            <w:r>
              <w:rPr>
                <w:rFonts w:ascii="Arial" w:cs="Arial" w:eastAsia="Arial" w:hAnsi="Arial"/>
                <w:sz w:val="19"/>
                <w:szCs w:val="19"/>
                <w:color w:val="auto"/>
              </w:rPr>
              <w:t>$26,996</w:t>
            </w:r>
          </w:p>
        </w:tc>
        <w:tc>
          <w:tcPr>
            <w:tcW w:w="0" w:type="dxa"/>
            <w:vAlign w:val="bottom"/>
          </w:tcPr>
          <w:p>
            <w:pPr>
              <w:spacing w:after="0"/>
              <w:rPr>
                <w:sz w:val="1"/>
                <w:szCs w:val="1"/>
                <w:color w:val="auto"/>
              </w:rPr>
            </w:pPr>
          </w:p>
        </w:tc>
      </w:tr>
      <w:tr>
        <w:trPr>
          <w:trHeight w:val="95"/>
        </w:trPr>
        <w:tc>
          <w:tcPr>
            <w:tcW w:w="4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4133215</wp:posOffset>
            </wp:positionH>
            <wp:positionV relativeFrom="page">
              <wp:posOffset>88900</wp:posOffset>
            </wp:positionV>
            <wp:extent cx="165862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58620" cy="762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-5776595</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-5776595</wp:posOffset>
            </wp:positionV>
            <wp:extent cx="127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-5776595</wp:posOffset>
            </wp:positionV>
            <wp:extent cx="127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4894580</wp:posOffset>
            </wp:positionH>
            <wp:positionV relativeFrom="paragraph">
              <wp:posOffset>-5776595</wp:posOffset>
            </wp:positionV>
            <wp:extent cx="127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-1770380</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-1770380</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-1770380</wp:posOffset>
            </wp:positionV>
            <wp:extent cx="127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-1770380</wp:posOffset>
            </wp:positionV>
            <wp:extent cx="127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-13335</wp:posOffset>
            </wp:positionV>
            <wp:extent cx="127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-13335</wp:posOffset>
            </wp:positionV>
            <wp:extent cx="127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-13335</wp:posOffset>
            </wp:positionV>
            <wp:extent cx="1270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4894580</wp:posOffset>
            </wp:positionH>
            <wp:positionV relativeFrom="paragraph">
              <wp:posOffset>-13335</wp:posOffset>
            </wp:positionV>
            <wp:extent cx="1270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9"/>
          <w:szCs w:val="19"/>
          <w:i w:val="1"/>
          <w:iCs w:val="1"/>
          <w:color w:val="auto"/>
        </w:rPr>
        <w:t>The Cross-Guarantee Structure</w:t>
      </w:r>
    </w:p>
    <w:p>
      <w:pPr>
        <w:spacing w:after="0" w:line="12" w:lineRule="exact"/>
        <w:rPr>
          <w:sz w:val="20"/>
          <w:szCs w:val="20"/>
          <w:color w:val="auto"/>
        </w:rPr>
      </w:pPr>
    </w:p>
    <w:p>
      <w:pPr>
        <w:ind w:left="460" w:right="300"/>
        <w:spacing w:after="0" w:line="282" w:lineRule="auto"/>
        <w:rPr>
          <w:rFonts w:ascii="Arial" w:cs="Arial" w:eastAsia="Arial" w:hAnsi="Arial"/>
          <w:sz w:val="17"/>
          <w:szCs w:val="17"/>
          <w:color w:val="auto"/>
        </w:rPr>
      </w:pPr>
      <w:r>
        <w:rPr>
          <w:rFonts w:ascii="Arial" w:cs="Arial" w:eastAsia="Arial" w:hAnsi="Arial"/>
          <w:sz w:val="17"/>
          <w:szCs w:val="17"/>
          <w:color w:val="auto"/>
        </w:rPr>
        <w:t xml:space="preserve">To simplify our capital structure, we and a number of our wholly-owned subsidiaries that hold substantially all of our cable communications assets have unconditionally guaranteed each other’s debt securities and indebtedness for borrowed money, including amounts outstanding under the new credit facility (see </w:t>
      </w:r>
      <w:hyperlink w:anchor="page8">
        <w:r>
          <w:rPr>
            <w:rFonts w:ascii="Arial" w:cs="Arial" w:eastAsia="Arial" w:hAnsi="Arial"/>
            <w:sz w:val="17"/>
            <w:szCs w:val="17"/>
            <w:u w:val="single" w:color="auto"/>
            <w:color w:val="0000EE"/>
          </w:rPr>
          <w:t>below</w:t>
        </w:r>
      </w:hyperlink>
      <w:r>
        <w:rPr>
          <w:rFonts w:ascii="Arial" w:cs="Arial" w:eastAsia="Arial" w:hAnsi="Arial"/>
          <w:sz w:val="17"/>
          <w:szCs w:val="17"/>
          <w:color w:val="auto"/>
        </w:rPr>
        <w:t>). As of March 31, 2004, $20.642 billion of our debt was included in the cross-guarantee structure.</w:t>
      </w:r>
    </w:p>
    <w:p>
      <w:pPr>
        <w:spacing w:after="0" w:line="154" w:lineRule="exact"/>
        <w:rPr>
          <w:sz w:val="20"/>
          <w:szCs w:val="20"/>
          <w:color w:val="auto"/>
        </w:rPr>
      </w:pPr>
    </w:p>
    <w:p>
      <w:pPr>
        <w:ind w:left="460" w:right="480"/>
        <w:spacing w:after="0" w:line="261" w:lineRule="auto"/>
        <w:rPr>
          <w:sz w:val="20"/>
          <w:szCs w:val="20"/>
          <w:color w:val="auto"/>
        </w:rPr>
      </w:pPr>
      <w:r>
        <w:rPr>
          <w:rFonts w:ascii="Arial" w:cs="Arial" w:eastAsia="Arial" w:hAnsi="Arial"/>
          <w:sz w:val="19"/>
          <w:szCs w:val="19"/>
          <w:color w:val="auto"/>
        </w:rPr>
        <w:t>Comcast Holdings is not a guarantor and none of its debt is guaranteed under the cross-guarantee structure. As of March 31, 2004, $1.199 billion of our debt was outstanding at Comcast Holdings.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9"/>
          <w:szCs w:val="19"/>
          <w:i w:val="1"/>
          <w:iCs w:val="1"/>
          <w:color w:val="auto"/>
        </w:rPr>
        <w:t>New Credit Facility</w:t>
      </w:r>
    </w:p>
    <w:p>
      <w:pPr>
        <w:spacing w:after="0" w:line="12" w:lineRule="exact"/>
        <w:rPr>
          <w:sz w:val="20"/>
          <w:szCs w:val="20"/>
          <w:color w:val="auto"/>
        </w:rPr>
      </w:pPr>
    </w:p>
    <w:p>
      <w:pPr>
        <w:ind w:left="460" w:right="120"/>
        <w:spacing w:after="0" w:line="238" w:lineRule="auto"/>
        <w:rPr>
          <w:sz w:val="20"/>
          <w:szCs w:val="20"/>
          <w:color w:val="auto"/>
        </w:rPr>
      </w:pPr>
      <w:r>
        <w:rPr>
          <w:rFonts w:ascii="Arial" w:cs="Arial" w:eastAsia="Arial" w:hAnsi="Arial"/>
          <w:sz w:val="19"/>
          <w:szCs w:val="19"/>
          <w:color w:val="auto"/>
        </w:rPr>
        <w:t>In January 2004, we entered into a new $4.5 billion, five-year revolving bank credit facility. Interest rates on this facility vary based on an underlying base rate (“Base Rate”), chosen at our option, plus a borrowing margin. The Base Rate is either LIBOR or the greater of the prime rate or the Federal Funds rate plus 0.5%. The borrowing margin is based on our senior unsecured debt ratings. The interest rate for borrowings under this revolver is LIBOR plus 0.625% based on our current credit ratings.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9"/>
          <w:szCs w:val="19"/>
          <w:i w:val="1"/>
          <w:iCs w:val="1"/>
          <w:color w:val="auto"/>
        </w:rPr>
        <w:t>Redemption of Debt</w:t>
      </w:r>
    </w:p>
    <w:p>
      <w:pPr>
        <w:spacing w:after="0" w:line="12" w:lineRule="exact"/>
        <w:rPr>
          <w:sz w:val="20"/>
          <w:szCs w:val="20"/>
          <w:color w:val="auto"/>
        </w:rPr>
      </w:pPr>
    </w:p>
    <w:p>
      <w:pPr>
        <w:ind w:left="460" w:right="180"/>
        <w:spacing w:after="0" w:line="244" w:lineRule="auto"/>
        <w:rPr>
          <w:sz w:val="20"/>
          <w:szCs w:val="20"/>
          <w:color w:val="auto"/>
        </w:rPr>
      </w:pPr>
      <w:r>
        <w:rPr>
          <w:rFonts w:ascii="Arial" w:cs="Arial" w:eastAsia="Arial" w:hAnsi="Arial"/>
          <w:sz w:val="19"/>
          <w:szCs w:val="19"/>
          <w:color w:val="auto"/>
        </w:rPr>
        <w:t>On March 31, 2004, we redeemed all $250 million principal amount of our 8.875% senior notes due 2007. The redemption was financed with available cash.</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9"/>
          <w:szCs w:val="19"/>
          <w:i w:val="1"/>
          <w:iCs w:val="1"/>
          <w:color w:val="auto"/>
        </w:rPr>
        <w:t>Notes Exchangeable into Common Stock</w:t>
      </w:r>
    </w:p>
    <w:p>
      <w:pPr>
        <w:spacing w:after="0" w:line="12" w:lineRule="exact"/>
        <w:rPr>
          <w:sz w:val="20"/>
          <w:szCs w:val="20"/>
          <w:color w:val="auto"/>
        </w:rPr>
      </w:pPr>
    </w:p>
    <w:p>
      <w:pPr>
        <w:jc w:val="both"/>
        <w:ind w:left="460" w:right="220"/>
        <w:spacing w:after="0" w:line="276" w:lineRule="auto"/>
        <w:rPr>
          <w:sz w:val="20"/>
          <w:szCs w:val="20"/>
          <w:color w:val="auto"/>
        </w:rPr>
      </w:pPr>
      <w:r>
        <w:rPr>
          <w:rFonts w:ascii="Arial" w:cs="Arial" w:eastAsia="Arial" w:hAnsi="Arial"/>
          <w:sz w:val="17"/>
          <w:szCs w:val="17"/>
          <w:color w:val="auto"/>
        </w:rPr>
        <w:t>We hold exchangeable notes (the “Exchangeable Notes”) that are mandatorily redeemable at our option into shares of Cablevision NY Group (“Cablevision”) Class A common stock or its cash equivalent, Microsoft Corporation (“Microsoft”) common stock or its cash equivalent, (i) Vodafone ADRs, (ii) the cash equivalent, or (iii) a combination of cash and Vodafone ADRs, and Comcast Class A Special common stock or its cash equivalent. The maturity value of the Exchangeable Notes varies based upon the fair market value of the security to which it is</w:t>
      </w:r>
    </w:p>
    <w:p>
      <w:pPr>
        <w:sectPr>
          <w:pgSz w:w="11900" w:h="16838" w:orient="portrait"/>
          <w:cols w:equalWidth="0" w:num="1">
            <w:col w:w="11460"/>
          </w:cols>
          <w:pgMar w:left="240" w:top="224" w:right="199" w:bottom="0" w:gutter="0" w:footer="0" w:header="0"/>
        </w:sect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145415</wp:posOffset>
            </wp:positionV>
            <wp:extent cx="727773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ectPr>
          <w:pgSz w:w="11900" w:h="16838" w:orient="portrait"/>
          <w:cols w:equalWidth="0" w:num="1">
            <w:col w:w="11460"/>
          </w:cols>
          <w:pgMar w:left="240" w:top="224" w:right="199" w:bottom="0" w:gutter="0" w:footer="0" w:header="0"/>
          <w:type w:val="continuous"/>
        </w:sectPr>
      </w:pPr>
    </w:p>
    <w:bookmarkStart w:id="8" w:name="page9"/>
    <w:bookmarkEnd w:id="8"/>
    <w:p>
      <w:pPr>
        <w:jc w:val="center"/>
        <w:ind w:right="15"/>
        <w:spacing w:after="0"/>
        <w:rPr>
          <w:sz w:val="20"/>
          <w:szCs w:val="20"/>
          <w:color w:val="auto"/>
        </w:rPr>
      </w:pPr>
      <w:r>
        <w:rPr>
          <w:rFonts w:ascii="Arial" w:cs="Arial" w:eastAsia="Arial" w:hAnsi="Arial"/>
          <w:sz w:val="19"/>
          <w:szCs w:val="19"/>
          <w:color w:val="auto"/>
        </w:rPr>
        <w:t>COMCAST CORPORATION AND SUBSIDIARIES</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9"/>
          <w:szCs w:val="19"/>
          <w:color w:val="auto"/>
        </w:rPr>
        <w:t>FORM 10-Q</w:t>
      </w:r>
    </w:p>
    <w:p>
      <w:pPr>
        <w:jc w:val="center"/>
        <w:ind w:right="15"/>
        <w:spacing w:after="0" w:line="235" w:lineRule="auto"/>
        <w:rPr>
          <w:sz w:val="20"/>
          <w:szCs w:val="20"/>
          <w:color w:val="auto"/>
        </w:rPr>
      </w:pPr>
      <w:r>
        <w:rPr>
          <w:rFonts w:ascii="Arial" w:cs="Arial" w:eastAsia="Arial" w:hAnsi="Arial"/>
          <w:sz w:val="19"/>
          <w:szCs w:val="19"/>
          <w:color w:val="auto"/>
        </w:rPr>
        <w:t>QUARTER ENDED MARCH 31, 2004</w:t>
      </w:r>
    </w:p>
    <w:p>
      <w:pPr>
        <w:jc w:val="center"/>
        <w:ind w:right="15"/>
        <w:spacing w:after="0" w:line="236" w:lineRule="auto"/>
        <w:rPr>
          <w:sz w:val="20"/>
          <w:szCs w:val="20"/>
          <w:color w:val="auto"/>
        </w:rPr>
      </w:pPr>
      <w:r>
        <w:rPr>
          <w:rFonts w:ascii="Arial" w:cs="Arial" w:eastAsia="Arial" w:hAnsi="Arial"/>
          <w:sz w:val="19"/>
          <w:szCs w:val="19"/>
          <w:color w:val="auto"/>
        </w:rPr>
        <w:t>NOTES TO CONDENSED CONSOLIDATED FINANCIAL STATEMENTS - CONTINUED</w:t>
      </w:r>
    </w:p>
    <w:p>
      <w:pPr>
        <w:spacing w:after="0" w:line="1" w:lineRule="exact"/>
        <w:rPr>
          <w:sz w:val="20"/>
          <w:szCs w:val="20"/>
          <w:color w:val="auto"/>
        </w:rPr>
      </w:pPr>
    </w:p>
    <w:p>
      <w:pPr>
        <w:jc w:val="center"/>
        <w:ind w:right="-44"/>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p>
      <w:pPr>
        <w:ind w:left="465"/>
        <w:spacing w:after="0" w:line="261" w:lineRule="auto"/>
        <w:rPr>
          <w:sz w:val="20"/>
          <w:szCs w:val="20"/>
          <w:color w:val="auto"/>
        </w:rPr>
      </w:pPr>
      <w:r>
        <w:rPr>
          <w:rFonts w:ascii="Arial" w:cs="Arial" w:eastAsia="Arial" w:hAnsi="Arial"/>
          <w:sz w:val="19"/>
          <w:szCs w:val="19"/>
          <w:color w:val="auto"/>
        </w:rPr>
        <w:t>indexed. Our Exchangeable Notes are collateralized by our investments in Cablevision, Microsoft and Vodafone, respectively, and the Comcast Class A Special common stock held in treasury.</w:t>
      </w:r>
    </w:p>
    <w:p>
      <w:pPr>
        <w:spacing w:after="0" w:line="169" w:lineRule="exact"/>
        <w:rPr>
          <w:sz w:val="20"/>
          <w:szCs w:val="20"/>
          <w:color w:val="auto"/>
        </w:rPr>
      </w:pPr>
    </w:p>
    <w:p>
      <w:pPr>
        <w:ind w:left="465" w:right="200"/>
        <w:spacing w:after="0" w:line="244" w:lineRule="auto"/>
        <w:rPr>
          <w:sz w:val="20"/>
          <w:szCs w:val="20"/>
          <w:color w:val="auto"/>
        </w:rPr>
      </w:pPr>
      <w:r>
        <w:rPr>
          <w:rFonts w:ascii="Arial" w:cs="Arial" w:eastAsia="Arial" w:hAnsi="Arial"/>
          <w:sz w:val="19"/>
          <w:szCs w:val="19"/>
          <w:color w:val="auto"/>
        </w:rPr>
        <w:t>During the 2004 interim period, we settled an aggregate of $176 million of our obligations relating to our Vodafone exchangeable notes by delivering the underlying shares of common stock to the counterparty upon maturity of the instruments, and the equity collar agreements related to the underlying shares expired. The Vodafone transactions represented non-cash investing and financing activities and had no effect on our statement of cash flows due to their non-cash nature.</w:t>
      </w:r>
    </w:p>
    <w:p>
      <w:pPr>
        <w:spacing w:after="0" w:line="185" w:lineRule="exact"/>
        <w:rPr>
          <w:sz w:val="20"/>
          <w:szCs w:val="20"/>
          <w:color w:val="auto"/>
        </w:rPr>
      </w:pPr>
    </w:p>
    <w:p>
      <w:pPr>
        <w:ind w:left="465" w:right="160"/>
        <w:spacing w:after="0" w:line="261" w:lineRule="auto"/>
        <w:rPr>
          <w:rFonts w:ascii="Arial" w:cs="Arial" w:eastAsia="Arial" w:hAnsi="Arial"/>
          <w:sz w:val="19"/>
          <w:szCs w:val="19"/>
          <w:color w:val="auto"/>
        </w:rPr>
      </w:pPr>
      <w:r>
        <w:rPr>
          <w:rFonts w:ascii="Arial" w:cs="Arial" w:eastAsia="Arial" w:hAnsi="Arial"/>
          <w:sz w:val="19"/>
          <w:szCs w:val="19"/>
          <w:color w:val="auto"/>
        </w:rPr>
        <w:t xml:space="preserve">As of March 31, 2004, the securities we hold collateralizing the Exchangeable Notes were sufficient to satisfy the debt obligations associated with the outstanding Exchangeable Notes (see </w:t>
      </w:r>
      <w:hyperlink w:anchor="page7">
        <w:r>
          <w:rPr>
            <w:rFonts w:ascii="Arial" w:cs="Arial" w:eastAsia="Arial" w:hAnsi="Arial"/>
            <w:sz w:val="19"/>
            <w:szCs w:val="19"/>
            <w:u w:val="single" w:color="auto"/>
            <w:color w:val="0000EE"/>
          </w:rPr>
          <w:t>Notes 5</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 xml:space="preserve">and </w:t>
      </w:r>
      <w:hyperlink w:anchor="page11">
        <w:r>
          <w:rPr>
            <w:rFonts w:ascii="Arial" w:cs="Arial" w:eastAsia="Arial" w:hAnsi="Arial"/>
            <w:sz w:val="19"/>
            <w:szCs w:val="19"/>
            <w:u w:val="single" w:color="auto"/>
            <w:color w:val="0000EE"/>
          </w:rPr>
          <w:t>8</w:t>
        </w:r>
      </w:hyperlink>
      <w:r>
        <w:rPr>
          <w:rFonts w:ascii="Arial" w:cs="Arial" w:eastAsia="Arial" w:hAnsi="Arial"/>
          <w:sz w:val="19"/>
          <w:szCs w:val="19"/>
          <w:color w:val="auto"/>
        </w:rPr>
        <w:t>).</w:t>
      </w:r>
    </w:p>
    <w:p>
      <w:pPr>
        <w:spacing w:after="0" w:line="169" w:lineRule="exact"/>
        <w:rPr>
          <w:sz w:val="20"/>
          <w:szCs w:val="20"/>
          <w:color w:val="auto"/>
        </w:rPr>
      </w:pPr>
    </w:p>
    <w:p>
      <w:pPr>
        <w:ind w:left="465"/>
        <w:spacing w:after="0"/>
        <w:rPr>
          <w:sz w:val="20"/>
          <w:szCs w:val="20"/>
          <w:color w:val="auto"/>
        </w:rPr>
      </w:pPr>
      <w:r>
        <w:rPr>
          <w:rFonts w:ascii="Arial" w:cs="Arial" w:eastAsia="Arial" w:hAnsi="Arial"/>
          <w:sz w:val="19"/>
          <w:szCs w:val="19"/>
          <w:i w:val="1"/>
          <w:iCs w:val="1"/>
          <w:color w:val="auto"/>
        </w:rPr>
        <w:t>ZONES</w:t>
      </w:r>
    </w:p>
    <w:p>
      <w:pPr>
        <w:spacing w:after="0" w:line="12" w:lineRule="exact"/>
        <w:rPr>
          <w:sz w:val="20"/>
          <w:szCs w:val="20"/>
          <w:color w:val="auto"/>
        </w:rPr>
      </w:pPr>
    </w:p>
    <w:p>
      <w:pPr>
        <w:ind w:left="465" w:right="220"/>
        <w:spacing w:after="0" w:line="238" w:lineRule="auto"/>
        <w:rPr>
          <w:sz w:val="20"/>
          <w:szCs w:val="20"/>
          <w:color w:val="auto"/>
        </w:rPr>
      </w:pPr>
      <w:r>
        <w:rPr>
          <w:rFonts w:ascii="Arial" w:cs="Arial" w:eastAsia="Arial" w:hAnsi="Arial"/>
          <w:sz w:val="19"/>
          <w:szCs w:val="19"/>
          <w:color w:val="auto"/>
        </w:rPr>
        <w:t>At maturity, holders of our 2.0% Exchangeable Subordinated Debentures due 2029 (the “ZONES”) are entitled to receive in cash an amount equal to the higher of the principal amount of the ZONES or the market value of Sprint common stock. Prior to maturity, each ZONES is exchangeable at the holders’ option for an amount of cash equal to 95% of the market value of Sprint common stock. As of March 31, 2004, the number of Sprint shares we held exceeded the number of ZONES outstanding.</w:t>
      </w:r>
    </w:p>
    <w:p>
      <w:pPr>
        <w:spacing w:after="0" w:line="191" w:lineRule="exact"/>
        <w:rPr>
          <w:sz w:val="20"/>
          <w:szCs w:val="20"/>
          <w:color w:val="auto"/>
        </w:rPr>
      </w:pPr>
    </w:p>
    <w:p>
      <w:pPr>
        <w:ind w:left="465" w:right="80"/>
        <w:spacing w:after="0" w:line="248" w:lineRule="auto"/>
        <w:rPr>
          <w:sz w:val="20"/>
          <w:szCs w:val="20"/>
          <w:color w:val="auto"/>
        </w:rPr>
      </w:pPr>
      <w:r>
        <w:rPr>
          <w:rFonts w:ascii="Arial" w:cs="Arial" w:eastAsia="Arial" w:hAnsi="Arial"/>
          <w:sz w:val="19"/>
          <w:szCs w:val="19"/>
          <w:color w:val="auto"/>
        </w:rPr>
        <w:t>We separated the accounting for the Exchangeable Notes and the ZONES into derivative and debt components. We record the change in the fair value of the derivative component of the Exchangeable Notes and the ZONES and the change in the carrying value of the debt component of the Exchangeable Notes and the ZONES as follows (in millions):</w:t>
      </w:r>
    </w:p>
    <w:p>
      <w:pPr>
        <w:spacing w:after="0" w:line="181" w:lineRule="exact"/>
        <w:rPr>
          <w:sz w:val="20"/>
          <w:szCs w:val="20"/>
          <w:color w:val="auto"/>
        </w:rPr>
      </w:pPr>
    </w:p>
    <w:tbl>
      <w:tblPr>
        <w:tblLayout w:type="fixed"/>
        <w:tblInd w:w="5" w:type="dxa"/>
        <w:tblCellMar>
          <w:top w:w="0" w:type="dxa"/>
          <w:left w:w="0" w:type="dxa"/>
          <w:bottom w:w="0" w:type="dxa"/>
          <w:right w:w="0" w:type="dxa"/>
        </w:tblCellMar>
      </w:tblPr>
      <w:tr>
        <w:trPr>
          <w:trHeight w:val="242"/>
        </w:trPr>
        <w:tc>
          <w:tcPr>
            <w:tcW w:w="5000" w:type="dxa"/>
            <w:vAlign w:val="bottom"/>
          </w:tcPr>
          <w:p>
            <w:pPr>
              <w:spacing w:after="0"/>
              <w:rPr>
                <w:sz w:val="21"/>
                <w:szCs w:val="21"/>
                <w:color w:val="auto"/>
              </w:rPr>
            </w:pPr>
          </w:p>
        </w:tc>
        <w:tc>
          <w:tcPr>
            <w:tcW w:w="2180" w:type="dxa"/>
            <w:vAlign w:val="bottom"/>
            <w:gridSpan w:val="4"/>
          </w:tcPr>
          <w:p>
            <w:pPr>
              <w:jc w:val="center"/>
              <w:ind w:right="380"/>
              <w:spacing w:after="0"/>
              <w:rPr>
                <w:sz w:val="20"/>
                <w:szCs w:val="20"/>
                <w:color w:val="auto"/>
              </w:rPr>
            </w:pPr>
            <w:r>
              <w:rPr>
                <w:rFonts w:ascii="Arial" w:cs="Arial" w:eastAsia="Arial" w:hAnsi="Arial"/>
                <w:sz w:val="19"/>
                <w:szCs w:val="19"/>
                <w:color w:val="auto"/>
                <w:w w:val="88"/>
              </w:rPr>
              <w:t>Exchangeable Notes</w:t>
            </w:r>
          </w:p>
        </w:tc>
        <w:tc>
          <w:tcPr>
            <w:tcW w:w="1760" w:type="dxa"/>
            <w:vAlign w:val="bottom"/>
            <w:gridSpan w:val="4"/>
          </w:tcPr>
          <w:p>
            <w:pPr>
              <w:jc w:val="center"/>
              <w:ind w:right="60"/>
              <w:spacing w:after="0"/>
              <w:rPr>
                <w:sz w:val="20"/>
                <w:szCs w:val="20"/>
                <w:color w:val="auto"/>
              </w:rPr>
            </w:pPr>
            <w:r>
              <w:rPr>
                <w:rFonts w:ascii="Arial" w:cs="Arial" w:eastAsia="Arial" w:hAnsi="Arial"/>
                <w:sz w:val="19"/>
                <w:szCs w:val="19"/>
                <w:color w:val="auto"/>
                <w:w w:val="94"/>
              </w:rPr>
              <w:t>ZONES</w:t>
            </w:r>
          </w:p>
        </w:tc>
      </w:tr>
      <w:tr>
        <w:trPr>
          <w:trHeight w:val="87"/>
        </w:trPr>
        <w:tc>
          <w:tcPr>
            <w:tcW w:w="500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808080"/>
            </w:tcBorders>
            <w:gridSpan w:val="2"/>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283"/>
        </w:trPr>
        <w:tc>
          <w:tcPr>
            <w:tcW w:w="5000" w:type="dxa"/>
            <w:vAlign w:val="bottom"/>
          </w:tcPr>
          <w:p>
            <w:pPr>
              <w:spacing w:after="0"/>
              <w:rPr>
                <w:sz w:val="24"/>
                <w:szCs w:val="24"/>
                <w:color w:val="auto"/>
              </w:rPr>
            </w:pPr>
          </w:p>
        </w:tc>
        <w:tc>
          <w:tcPr>
            <w:tcW w:w="2180" w:type="dxa"/>
            <w:vAlign w:val="bottom"/>
            <w:gridSpan w:val="4"/>
          </w:tcPr>
          <w:p>
            <w:pPr>
              <w:jc w:val="center"/>
              <w:ind w:right="360"/>
              <w:spacing w:after="0"/>
              <w:rPr>
                <w:sz w:val="20"/>
                <w:szCs w:val="20"/>
                <w:color w:val="auto"/>
              </w:rPr>
            </w:pPr>
            <w:r>
              <w:rPr>
                <w:rFonts w:ascii="Arial" w:cs="Arial" w:eastAsia="Arial" w:hAnsi="Arial"/>
                <w:sz w:val="19"/>
                <w:szCs w:val="19"/>
                <w:color w:val="auto"/>
                <w:w w:val="91"/>
              </w:rPr>
              <w:t>Three Months Ended</w:t>
            </w:r>
          </w:p>
        </w:tc>
        <w:tc>
          <w:tcPr>
            <w:tcW w:w="1760" w:type="dxa"/>
            <w:vAlign w:val="bottom"/>
            <w:gridSpan w:val="4"/>
          </w:tcPr>
          <w:p>
            <w:pPr>
              <w:jc w:val="center"/>
              <w:ind w:right="60"/>
              <w:spacing w:after="0"/>
              <w:rPr>
                <w:sz w:val="20"/>
                <w:szCs w:val="20"/>
                <w:color w:val="auto"/>
              </w:rPr>
            </w:pPr>
            <w:r>
              <w:rPr>
                <w:rFonts w:ascii="Arial" w:cs="Arial" w:eastAsia="Arial" w:hAnsi="Arial"/>
                <w:sz w:val="19"/>
                <w:szCs w:val="19"/>
                <w:color w:val="auto"/>
                <w:w w:val="91"/>
              </w:rPr>
              <w:t>Three Months Ended</w:t>
            </w:r>
          </w:p>
        </w:tc>
      </w:tr>
      <w:tr>
        <w:trPr>
          <w:trHeight w:val="215"/>
        </w:trPr>
        <w:tc>
          <w:tcPr>
            <w:tcW w:w="5000" w:type="dxa"/>
            <w:vAlign w:val="bottom"/>
          </w:tcPr>
          <w:p>
            <w:pPr>
              <w:spacing w:after="0"/>
              <w:rPr>
                <w:sz w:val="18"/>
                <w:szCs w:val="18"/>
                <w:color w:val="auto"/>
              </w:rPr>
            </w:pPr>
          </w:p>
        </w:tc>
        <w:tc>
          <w:tcPr>
            <w:tcW w:w="2180" w:type="dxa"/>
            <w:vAlign w:val="bottom"/>
            <w:gridSpan w:val="4"/>
          </w:tcPr>
          <w:p>
            <w:pPr>
              <w:jc w:val="center"/>
              <w:ind w:right="360"/>
              <w:spacing w:after="0" w:line="214" w:lineRule="exact"/>
              <w:rPr>
                <w:sz w:val="20"/>
                <w:szCs w:val="20"/>
                <w:color w:val="auto"/>
              </w:rPr>
            </w:pPr>
            <w:r>
              <w:rPr>
                <w:rFonts w:ascii="Arial" w:cs="Arial" w:eastAsia="Arial" w:hAnsi="Arial"/>
                <w:sz w:val="19"/>
                <w:szCs w:val="19"/>
                <w:color w:val="auto"/>
                <w:w w:val="92"/>
              </w:rPr>
              <w:t>March 31,</w:t>
            </w:r>
          </w:p>
        </w:tc>
        <w:tc>
          <w:tcPr>
            <w:tcW w:w="1760" w:type="dxa"/>
            <w:vAlign w:val="bottom"/>
            <w:gridSpan w:val="4"/>
          </w:tcPr>
          <w:p>
            <w:pPr>
              <w:jc w:val="center"/>
              <w:ind w:right="60"/>
              <w:spacing w:after="0" w:line="214" w:lineRule="exact"/>
              <w:rPr>
                <w:sz w:val="20"/>
                <w:szCs w:val="20"/>
                <w:color w:val="auto"/>
              </w:rPr>
            </w:pPr>
            <w:r>
              <w:rPr>
                <w:rFonts w:ascii="Arial" w:cs="Arial" w:eastAsia="Arial" w:hAnsi="Arial"/>
                <w:sz w:val="19"/>
                <w:szCs w:val="19"/>
                <w:color w:val="auto"/>
                <w:w w:val="92"/>
              </w:rPr>
              <w:t>March 31,</w:t>
            </w:r>
          </w:p>
        </w:tc>
      </w:tr>
      <w:tr>
        <w:trPr>
          <w:trHeight w:val="242"/>
        </w:trPr>
        <w:tc>
          <w:tcPr>
            <w:tcW w:w="500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720" w:type="dxa"/>
            <w:vAlign w:val="bottom"/>
          </w:tcPr>
          <w:p>
            <w:pPr>
              <w:jc w:val="right"/>
              <w:ind w:right="85"/>
              <w:spacing w:after="0"/>
              <w:rPr>
                <w:sz w:val="20"/>
                <w:szCs w:val="20"/>
                <w:color w:val="auto"/>
              </w:rPr>
            </w:pPr>
            <w:r>
              <w:rPr>
                <w:rFonts w:ascii="Arial" w:cs="Arial" w:eastAsia="Arial" w:hAnsi="Arial"/>
                <w:sz w:val="19"/>
                <w:szCs w:val="19"/>
                <w:color w:val="auto"/>
              </w:rPr>
              <w:t>2004</w:t>
            </w:r>
          </w:p>
        </w:tc>
        <w:tc>
          <w:tcPr>
            <w:tcW w:w="360" w:type="dxa"/>
            <w:vAlign w:val="bottom"/>
          </w:tcPr>
          <w:p>
            <w:pPr>
              <w:spacing w:after="0"/>
              <w:rPr>
                <w:sz w:val="21"/>
                <w:szCs w:val="21"/>
                <w:color w:val="auto"/>
              </w:rPr>
            </w:pPr>
          </w:p>
        </w:tc>
        <w:tc>
          <w:tcPr>
            <w:tcW w:w="740" w:type="dxa"/>
            <w:vAlign w:val="bottom"/>
          </w:tcPr>
          <w:p>
            <w:pPr>
              <w:jc w:val="right"/>
              <w:ind w:right="85"/>
              <w:spacing w:after="0"/>
              <w:rPr>
                <w:sz w:val="20"/>
                <w:szCs w:val="20"/>
                <w:color w:val="auto"/>
              </w:rPr>
            </w:pPr>
            <w:r>
              <w:rPr>
                <w:rFonts w:ascii="Arial" w:cs="Arial" w:eastAsia="Arial" w:hAnsi="Arial"/>
                <w:sz w:val="19"/>
                <w:szCs w:val="19"/>
                <w:color w:val="auto"/>
              </w:rPr>
              <w:t>2003</w:t>
            </w:r>
          </w:p>
        </w:tc>
        <w:tc>
          <w:tcPr>
            <w:tcW w:w="360" w:type="dxa"/>
            <w:vAlign w:val="bottom"/>
          </w:tcPr>
          <w:p>
            <w:pPr>
              <w:spacing w:after="0"/>
              <w:rPr>
                <w:sz w:val="21"/>
                <w:szCs w:val="21"/>
                <w:color w:val="auto"/>
              </w:rPr>
            </w:pPr>
          </w:p>
        </w:tc>
        <w:tc>
          <w:tcPr>
            <w:tcW w:w="720" w:type="dxa"/>
            <w:vAlign w:val="bottom"/>
          </w:tcPr>
          <w:p>
            <w:pPr>
              <w:jc w:val="right"/>
              <w:ind w:right="65"/>
              <w:spacing w:after="0"/>
              <w:rPr>
                <w:sz w:val="20"/>
                <w:szCs w:val="20"/>
                <w:color w:val="auto"/>
              </w:rPr>
            </w:pPr>
            <w:r>
              <w:rPr>
                <w:rFonts w:ascii="Arial" w:cs="Arial" w:eastAsia="Arial" w:hAnsi="Arial"/>
                <w:sz w:val="19"/>
                <w:szCs w:val="19"/>
                <w:color w:val="auto"/>
              </w:rPr>
              <w:t>2004</w:t>
            </w:r>
          </w:p>
        </w:tc>
        <w:tc>
          <w:tcPr>
            <w:tcW w:w="980" w:type="dxa"/>
            <w:vAlign w:val="bottom"/>
            <w:gridSpan w:val="2"/>
          </w:tcPr>
          <w:p>
            <w:pPr>
              <w:jc w:val="right"/>
              <w:ind w:right="160"/>
              <w:spacing w:after="0"/>
              <w:rPr>
                <w:sz w:val="20"/>
                <w:szCs w:val="20"/>
                <w:color w:val="auto"/>
              </w:rPr>
            </w:pPr>
            <w:r>
              <w:rPr>
                <w:rFonts w:ascii="Arial" w:cs="Arial" w:eastAsia="Arial" w:hAnsi="Arial"/>
                <w:sz w:val="19"/>
                <w:szCs w:val="19"/>
                <w:color w:val="auto"/>
              </w:rPr>
              <w:t>2003</w:t>
            </w:r>
          </w:p>
        </w:tc>
        <w:tc>
          <w:tcPr>
            <w:tcW w:w="60" w:type="dxa"/>
            <w:vAlign w:val="bottom"/>
          </w:tcPr>
          <w:p>
            <w:pPr>
              <w:spacing w:after="0"/>
              <w:rPr>
                <w:sz w:val="21"/>
                <w:szCs w:val="21"/>
                <w:color w:val="auto"/>
              </w:rPr>
            </w:pPr>
          </w:p>
        </w:tc>
      </w:tr>
      <w:tr>
        <w:trPr>
          <w:trHeight w:val="87"/>
        </w:trPr>
        <w:tc>
          <w:tcPr>
            <w:tcW w:w="500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283"/>
        </w:trPr>
        <w:tc>
          <w:tcPr>
            <w:tcW w:w="5000" w:type="dxa"/>
            <w:vAlign w:val="bottom"/>
          </w:tcPr>
          <w:p>
            <w:pPr>
              <w:ind w:left="240"/>
              <w:spacing w:after="0"/>
              <w:rPr>
                <w:sz w:val="20"/>
                <w:szCs w:val="20"/>
                <w:color w:val="auto"/>
              </w:rPr>
            </w:pPr>
            <w:r>
              <w:rPr>
                <w:rFonts w:ascii="Arial" w:cs="Arial" w:eastAsia="Arial" w:hAnsi="Arial"/>
                <w:sz w:val="19"/>
                <w:szCs w:val="19"/>
                <w:color w:val="auto"/>
              </w:rPr>
              <w:t>Debt component</w:t>
            </w:r>
          </w:p>
        </w:tc>
        <w:tc>
          <w:tcPr>
            <w:tcW w:w="720" w:type="dxa"/>
            <w:vAlign w:val="bottom"/>
          </w:tcPr>
          <w:p>
            <w:pPr>
              <w:jc w:val="right"/>
              <w:spacing w:after="0"/>
              <w:rPr>
                <w:sz w:val="20"/>
                <w:szCs w:val="20"/>
                <w:color w:val="auto"/>
              </w:rPr>
            </w:pPr>
            <w:r>
              <w:rPr>
                <w:rFonts w:ascii="Arial" w:cs="Arial" w:eastAsia="Arial" w:hAnsi="Arial"/>
                <w:sz w:val="19"/>
                <w:szCs w:val="19"/>
                <w:color w:val="auto"/>
              </w:rPr>
              <w:t>$5,030</w:t>
            </w:r>
          </w:p>
        </w:tc>
        <w:tc>
          <w:tcPr>
            <w:tcW w:w="36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9"/>
                <w:szCs w:val="19"/>
                <w:color w:val="auto"/>
              </w:rPr>
              <w:t>$6,981</w:t>
            </w:r>
          </w:p>
        </w:tc>
        <w:tc>
          <w:tcPr>
            <w:tcW w:w="720" w:type="dxa"/>
            <w:vAlign w:val="bottom"/>
          </w:tcPr>
          <w:p>
            <w:pPr>
              <w:jc w:val="right"/>
              <w:spacing w:after="0"/>
              <w:rPr>
                <w:sz w:val="20"/>
                <w:szCs w:val="20"/>
                <w:color w:val="auto"/>
              </w:rPr>
            </w:pPr>
            <w:r>
              <w:rPr>
                <w:rFonts w:ascii="Arial" w:cs="Arial" w:eastAsia="Arial" w:hAnsi="Arial"/>
                <w:sz w:val="19"/>
                <w:szCs w:val="19"/>
                <w:color w:val="auto"/>
              </w:rPr>
              <w:t>$515</w:t>
            </w:r>
          </w:p>
        </w:tc>
        <w:tc>
          <w:tcPr>
            <w:tcW w:w="1040" w:type="dxa"/>
            <w:vAlign w:val="bottom"/>
            <w:gridSpan w:val="3"/>
          </w:tcPr>
          <w:p>
            <w:pPr>
              <w:jc w:val="right"/>
              <w:ind w:right="60"/>
              <w:spacing w:after="0"/>
              <w:rPr>
                <w:sz w:val="20"/>
                <w:szCs w:val="20"/>
                <w:color w:val="auto"/>
              </w:rPr>
            </w:pPr>
            <w:r>
              <w:rPr>
                <w:rFonts w:ascii="Arial" w:cs="Arial" w:eastAsia="Arial" w:hAnsi="Arial"/>
                <w:sz w:val="19"/>
                <w:szCs w:val="19"/>
                <w:color w:val="auto"/>
              </w:rPr>
              <w:t>$491</w:t>
            </w:r>
          </w:p>
        </w:tc>
      </w:tr>
      <w:tr>
        <w:trPr>
          <w:trHeight w:val="242"/>
        </w:trPr>
        <w:tc>
          <w:tcPr>
            <w:tcW w:w="5000" w:type="dxa"/>
            <w:vAlign w:val="bottom"/>
          </w:tcPr>
          <w:p>
            <w:pPr>
              <w:ind w:left="240"/>
              <w:spacing w:after="0"/>
              <w:rPr>
                <w:sz w:val="20"/>
                <w:szCs w:val="20"/>
                <w:color w:val="auto"/>
              </w:rPr>
            </w:pPr>
            <w:r>
              <w:rPr>
                <w:rFonts w:ascii="Arial" w:cs="Arial" w:eastAsia="Arial" w:hAnsi="Arial"/>
                <w:sz w:val="19"/>
                <w:szCs w:val="19"/>
                <w:color w:val="auto"/>
              </w:rPr>
              <w:t>Derivative component</w:t>
            </w:r>
          </w:p>
        </w:tc>
        <w:tc>
          <w:tcPr>
            <w:tcW w:w="1080" w:type="dxa"/>
            <w:vAlign w:val="bottom"/>
            <w:gridSpan w:val="2"/>
          </w:tcPr>
          <w:p>
            <w:pPr>
              <w:jc w:val="right"/>
              <w:ind w:right="300"/>
              <w:spacing w:after="0"/>
              <w:rPr>
                <w:sz w:val="20"/>
                <w:szCs w:val="20"/>
                <w:color w:val="auto"/>
              </w:rPr>
            </w:pPr>
            <w:r>
              <w:rPr>
                <w:rFonts w:ascii="Arial" w:cs="Arial" w:eastAsia="Arial" w:hAnsi="Arial"/>
                <w:sz w:val="19"/>
                <w:szCs w:val="19"/>
                <w:color w:val="auto"/>
              </w:rPr>
              <w:t>(712)</w:t>
            </w:r>
          </w:p>
        </w:tc>
        <w:tc>
          <w:tcPr>
            <w:tcW w:w="1100" w:type="dxa"/>
            <w:vAlign w:val="bottom"/>
            <w:gridSpan w:val="2"/>
          </w:tcPr>
          <w:p>
            <w:pPr>
              <w:jc w:val="right"/>
              <w:ind w:right="300"/>
              <w:spacing w:after="0"/>
              <w:rPr>
                <w:sz w:val="20"/>
                <w:szCs w:val="20"/>
                <w:color w:val="auto"/>
              </w:rPr>
            </w:pPr>
            <w:r>
              <w:rPr>
                <w:rFonts w:ascii="Arial" w:cs="Arial" w:eastAsia="Arial" w:hAnsi="Arial"/>
                <w:sz w:val="19"/>
                <w:szCs w:val="19"/>
                <w:color w:val="auto"/>
              </w:rPr>
              <w:t>(1,522)</w:t>
            </w:r>
          </w:p>
        </w:tc>
        <w:tc>
          <w:tcPr>
            <w:tcW w:w="720" w:type="dxa"/>
            <w:vAlign w:val="bottom"/>
          </w:tcPr>
          <w:p>
            <w:pPr>
              <w:jc w:val="right"/>
              <w:spacing w:after="0"/>
              <w:rPr>
                <w:sz w:val="20"/>
                <w:szCs w:val="20"/>
                <w:color w:val="auto"/>
              </w:rPr>
            </w:pPr>
            <w:r>
              <w:rPr>
                <w:rFonts w:ascii="Arial" w:cs="Arial" w:eastAsia="Arial" w:hAnsi="Arial"/>
                <w:sz w:val="19"/>
                <w:szCs w:val="19"/>
                <w:color w:val="auto"/>
              </w:rPr>
              <w:t>268</w:t>
            </w:r>
          </w:p>
        </w:tc>
        <w:tc>
          <w:tcPr>
            <w:tcW w:w="1040" w:type="dxa"/>
            <w:vAlign w:val="bottom"/>
            <w:gridSpan w:val="3"/>
          </w:tcPr>
          <w:p>
            <w:pPr>
              <w:jc w:val="right"/>
              <w:ind w:right="60"/>
              <w:spacing w:after="0"/>
              <w:rPr>
                <w:sz w:val="20"/>
                <w:szCs w:val="20"/>
                <w:color w:val="auto"/>
              </w:rPr>
            </w:pPr>
            <w:r>
              <w:rPr>
                <w:rFonts w:ascii="Arial" w:cs="Arial" w:eastAsia="Arial" w:hAnsi="Arial"/>
                <w:sz w:val="19"/>
                <w:szCs w:val="19"/>
                <w:color w:val="auto"/>
              </w:rPr>
              <w:t>208</w:t>
            </w:r>
          </w:p>
        </w:tc>
      </w:tr>
      <w:tr>
        <w:trPr>
          <w:trHeight w:val="87"/>
        </w:trPr>
        <w:tc>
          <w:tcPr>
            <w:tcW w:w="500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283"/>
        </w:trPr>
        <w:tc>
          <w:tcPr>
            <w:tcW w:w="5000" w:type="dxa"/>
            <w:vAlign w:val="bottom"/>
          </w:tcPr>
          <w:p>
            <w:pPr>
              <w:ind w:left="420"/>
              <w:spacing w:after="0"/>
              <w:rPr>
                <w:sz w:val="20"/>
                <w:szCs w:val="20"/>
                <w:color w:val="auto"/>
              </w:rPr>
            </w:pPr>
            <w:r>
              <w:rPr>
                <w:rFonts w:ascii="Arial" w:cs="Arial" w:eastAsia="Arial" w:hAnsi="Arial"/>
                <w:sz w:val="19"/>
                <w:szCs w:val="19"/>
                <w:color w:val="auto"/>
              </w:rPr>
              <w:t>Total</w:t>
            </w:r>
          </w:p>
        </w:tc>
        <w:tc>
          <w:tcPr>
            <w:tcW w:w="720" w:type="dxa"/>
            <w:vAlign w:val="bottom"/>
          </w:tcPr>
          <w:p>
            <w:pPr>
              <w:jc w:val="right"/>
              <w:spacing w:after="0"/>
              <w:rPr>
                <w:sz w:val="20"/>
                <w:szCs w:val="20"/>
                <w:color w:val="auto"/>
              </w:rPr>
            </w:pPr>
            <w:r>
              <w:rPr>
                <w:rFonts w:ascii="Arial" w:cs="Arial" w:eastAsia="Arial" w:hAnsi="Arial"/>
                <w:sz w:val="19"/>
                <w:szCs w:val="19"/>
                <w:color w:val="auto"/>
              </w:rPr>
              <w:t>4,318</w:t>
            </w:r>
          </w:p>
        </w:tc>
        <w:tc>
          <w:tcPr>
            <w:tcW w:w="36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9"/>
                <w:szCs w:val="19"/>
                <w:color w:val="auto"/>
              </w:rPr>
              <w:t>5,459</w:t>
            </w:r>
          </w:p>
        </w:tc>
        <w:tc>
          <w:tcPr>
            <w:tcW w:w="720" w:type="dxa"/>
            <w:vAlign w:val="bottom"/>
          </w:tcPr>
          <w:p>
            <w:pPr>
              <w:jc w:val="right"/>
              <w:spacing w:after="0"/>
              <w:rPr>
                <w:sz w:val="20"/>
                <w:szCs w:val="20"/>
                <w:color w:val="auto"/>
              </w:rPr>
            </w:pPr>
            <w:r>
              <w:rPr>
                <w:rFonts w:ascii="Arial" w:cs="Arial" w:eastAsia="Arial" w:hAnsi="Arial"/>
                <w:sz w:val="19"/>
                <w:szCs w:val="19"/>
                <w:color w:val="auto"/>
              </w:rPr>
              <w:t>783</w:t>
            </w:r>
          </w:p>
        </w:tc>
        <w:tc>
          <w:tcPr>
            <w:tcW w:w="1040" w:type="dxa"/>
            <w:vAlign w:val="bottom"/>
            <w:gridSpan w:val="3"/>
          </w:tcPr>
          <w:p>
            <w:pPr>
              <w:jc w:val="right"/>
              <w:ind w:right="60"/>
              <w:spacing w:after="0"/>
              <w:rPr>
                <w:sz w:val="20"/>
                <w:szCs w:val="20"/>
                <w:color w:val="auto"/>
              </w:rPr>
            </w:pPr>
            <w:r>
              <w:rPr>
                <w:rFonts w:ascii="Arial" w:cs="Arial" w:eastAsia="Arial" w:hAnsi="Arial"/>
                <w:sz w:val="19"/>
                <w:szCs w:val="19"/>
                <w:color w:val="auto"/>
              </w:rPr>
              <w:t>699</w:t>
            </w:r>
          </w:p>
        </w:tc>
      </w:tr>
      <w:tr>
        <w:trPr>
          <w:trHeight w:val="215"/>
        </w:trPr>
        <w:tc>
          <w:tcPr>
            <w:tcW w:w="5000" w:type="dxa"/>
            <w:vAlign w:val="bottom"/>
          </w:tcPr>
          <w:p>
            <w:pPr>
              <w:spacing w:after="0" w:line="214" w:lineRule="exact"/>
              <w:rPr>
                <w:sz w:val="20"/>
                <w:szCs w:val="20"/>
                <w:color w:val="auto"/>
              </w:rPr>
            </w:pPr>
            <w:r>
              <w:rPr>
                <w:rFonts w:ascii="Arial" w:cs="Arial" w:eastAsia="Arial" w:hAnsi="Arial"/>
                <w:sz w:val="19"/>
                <w:szCs w:val="19"/>
                <w:color w:val="auto"/>
              </w:rPr>
              <w:t>Decrease in debt component due to maturities</w:t>
            </w:r>
          </w:p>
        </w:tc>
        <w:tc>
          <w:tcPr>
            <w:tcW w:w="1080" w:type="dxa"/>
            <w:vAlign w:val="bottom"/>
            <w:gridSpan w:val="2"/>
          </w:tcPr>
          <w:p>
            <w:pPr>
              <w:jc w:val="right"/>
              <w:ind w:right="300"/>
              <w:spacing w:after="0" w:line="214" w:lineRule="exact"/>
              <w:rPr>
                <w:sz w:val="20"/>
                <w:szCs w:val="20"/>
                <w:color w:val="auto"/>
              </w:rPr>
            </w:pPr>
            <w:r>
              <w:rPr>
                <w:rFonts w:ascii="Arial" w:cs="Arial" w:eastAsia="Arial" w:hAnsi="Arial"/>
                <w:sz w:val="19"/>
                <w:szCs w:val="19"/>
                <w:color w:val="auto"/>
              </w:rPr>
              <w:t>(176)</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5000" w:type="dxa"/>
            <w:vAlign w:val="bottom"/>
          </w:tcPr>
          <w:p>
            <w:pPr>
              <w:spacing w:after="0" w:line="214" w:lineRule="exact"/>
              <w:rPr>
                <w:sz w:val="20"/>
                <w:szCs w:val="20"/>
                <w:color w:val="auto"/>
              </w:rPr>
            </w:pPr>
            <w:r>
              <w:rPr>
                <w:rFonts w:ascii="Arial" w:cs="Arial" w:eastAsia="Arial" w:hAnsi="Arial"/>
                <w:sz w:val="19"/>
                <w:szCs w:val="19"/>
                <w:color w:val="auto"/>
              </w:rPr>
              <w:t>Change in debt component to interest expense</w:t>
            </w:r>
          </w:p>
        </w:tc>
        <w:tc>
          <w:tcPr>
            <w:tcW w:w="1080" w:type="dxa"/>
            <w:vAlign w:val="bottom"/>
            <w:gridSpan w:val="2"/>
          </w:tcPr>
          <w:p>
            <w:pPr>
              <w:jc w:val="right"/>
              <w:ind w:right="300"/>
              <w:spacing w:after="0" w:line="214" w:lineRule="exact"/>
              <w:rPr>
                <w:sz w:val="20"/>
                <w:szCs w:val="20"/>
                <w:color w:val="auto"/>
              </w:rPr>
            </w:pPr>
            <w:r>
              <w:rPr>
                <w:rFonts w:ascii="Arial" w:cs="Arial" w:eastAsia="Arial" w:hAnsi="Arial"/>
                <w:sz w:val="19"/>
                <w:szCs w:val="19"/>
                <w:color w:val="auto"/>
              </w:rPr>
              <w:t>(20)</w:t>
            </w:r>
          </w:p>
        </w:tc>
        <w:tc>
          <w:tcPr>
            <w:tcW w:w="1100" w:type="dxa"/>
            <w:vAlign w:val="bottom"/>
            <w:gridSpan w:val="2"/>
          </w:tcPr>
          <w:p>
            <w:pPr>
              <w:jc w:val="right"/>
              <w:ind w:right="300"/>
              <w:spacing w:after="0" w:line="214" w:lineRule="exact"/>
              <w:rPr>
                <w:sz w:val="20"/>
                <w:szCs w:val="20"/>
                <w:color w:val="auto"/>
              </w:rPr>
            </w:pPr>
            <w:r>
              <w:rPr>
                <w:rFonts w:ascii="Arial" w:cs="Arial" w:eastAsia="Arial" w:hAnsi="Arial"/>
                <w:sz w:val="19"/>
                <w:szCs w:val="19"/>
                <w:color w:val="auto"/>
              </w:rPr>
              <w:t>(25)</w:t>
            </w:r>
          </w:p>
        </w:tc>
        <w:tc>
          <w:tcPr>
            <w:tcW w:w="720" w:type="dxa"/>
            <w:vAlign w:val="bottom"/>
          </w:tcPr>
          <w:p>
            <w:pPr>
              <w:jc w:val="right"/>
              <w:spacing w:after="0" w:line="214" w:lineRule="exact"/>
              <w:rPr>
                <w:sz w:val="20"/>
                <w:szCs w:val="20"/>
                <w:color w:val="auto"/>
              </w:rPr>
            </w:pPr>
            <w:r>
              <w:rPr>
                <w:rFonts w:ascii="Arial" w:cs="Arial" w:eastAsia="Arial" w:hAnsi="Arial"/>
                <w:sz w:val="19"/>
                <w:szCs w:val="19"/>
                <w:color w:val="auto"/>
              </w:rPr>
              <w:t>6</w:t>
            </w:r>
          </w:p>
        </w:tc>
        <w:tc>
          <w:tcPr>
            <w:tcW w:w="1040" w:type="dxa"/>
            <w:vAlign w:val="bottom"/>
            <w:gridSpan w:val="3"/>
          </w:tcPr>
          <w:p>
            <w:pPr>
              <w:jc w:val="right"/>
              <w:ind w:right="60"/>
              <w:spacing w:after="0" w:line="214" w:lineRule="exact"/>
              <w:rPr>
                <w:sz w:val="20"/>
                <w:szCs w:val="20"/>
                <w:color w:val="auto"/>
              </w:rPr>
            </w:pPr>
            <w:r>
              <w:rPr>
                <w:rFonts w:ascii="Arial" w:cs="Arial" w:eastAsia="Arial" w:hAnsi="Arial"/>
                <w:sz w:val="19"/>
                <w:szCs w:val="19"/>
                <w:color w:val="auto"/>
              </w:rPr>
              <w:t>6</w:t>
            </w:r>
          </w:p>
        </w:tc>
      </w:tr>
      <w:tr>
        <w:trPr>
          <w:trHeight w:val="215"/>
        </w:trPr>
        <w:tc>
          <w:tcPr>
            <w:tcW w:w="5000" w:type="dxa"/>
            <w:vAlign w:val="bottom"/>
          </w:tcPr>
          <w:p>
            <w:pPr>
              <w:spacing w:after="0" w:line="214" w:lineRule="exact"/>
              <w:rPr>
                <w:sz w:val="20"/>
                <w:szCs w:val="20"/>
                <w:color w:val="auto"/>
              </w:rPr>
            </w:pPr>
            <w:r>
              <w:rPr>
                <w:rFonts w:ascii="Arial" w:cs="Arial" w:eastAsia="Arial" w:hAnsi="Arial"/>
                <w:sz w:val="19"/>
                <w:szCs w:val="19"/>
                <w:color w:val="auto"/>
              </w:rPr>
              <w:t>Change in derivative component to investment</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2"/>
        </w:trPr>
        <w:tc>
          <w:tcPr>
            <w:tcW w:w="5000" w:type="dxa"/>
            <w:vAlign w:val="bottom"/>
          </w:tcPr>
          <w:p>
            <w:pPr>
              <w:ind w:left="240"/>
              <w:spacing w:after="0"/>
              <w:rPr>
                <w:sz w:val="20"/>
                <w:szCs w:val="20"/>
                <w:color w:val="auto"/>
              </w:rPr>
            </w:pPr>
            <w:r>
              <w:rPr>
                <w:rFonts w:ascii="Arial" w:cs="Arial" w:eastAsia="Arial" w:hAnsi="Arial"/>
                <w:sz w:val="19"/>
                <w:szCs w:val="19"/>
                <w:color w:val="auto"/>
              </w:rPr>
              <w:t>loss, net</w:t>
            </w:r>
          </w:p>
        </w:tc>
        <w:tc>
          <w:tcPr>
            <w:tcW w:w="1080" w:type="dxa"/>
            <w:vAlign w:val="bottom"/>
            <w:gridSpan w:val="2"/>
          </w:tcPr>
          <w:p>
            <w:pPr>
              <w:jc w:val="right"/>
              <w:ind w:right="300"/>
              <w:spacing w:after="0"/>
              <w:rPr>
                <w:sz w:val="20"/>
                <w:szCs w:val="20"/>
                <w:color w:val="auto"/>
              </w:rPr>
            </w:pPr>
            <w:r>
              <w:rPr>
                <w:rFonts w:ascii="Arial" w:cs="Arial" w:eastAsia="Arial" w:hAnsi="Arial"/>
                <w:sz w:val="19"/>
                <w:szCs w:val="19"/>
                <w:color w:val="auto"/>
              </w:rPr>
              <w:t>(117)</w:t>
            </w:r>
          </w:p>
        </w:tc>
        <w:tc>
          <w:tcPr>
            <w:tcW w:w="1100" w:type="dxa"/>
            <w:vAlign w:val="bottom"/>
            <w:gridSpan w:val="2"/>
          </w:tcPr>
          <w:p>
            <w:pPr>
              <w:jc w:val="right"/>
              <w:ind w:right="360"/>
              <w:spacing w:after="0"/>
              <w:rPr>
                <w:sz w:val="20"/>
                <w:szCs w:val="20"/>
                <w:color w:val="auto"/>
              </w:rPr>
            </w:pPr>
            <w:r>
              <w:rPr>
                <w:rFonts w:ascii="Arial" w:cs="Arial" w:eastAsia="Arial" w:hAnsi="Arial"/>
                <w:sz w:val="19"/>
                <w:szCs w:val="19"/>
                <w:color w:val="auto"/>
              </w:rPr>
              <w:t>245</w:t>
            </w:r>
          </w:p>
        </w:tc>
        <w:tc>
          <w:tcPr>
            <w:tcW w:w="720" w:type="dxa"/>
            <w:vAlign w:val="bottom"/>
          </w:tcPr>
          <w:p>
            <w:pPr>
              <w:jc w:val="right"/>
              <w:spacing w:after="0"/>
              <w:rPr>
                <w:sz w:val="20"/>
                <w:szCs w:val="20"/>
                <w:color w:val="auto"/>
              </w:rPr>
            </w:pPr>
            <w:r>
              <w:rPr>
                <w:rFonts w:ascii="Arial" w:cs="Arial" w:eastAsia="Arial" w:hAnsi="Arial"/>
                <w:sz w:val="19"/>
                <w:szCs w:val="19"/>
                <w:color w:val="auto"/>
              </w:rPr>
              <w:t>169</w:t>
            </w:r>
          </w:p>
        </w:tc>
        <w:tc>
          <w:tcPr>
            <w:tcW w:w="1040" w:type="dxa"/>
            <w:vAlign w:val="bottom"/>
            <w:gridSpan w:val="3"/>
          </w:tcPr>
          <w:p>
            <w:pPr>
              <w:jc w:val="right"/>
              <w:spacing w:after="0"/>
              <w:rPr>
                <w:sz w:val="20"/>
                <w:szCs w:val="20"/>
                <w:color w:val="auto"/>
              </w:rPr>
            </w:pPr>
            <w:r>
              <w:rPr>
                <w:rFonts w:ascii="Arial" w:cs="Arial" w:eastAsia="Arial" w:hAnsi="Arial"/>
                <w:sz w:val="19"/>
                <w:szCs w:val="19"/>
                <w:color w:val="auto"/>
              </w:rPr>
              <w:t>(1)</w:t>
            </w:r>
          </w:p>
        </w:tc>
      </w:tr>
      <w:tr>
        <w:trPr>
          <w:trHeight w:val="402"/>
        </w:trPr>
        <w:tc>
          <w:tcPr>
            <w:tcW w:w="5000" w:type="dxa"/>
            <w:vAlign w:val="bottom"/>
          </w:tcPr>
          <w:p>
            <w:pPr>
              <w:spacing w:after="0"/>
              <w:rPr>
                <w:sz w:val="20"/>
                <w:szCs w:val="20"/>
                <w:color w:val="auto"/>
              </w:rPr>
            </w:pPr>
            <w:r>
              <w:rPr>
                <w:rFonts w:ascii="Arial" w:cs="Arial" w:eastAsia="Arial" w:hAnsi="Arial"/>
                <w:sz w:val="19"/>
                <w:szCs w:val="19"/>
                <w:color w:val="auto"/>
              </w:rPr>
              <w:t>Balance at End of Period:</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5"/>
        </w:trPr>
        <w:tc>
          <w:tcPr>
            <w:tcW w:w="5000" w:type="dxa"/>
            <w:vAlign w:val="bottom"/>
          </w:tcPr>
          <w:p>
            <w:pPr>
              <w:ind w:left="240"/>
              <w:spacing w:after="0" w:line="214" w:lineRule="exact"/>
              <w:rPr>
                <w:sz w:val="20"/>
                <w:szCs w:val="20"/>
                <w:color w:val="auto"/>
              </w:rPr>
            </w:pPr>
            <w:r>
              <w:rPr>
                <w:rFonts w:ascii="Arial" w:cs="Arial" w:eastAsia="Arial" w:hAnsi="Arial"/>
                <w:sz w:val="19"/>
                <w:szCs w:val="19"/>
                <w:color w:val="auto"/>
              </w:rPr>
              <w:t>Debt component</w:t>
            </w:r>
          </w:p>
        </w:tc>
        <w:tc>
          <w:tcPr>
            <w:tcW w:w="720" w:type="dxa"/>
            <w:vAlign w:val="bottom"/>
          </w:tcPr>
          <w:p>
            <w:pPr>
              <w:jc w:val="right"/>
              <w:spacing w:after="0" w:line="214" w:lineRule="exact"/>
              <w:rPr>
                <w:sz w:val="20"/>
                <w:szCs w:val="20"/>
                <w:color w:val="auto"/>
              </w:rPr>
            </w:pPr>
            <w:r>
              <w:rPr>
                <w:rFonts w:ascii="Arial" w:cs="Arial" w:eastAsia="Arial" w:hAnsi="Arial"/>
                <w:sz w:val="19"/>
                <w:szCs w:val="19"/>
                <w:color w:val="auto"/>
              </w:rPr>
              <w:t>4,834</w:t>
            </w:r>
          </w:p>
        </w:tc>
        <w:tc>
          <w:tcPr>
            <w:tcW w:w="360" w:type="dxa"/>
            <w:vAlign w:val="bottom"/>
          </w:tcPr>
          <w:p>
            <w:pPr>
              <w:spacing w:after="0"/>
              <w:rPr>
                <w:sz w:val="18"/>
                <w:szCs w:val="18"/>
                <w:color w:val="auto"/>
              </w:rPr>
            </w:pPr>
          </w:p>
        </w:tc>
        <w:tc>
          <w:tcPr>
            <w:tcW w:w="1100" w:type="dxa"/>
            <w:vAlign w:val="bottom"/>
            <w:gridSpan w:val="2"/>
          </w:tcPr>
          <w:p>
            <w:pPr>
              <w:jc w:val="right"/>
              <w:ind w:right="360"/>
              <w:spacing w:after="0" w:line="214" w:lineRule="exact"/>
              <w:rPr>
                <w:sz w:val="20"/>
                <w:szCs w:val="20"/>
                <w:color w:val="auto"/>
              </w:rPr>
            </w:pPr>
            <w:r>
              <w:rPr>
                <w:rFonts w:ascii="Arial" w:cs="Arial" w:eastAsia="Arial" w:hAnsi="Arial"/>
                <w:sz w:val="19"/>
                <w:szCs w:val="19"/>
                <w:color w:val="auto"/>
              </w:rPr>
              <w:t>6,956</w:t>
            </w:r>
          </w:p>
        </w:tc>
        <w:tc>
          <w:tcPr>
            <w:tcW w:w="720" w:type="dxa"/>
            <w:vAlign w:val="bottom"/>
          </w:tcPr>
          <w:p>
            <w:pPr>
              <w:jc w:val="right"/>
              <w:spacing w:after="0" w:line="214" w:lineRule="exact"/>
              <w:rPr>
                <w:sz w:val="20"/>
                <w:szCs w:val="20"/>
                <w:color w:val="auto"/>
              </w:rPr>
            </w:pPr>
            <w:r>
              <w:rPr>
                <w:rFonts w:ascii="Arial" w:cs="Arial" w:eastAsia="Arial" w:hAnsi="Arial"/>
                <w:sz w:val="19"/>
                <w:szCs w:val="19"/>
                <w:color w:val="auto"/>
              </w:rPr>
              <w:t>521</w:t>
            </w:r>
          </w:p>
        </w:tc>
        <w:tc>
          <w:tcPr>
            <w:tcW w:w="1040" w:type="dxa"/>
            <w:vAlign w:val="bottom"/>
            <w:gridSpan w:val="3"/>
          </w:tcPr>
          <w:p>
            <w:pPr>
              <w:jc w:val="right"/>
              <w:ind w:right="60"/>
              <w:spacing w:after="0" w:line="214" w:lineRule="exact"/>
              <w:rPr>
                <w:sz w:val="20"/>
                <w:szCs w:val="20"/>
                <w:color w:val="auto"/>
              </w:rPr>
            </w:pPr>
            <w:r>
              <w:rPr>
                <w:rFonts w:ascii="Arial" w:cs="Arial" w:eastAsia="Arial" w:hAnsi="Arial"/>
                <w:sz w:val="19"/>
                <w:szCs w:val="19"/>
                <w:color w:val="auto"/>
              </w:rPr>
              <w:t>497</w:t>
            </w:r>
          </w:p>
        </w:tc>
      </w:tr>
      <w:tr>
        <w:trPr>
          <w:trHeight w:val="242"/>
        </w:trPr>
        <w:tc>
          <w:tcPr>
            <w:tcW w:w="5000" w:type="dxa"/>
            <w:vAlign w:val="bottom"/>
          </w:tcPr>
          <w:p>
            <w:pPr>
              <w:ind w:left="240"/>
              <w:spacing w:after="0"/>
              <w:rPr>
                <w:sz w:val="20"/>
                <w:szCs w:val="20"/>
                <w:color w:val="auto"/>
              </w:rPr>
            </w:pPr>
            <w:r>
              <w:rPr>
                <w:rFonts w:ascii="Arial" w:cs="Arial" w:eastAsia="Arial" w:hAnsi="Arial"/>
                <w:sz w:val="19"/>
                <w:szCs w:val="19"/>
                <w:color w:val="auto"/>
              </w:rPr>
              <w:t>Derivative component</w:t>
            </w:r>
          </w:p>
        </w:tc>
        <w:tc>
          <w:tcPr>
            <w:tcW w:w="1080" w:type="dxa"/>
            <w:vAlign w:val="bottom"/>
            <w:gridSpan w:val="2"/>
          </w:tcPr>
          <w:p>
            <w:pPr>
              <w:jc w:val="right"/>
              <w:ind w:right="300"/>
              <w:spacing w:after="0"/>
              <w:rPr>
                <w:sz w:val="20"/>
                <w:szCs w:val="20"/>
                <w:color w:val="auto"/>
              </w:rPr>
            </w:pPr>
            <w:r>
              <w:rPr>
                <w:rFonts w:ascii="Arial" w:cs="Arial" w:eastAsia="Arial" w:hAnsi="Arial"/>
                <w:sz w:val="19"/>
                <w:szCs w:val="19"/>
                <w:color w:val="auto"/>
              </w:rPr>
              <w:t>(829)</w:t>
            </w:r>
          </w:p>
        </w:tc>
        <w:tc>
          <w:tcPr>
            <w:tcW w:w="1100" w:type="dxa"/>
            <w:vAlign w:val="bottom"/>
            <w:gridSpan w:val="2"/>
          </w:tcPr>
          <w:p>
            <w:pPr>
              <w:jc w:val="right"/>
              <w:ind w:right="300"/>
              <w:spacing w:after="0"/>
              <w:rPr>
                <w:sz w:val="20"/>
                <w:szCs w:val="20"/>
                <w:color w:val="auto"/>
              </w:rPr>
            </w:pPr>
            <w:r>
              <w:rPr>
                <w:rFonts w:ascii="Arial" w:cs="Arial" w:eastAsia="Arial" w:hAnsi="Arial"/>
                <w:sz w:val="19"/>
                <w:szCs w:val="19"/>
                <w:color w:val="auto"/>
              </w:rPr>
              <w:t>(1,277)</w:t>
            </w:r>
          </w:p>
        </w:tc>
        <w:tc>
          <w:tcPr>
            <w:tcW w:w="720" w:type="dxa"/>
            <w:vAlign w:val="bottom"/>
          </w:tcPr>
          <w:p>
            <w:pPr>
              <w:jc w:val="right"/>
              <w:spacing w:after="0"/>
              <w:rPr>
                <w:sz w:val="20"/>
                <w:szCs w:val="20"/>
                <w:color w:val="auto"/>
              </w:rPr>
            </w:pPr>
            <w:r>
              <w:rPr>
                <w:rFonts w:ascii="Arial" w:cs="Arial" w:eastAsia="Arial" w:hAnsi="Arial"/>
                <w:sz w:val="19"/>
                <w:szCs w:val="19"/>
                <w:color w:val="auto"/>
              </w:rPr>
              <w:t>437</w:t>
            </w:r>
          </w:p>
        </w:tc>
        <w:tc>
          <w:tcPr>
            <w:tcW w:w="1040" w:type="dxa"/>
            <w:vAlign w:val="bottom"/>
            <w:gridSpan w:val="3"/>
          </w:tcPr>
          <w:p>
            <w:pPr>
              <w:jc w:val="right"/>
              <w:ind w:right="60"/>
              <w:spacing w:after="0"/>
              <w:rPr>
                <w:sz w:val="20"/>
                <w:szCs w:val="20"/>
                <w:color w:val="auto"/>
              </w:rPr>
            </w:pPr>
            <w:r>
              <w:rPr>
                <w:rFonts w:ascii="Arial" w:cs="Arial" w:eastAsia="Arial" w:hAnsi="Arial"/>
                <w:sz w:val="19"/>
                <w:szCs w:val="19"/>
                <w:color w:val="auto"/>
              </w:rPr>
              <w:t>207</w:t>
            </w:r>
          </w:p>
        </w:tc>
      </w:tr>
      <w:tr>
        <w:trPr>
          <w:trHeight w:val="87"/>
        </w:trPr>
        <w:tc>
          <w:tcPr>
            <w:tcW w:w="500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310"/>
        </w:trPr>
        <w:tc>
          <w:tcPr>
            <w:tcW w:w="5000" w:type="dxa"/>
            <w:vAlign w:val="bottom"/>
          </w:tcPr>
          <w:p>
            <w:pPr>
              <w:ind w:left="420"/>
              <w:spacing w:after="0"/>
              <w:rPr>
                <w:sz w:val="20"/>
                <w:szCs w:val="20"/>
                <w:color w:val="auto"/>
              </w:rPr>
            </w:pPr>
            <w:r>
              <w:rPr>
                <w:rFonts w:ascii="Arial" w:cs="Arial" w:eastAsia="Arial" w:hAnsi="Arial"/>
                <w:sz w:val="19"/>
                <w:szCs w:val="19"/>
                <w:color w:val="auto"/>
              </w:rPr>
              <w:t>Total</w:t>
            </w:r>
          </w:p>
        </w:tc>
        <w:tc>
          <w:tcPr>
            <w:tcW w:w="720" w:type="dxa"/>
            <w:vAlign w:val="bottom"/>
          </w:tcPr>
          <w:p>
            <w:pPr>
              <w:jc w:val="right"/>
              <w:spacing w:after="0"/>
              <w:rPr>
                <w:sz w:val="20"/>
                <w:szCs w:val="20"/>
                <w:color w:val="auto"/>
              </w:rPr>
            </w:pPr>
            <w:r>
              <w:rPr>
                <w:rFonts w:ascii="Arial" w:cs="Arial" w:eastAsia="Arial" w:hAnsi="Arial"/>
                <w:sz w:val="19"/>
                <w:szCs w:val="19"/>
                <w:color w:val="auto"/>
              </w:rPr>
              <w:t>$4,005</w:t>
            </w:r>
          </w:p>
        </w:tc>
        <w:tc>
          <w:tcPr>
            <w:tcW w:w="36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9"/>
                <w:szCs w:val="19"/>
                <w:color w:val="auto"/>
              </w:rPr>
              <w:t>$5,679</w:t>
            </w:r>
          </w:p>
        </w:tc>
        <w:tc>
          <w:tcPr>
            <w:tcW w:w="720" w:type="dxa"/>
            <w:vAlign w:val="bottom"/>
          </w:tcPr>
          <w:p>
            <w:pPr>
              <w:jc w:val="right"/>
              <w:spacing w:after="0"/>
              <w:rPr>
                <w:sz w:val="20"/>
                <w:szCs w:val="20"/>
                <w:color w:val="auto"/>
              </w:rPr>
            </w:pPr>
            <w:r>
              <w:rPr>
                <w:rFonts w:ascii="Arial" w:cs="Arial" w:eastAsia="Arial" w:hAnsi="Arial"/>
                <w:sz w:val="19"/>
                <w:szCs w:val="19"/>
                <w:color w:val="auto"/>
              </w:rPr>
              <w:t>$958</w:t>
            </w:r>
          </w:p>
        </w:tc>
        <w:tc>
          <w:tcPr>
            <w:tcW w:w="1040" w:type="dxa"/>
            <w:vAlign w:val="bottom"/>
            <w:gridSpan w:val="3"/>
          </w:tcPr>
          <w:p>
            <w:pPr>
              <w:jc w:val="right"/>
              <w:ind w:right="60"/>
              <w:spacing w:after="0"/>
              <w:rPr>
                <w:sz w:val="20"/>
                <w:szCs w:val="20"/>
                <w:color w:val="auto"/>
              </w:rPr>
            </w:pPr>
            <w:r>
              <w:rPr>
                <w:rFonts w:ascii="Arial" w:cs="Arial" w:eastAsia="Arial" w:hAnsi="Arial"/>
                <w:sz w:val="19"/>
                <w:szCs w:val="19"/>
                <w:color w:val="auto"/>
              </w:rPr>
              <w:t>$704</w:t>
            </w:r>
          </w:p>
        </w:tc>
      </w:tr>
      <w:tr>
        <w:trPr>
          <w:trHeight w:val="95"/>
        </w:trPr>
        <w:tc>
          <w:tcPr>
            <w:tcW w:w="50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-13335</wp:posOffset>
            </wp:positionV>
            <wp:extent cx="1270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3170555</wp:posOffset>
            </wp:positionH>
            <wp:positionV relativeFrom="paragraph">
              <wp:posOffset>-13335</wp:posOffset>
            </wp:positionV>
            <wp:extent cx="127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4321810</wp:posOffset>
            </wp:positionH>
            <wp:positionV relativeFrom="paragraph">
              <wp:posOffset>-13335</wp:posOffset>
            </wp:positionV>
            <wp:extent cx="127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-13335</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-13335</wp:posOffset>
            </wp:positionV>
            <wp:extent cx="12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4563745</wp:posOffset>
            </wp:positionH>
            <wp:positionV relativeFrom="paragraph">
              <wp:posOffset>-13335</wp:posOffset>
            </wp:positionV>
            <wp:extent cx="127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-13335</wp:posOffset>
            </wp:positionV>
            <wp:extent cx="12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-13335</wp:posOffset>
            </wp:positionV>
            <wp:extent cx="12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67" w:lineRule="exact"/>
        <w:rPr>
          <w:sz w:val="20"/>
          <w:szCs w:val="20"/>
          <w:color w:val="auto"/>
        </w:rPr>
      </w:pPr>
    </w:p>
    <w:p>
      <w:pPr>
        <w:ind w:left="465"/>
        <w:spacing w:after="0"/>
        <w:rPr>
          <w:sz w:val="20"/>
          <w:szCs w:val="20"/>
          <w:color w:val="auto"/>
        </w:rPr>
      </w:pPr>
      <w:r>
        <w:rPr>
          <w:rFonts w:ascii="Arial" w:cs="Arial" w:eastAsia="Arial" w:hAnsi="Arial"/>
          <w:sz w:val="19"/>
          <w:szCs w:val="19"/>
          <w:i w:val="1"/>
          <w:iCs w:val="1"/>
          <w:color w:val="auto"/>
        </w:rPr>
        <w:t>Interest Rates</w:t>
      </w:r>
    </w:p>
    <w:p>
      <w:pPr>
        <w:spacing w:after="0" w:line="12" w:lineRule="exact"/>
        <w:rPr>
          <w:sz w:val="20"/>
          <w:szCs w:val="20"/>
          <w:color w:val="auto"/>
        </w:rPr>
      </w:pPr>
    </w:p>
    <w:p>
      <w:pPr>
        <w:ind w:left="465" w:right="160"/>
        <w:spacing w:after="0" w:line="244" w:lineRule="auto"/>
        <w:rPr>
          <w:sz w:val="20"/>
          <w:szCs w:val="20"/>
          <w:color w:val="auto"/>
        </w:rPr>
      </w:pPr>
      <w:r>
        <w:rPr>
          <w:rFonts w:ascii="Arial" w:cs="Arial" w:eastAsia="Arial" w:hAnsi="Arial"/>
          <w:sz w:val="19"/>
          <w:szCs w:val="19"/>
          <w:color w:val="auto"/>
        </w:rPr>
        <w:t>Excluding the derivative component of the Exchangeable Notes and the ZONES whose changes in fair value are recorded to investment loss, net, our effective weighted average interest rate was 7.08% as of March 31, 2004 and December 31, 2003.</w:t>
      </w:r>
    </w:p>
    <w:p>
      <w:pPr>
        <w:spacing w:after="0" w:line="375" w:lineRule="exact"/>
        <w:rPr>
          <w:sz w:val="20"/>
          <w:szCs w:val="20"/>
          <w:color w:val="auto"/>
        </w:rPr>
      </w:pPr>
    </w:p>
    <w:p>
      <w:pPr>
        <w:jc w:val="center"/>
        <w:ind w:right="-44"/>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7773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ind w:right="15"/>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15"/>
        <w:spacing w:after="0"/>
        <w:rPr>
          <w:sz w:val="20"/>
          <w:szCs w:val="20"/>
          <w:color w:val="auto"/>
        </w:rPr>
      </w:pPr>
      <w:r>
        <w:rPr>
          <w:rFonts w:ascii="Arial" w:cs="Arial" w:eastAsia="Arial" w:hAnsi="Arial"/>
          <w:sz w:val="19"/>
          <w:szCs w:val="19"/>
          <w:color w:val="auto"/>
        </w:rPr>
        <w:t>FORM 10-Q</w:t>
      </w:r>
    </w:p>
    <w:p>
      <w:pPr>
        <w:jc w:val="center"/>
        <w:ind w:right="15"/>
        <w:spacing w:after="0" w:line="235" w:lineRule="auto"/>
        <w:rPr>
          <w:sz w:val="20"/>
          <w:szCs w:val="20"/>
          <w:color w:val="auto"/>
        </w:rPr>
      </w:pPr>
      <w:r>
        <w:rPr>
          <w:rFonts w:ascii="Arial" w:cs="Arial" w:eastAsia="Arial" w:hAnsi="Arial"/>
          <w:sz w:val="19"/>
          <w:szCs w:val="19"/>
          <w:color w:val="auto"/>
        </w:rPr>
        <w:t>QUARTER ENDED MARCH 31, 2004</w:t>
      </w:r>
    </w:p>
    <w:p>
      <w:pPr>
        <w:jc w:val="center"/>
        <w:ind w:right="15"/>
        <w:spacing w:after="0" w:line="236" w:lineRule="auto"/>
        <w:rPr>
          <w:sz w:val="20"/>
          <w:szCs w:val="20"/>
          <w:color w:val="auto"/>
        </w:rPr>
      </w:pPr>
      <w:r>
        <w:rPr>
          <w:rFonts w:ascii="Arial" w:cs="Arial" w:eastAsia="Arial" w:hAnsi="Arial"/>
          <w:sz w:val="19"/>
          <w:szCs w:val="19"/>
          <w:color w:val="auto"/>
        </w:rPr>
        <w:t>NOTES TO CONDENSED CONSOLIDATED FINANCIAL STATEMENTS - CONTINUED</w:t>
      </w:r>
    </w:p>
    <w:p>
      <w:pPr>
        <w:spacing w:after="0" w:line="1" w:lineRule="exact"/>
        <w:rPr>
          <w:sz w:val="20"/>
          <w:szCs w:val="20"/>
          <w:color w:val="auto"/>
        </w:rPr>
      </w:pPr>
    </w:p>
    <w:p>
      <w:pPr>
        <w:jc w:val="center"/>
        <w:ind w:right="-44"/>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p>
      <w:pPr>
        <w:ind w:left="465"/>
        <w:spacing w:after="0"/>
        <w:rPr>
          <w:sz w:val="20"/>
          <w:szCs w:val="20"/>
          <w:color w:val="auto"/>
        </w:rPr>
      </w:pPr>
      <w:r>
        <w:rPr>
          <w:rFonts w:ascii="Arial" w:cs="Arial" w:eastAsia="Arial" w:hAnsi="Arial"/>
          <w:sz w:val="19"/>
          <w:szCs w:val="19"/>
          <w:i w:val="1"/>
          <w:iCs w:val="1"/>
          <w:color w:val="auto"/>
        </w:rPr>
        <w:t>Derivatives</w:t>
      </w:r>
    </w:p>
    <w:p>
      <w:pPr>
        <w:spacing w:after="0" w:line="12" w:lineRule="exact"/>
        <w:rPr>
          <w:sz w:val="20"/>
          <w:szCs w:val="20"/>
          <w:color w:val="auto"/>
        </w:rPr>
      </w:pPr>
    </w:p>
    <w:p>
      <w:pPr>
        <w:ind w:left="465" w:right="160"/>
        <w:spacing w:after="0" w:line="239" w:lineRule="auto"/>
        <w:rPr>
          <w:sz w:val="20"/>
          <w:szCs w:val="20"/>
          <w:color w:val="auto"/>
        </w:rPr>
      </w:pPr>
      <w:r>
        <w:rPr>
          <w:rFonts w:ascii="Arial" w:cs="Arial" w:eastAsia="Arial" w:hAnsi="Arial"/>
          <w:sz w:val="19"/>
          <w:szCs w:val="19"/>
          <w:color w:val="auto"/>
        </w:rPr>
        <w:t>We use derivative financial instruments to manage our exposure to fluctuations in interest rates and securities prices. We have issued indexed debt instruments and prepaid forward sale agreements whose value, in part, is derived from the market value of certain publicly traded common stock.</w:t>
      </w:r>
    </w:p>
    <w:p>
      <w:pPr>
        <w:spacing w:after="0" w:line="190" w:lineRule="exact"/>
        <w:rPr>
          <w:sz w:val="20"/>
          <w:szCs w:val="20"/>
          <w:color w:val="auto"/>
        </w:rPr>
      </w:pPr>
    </w:p>
    <w:p>
      <w:pPr>
        <w:ind w:left="465"/>
        <w:spacing w:after="0"/>
        <w:rPr>
          <w:sz w:val="20"/>
          <w:szCs w:val="20"/>
          <w:color w:val="auto"/>
        </w:rPr>
      </w:pPr>
      <w:r>
        <w:rPr>
          <w:rFonts w:ascii="Arial" w:cs="Arial" w:eastAsia="Arial" w:hAnsi="Arial"/>
          <w:sz w:val="19"/>
          <w:szCs w:val="19"/>
          <w:i w:val="1"/>
          <w:iCs w:val="1"/>
          <w:color w:val="auto"/>
        </w:rPr>
        <w:t>Lines and Letters of Credit</w:t>
      </w:r>
    </w:p>
    <w:p>
      <w:pPr>
        <w:spacing w:after="0" w:line="12" w:lineRule="exact"/>
        <w:rPr>
          <w:sz w:val="20"/>
          <w:szCs w:val="20"/>
          <w:color w:val="auto"/>
        </w:rPr>
      </w:pPr>
    </w:p>
    <w:p>
      <w:pPr>
        <w:ind w:left="465"/>
        <w:spacing w:after="0"/>
        <w:rPr>
          <w:sz w:val="20"/>
          <w:szCs w:val="20"/>
          <w:color w:val="auto"/>
        </w:rPr>
      </w:pPr>
      <w:r>
        <w:rPr>
          <w:rFonts w:ascii="Arial" w:cs="Arial" w:eastAsia="Arial" w:hAnsi="Arial"/>
          <w:sz w:val="18"/>
          <w:szCs w:val="18"/>
          <w:color w:val="auto"/>
        </w:rPr>
        <w:t>As of March 31, 2004, we and certain of our subsidiaries had unused lines of credit of $4.382 billion under our respective credit facilities.</w:t>
      </w:r>
    </w:p>
    <w:p>
      <w:pPr>
        <w:spacing w:after="0" w:line="206" w:lineRule="exact"/>
        <w:rPr>
          <w:sz w:val="20"/>
          <w:szCs w:val="20"/>
          <w:color w:val="auto"/>
        </w:rPr>
      </w:pPr>
    </w:p>
    <w:p>
      <w:pPr>
        <w:ind w:left="465" w:right="600"/>
        <w:spacing w:after="0" w:line="261" w:lineRule="auto"/>
        <w:rPr>
          <w:sz w:val="20"/>
          <w:szCs w:val="20"/>
          <w:color w:val="auto"/>
        </w:rPr>
      </w:pPr>
      <w:r>
        <w:rPr>
          <w:rFonts w:ascii="Arial" w:cs="Arial" w:eastAsia="Arial" w:hAnsi="Arial"/>
          <w:sz w:val="19"/>
          <w:szCs w:val="19"/>
          <w:color w:val="auto"/>
        </w:rPr>
        <w:t>As of March 31, 2004, we and certain of our subsidiaries had unused irrevocable standby letters of credit totaling $419 million to cover potential fundings under various agreements.</w:t>
      </w:r>
    </w:p>
    <w:p>
      <w:pPr>
        <w:spacing w:after="0" w:line="169" w:lineRule="exact"/>
        <w:rPr>
          <w:sz w:val="20"/>
          <w:szCs w:val="20"/>
          <w:color w:val="auto"/>
        </w:rPr>
      </w:pPr>
    </w:p>
    <w:p>
      <w:pPr>
        <w:ind w:left="465" w:hanging="465"/>
        <w:spacing w:after="0"/>
        <w:tabs>
          <w:tab w:leader="none" w:pos="465" w:val="left"/>
        </w:tabs>
        <w:numPr>
          <w:ilvl w:val="0"/>
          <w:numId w:val="8"/>
        </w:numPr>
        <w:rPr>
          <w:rFonts w:ascii="Arial" w:cs="Arial" w:eastAsia="Arial" w:hAnsi="Arial"/>
          <w:sz w:val="19"/>
          <w:szCs w:val="19"/>
          <w:color w:val="auto"/>
        </w:rPr>
      </w:pPr>
      <w:r>
        <w:rPr>
          <w:rFonts w:ascii="Arial" w:cs="Arial" w:eastAsia="Arial" w:hAnsi="Arial"/>
          <w:sz w:val="19"/>
          <w:szCs w:val="19"/>
          <w:color w:val="auto"/>
        </w:rPr>
        <w:t>STOCKHOLDERS' EQUITY</w:t>
      </w:r>
    </w:p>
    <w:p>
      <w:pPr>
        <w:sectPr>
          <w:pgSz w:w="11900" w:h="16838" w:orient="portrait"/>
          <w:cols w:equalWidth="0" w:num="1">
            <w:col w:w="11405"/>
          </w:cols>
          <w:pgMar w:left="235" w:top="120" w:right="259" w:bottom="0" w:gutter="0" w:footer="0" w:header="0"/>
        </w:sectPr>
      </w:pPr>
    </w:p>
    <w:p>
      <w:pPr>
        <w:spacing w:after="0" w:line="211" w:lineRule="exact"/>
        <w:rPr>
          <w:sz w:val="20"/>
          <w:szCs w:val="20"/>
          <w:color w:val="auto"/>
        </w:rPr>
      </w:pPr>
    </w:p>
    <w:p>
      <w:pPr>
        <w:ind w:left="465"/>
        <w:spacing w:after="0"/>
        <w:rPr>
          <w:sz w:val="20"/>
          <w:szCs w:val="20"/>
          <w:color w:val="auto"/>
        </w:rPr>
      </w:pPr>
      <w:r>
        <w:rPr>
          <w:rFonts w:ascii="Arial" w:cs="Arial" w:eastAsia="Arial" w:hAnsi="Arial"/>
          <w:sz w:val="16"/>
          <w:szCs w:val="16"/>
          <w:i w:val="1"/>
          <w:iCs w:val="1"/>
          <w:color w:val="auto"/>
        </w:rPr>
        <w:t>Stock-Based Compensation</w:t>
      </w:r>
    </w:p>
    <w:p>
      <w:pPr>
        <w:sectPr>
          <w:pgSz w:w="11900" w:h="16838" w:orient="portrait"/>
          <w:cols w:equalWidth="0" w:num="1">
            <w:col w:w="11405"/>
          </w:cols>
          <w:pgMar w:left="235" w:top="120" w:right="259" w:bottom="0" w:gutter="0" w:footer="0" w:header="0"/>
          <w:type w:val="continuous"/>
        </w:sectPr>
      </w:pPr>
    </w:p>
    <w:bookmarkStart w:id="9" w:name="page10"/>
    <w:bookmarkEnd w:id="9"/>
    <w:p>
      <w:pPr>
        <w:ind w:left="460" w:right="80"/>
        <w:spacing w:after="0" w:line="257" w:lineRule="auto"/>
        <w:rPr>
          <w:sz w:val="20"/>
          <w:szCs w:val="20"/>
          <w:color w:val="auto"/>
        </w:rPr>
      </w:pPr>
      <w:r>
        <w:rPr>
          <w:rFonts w:ascii="Arial" w:cs="Arial" w:eastAsia="Arial" w:hAnsi="Arial"/>
          <w:sz w:val="18"/>
          <w:szCs w:val="18"/>
          <w:color w:val="auto"/>
        </w:rPr>
        <w:t>We account for stock-based compensation in accordance with APB Opinion No. 25, “Accounting for Stock Issued to Employees,” and related interpretations, as permitted by SFAS No. 123, “Accounting for Stock-Based Compensation,” (“SFAS No. 123”) as amended. Compensation expense for stock options is measured as the excess, if any, of the quoted market price of our stock at the date of the grant over the amount an employee must pay to acquire the stock. We record compensation expense for restricted stock awards based on the quoted market price of our stock at the date of the grant and the vesting period. We record compensation expense for stock appreciation rights based on the changes in quoted market prices of our stock or other determinants of fair value.</w:t>
      </w:r>
    </w:p>
    <w:p>
      <w:pPr>
        <w:spacing w:after="0" w:line="174" w:lineRule="exact"/>
        <w:rPr>
          <w:sz w:val="20"/>
          <w:szCs w:val="20"/>
          <w:color w:val="auto"/>
        </w:rPr>
      </w:pPr>
    </w:p>
    <w:p>
      <w:pPr>
        <w:ind w:left="460"/>
        <w:spacing w:after="0" w:line="277" w:lineRule="auto"/>
        <w:rPr>
          <w:sz w:val="20"/>
          <w:szCs w:val="20"/>
          <w:color w:val="auto"/>
        </w:rPr>
      </w:pPr>
      <w:r>
        <w:rPr>
          <w:rFonts w:ascii="Arial" w:cs="Arial" w:eastAsia="Arial" w:hAnsi="Arial"/>
          <w:sz w:val="17"/>
          <w:szCs w:val="17"/>
          <w:color w:val="auto"/>
        </w:rPr>
        <w:t>The following table illustrates the effect that applying the fair value recognition provisions of SFAS No. 123 to stock-based compensation would have had on net income (loss) and earnings (loss) per share. Upon further analysis during 2003, it was determined that the expected option lives for options granted in prior years should have been 7 years rather than the 8 years used previously. The amounts in the table reflect this revision for all periods presented. Total stock-based compensation expense was determined under the fair value method for all awards using the accelerated recognition method as permitted under SFAS No. 123 (dollars in millions, except per share data):</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27773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jc w:val="center"/>
        <w:spacing w:after="0" w:line="235" w:lineRule="auto"/>
        <w:rPr>
          <w:sz w:val="20"/>
          <w:szCs w:val="20"/>
          <w:color w:val="auto"/>
        </w:rPr>
      </w:pPr>
      <w:r>
        <w:rPr>
          <w:rFonts w:ascii="Arial" w:cs="Arial" w:eastAsia="Arial" w:hAnsi="Arial"/>
          <w:sz w:val="19"/>
          <w:szCs w:val="19"/>
          <w:color w:val="auto"/>
        </w:rPr>
        <w:t>QUARTER ENDED MARCH 31, 2004</w:t>
      </w:r>
    </w:p>
    <w:p>
      <w:pPr>
        <w:jc w:val="center"/>
        <w:spacing w:after="0" w:line="236" w:lineRule="auto"/>
        <w:rPr>
          <w:sz w:val="20"/>
          <w:szCs w:val="20"/>
          <w:color w:val="auto"/>
        </w:rPr>
      </w:pPr>
      <w:r>
        <w:rPr>
          <w:rFonts w:ascii="Arial" w:cs="Arial" w:eastAsia="Arial" w:hAnsi="Arial"/>
          <w:sz w:val="19"/>
          <w:szCs w:val="19"/>
          <w:color w:val="auto"/>
        </w:rPr>
        <w:t>NOTES TO CONDENSED CONSOLIDATED FINANCIAL STATEMENTS -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0" w:type="dxa"/>
            <w:vAlign w:val="bottom"/>
          </w:tcPr>
          <w:p>
            <w:pPr>
              <w:spacing w:after="0"/>
              <w:rPr>
                <w:sz w:val="18"/>
                <w:szCs w:val="18"/>
                <w:color w:val="auto"/>
              </w:rPr>
            </w:pPr>
          </w:p>
        </w:tc>
        <w:tc>
          <w:tcPr>
            <w:tcW w:w="2220" w:type="dxa"/>
            <w:vAlign w:val="bottom"/>
            <w:gridSpan w:val="5"/>
          </w:tcPr>
          <w:p>
            <w:pPr>
              <w:jc w:val="center"/>
              <w:spacing w:after="0"/>
              <w:rPr>
                <w:sz w:val="20"/>
                <w:szCs w:val="20"/>
                <w:color w:val="auto"/>
              </w:rPr>
            </w:pPr>
            <w:r>
              <w:rPr>
                <w:rFonts w:ascii="Arial" w:cs="Arial" w:eastAsia="Arial" w:hAnsi="Arial"/>
                <w:sz w:val="19"/>
                <w:szCs w:val="19"/>
                <w:color w:val="auto"/>
                <w:w w:val="91"/>
              </w:rPr>
              <w:t>Three Months Ended March</w:t>
            </w:r>
          </w:p>
        </w:tc>
        <w:tc>
          <w:tcPr>
            <w:tcW w:w="0" w:type="dxa"/>
            <w:vAlign w:val="bottom"/>
          </w:tcPr>
          <w:p>
            <w:pPr>
              <w:spacing w:after="0"/>
              <w:rPr>
                <w:sz w:val="1"/>
                <w:szCs w:val="1"/>
                <w:color w:val="auto"/>
              </w:rPr>
            </w:pPr>
          </w:p>
        </w:tc>
      </w:tr>
      <w:tr>
        <w:trPr>
          <w:trHeight w:val="215"/>
        </w:trPr>
        <w:tc>
          <w:tcPr>
            <w:tcW w:w="6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20"/>
              <w:spacing w:after="0" w:line="214" w:lineRule="exact"/>
              <w:rPr>
                <w:sz w:val="20"/>
                <w:szCs w:val="20"/>
                <w:color w:val="auto"/>
              </w:rPr>
            </w:pPr>
            <w:r>
              <w:rPr>
                <w:rFonts w:ascii="Arial" w:cs="Arial" w:eastAsia="Arial" w:hAnsi="Arial"/>
                <w:sz w:val="19"/>
                <w:szCs w:val="19"/>
                <w:color w:val="auto"/>
                <w:w w:val="90"/>
              </w:rPr>
              <w:t>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800" w:type="dxa"/>
            <w:vAlign w:val="bottom"/>
          </w:tcPr>
          <w:p>
            <w:pPr>
              <w:spacing w:after="0"/>
              <w:rPr>
                <w:sz w:val="21"/>
                <w:szCs w:val="21"/>
                <w:color w:val="auto"/>
              </w:rPr>
            </w:pPr>
          </w:p>
        </w:tc>
        <w:tc>
          <w:tcPr>
            <w:tcW w:w="920" w:type="dxa"/>
            <w:vAlign w:val="bottom"/>
          </w:tcPr>
          <w:p>
            <w:pPr>
              <w:jc w:val="right"/>
              <w:ind w:right="185"/>
              <w:spacing w:after="0"/>
              <w:rPr>
                <w:sz w:val="20"/>
                <w:szCs w:val="20"/>
                <w:color w:val="auto"/>
              </w:rPr>
            </w:pPr>
            <w:r>
              <w:rPr>
                <w:rFonts w:ascii="Arial" w:cs="Arial" w:eastAsia="Arial" w:hAnsi="Arial"/>
                <w:sz w:val="19"/>
                <w:szCs w:val="19"/>
                <w:color w:val="auto"/>
              </w:rPr>
              <w:t>2004</w:t>
            </w:r>
          </w:p>
        </w:tc>
        <w:tc>
          <w:tcPr>
            <w:tcW w:w="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9"/>
                <w:szCs w:val="19"/>
                <w:color w:val="auto"/>
              </w:rPr>
              <w:t>2003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68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800" w:type="dxa"/>
            <w:vAlign w:val="bottom"/>
          </w:tcPr>
          <w:p>
            <w:pPr>
              <w:spacing w:after="0"/>
              <w:rPr>
                <w:sz w:val="20"/>
                <w:szCs w:val="20"/>
                <w:color w:val="auto"/>
              </w:rPr>
            </w:pPr>
            <w:r>
              <w:rPr>
                <w:rFonts w:ascii="Arial" w:cs="Arial" w:eastAsia="Arial" w:hAnsi="Arial"/>
                <w:sz w:val="19"/>
                <w:szCs w:val="19"/>
                <w:color w:val="auto"/>
              </w:rPr>
              <w:t>Net income (loss), as reported</w:t>
            </w:r>
          </w:p>
        </w:tc>
        <w:tc>
          <w:tcPr>
            <w:tcW w:w="920" w:type="dxa"/>
            <w:vAlign w:val="bottom"/>
          </w:tcPr>
          <w:p>
            <w:pPr>
              <w:jc w:val="right"/>
              <w:spacing w:after="0"/>
              <w:rPr>
                <w:sz w:val="20"/>
                <w:szCs w:val="20"/>
                <w:color w:val="auto"/>
              </w:rPr>
            </w:pPr>
            <w:r>
              <w:rPr>
                <w:rFonts w:ascii="Arial" w:cs="Arial" w:eastAsia="Arial" w:hAnsi="Arial"/>
                <w:sz w:val="19"/>
                <w:szCs w:val="19"/>
                <w:color w:val="auto"/>
              </w:rPr>
              <w:t>$65</w:t>
            </w:r>
          </w:p>
        </w:tc>
        <w:tc>
          <w:tcPr>
            <w:tcW w:w="80" w:type="dxa"/>
            <w:vAlign w:val="bottom"/>
          </w:tcPr>
          <w:p>
            <w:pPr>
              <w:spacing w:after="0"/>
              <w:rPr>
                <w:sz w:val="24"/>
                <w:szCs w:val="24"/>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9"/>
                <w:szCs w:val="19"/>
                <w:color w:val="auto"/>
              </w:rPr>
              <w:t>($297)</w:t>
            </w:r>
          </w:p>
        </w:tc>
        <w:tc>
          <w:tcPr>
            <w:tcW w:w="0" w:type="dxa"/>
            <w:vAlign w:val="bottom"/>
          </w:tcPr>
          <w:p>
            <w:pPr>
              <w:spacing w:after="0"/>
              <w:rPr>
                <w:sz w:val="1"/>
                <w:szCs w:val="1"/>
                <w:color w:val="auto"/>
              </w:rPr>
            </w:pPr>
          </w:p>
        </w:tc>
      </w:tr>
      <w:tr>
        <w:trPr>
          <w:trHeight w:val="402"/>
        </w:trPr>
        <w:tc>
          <w:tcPr>
            <w:tcW w:w="6800" w:type="dxa"/>
            <w:vAlign w:val="bottom"/>
          </w:tcPr>
          <w:p>
            <w:pPr>
              <w:spacing w:after="0"/>
              <w:rPr>
                <w:sz w:val="20"/>
                <w:szCs w:val="20"/>
                <w:color w:val="auto"/>
              </w:rPr>
            </w:pPr>
            <w:r>
              <w:rPr>
                <w:rFonts w:ascii="Arial" w:cs="Arial" w:eastAsia="Arial" w:hAnsi="Arial"/>
                <w:sz w:val="19"/>
                <w:szCs w:val="19"/>
                <w:color w:val="auto"/>
              </w:rPr>
              <w:t>Add: Total stock-based compensation expense</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800" w:type="dxa"/>
            <w:vAlign w:val="bottom"/>
          </w:tcPr>
          <w:p>
            <w:pPr>
              <w:ind w:left="100"/>
              <w:spacing w:after="0"/>
              <w:rPr>
                <w:sz w:val="20"/>
                <w:szCs w:val="20"/>
                <w:color w:val="auto"/>
              </w:rPr>
            </w:pPr>
            <w:r>
              <w:rPr>
                <w:rFonts w:ascii="Arial" w:cs="Arial" w:eastAsia="Arial" w:hAnsi="Arial"/>
                <w:sz w:val="19"/>
                <w:szCs w:val="19"/>
                <w:color w:val="auto"/>
              </w:rPr>
              <w:t>included in net income (loss), as reported above</w:t>
            </w:r>
          </w:p>
        </w:tc>
        <w:tc>
          <w:tcPr>
            <w:tcW w:w="920" w:type="dxa"/>
            <w:vAlign w:val="bottom"/>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1"/>
                <w:szCs w:val="21"/>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402"/>
        </w:trPr>
        <w:tc>
          <w:tcPr>
            <w:tcW w:w="6800" w:type="dxa"/>
            <w:vAlign w:val="bottom"/>
          </w:tcPr>
          <w:p>
            <w:pPr>
              <w:spacing w:after="0"/>
              <w:rPr>
                <w:sz w:val="20"/>
                <w:szCs w:val="20"/>
                <w:color w:val="auto"/>
              </w:rPr>
            </w:pPr>
            <w:r>
              <w:rPr>
                <w:rFonts w:ascii="Arial" w:cs="Arial" w:eastAsia="Arial" w:hAnsi="Arial"/>
                <w:sz w:val="19"/>
                <w:szCs w:val="19"/>
                <w:color w:val="auto"/>
              </w:rPr>
              <w:t>Deduct: Total stock-based compensation expense determined</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100"/>
              <w:spacing w:after="0" w:line="214" w:lineRule="exact"/>
              <w:rPr>
                <w:sz w:val="20"/>
                <w:szCs w:val="20"/>
                <w:color w:val="auto"/>
              </w:rPr>
            </w:pPr>
            <w:r>
              <w:rPr>
                <w:rFonts w:ascii="Arial" w:cs="Arial" w:eastAsia="Arial" w:hAnsi="Arial"/>
                <w:sz w:val="19"/>
                <w:szCs w:val="19"/>
                <w:color w:val="auto"/>
              </w:rPr>
              <w:t>under fair value based method for all awards relating to</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800" w:type="dxa"/>
            <w:vAlign w:val="bottom"/>
          </w:tcPr>
          <w:p>
            <w:pPr>
              <w:ind w:left="100"/>
              <w:spacing w:after="0"/>
              <w:rPr>
                <w:sz w:val="20"/>
                <w:szCs w:val="20"/>
                <w:color w:val="auto"/>
              </w:rPr>
            </w:pPr>
            <w:r>
              <w:rPr>
                <w:rFonts w:ascii="Arial" w:cs="Arial" w:eastAsia="Arial" w:hAnsi="Arial"/>
                <w:sz w:val="19"/>
                <w:szCs w:val="19"/>
                <w:color w:val="auto"/>
              </w:rPr>
              <w:t>continuing operations, net of related tax effects</w:t>
            </w:r>
          </w:p>
        </w:tc>
        <w:tc>
          <w:tcPr>
            <w:tcW w:w="1000" w:type="dxa"/>
            <w:vAlign w:val="bottom"/>
            <w:gridSpan w:val="2"/>
          </w:tcPr>
          <w:p>
            <w:pPr>
              <w:jc w:val="right"/>
              <w:ind w:right="20"/>
              <w:spacing w:after="0"/>
              <w:rPr>
                <w:sz w:val="20"/>
                <w:szCs w:val="20"/>
                <w:color w:val="auto"/>
              </w:rPr>
            </w:pPr>
            <w:r>
              <w:rPr>
                <w:rFonts w:ascii="Arial" w:cs="Arial" w:eastAsia="Arial" w:hAnsi="Arial"/>
                <w:sz w:val="19"/>
                <w:szCs w:val="19"/>
                <w:color w:val="auto"/>
              </w:rPr>
              <w:t>(33)</w:t>
            </w:r>
          </w:p>
        </w:tc>
        <w:tc>
          <w:tcPr>
            <w:tcW w:w="1220" w:type="dxa"/>
            <w:vAlign w:val="bottom"/>
            <w:gridSpan w:val="3"/>
          </w:tcPr>
          <w:p>
            <w:pPr>
              <w:jc w:val="right"/>
              <w:ind w:right="80"/>
              <w:spacing w:after="0"/>
              <w:rPr>
                <w:sz w:val="20"/>
                <w:szCs w:val="20"/>
                <w:color w:val="auto"/>
              </w:rPr>
            </w:pPr>
            <w:r>
              <w:rPr>
                <w:rFonts w:ascii="Arial" w:cs="Arial" w:eastAsia="Arial" w:hAnsi="Arial"/>
                <w:sz w:val="19"/>
                <w:szCs w:val="19"/>
                <w:color w:val="auto"/>
              </w:rPr>
              <w:t>(35)</w:t>
            </w:r>
          </w:p>
        </w:tc>
        <w:tc>
          <w:tcPr>
            <w:tcW w:w="0" w:type="dxa"/>
            <w:vAlign w:val="bottom"/>
          </w:tcPr>
          <w:p>
            <w:pPr>
              <w:spacing w:after="0"/>
              <w:rPr>
                <w:sz w:val="1"/>
                <w:szCs w:val="1"/>
                <w:color w:val="auto"/>
              </w:rPr>
            </w:pPr>
          </w:p>
        </w:tc>
      </w:tr>
      <w:tr>
        <w:trPr>
          <w:trHeight w:val="402"/>
        </w:trPr>
        <w:tc>
          <w:tcPr>
            <w:tcW w:w="6800" w:type="dxa"/>
            <w:vAlign w:val="bottom"/>
          </w:tcPr>
          <w:p>
            <w:pPr>
              <w:spacing w:after="0"/>
              <w:rPr>
                <w:sz w:val="20"/>
                <w:szCs w:val="20"/>
                <w:color w:val="auto"/>
              </w:rPr>
            </w:pPr>
            <w:r>
              <w:rPr>
                <w:rFonts w:ascii="Arial" w:cs="Arial" w:eastAsia="Arial" w:hAnsi="Arial"/>
                <w:sz w:val="19"/>
                <w:szCs w:val="19"/>
                <w:color w:val="auto"/>
              </w:rPr>
              <w:t>Deduct: Total stock-based compensation expense determined</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100"/>
              <w:spacing w:after="0" w:line="214" w:lineRule="exact"/>
              <w:rPr>
                <w:sz w:val="20"/>
                <w:szCs w:val="20"/>
                <w:color w:val="auto"/>
              </w:rPr>
            </w:pPr>
            <w:r>
              <w:rPr>
                <w:rFonts w:ascii="Arial" w:cs="Arial" w:eastAsia="Arial" w:hAnsi="Arial"/>
                <w:sz w:val="19"/>
                <w:szCs w:val="19"/>
                <w:color w:val="auto"/>
              </w:rPr>
              <w:t>under fair value based method for all awards relating to</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800" w:type="dxa"/>
            <w:vAlign w:val="bottom"/>
          </w:tcPr>
          <w:p>
            <w:pPr>
              <w:ind w:left="100"/>
              <w:spacing w:after="0"/>
              <w:rPr>
                <w:sz w:val="20"/>
                <w:szCs w:val="20"/>
                <w:color w:val="auto"/>
              </w:rPr>
            </w:pPr>
            <w:r>
              <w:rPr>
                <w:rFonts w:ascii="Arial" w:cs="Arial" w:eastAsia="Arial" w:hAnsi="Arial"/>
                <w:sz w:val="19"/>
                <w:szCs w:val="19"/>
                <w:color w:val="auto"/>
              </w:rPr>
              <w:t>discontinued operations, net of related tax effects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87"/>
        </w:trPr>
        <w:tc>
          <w:tcPr>
            <w:tcW w:w="68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800" w:type="dxa"/>
            <w:vAlign w:val="bottom"/>
          </w:tcPr>
          <w:p>
            <w:pPr>
              <w:spacing w:after="0"/>
              <w:rPr>
                <w:sz w:val="20"/>
                <w:szCs w:val="20"/>
                <w:color w:val="auto"/>
              </w:rPr>
            </w:pPr>
            <w:r>
              <w:rPr>
                <w:rFonts w:ascii="Arial" w:cs="Arial" w:eastAsia="Arial" w:hAnsi="Arial"/>
                <w:sz w:val="19"/>
                <w:szCs w:val="19"/>
                <w:color w:val="auto"/>
              </w:rPr>
              <w:t>Pro forma, net income (loss)</w:t>
            </w:r>
          </w:p>
        </w:tc>
        <w:tc>
          <w:tcPr>
            <w:tcW w:w="920" w:type="dxa"/>
            <w:vAlign w:val="bottom"/>
          </w:tcPr>
          <w:p>
            <w:pPr>
              <w:jc w:val="right"/>
              <w:spacing w:after="0"/>
              <w:rPr>
                <w:sz w:val="20"/>
                <w:szCs w:val="20"/>
                <w:color w:val="auto"/>
              </w:rPr>
            </w:pPr>
            <w:r>
              <w:rPr>
                <w:rFonts w:ascii="Arial" w:cs="Arial" w:eastAsia="Arial" w:hAnsi="Arial"/>
                <w:sz w:val="19"/>
                <w:szCs w:val="19"/>
                <w:color w:val="auto"/>
              </w:rPr>
              <w:t>$37</w:t>
            </w:r>
          </w:p>
        </w:tc>
        <w:tc>
          <w:tcPr>
            <w:tcW w:w="80" w:type="dxa"/>
            <w:vAlign w:val="bottom"/>
          </w:tcPr>
          <w:p>
            <w:pPr>
              <w:spacing w:after="0"/>
              <w:rPr>
                <w:sz w:val="24"/>
                <w:szCs w:val="24"/>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9"/>
                <w:szCs w:val="19"/>
                <w:color w:val="auto"/>
              </w:rPr>
              <w:t>($333)</w:t>
            </w:r>
          </w:p>
        </w:tc>
        <w:tc>
          <w:tcPr>
            <w:tcW w:w="0" w:type="dxa"/>
            <w:vAlign w:val="bottom"/>
          </w:tcPr>
          <w:p>
            <w:pPr>
              <w:spacing w:after="0"/>
              <w:rPr>
                <w:sz w:val="1"/>
                <w:szCs w:val="1"/>
                <w:color w:val="auto"/>
              </w:rPr>
            </w:pPr>
          </w:p>
        </w:tc>
      </w:tr>
      <w:tr>
        <w:trPr>
          <w:trHeight w:val="95"/>
        </w:trPr>
        <w:tc>
          <w:tcPr>
            <w:tcW w:w="6800" w:type="dxa"/>
            <w:vAlign w:val="bottom"/>
            <w:vMerge w:val="restart"/>
          </w:tcPr>
          <w:p>
            <w:pPr>
              <w:spacing w:after="0"/>
              <w:rPr>
                <w:sz w:val="20"/>
                <w:szCs w:val="20"/>
                <w:color w:val="auto"/>
              </w:rPr>
            </w:pPr>
            <w:r>
              <w:rPr>
                <w:rFonts w:ascii="Arial" w:cs="Arial" w:eastAsia="Arial" w:hAnsi="Arial"/>
                <w:sz w:val="19"/>
                <w:szCs w:val="19"/>
                <w:color w:val="auto"/>
              </w:rPr>
              <w:t>Basic earnings (loss) from continuing operations for common</w:t>
            </w: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6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100"/>
              <w:spacing w:after="0" w:line="214" w:lineRule="exact"/>
              <w:rPr>
                <w:sz w:val="20"/>
                <w:szCs w:val="20"/>
                <w:color w:val="auto"/>
              </w:rPr>
            </w:pPr>
            <w:r>
              <w:rPr>
                <w:rFonts w:ascii="Arial" w:cs="Arial" w:eastAsia="Arial" w:hAnsi="Arial"/>
                <w:sz w:val="19"/>
                <w:szCs w:val="19"/>
                <w:color w:val="auto"/>
              </w:rPr>
              <w:t>stockholders per common share: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20"/>
              <w:spacing w:after="0" w:line="214" w:lineRule="exact"/>
              <w:rPr>
                <w:sz w:val="20"/>
                <w:szCs w:val="20"/>
                <w:color w:val="auto"/>
              </w:rPr>
            </w:pPr>
            <w:r>
              <w:rPr>
                <w:rFonts w:ascii="Arial" w:cs="Arial" w:eastAsia="Arial" w:hAnsi="Arial"/>
                <w:sz w:val="19"/>
                <w:szCs w:val="19"/>
                <w:color w:val="auto"/>
              </w:rPr>
              <w:t>As reported</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$0.03</w:t>
            </w:r>
          </w:p>
        </w:tc>
        <w:tc>
          <w:tcPr>
            <w:tcW w:w="80" w:type="dxa"/>
            <w:vAlign w:val="bottom"/>
          </w:tcPr>
          <w:p>
            <w:pPr>
              <w:spacing w:after="0"/>
              <w:rPr>
                <w:sz w:val="18"/>
                <w:szCs w:val="18"/>
                <w:color w:val="auto"/>
              </w:rPr>
            </w:pPr>
          </w:p>
        </w:tc>
        <w:tc>
          <w:tcPr>
            <w:tcW w:w="1220" w:type="dxa"/>
            <w:vAlign w:val="bottom"/>
            <w:gridSpan w:val="3"/>
          </w:tcPr>
          <w:p>
            <w:pPr>
              <w:jc w:val="right"/>
              <w:ind w:right="80"/>
              <w:spacing w:after="0" w:line="214" w:lineRule="exact"/>
              <w:rPr>
                <w:sz w:val="20"/>
                <w:szCs w:val="20"/>
                <w:color w:val="auto"/>
              </w:rPr>
            </w:pPr>
            <w:r>
              <w:rPr>
                <w:rFonts w:ascii="Arial" w:cs="Arial" w:eastAsia="Arial" w:hAnsi="Arial"/>
                <w:sz w:val="19"/>
                <w:szCs w:val="19"/>
                <w:color w:val="auto"/>
              </w:rPr>
              <w:t>($0.16)</w:t>
            </w:r>
          </w:p>
        </w:tc>
        <w:tc>
          <w:tcPr>
            <w:tcW w:w="0" w:type="dxa"/>
            <w:vAlign w:val="bottom"/>
          </w:tcPr>
          <w:p>
            <w:pPr>
              <w:spacing w:after="0"/>
              <w:rPr>
                <w:sz w:val="1"/>
                <w:szCs w:val="1"/>
                <w:color w:val="auto"/>
              </w:rPr>
            </w:pPr>
          </w:p>
        </w:tc>
      </w:tr>
      <w:tr>
        <w:trPr>
          <w:trHeight w:val="242"/>
        </w:trPr>
        <w:tc>
          <w:tcPr>
            <w:tcW w:w="6800" w:type="dxa"/>
            <w:vAlign w:val="bottom"/>
          </w:tcPr>
          <w:p>
            <w:pPr>
              <w:ind w:left="240"/>
              <w:spacing w:after="0"/>
              <w:rPr>
                <w:sz w:val="20"/>
                <w:szCs w:val="20"/>
                <w:color w:val="auto"/>
              </w:rPr>
            </w:pPr>
            <w:r>
              <w:rPr>
                <w:rFonts w:ascii="Arial" w:cs="Arial" w:eastAsia="Arial" w:hAnsi="Arial"/>
                <w:sz w:val="19"/>
                <w:szCs w:val="19"/>
                <w:color w:val="auto"/>
              </w:rPr>
              <w:t>Pro forma</w:t>
            </w:r>
          </w:p>
        </w:tc>
        <w:tc>
          <w:tcPr>
            <w:tcW w:w="920" w:type="dxa"/>
            <w:vAlign w:val="bottom"/>
          </w:tcPr>
          <w:p>
            <w:pPr>
              <w:jc w:val="right"/>
              <w:spacing w:after="0"/>
              <w:rPr>
                <w:sz w:val="20"/>
                <w:szCs w:val="20"/>
                <w:color w:val="auto"/>
              </w:rPr>
            </w:pPr>
            <w:r>
              <w:rPr>
                <w:rFonts w:ascii="Arial" w:cs="Arial" w:eastAsia="Arial" w:hAnsi="Arial"/>
                <w:sz w:val="19"/>
                <w:szCs w:val="19"/>
                <w:color w:val="auto"/>
              </w:rPr>
              <w:t>$0.02</w:t>
            </w:r>
          </w:p>
        </w:tc>
        <w:tc>
          <w:tcPr>
            <w:tcW w:w="80" w:type="dxa"/>
            <w:vAlign w:val="bottom"/>
          </w:tcPr>
          <w:p>
            <w:pPr>
              <w:spacing w:after="0"/>
              <w:rPr>
                <w:sz w:val="21"/>
                <w:szCs w:val="21"/>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9"/>
                <w:szCs w:val="19"/>
                <w:color w:val="auto"/>
              </w:rPr>
              <w:t>($0.17)</w:t>
            </w:r>
          </w:p>
        </w:tc>
        <w:tc>
          <w:tcPr>
            <w:tcW w:w="0" w:type="dxa"/>
            <w:vAlign w:val="bottom"/>
          </w:tcPr>
          <w:p>
            <w:pPr>
              <w:spacing w:after="0"/>
              <w:rPr>
                <w:sz w:val="1"/>
                <w:szCs w:val="1"/>
                <w:color w:val="auto"/>
              </w:rPr>
            </w:pPr>
          </w:p>
        </w:tc>
      </w:tr>
      <w:tr>
        <w:trPr>
          <w:trHeight w:val="402"/>
        </w:trPr>
        <w:tc>
          <w:tcPr>
            <w:tcW w:w="6800" w:type="dxa"/>
            <w:vAlign w:val="bottom"/>
          </w:tcPr>
          <w:p>
            <w:pPr>
              <w:spacing w:after="0"/>
              <w:rPr>
                <w:sz w:val="20"/>
                <w:szCs w:val="20"/>
                <w:color w:val="auto"/>
              </w:rPr>
            </w:pPr>
            <w:r>
              <w:rPr>
                <w:rFonts w:ascii="Arial" w:cs="Arial" w:eastAsia="Arial" w:hAnsi="Arial"/>
                <w:sz w:val="19"/>
                <w:szCs w:val="19"/>
                <w:color w:val="auto"/>
              </w:rPr>
              <w:t>Diluted earnings (loss) from continuing operations for common</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100"/>
              <w:spacing w:after="0" w:line="214" w:lineRule="exact"/>
              <w:rPr>
                <w:sz w:val="20"/>
                <w:szCs w:val="20"/>
                <w:color w:val="auto"/>
              </w:rPr>
            </w:pPr>
            <w:r>
              <w:rPr>
                <w:rFonts w:ascii="Arial" w:cs="Arial" w:eastAsia="Arial" w:hAnsi="Arial"/>
                <w:sz w:val="19"/>
                <w:szCs w:val="19"/>
                <w:color w:val="auto"/>
              </w:rPr>
              <w:t>stockholders per common share: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20"/>
              <w:spacing w:after="0" w:line="214" w:lineRule="exact"/>
              <w:rPr>
                <w:sz w:val="20"/>
                <w:szCs w:val="20"/>
                <w:color w:val="auto"/>
              </w:rPr>
            </w:pPr>
            <w:r>
              <w:rPr>
                <w:rFonts w:ascii="Arial" w:cs="Arial" w:eastAsia="Arial" w:hAnsi="Arial"/>
                <w:sz w:val="19"/>
                <w:szCs w:val="19"/>
                <w:color w:val="auto"/>
              </w:rPr>
              <w:t>As reported</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$0.03</w:t>
            </w:r>
          </w:p>
        </w:tc>
        <w:tc>
          <w:tcPr>
            <w:tcW w:w="80" w:type="dxa"/>
            <w:vAlign w:val="bottom"/>
          </w:tcPr>
          <w:p>
            <w:pPr>
              <w:spacing w:after="0"/>
              <w:rPr>
                <w:sz w:val="18"/>
                <w:szCs w:val="18"/>
                <w:color w:val="auto"/>
              </w:rPr>
            </w:pPr>
          </w:p>
        </w:tc>
        <w:tc>
          <w:tcPr>
            <w:tcW w:w="1220" w:type="dxa"/>
            <w:vAlign w:val="bottom"/>
            <w:gridSpan w:val="3"/>
          </w:tcPr>
          <w:p>
            <w:pPr>
              <w:jc w:val="right"/>
              <w:ind w:right="80"/>
              <w:spacing w:after="0" w:line="214" w:lineRule="exact"/>
              <w:rPr>
                <w:sz w:val="20"/>
                <w:szCs w:val="20"/>
                <w:color w:val="auto"/>
              </w:rPr>
            </w:pPr>
            <w:r>
              <w:rPr>
                <w:rFonts w:ascii="Arial" w:cs="Arial" w:eastAsia="Arial" w:hAnsi="Arial"/>
                <w:sz w:val="19"/>
                <w:szCs w:val="19"/>
                <w:color w:val="auto"/>
              </w:rPr>
              <w:t>($0.16)</w:t>
            </w:r>
          </w:p>
        </w:tc>
        <w:tc>
          <w:tcPr>
            <w:tcW w:w="0" w:type="dxa"/>
            <w:vAlign w:val="bottom"/>
          </w:tcPr>
          <w:p>
            <w:pPr>
              <w:spacing w:after="0"/>
              <w:rPr>
                <w:sz w:val="1"/>
                <w:szCs w:val="1"/>
                <w:color w:val="auto"/>
              </w:rPr>
            </w:pPr>
          </w:p>
        </w:tc>
      </w:tr>
      <w:tr>
        <w:trPr>
          <w:trHeight w:val="242"/>
        </w:trPr>
        <w:tc>
          <w:tcPr>
            <w:tcW w:w="6800" w:type="dxa"/>
            <w:vAlign w:val="bottom"/>
          </w:tcPr>
          <w:p>
            <w:pPr>
              <w:ind w:left="240"/>
              <w:spacing w:after="0"/>
              <w:rPr>
                <w:sz w:val="20"/>
                <w:szCs w:val="20"/>
                <w:color w:val="auto"/>
              </w:rPr>
            </w:pPr>
            <w:r>
              <w:rPr>
                <w:rFonts w:ascii="Arial" w:cs="Arial" w:eastAsia="Arial" w:hAnsi="Arial"/>
                <w:sz w:val="19"/>
                <w:szCs w:val="19"/>
                <w:color w:val="auto"/>
              </w:rPr>
              <w:t>Pro forma</w:t>
            </w:r>
          </w:p>
        </w:tc>
        <w:tc>
          <w:tcPr>
            <w:tcW w:w="920" w:type="dxa"/>
            <w:vAlign w:val="bottom"/>
          </w:tcPr>
          <w:p>
            <w:pPr>
              <w:jc w:val="right"/>
              <w:spacing w:after="0"/>
              <w:rPr>
                <w:sz w:val="20"/>
                <w:szCs w:val="20"/>
                <w:color w:val="auto"/>
              </w:rPr>
            </w:pPr>
            <w:r>
              <w:rPr>
                <w:rFonts w:ascii="Arial" w:cs="Arial" w:eastAsia="Arial" w:hAnsi="Arial"/>
                <w:sz w:val="19"/>
                <w:szCs w:val="19"/>
                <w:color w:val="auto"/>
              </w:rPr>
              <w:t>$0.02</w:t>
            </w:r>
          </w:p>
        </w:tc>
        <w:tc>
          <w:tcPr>
            <w:tcW w:w="80" w:type="dxa"/>
            <w:vAlign w:val="bottom"/>
          </w:tcPr>
          <w:p>
            <w:pPr>
              <w:spacing w:after="0"/>
              <w:rPr>
                <w:sz w:val="21"/>
                <w:szCs w:val="21"/>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9"/>
                <w:szCs w:val="19"/>
                <w:color w:val="auto"/>
              </w:rPr>
              <w:t>($0.17)</w:t>
            </w:r>
          </w:p>
        </w:tc>
        <w:tc>
          <w:tcPr>
            <w:tcW w:w="0" w:type="dxa"/>
            <w:vAlign w:val="bottom"/>
          </w:tcPr>
          <w:p>
            <w:pPr>
              <w:spacing w:after="0"/>
              <w:rPr>
                <w:sz w:val="1"/>
                <w:szCs w:val="1"/>
                <w:color w:val="auto"/>
              </w:rPr>
            </w:pPr>
          </w:p>
        </w:tc>
      </w:tr>
      <w:tr>
        <w:trPr>
          <w:trHeight w:val="402"/>
        </w:trPr>
        <w:tc>
          <w:tcPr>
            <w:tcW w:w="6800" w:type="dxa"/>
            <w:vAlign w:val="bottom"/>
          </w:tcPr>
          <w:p>
            <w:pPr>
              <w:spacing w:after="0"/>
              <w:rPr>
                <w:sz w:val="20"/>
                <w:szCs w:val="20"/>
                <w:color w:val="auto"/>
              </w:rPr>
            </w:pPr>
            <w:r>
              <w:rPr>
                <w:rFonts w:ascii="Arial" w:cs="Arial" w:eastAsia="Arial" w:hAnsi="Arial"/>
                <w:sz w:val="19"/>
                <w:szCs w:val="19"/>
                <w:color w:val="auto"/>
              </w:rPr>
              <w:t>Basic earnings (loss) for common stockholders per</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100"/>
              <w:spacing w:after="0" w:line="214" w:lineRule="exact"/>
              <w:rPr>
                <w:sz w:val="20"/>
                <w:szCs w:val="20"/>
                <w:color w:val="auto"/>
              </w:rPr>
            </w:pPr>
            <w:r>
              <w:rPr>
                <w:rFonts w:ascii="Arial" w:cs="Arial" w:eastAsia="Arial" w:hAnsi="Arial"/>
                <w:sz w:val="19"/>
                <w:szCs w:val="19"/>
                <w:color w:val="auto"/>
              </w:rPr>
              <w:t>common share: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20"/>
              <w:spacing w:after="0" w:line="214" w:lineRule="exact"/>
              <w:rPr>
                <w:sz w:val="20"/>
                <w:szCs w:val="20"/>
                <w:color w:val="auto"/>
              </w:rPr>
            </w:pPr>
            <w:r>
              <w:rPr>
                <w:rFonts w:ascii="Arial" w:cs="Arial" w:eastAsia="Arial" w:hAnsi="Arial"/>
                <w:sz w:val="19"/>
                <w:szCs w:val="19"/>
                <w:color w:val="auto"/>
              </w:rPr>
              <w:t>As reported</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$0.03</w:t>
            </w:r>
          </w:p>
        </w:tc>
        <w:tc>
          <w:tcPr>
            <w:tcW w:w="80" w:type="dxa"/>
            <w:vAlign w:val="bottom"/>
          </w:tcPr>
          <w:p>
            <w:pPr>
              <w:spacing w:after="0"/>
              <w:rPr>
                <w:sz w:val="18"/>
                <w:szCs w:val="18"/>
                <w:color w:val="auto"/>
              </w:rPr>
            </w:pPr>
          </w:p>
        </w:tc>
        <w:tc>
          <w:tcPr>
            <w:tcW w:w="1220" w:type="dxa"/>
            <w:vAlign w:val="bottom"/>
            <w:gridSpan w:val="3"/>
          </w:tcPr>
          <w:p>
            <w:pPr>
              <w:jc w:val="right"/>
              <w:ind w:right="80"/>
              <w:spacing w:after="0" w:line="214" w:lineRule="exact"/>
              <w:rPr>
                <w:sz w:val="20"/>
                <w:szCs w:val="20"/>
                <w:color w:val="auto"/>
              </w:rPr>
            </w:pPr>
            <w:r>
              <w:rPr>
                <w:rFonts w:ascii="Arial" w:cs="Arial" w:eastAsia="Arial" w:hAnsi="Arial"/>
                <w:sz w:val="19"/>
                <w:szCs w:val="19"/>
                <w:color w:val="auto"/>
              </w:rPr>
              <w:t>($0.13)</w:t>
            </w:r>
          </w:p>
        </w:tc>
        <w:tc>
          <w:tcPr>
            <w:tcW w:w="0" w:type="dxa"/>
            <w:vAlign w:val="bottom"/>
          </w:tcPr>
          <w:p>
            <w:pPr>
              <w:spacing w:after="0"/>
              <w:rPr>
                <w:sz w:val="1"/>
                <w:szCs w:val="1"/>
                <w:color w:val="auto"/>
              </w:rPr>
            </w:pPr>
          </w:p>
        </w:tc>
      </w:tr>
      <w:tr>
        <w:trPr>
          <w:trHeight w:val="242"/>
        </w:trPr>
        <w:tc>
          <w:tcPr>
            <w:tcW w:w="6800" w:type="dxa"/>
            <w:vAlign w:val="bottom"/>
          </w:tcPr>
          <w:p>
            <w:pPr>
              <w:ind w:left="240"/>
              <w:spacing w:after="0"/>
              <w:rPr>
                <w:sz w:val="20"/>
                <w:szCs w:val="20"/>
                <w:color w:val="auto"/>
              </w:rPr>
            </w:pPr>
            <w:r>
              <w:rPr>
                <w:rFonts w:ascii="Arial" w:cs="Arial" w:eastAsia="Arial" w:hAnsi="Arial"/>
                <w:sz w:val="19"/>
                <w:szCs w:val="19"/>
                <w:color w:val="auto"/>
              </w:rPr>
              <w:t>Pro forma</w:t>
            </w:r>
          </w:p>
        </w:tc>
        <w:tc>
          <w:tcPr>
            <w:tcW w:w="920" w:type="dxa"/>
            <w:vAlign w:val="bottom"/>
          </w:tcPr>
          <w:p>
            <w:pPr>
              <w:jc w:val="right"/>
              <w:spacing w:after="0"/>
              <w:rPr>
                <w:sz w:val="20"/>
                <w:szCs w:val="20"/>
                <w:color w:val="auto"/>
              </w:rPr>
            </w:pPr>
            <w:r>
              <w:rPr>
                <w:rFonts w:ascii="Arial" w:cs="Arial" w:eastAsia="Arial" w:hAnsi="Arial"/>
                <w:sz w:val="19"/>
                <w:szCs w:val="19"/>
                <w:color w:val="auto"/>
              </w:rPr>
              <w:t>$0.02</w:t>
            </w:r>
          </w:p>
        </w:tc>
        <w:tc>
          <w:tcPr>
            <w:tcW w:w="80" w:type="dxa"/>
            <w:vAlign w:val="bottom"/>
          </w:tcPr>
          <w:p>
            <w:pPr>
              <w:spacing w:after="0"/>
              <w:rPr>
                <w:sz w:val="21"/>
                <w:szCs w:val="21"/>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9"/>
                <w:szCs w:val="19"/>
                <w:color w:val="auto"/>
              </w:rPr>
              <w:t>($0.15)</w:t>
            </w:r>
          </w:p>
        </w:tc>
        <w:tc>
          <w:tcPr>
            <w:tcW w:w="0" w:type="dxa"/>
            <w:vAlign w:val="bottom"/>
          </w:tcPr>
          <w:p>
            <w:pPr>
              <w:spacing w:after="0"/>
              <w:rPr>
                <w:sz w:val="1"/>
                <w:szCs w:val="1"/>
                <w:color w:val="auto"/>
              </w:rPr>
            </w:pPr>
          </w:p>
        </w:tc>
      </w:tr>
      <w:tr>
        <w:trPr>
          <w:trHeight w:val="402"/>
        </w:trPr>
        <w:tc>
          <w:tcPr>
            <w:tcW w:w="6800" w:type="dxa"/>
            <w:vAlign w:val="bottom"/>
          </w:tcPr>
          <w:p>
            <w:pPr>
              <w:spacing w:after="0"/>
              <w:rPr>
                <w:sz w:val="20"/>
                <w:szCs w:val="20"/>
                <w:color w:val="auto"/>
              </w:rPr>
            </w:pPr>
            <w:r>
              <w:rPr>
                <w:rFonts w:ascii="Arial" w:cs="Arial" w:eastAsia="Arial" w:hAnsi="Arial"/>
                <w:sz w:val="19"/>
                <w:szCs w:val="19"/>
                <w:color w:val="auto"/>
              </w:rPr>
              <w:t>Diluted earnings (loss) for common stockholders per</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100"/>
              <w:spacing w:after="0" w:line="214" w:lineRule="exact"/>
              <w:rPr>
                <w:sz w:val="20"/>
                <w:szCs w:val="20"/>
                <w:color w:val="auto"/>
              </w:rPr>
            </w:pPr>
            <w:r>
              <w:rPr>
                <w:rFonts w:ascii="Arial" w:cs="Arial" w:eastAsia="Arial" w:hAnsi="Arial"/>
                <w:sz w:val="19"/>
                <w:szCs w:val="19"/>
                <w:color w:val="auto"/>
              </w:rPr>
              <w:t>common share: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20"/>
              <w:spacing w:after="0" w:line="214" w:lineRule="exact"/>
              <w:rPr>
                <w:sz w:val="20"/>
                <w:szCs w:val="20"/>
                <w:color w:val="auto"/>
              </w:rPr>
            </w:pPr>
            <w:r>
              <w:rPr>
                <w:rFonts w:ascii="Arial" w:cs="Arial" w:eastAsia="Arial" w:hAnsi="Arial"/>
                <w:sz w:val="19"/>
                <w:szCs w:val="19"/>
                <w:color w:val="auto"/>
              </w:rPr>
              <w:t>As reported</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$0.03</w:t>
            </w:r>
          </w:p>
        </w:tc>
        <w:tc>
          <w:tcPr>
            <w:tcW w:w="80" w:type="dxa"/>
            <w:vAlign w:val="bottom"/>
          </w:tcPr>
          <w:p>
            <w:pPr>
              <w:spacing w:after="0"/>
              <w:rPr>
                <w:sz w:val="18"/>
                <w:szCs w:val="18"/>
                <w:color w:val="auto"/>
              </w:rPr>
            </w:pPr>
          </w:p>
        </w:tc>
        <w:tc>
          <w:tcPr>
            <w:tcW w:w="1220" w:type="dxa"/>
            <w:vAlign w:val="bottom"/>
            <w:gridSpan w:val="3"/>
          </w:tcPr>
          <w:p>
            <w:pPr>
              <w:jc w:val="right"/>
              <w:ind w:right="80"/>
              <w:spacing w:after="0" w:line="214" w:lineRule="exact"/>
              <w:rPr>
                <w:sz w:val="20"/>
                <w:szCs w:val="20"/>
                <w:color w:val="auto"/>
              </w:rPr>
            </w:pPr>
            <w:r>
              <w:rPr>
                <w:rFonts w:ascii="Arial" w:cs="Arial" w:eastAsia="Arial" w:hAnsi="Arial"/>
                <w:sz w:val="19"/>
                <w:szCs w:val="19"/>
                <w:color w:val="auto"/>
              </w:rPr>
              <w:t>($0.13)</w:t>
            </w:r>
          </w:p>
        </w:tc>
        <w:tc>
          <w:tcPr>
            <w:tcW w:w="0" w:type="dxa"/>
            <w:vAlign w:val="bottom"/>
          </w:tcPr>
          <w:p>
            <w:pPr>
              <w:spacing w:after="0"/>
              <w:rPr>
                <w:sz w:val="1"/>
                <w:szCs w:val="1"/>
                <w:color w:val="auto"/>
              </w:rPr>
            </w:pPr>
          </w:p>
        </w:tc>
      </w:tr>
      <w:tr>
        <w:trPr>
          <w:trHeight w:val="242"/>
        </w:trPr>
        <w:tc>
          <w:tcPr>
            <w:tcW w:w="6800" w:type="dxa"/>
            <w:vAlign w:val="bottom"/>
          </w:tcPr>
          <w:p>
            <w:pPr>
              <w:ind w:left="240"/>
              <w:spacing w:after="0"/>
              <w:rPr>
                <w:sz w:val="20"/>
                <w:szCs w:val="20"/>
                <w:color w:val="auto"/>
              </w:rPr>
            </w:pPr>
            <w:r>
              <w:rPr>
                <w:rFonts w:ascii="Arial" w:cs="Arial" w:eastAsia="Arial" w:hAnsi="Arial"/>
                <w:sz w:val="19"/>
                <w:szCs w:val="19"/>
                <w:color w:val="auto"/>
              </w:rPr>
              <w:t>Pro forma</w:t>
            </w:r>
          </w:p>
        </w:tc>
        <w:tc>
          <w:tcPr>
            <w:tcW w:w="920" w:type="dxa"/>
            <w:vAlign w:val="bottom"/>
          </w:tcPr>
          <w:p>
            <w:pPr>
              <w:jc w:val="right"/>
              <w:spacing w:after="0"/>
              <w:rPr>
                <w:sz w:val="20"/>
                <w:szCs w:val="20"/>
                <w:color w:val="auto"/>
              </w:rPr>
            </w:pPr>
            <w:r>
              <w:rPr>
                <w:rFonts w:ascii="Arial" w:cs="Arial" w:eastAsia="Arial" w:hAnsi="Arial"/>
                <w:sz w:val="19"/>
                <w:szCs w:val="19"/>
                <w:color w:val="auto"/>
              </w:rPr>
              <w:t>$0.02</w:t>
            </w:r>
          </w:p>
        </w:tc>
        <w:tc>
          <w:tcPr>
            <w:tcW w:w="80" w:type="dxa"/>
            <w:vAlign w:val="bottom"/>
          </w:tcPr>
          <w:p>
            <w:pPr>
              <w:spacing w:after="0"/>
              <w:rPr>
                <w:sz w:val="21"/>
                <w:szCs w:val="21"/>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9"/>
                <w:szCs w:val="19"/>
                <w:color w:val="auto"/>
              </w:rPr>
              <w:t>($0.15)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4886960</wp:posOffset>
            </wp:positionH>
            <wp:positionV relativeFrom="paragraph">
              <wp:posOffset>-2666365</wp:posOffset>
            </wp:positionV>
            <wp:extent cx="1270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-2666365</wp:posOffset>
            </wp:positionV>
            <wp:extent cx="127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-2666365</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-2666365</wp:posOffset>
            </wp:positionV>
            <wp:extent cx="127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7" w:lineRule="exact"/>
        <w:rPr>
          <w:sz w:val="20"/>
          <w:szCs w:val="20"/>
          <w:color w:val="auto"/>
        </w:rPr>
      </w:pPr>
    </w:p>
    <w:p>
      <w:pPr>
        <w:ind w:left="460" w:right="400"/>
        <w:spacing w:after="0" w:line="292" w:lineRule="auto"/>
        <w:rPr>
          <w:sz w:val="20"/>
          <w:szCs w:val="20"/>
          <w:color w:val="auto"/>
        </w:rPr>
      </w:pPr>
      <w:r>
        <w:rPr>
          <w:rFonts w:ascii="Arial" w:cs="Arial" w:eastAsia="Arial" w:hAnsi="Arial"/>
          <w:sz w:val="17"/>
          <w:szCs w:val="17"/>
          <w:color w:val="auto"/>
        </w:rPr>
        <w:t>The pro forma effect on net income (loss) and net income (loss) per share for the interim periods by applying SFAS No. 123 may not be indicative of the effect on net income or loss in future years since SFAS No. 123 does not take into consideration pro forma compensation expense related to awards made prior to January 1, 1995 and also because additional awards in future years are anticipated.</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27773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jc w:val="center"/>
        <w:spacing w:after="0" w:line="235" w:lineRule="auto"/>
        <w:rPr>
          <w:sz w:val="20"/>
          <w:szCs w:val="20"/>
          <w:color w:val="auto"/>
        </w:rPr>
      </w:pPr>
      <w:r>
        <w:rPr>
          <w:rFonts w:ascii="Arial" w:cs="Arial" w:eastAsia="Arial" w:hAnsi="Arial"/>
          <w:sz w:val="19"/>
          <w:szCs w:val="19"/>
          <w:color w:val="auto"/>
        </w:rPr>
        <w:t>QUARTER ENDED MARCH 31, 2004</w:t>
      </w:r>
    </w:p>
    <w:p>
      <w:pPr>
        <w:jc w:val="center"/>
        <w:spacing w:after="0" w:line="236" w:lineRule="auto"/>
        <w:rPr>
          <w:sz w:val="20"/>
          <w:szCs w:val="20"/>
          <w:color w:val="auto"/>
        </w:rPr>
      </w:pPr>
      <w:r>
        <w:rPr>
          <w:rFonts w:ascii="Arial" w:cs="Arial" w:eastAsia="Arial" w:hAnsi="Arial"/>
          <w:sz w:val="19"/>
          <w:szCs w:val="19"/>
          <w:color w:val="auto"/>
        </w:rPr>
        <w:t>NOTES TO CONDENSED CONSOLIDATED FINANCIAL STATEMENTS -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9"/>
          <w:szCs w:val="19"/>
          <w:color w:val="auto"/>
        </w:rPr>
        <w:t>The following table summarizes the activity of our option plans during the 2004 interim period (options in thousands):</w:t>
      </w:r>
    </w:p>
    <w:p>
      <w:pPr>
        <w:sectPr>
          <w:pgSz w:w="11900" w:h="16838" w:orient="portrait"/>
          <w:cols w:equalWidth="0" w:num="1">
            <w:col w:w="11380"/>
          </w:cols>
          <w:pgMar w:left="240" w:top="120" w:right="279" w:bottom="0" w:gutter="0" w:footer="0" w:header="0"/>
        </w:sectPr>
      </w:pPr>
    </w:p>
    <w:bookmarkStart w:id="10" w:name="page11"/>
    <w:bookmarkEnd w:id="10"/>
    <w:tbl>
      <w:tblPr>
        <w:tblLayout w:type="fixed"/>
        <w:tblInd w:w="5" w:type="dxa"/>
        <w:tblCellMar>
          <w:top w:w="0" w:type="dxa"/>
          <w:left w:w="0" w:type="dxa"/>
          <w:bottom w:w="0" w:type="dxa"/>
          <w:right w:w="0" w:type="dxa"/>
        </w:tblCellMar>
      </w:tblPr>
      <w:tr>
        <w:trPr>
          <w:trHeight w:val="218"/>
        </w:trPr>
        <w:tc>
          <w:tcPr>
            <w:tcW w:w="4400" w:type="dxa"/>
            <w:vAlign w:val="bottom"/>
          </w:tcPr>
          <w:p>
            <w:pPr>
              <w:spacing w:after="0"/>
              <w:rPr>
                <w:sz w:val="18"/>
                <w:szCs w:val="18"/>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9"/>
                <w:szCs w:val="19"/>
                <w:color w:val="auto"/>
                <w:w w:val="91"/>
              </w:rPr>
              <w:t>Class A</w:t>
            </w:r>
          </w:p>
        </w:tc>
        <w:tc>
          <w:tcPr>
            <w:tcW w:w="2200" w:type="dxa"/>
            <w:vAlign w:val="bottom"/>
            <w:gridSpan w:val="6"/>
          </w:tcPr>
          <w:p>
            <w:pPr>
              <w:jc w:val="right"/>
              <w:ind w:right="560"/>
              <w:spacing w:after="0"/>
              <w:rPr>
                <w:sz w:val="20"/>
                <w:szCs w:val="20"/>
                <w:color w:val="auto"/>
              </w:rPr>
            </w:pPr>
            <w:r>
              <w:rPr>
                <w:rFonts w:ascii="Arial" w:cs="Arial" w:eastAsia="Arial" w:hAnsi="Arial"/>
                <w:sz w:val="19"/>
                <w:szCs w:val="19"/>
                <w:color w:val="auto"/>
              </w:rPr>
              <w:t>Class A Special</w:t>
            </w:r>
          </w:p>
        </w:tc>
        <w:tc>
          <w:tcPr>
            <w:tcW w:w="0" w:type="dxa"/>
            <w:vAlign w:val="bottom"/>
          </w:tcPr>
          <w:p>
            <w:pPr>
              <w:spacing w:after="0"/>
              <w:rPr>
                <w:sz w:val="1"/>
                <w:szCs w:val="1"/>
                <w:color w:val="auto"/>
              </w:rPr>
            </w:pPr>
          </w:p>
        </w:tc>
      </w:tr>
      <w:tr>
        <w:trPr>
          <w:trHeight w:val="242"/>
        </w:trPr>
        <w:tc>
          <w:tcPr>
            <w:tcW w:w="4400" w:type="dxa"/>
            <w:vAlign w:val="bottom"/>
          </w:tcPr>
          <w:p>
            <w:pPr>
              <w:spacing w:after="0"/>
              <w:rPr>
                <w:sz w:val="21"/>
                <w:szCs w:val="21"/>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9"/>
                <w:szCs w:val="19"/>
                <w:color w:val="auto"/>
                <w:w w:val="90"/>
              </w:rPr>
              <w:t>Common Stock</w:t>
            </w:r>
          </w:p>
        </w:tc>
        <w:tc>
          <w:tcPr>
            <w:tcW w:w="2200" w:type="dxa"/>
            <w:vAlign w:val="bottom"/>
            <w:gridSpan w:val="6"/>
          </w:tcPr>
          <w:p>
            <w:pPr>
              <w:jc w:val="right"/>
              <w:ind w:right="580"/>
              <w:spacing w:after="0"/>
              <w:rPr>
                <w:sz w:val="20"/>
                <w:szCs w:val="20"/>
                <w:color w:val="auto"/>
              </w:rPr>
            </w:pPr>
            <w:r>
              <w:rPr>
                <w:rFonts w:ascii="Arial" w:cs="Arial" w:eastAsia="Arial" w:hAnsi="Arial"/>
                <w:sz w:val="19"/>
                <w:szCs w:val="19"/>
                <w:color w:val="auto"/>
              </w:rPr>
              <w:t>Common Stock</w:t>
            </w:r>
          </w:p>
        </w:tc>
        <w:tc>
          <w:tcPr>
            <w:tcW w:w="0" w:type="dxa"/>
            <w:vAlign w:val="bottom"/>
          </w:tcPr>
          <w:p>
            <w:pPr>
              <w:spacing w:after="0"/>
              <w:rPr>
                <w:sz w:val="1"/>
                <w:szCs w:val="1"/>
                <w:color w:val="auto"/>
              </w:rPr>
            </w:pPr>
          </w:p>
        </w:tc>
      </w:tr>
      <w:tr>
        <w:trPr>
          <w:trHeight w:val="87"/>
        </w:trPr>
        <w:tc>
          <w:tcPr>
            <w:tcW w:w="440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4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9"/>
                <w:szCs w:val="19"/>
                <w:color w:val="auto"/>
                <w:w w:val="92"/>
              </w:rPr>
              <w:t>Weighted-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9"/>
                <w:szCs w:val="19"/>
                <w:color w:val="auto"/>
                <w:w w:val="92"/>
              </w:rPr>
              <w:t>Weighted-</w:t>
            </w:r>
          </w:p>
        </w:tc>
        <w:tc>
          <w:tcPr>
            <w:tcW w:w="0" w:type="dxa"/>
            <w:vAlign w:val="bottom"/>
          </w:tcPr>
          <w:p>
            <w:pPr>
              <w:spacing w:after="0"/>
              <w:rPr>
                <w:sz w:val="1"/>
                <w:szCs w:val="1"/>
                <w:color w:val="auto"/>
              </w:rPr>
            </w:pPr>
          </w:p>
        </w:tc>
      </w:tr>
      <w:tr>
        <w:trPr>
          <w:trHeight w:val="215"/>
        </w:trPr>
        <w:tc>
          <w:tcPr>
            <w:tcW w:w="4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3"/>
          </w:tcPr>
          <w:p>
            <w:pPr>
              <w:jc w:val="center"/>
              <w:ind w:right="360"/>
              <w:spacing w:after="0" w:line="214" w:lineRule="exact"/>
              <w:rPr>
                <w:sz w:val="20"/>
                <w:szCs w:val="20"/>
                <w:color w:val="auto"/>
              </w:rPr>
            </w:pPr>
            <w:r>
              <w:rPr>
                <w:rFonts w:ascii="Arial" w:cs="Arial" w:eastAsia="Arial" w:hAnsi="Arial"/>
                <w:sz w:val="19"/>
                <w:szCs w:val="19"/>
                <w:color w:val="auto"/>
                <w:w w:val="90"/>
              </w:rPr>
              <w:t>Average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40"/>
              <w:spacing w:after="0" w:line="214" w:lineRule="exact"/>
              <w:rPr>
                <w:sz w:val="20"/>
                <w:szCs w:val="20"/>
                <w:color w:val="auto"/>
              </w:rPr>
            </w:pPr>
            <w:r>
              <w:rPr>
                <w:rFonts w:ascii="Arial" w:cs="Arial" w:eastAsia="Arial" w:hAnsi="Arial"/>
                <w:sz w:val="19"/>
                <w:szCs w:val="19"/>
                <w:color w:val="auto"/>
                <w:w w:val="90"/>
              </w:rPr>
              <w:t>Average</w:t>
            </w:r>
          </w:p>
        </w:tc>
        <w:tc>
          <w:tcPr>
            <w:tcW w:w="0" w:type="dxa"/>
            <w:vAlign w:val="bottom"/>
          </w:tcPr>
          <w:p>
            <w:pPr>
              <w:spacing w:after="0"/>
              <w:rPr>
                <w:sz w:val="1"/>
                <w:szCs w:val="1"/>
                <w:color w:val="auto"/>
              </w:rPr>
            </w:pPr>
          </w:p>
        </w:tc>
      </w:tr>
      <w:tr>
        <w:trPr>
          <w:trHeight w:val="215"/>
        </w:trPr>
        <w:tc>
          <w:tcPr>
            <w:tcW w:w="4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3"/>
          </w:tcPr>
          <w:p>
            <w:pPr>
              <w:jc w:val="center"/>
              <w:ind w:right="360"/>
              <w:spacing w:after="0" w:line="214" w:lineRule="exact"/>
              <w:rPr>
                <w:sz w:val="20"/>
                <w:szCs w:val="20"/>
                <w:color w:val="auto"/>
              </w:rPr>
            </w:pPr>
            <w:r>
              <w:rPr>
                <w:rFonts w:ascii="Arial" w:cs="Arial" w:eastAsia="Arial" w:hAnsi="Arial"/>
                <w:sz w:val="19"/>
                <w:szCs w:val="19"/>
                <w:color w:val="auto"/>
                <w:w w:val="87"/>
              </w:rPr>
              <w:t>Exercise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40"/>
              <w:spacing w:after="0" w:line="214" w:lineRule="exact"/>
              <w:rPr>
                <w:sz w:val="20"/>
                <w:szCs w:val="20"/>
                <w:color w:val="auto"/>
              </w:rPr>
            </w:pPr>
            <w:r>
              <w:rPr>
                <w:rFonts w:ascii="Arial" w:cs="Arial" w:eastAsia="Arial" w:hAnsi="Arial"/>
                <w:sz w:val="19"/>
                <w:szCs w:val="19"/>
                <w:color w:val="auto"/>
                <w:w w:val="87"/>
              </w:rPr>
              <w:t>Exercise</w:t>
            </w:r>
          </w:p>
        </w:tc>
        <w:tc>
          <w:tcPr>
            <w:tcW w:w="0" w:type="dxa"/>
            <w:vAlign w:val="bottom"/>
          </w:tcPr>
          <w:p>
            <w:pPr>
              <w:spacing w:after="0"/>
              <w:rPr>
                <w:sz w:val="1"/>
                <w:szCs w:val="1"/>
                <w:color w:val="auto"/>
              </w:rPr>
            </w:pPr>
          </w:p>
        </w:tc>
      </w:tr>
      <w:tr>
        <w:trPr>
          <w:trHeight w:val="242"/>
        </w:trPr>
        <w:tc>
          <w:tcPr>
            <w:tcW w:w="4400" w:type="dxa"/>
            <w:vAlign w:val="bottom"/>
          </w:tcPr>
          <w:p>
            <w:pPr>
              <w:spacing w:after="0"/>
              <w:rPr>
                <w:sz w:val="21"/>
                <w:szCs w:val="21"/>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9"/>
                <w:szCs w:val="19"/>
                <w:color w:val="auto"/>
              </w:rPr>
              <w:t>Options</w:t>
            </w:r>
          </w:p>
        </w:tc>
        <w:tc>
          <w:tcPr>
            <w:tcW w:w="1160" w:type="dxa"/>
            <w:vAlign w:val="bottom"/>
            <w:gridSpan w:val="3"/>
          </w:tcPr>
          <w:p>
            <w:pPr>
              <w:jc w:val="center"/>
              <w:ind w:right="360"/>
              <w:spacing w:after="0"/>
              <w:rPr>
                <w:sz w:val="20"/>
                <w:szCs w:val="20"/>
                <w:color w:val="auto"/>
              </w:rPr>
            </w:pPr>
            <w:r>
              <w:rPr>
                <w:rFonts w:ascii="Arial" w:cs="Arial" w:eastAsia="Arial" w:hAnsi="Arial"/>
                <w:sz w:val="19"/>
                <w:szCs w:val="19"/>
                <w:color w:val="auto"/>
                <w:w w:val="92"/>
              </w:rPr>
              <w:t>Price</w:t>
            </w:r>
          </w:p>
        </w:tc>
        <w:tc>
          <w:tcPr>
            <w:tcW w:w="900" w:type="dxa"/>
            <w:vAlign w:val="bottom"/>
            <w:gridSpan w:val="2"/>
          </w:tcPr>
          <w:p>
            <w:pPr>
              <w:jc w:val="right"/>
              <w:ind w:right="200"/>
              <w:spacing w:after="0"/>
              <w:rPr>
                <w:sz w:val="20"/>
                <w:szCs w:val="20"/>
                <w:color w:val="auto"/>
              </w:rPr>
            </w:pPr>
            <w:r>
              <w:rPr>
                <w:rFonts w:ascii="Arial" w:cs="Arial" w:eastAsia="Arial" w:hAnsi="Arial"/>
                <w:sz w:val="19"/>
                <w:szCs w:val="19"/>
                <w:color w:val="auto"/>
              </w:rPr>
              <w:t>Options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9"/>
                <w:szCs w:val="19"/>
                <w:color w:val="auto"/>
                <w:w w:val="92"/>
              </w:rPr>
              <w:t>Price</w:t>
            </w:r>
          </w:p>
        </w:tc>
        <w:tc>
          <w:tcPr>
            <w:tcW w:w="0" w:type="dxa"/>
            <w:vAlign w:val="bottom"/>
          </w:tcPr>
          <w:p>
            <w:pPr>
              <w:spacing w:after="0"/>
              <w:rPr>
                <w:sz w:val="1"/>
                <w:szCs w:val="1"/>
                <w:color w:val="auto"/>
              </w:rPr>
            </w:pPr>
          </w:p>
        </w:tc>
      </w:tr>
      <w:tr>
        <w:trPr>
          <w:trHeight w:val="87"/>
        </w:trPr>
        <w:tc>
          <w:tcPr>
            <w:tcW w:w="440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4400" w:type="dxa"/>
            <w:vAlign w:val="bottom"/>
          </w:tcPr>
          <w:p>
            <w:pPr>
              <w:spacing w:after="0"/>
              <w:rPr>
                <w:sz w:val="20"/>
                <w:szCs w:val="20"/>
                <w:color w:val="auto"/>
              </w:rPr>
            </w:pPr>
            <w:r>
              <w:rPr>
                <w:rFonts w:ascii="Arial" w:cs="Arial" w:eastAsia="Arial" w:hAnsi="Arial"/>
                <w:sz w:val="19"/>
                <w:szCs w:val="19"/>
                <w:color w:val="auto"/>
              </w:rPr>
              <w:t>Outstanding at beginning of period</w:t>
            </w:r>
          </w:p>
        </w:tc>
        <w:tc>
          <w:tcPr>
            <w:tcW w:w="800" w:type="dxa"/>
            <w:vAlign w:val="bottom"/>
          </w:tcPr>
          <w:p>
            <w:pPr>
              <w:jc w:val="right"/>
              <w:spacing w:after="0"/>
              <w:rPr>
                <w:sz w:val="20"/>
                <w:szCs w:val="20"/>
                <w:color w:val="auto"/>
              </w:rPr>
            </w:pPr>
            <w:r>
              <w:rPr>
                <w:rFonts w:ascii="Arial" w:cs="Arial" w:eastAsia="Arial" w:hAnsi="Arial"/>
                <w:sz w:val="19"/>
                <w:szCs w:val="19"/>
                <w:color w:val="auto"/>
              </w:rPr>
              <w:t>85,151</w:t>
            </w:r>
          </w:p>
        </w:tc>
        <w:tc>
          <w:tcPr>
            <w:tcW w:w="46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9"/>
                <w:szCs w:val="19"/>
                <w:color w:val="auto"/>
              </w:rPr>
              <w:t>$39.28</w:t>
            </w:r>
          </w:p>
        </w:tc>
        <w:tc>
          <w:tcPr>
            <w:tcW w:w="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9"/>
                <w:szCs w:val="19"/>
                <w:color w:val="auto"/>
              </w:rPr>
              <w:t>60,464</w:t>
            </w:r>
          </w:p>
        </w:tc>
        <w:tc>
          <w:tcPr>
            <w:tcW w:w="1300" w:type="dxa"/>
            <w:vAlign w:val="bottom"/>
            <w:gridSpan w:val="4"/>
          </w:tcPr>
          <w:p>
            <w:pPr>
              <w:jc w:val="right"/>
              <w:ind w:right="140"/>
              <w:spacing w:after="0"/>
              <w:rPr>
                <w:sz w:val="20"/>
                <w:szCs w:val="20"/>
                <w:color w:val="auto"/>
              </w:rPr>
            </w:pPr>
            <w:r>
              <w:rPr>
                <w:rFonts w:ascii="Arial" w:cs="Arial" w:eastAsia="Arial" w:hAnsi="Arial"/>
                <w:sz w:val="19"/>
                <w:szCs w:val="19"/>
                <w:color w:val="auto"/>
              </w:rPr>
              <w:t>$29.43</w:t>
            </w:r>
          </w:p>
        </w:tc>
        <w:tc>
          <w:tcPr>
            <w:tcW w:w="0" w:type="dxa"/>
            <w:vAlign w:val="bottom"/>
          </w:tcPr>
          <w:p>
            <w:pPr>
              <w:spacing w:after="0"/>
              <w:rPr>
                <w:sz w:val="1"/>
                <w:szCs w:val="1"/>
                <w:color w:val="auto"/>
              </w:rPr>
            </w:pPr>
          </w:p>
        </w:tc>
      </w:tr>
      <w:tr>
        <w:trPr>
          <w:trHeight w:val="215"/>
        </w:trPr>
        <w:tc>
          <w:tcPr>
            <w:tcW w:w="4400" w:type="dxa"/>
            <w:vAlign w:val="bottom"/>
          </w:tcPr>
          <w:p>
            <w:pPr>
              <w:spacing w:after="0" w:line="214" w:lineRule="exact"/>
              <w:rPr>
                <w:sz w:val="20"/>
                <w:szCs w:val="20"/>
                <w:color w:val="auto"/>
              </w:rPr>
            </w:pPr>
            <w:r>
              <w:rPr>
                <w:rFonts w:ascii="Arial" w:cs="Arial" w:eastAsia="Arial" w:hAnsi="Arial"/>
                <w:sz w:val="19"/>
                <w:szCs w:val="19"/>
                <w:color w:val="auto"/>
              </w:rPr>
              <w:t>Granted</w:t>
            </w:r>
          </w:p>
        </w:tc>
        <w:tc>
          <w:tcPr>
            <w:tcW w:w="800" w:type="dxa"/>
            <w:vAlign w:val="bottom"/>
          </w:tcPr>
          <w:p>
            <w:pPr>
              <w:jc w:val="right"/>
              <w:spacing w:after="0" w:line="214" w:lineRule="exact"/>
              <w:rPr>
                <w:sz w:val="20"/>
                <w:szCs w:val="20"/>
                <w:color w:val="auto"/>
              </w:rPr>
            </w:pPr>
            <w:r>
              <w:rPr>
                <w:rFonts w:ascii="Arial" w:cs="Arial" w:eastAsia="Arial" w:hAnsi="Arial"/>
                <w:sz w:val="19"/>
                <w:szCs w:val="19"/>
                <w:color w:val="auto"/>
              </w:rPr>
              <w:t>14,041</w:t>
            </w:r>
          </w:p>
        </w:tc>
        <w:tc>
          <w:tcPr>
            <w:tcW w:w="460" w:type="dxa"/>
            <w:vAlign w:val="bottom"/>
          </w:tcPr>
          <w:p>
            <w:pPr>
              <w:spacing w:after="0"/>
              <w:rPr>
                <w:sz w:val="18"/>
                <w:szCs w:val="18"/>
                <w:color w:val="auto"/>
              </w:rPr>
            </w:pPr>
          </w:p>
        </w:tc>
        <w:tc>
          <w:tcPr>
            <w:tcW w:w="1140" w:type="dxa"/>
            <w:vAlign w:val="bottom"/>
            <w:gridSpan w:val="2"/>
          </w:tcPr>
          <w:p>
            <w:pPr>
              <w:jc w:val="right"/>
              <w:ind w:right="340"/>
              <w:spacing w:after="0" w:line="214" w:lineRule="exact"/>
              <w:rPr>
                <w:sz w:val="20"/>
                <w:szCs w:val="20"/>
                <w:color w:val="auto"/>
              </w:rPr>
            </w:pPr>
            <w:r>
              <w:rPr>
                <w:rFonts w:ascii="Arial" w:cs="Arial" w:eastAsia="Arial" w:hAnsi="Arial"/>
                <w:sz w:val="19"/>
                <w:szCs w:val="19"/>
                <w:color w:val="auto"/>
              </w:rPr>
              <w:t>29.98</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spacing w:after="0" w:line="214" w:lineRule="exact"/>
              <w:rPr>
                <w:sz w:val="20"/>
                <w:szCs w:val="20"/>
                <w:color w:val="auto"/>
              </w:rPr>
            </w:pPr>
            <w:r>
              <w:rPr>
                <w:rFonts w:ascii="Arial" w:cs="Arial" w:eastAsia="Arial" w:hAnsi="Arial"/>
                <w:sz w:val="19"/>
                <w:szCs w:val="19"/>
                <w:color w:val="auto"/>
              </w:rPr>
              <w:t>Exercised</w:t>
            </w:r>
          </w:p>
        </w:tc>
        <w:tc>
          <w:tcPr>
            <w:tcW w:w="1260" w:type="dxa"/>
            <w:vAlign w:val="bottom"/>
            <w:gridSpan w:val="2"/>
          </w:tcPr>
          <w:p>
            <w:pPr>
              <w:jc w:val="right"/>
              <w:ind w:right="380"/>
              <w:spacing w:after="0" w:line="214" w:lineRule="exact"/>
              <w:rPr>
                <w:sz w:val="20"/>
                <w:szCs w:val="20"/>
                <w:color w:val="auto"/>
              </w:rPr>
            </w:pPr>
            <w:r>
              <w:rPr>
                <w:rFonts w:ascii="Arial" w:cs="Arial" w:eastAsia="Arial" w:hAnsi="Arial"/>
                <w:sz w:val="19"/>
                <w:szCs w:val="19"/>
                <w:color w:val="auto"/>
              </w:rPr>
              <w:t>(396)</w:t>
            </w:r>
          </w:p>
        </w:tc>
        <w:tc>
          <w:tcPr>
            <w:tcW w:w="1140" w:type="dxa"/>
            <w:vAlign w:val="bottom"/>
            <w:gridSpan w:val="2"/>
          </w:tcPr>
          <w:p>
            <w:pPr>
              <w:jc w:val="right"/>
              <w:ind w:right="340"/>
              <w:spacing w:after="0" w:line="214" w:lineRule="exact"/>
              <w:rPr>
                <w:sz w:val="20"/>
                <w:szCs w:val="20"/>
                <w:color w:val="auto"/>
              </w:rPr>
            </w:pPr>
            <w:r>
              <w:rPr>
                <w:rFonts w:ascii="Arial" w:cs="Arial" w:eastAsia="Arial" w:hAnsi="Arial"/>
                <w:sz w:val="19"/>
                <w:szCs w:val="19"/>
                <w:color w:val="auto"/>
              </w:rPr>
              <w:t>26.83</w:t>
            </w:r>
          </w:p>
        </w:tc>
        <w:tc>
          <w:tcPr>
            <w:tcW w:w="20" w:type="dxa"/>
            <w:vAlign w:val="bottom"/>
          </w:tcPr>
          <w:p>
            <w:pPr>
              <w:spacing w:after="0"/>
              <w:rPr>
                <w:sz w:val="18"/>
                <w:szCs w:val="18"/>
                <w:color w:val="auto"/>
              </w:rPr>
            </w:pPr>
          </w:p>
        </w:tc>
        <w:tc>
          <w:tcPr>
            <w:tcW w:w="900" w:type="dxa"/>
            <w:vAlign w:val="bottom"/>
            <w:gridSpan w:val="2"/>
          </w:tcPr>
          <w:p>
            <w:pPr>
              <w:jc w:val="right"/>
              <w:ind w:right="20"/>
              <w:spacing w:after="0" w:line="214" w:lineRule="exact"/>
              <w:rPr>
                <w:sz w:val="20"/>
                <w:szCs w:val="20"/>
                <w:color w:val="auto"/>
              </w:rPr>
            </w:pPr>
            <w:r>
              <w:rPr>
                <w:rFonts w:ascii="Arial" w:cs="Arial" w:eastAsia="Arial" w:hAnsi="Arial"/>
                <w:sz w:val="19"/>
                <w:szCs w:val="19"/>
                <w:color w:val="auto"/>
              </w:rPr>
              <w:t>(477)</w:t>
            </w:r>
          </w:p>
        </w:tc>
        <w:tc>
          <w:tcPr>
            <w:tcW w:w="1300" w:type="dxa"/>
            <w:vAlign w:val="bottom"/>
            <w:gridSpan w:val="4"/>
          </w:tcPr>
          <w:p>
            <w:pPr>
              <w:jc w:val="right"/>
              <w:ind w:right="140"/>
              <w:spacing w:after="0" w:line="214" w:lineRule="exact"/>
              <w:rPr>
                <w:sz w:val="20"/>
                <w:szCs w:val="20"/>
                <w:color w:val="auto"/>
              </w:rPr>
            </w:pPr>
            <w:r>
              <w:rPr>
                <w:rFonts w:ascii="Arial" w:cs="Arial" w:eastAsia="Arial" w:hAnsi="Arial"/>
                <w:sz w:val="19"/>
                <w:szCs w:val="19"/>
                <w:color w:val="auto"/>
              </w:rPr>
              <w:t>12.25</w:t>
            </w:r>
          </w:p>
        </w:tc>
        <w:tc>
          <w:tcPr>
            <w:tcW w:w="0" w:type="dxa"/>
            <w:vAlign w:val="bottom"/>
          </w:tcPr>
          <w:p>
            <w:pPr>
              <w:spacing w:after="0"/>
              <w:rPr>
                <w:sz w:val="1"/>
                <w:szCs w:val="1"/>
                <w:color w:val="auto"/>
              </w:rPr>
            </w:pPr>
          </w:p>
        </w:tc>
      </w:tr>
      <w:tr>
        <w:trPr>
          <w:trHeight w:val="242"/>
        </w:trPr>
        <w:tc>
          <w:tcPr>
            <w:tcW w:w="4400" w:type="dxa"/>
            <w:vAlign w:val="bottom"/>
          </w:tcPr>
          <w:p>
            <w:pPr>
              <w:spacing w:after="0"/>
              <w:rPr>
                <w:sz w:val="20"/>
                <w:szCs w:val="20"/>
                <w:color w:val="auto"/>
              </w:rPr>
            </w:pPr>
            <w:r>
              <w:rPr>
                <w:rFonts w:ascii="Arial" w:cs="Arial" w:eastAsia="Arial" w:hAnsi="Arial"/>
                <w:sz w:val="19"/>
                <w:szCs w:val="19"/>
                <w:color w:val="auto"/>
              </w:rPr>
              <w:t>Canceled</w:t>
            </w:r>
          </w:p>
        </w:tc>
        <w:tc>
          <w:tcPr>
            <w:tcW w:w="1260" w:type="dxa"/>
            <w:vAlign w:val="bottom"/>
            <w:gridSpan w:val="2"/>
          </w:tcPr>
          <w:p>
            <w:pPr>
              <w:jc w:val="right"/>
              <w:ind w:right="380"/>
              <w:spacing w:after="0"/>
              <w:rPr>
                <w:sz w:val="20"/>
                <w:szCs w:val="20"/>
                <w:color w:val="auto"/>
              </w:rPr>
            </w:pPr>
            <w:r>
              <w:rPr>
                <w:rFonts w:ascii="Arial" w:cs="Arial" w:eastAsia="Arial" w:hAnsi="Arial"/>
                <w:sz w:val="19"/>
                <w:szCs w:val="19"/>
                <w:color w:val="auto"/>
              </w:rPr>
              <w:t>(1,545)</w:t>
            </w:r>
          </w:p>
        </w:tc>
        <w:tc>
          <w:tcPr>
            <w:tcW w:w="1140" w:type="dxa"/>
            <w:vAlign w:val="bottom"/>
            <w:gridSpan w:val="2"/>
          </w:tcPr>
          <w:p>
            <w:pPr>
              <w:jc w:val="right"/>
              <w:ind w:right="340"/>
              <w:spacing w:after="0"/>
              <w:rPr>
                <w:sz w:val="20"/>
                <w:szCs w:val="20"/>
                <w:color w:val="auto"/>
              </w:rPr>
            </w:pPr>
            <w:r>
              <w:rPr>
                <w:rFonts w:ascii="Arial" w:cs="Arial" w:eastAsia="Arial" w:hAnsi="Arial"/>
                <w:sz w:val="19"/>
                <w:szCs w:val="19"/>
                <w:color w:val="auto"/>
              </w:rPr>
              <w:t>39.62</w:t>
            </w:r>
          </w:p>
        </w:tc>
        <w:tc>
          <w:tcPr>
            <w:tcW w:w="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9"/>
                <w:szCs w:val="19"/>
                <w:color w:val="auto"/>
              </w:rPr>
              <w:t>(323)</w:t>
            </w:r>
          </w:p>
        </w:tc>
        <w:tc>
          <w:tcPr>
            <w:tcW w:w="1300" w:type="dxa"/>
            <w:vAlign w:val="bottom"/>
            <w:gridSpan w:val="4"/>
          </w:tcPr>
          <w:p>
            <w:pPr>
              <w:jc w:val="right"/>
              <w:ind w:right="140"/>
              <w:spacing w:after="0"/>
              <w:rPr>
                <w:sz w:val="20"/>
                <w:szCs w:val="20"/>
                <w:color w:val="auto"/>
              </w:rPr>
            </w:pPr>
            <w:r>
              <w:rPr>
                <w:rFonts w:ascii="Arial" w:cs="Arial" w:eastAsia="Arial" w:hAnsi="Arial"/>
                <w:sz w:val="19"/>
                <w:szCs w:val="19"/>
                <w:color w:val="auto"/>
              </w:rPr>
              <w:t>36.22</w:t>
            </w:r>
          </w:p>
        </w:tc>
        <w:tc>
          <w:tcPr>
            <w:tcW w:w="0" w:type="dxa"/>
            <w:vAlign w:val="bottom"/>
          </w:tcPr>
          <w:p>
            <w:pPr>
              <w:spacing w:after="0"/>
              <w:rPr>
                <w:sz w:val="1"/>
                <w:szCs w:val="1"/>
                <w:color w:val="auto"/>
              </w:rPr>
            </w:pPr>
          </w:p>
        </w:tc>
      </w:tr>
      <w:tr>
        <w:trPr>
          <w:trHeight w:val="87"/>
        </w:trPr>
        <w:tc>
          <w:tcPr>
            <w:tcW w:w="440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1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4400" w:type="dxa"/>
            <w:vAlign w:val="bottom"/>
          </w:tcPr>
          <w:p>
            <w:pPr>
              <w:spacing w:after="0"/>
              <w:rPr>
                <w:sz w:val="20"/>
                <w:szCs w:val="20"/>
                <w:color w:val="auto"/>
              </w:rPr>
            </w:pPr>
            <w:r>
              <w:rPr>
                <w:rFonts w:ascii="Arial" w:cs="Arial" w:eastAsia="Arial" w:hAnsi="Arial"/>
                <w:sz w:val="19"/>
                <w:szCs w:val="19"/>
                <w:color w:val="auto"/>
              </w:rPr>
              <w:t>Outstanding at end of period</w:t>
            </w:r>
          </w:p>
        </w:tc>
        <w:tc>
          <w:tcPr>
            <w:tcW w:w="800" w:type="dxa"/>
            <w:vAlign w:val="bottom"/>
          </w:tcPr>
          <w:p>
            <w:pPr>
              <w:jc w:val="right"/>
              <w:spacing w:after="0"/>
              <w:rPr>
                <w:sz w:val="20"/>
                <w:szCs w:val="20"/>
                <w:color w:val="auto"/>
              </w:rPr>
            </w:pPr>
            <w:r>
              <w:rPr>
                <w:rFonts w:ascii="Arial" w:cs="Arial" w:eastAsia="Arial" w:hAnsi="Arial"/>
                <w:sz w:val="19"/>
                <w:szCs w:val="19"/>
                <w:color w:val="auto"/>
              </w:rPr>
              <w:t>97,251</w:t>
            </w:r>
          </w:p>
        </w:tc>
        <w:tc>
          <w:tcPr>
            <w:tcW w:w="46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9"/>
                <w:szCs w:val="19"/>
                <w:color w:val="auto"/>
              </w:rPr>
              <w:t>37.99</w:t>
            </w:r>
          </w:p>
        </w:tc>
        <w:tc>
          <w:tcPr>
            <w:tcW w:w="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9"/>
                <w:szCs w:val="19"/>
                <w:color w:val="auto"/>
              </w:rPr>
              <w:t>59,664</w:t>
            </w:r>
          </w:p>
        </w:tc>
        <w:tc>
          <w:tcPr>
            <w:tcW w:w="1300" w:type="dxa"/>
            <w:vAlign w:val="bottom"/>
            <w:gridSpan w:val="4"/>
          </w:tcPr>
          <w:p>
            <w:pPr>
              <w:jc w:val="right"/>
              <w:ind w:right="140"/>
              <w:spacing w:after="0"/>
              <w:rPr>
                <w:sz w:val="20"/>
                <w:szCs w:val="20"/>
                <w:color w:val="auto"/>
              </w:rPr>
            </w:pPr>
            <w:r>
              <w:rPr>
                <w:rFonts w:ascii="Arial" w:cs="Arial" w:eastAsia="Arial" w:hAnsi="Arial"/>
                <w:sz w:val="19"/>
                <w:szCs w:val="19"/>
                <w:color w:val="auto"/>
              </w:rPr>
              <w:t>29.53</w:t>
            </w:r>
          </w:p>
        </w:tc>
        <w:tc>
          <w:tcPr>
            <w:tcW w:w="0" w:type="dxa"/>
            <w:vAlign w:val="bottom"/>
          </w:tcPr>
          <w:p>
            <w:pPr>
              <w:spacing w:after="0"/>
              <w:rPr>
                <w:sz w:val="1"/>
                <w:szCs w:val="1"/>
                <w:color w:val="auto"/>
              </w:rPr>
            </w:pPr>
          </w:p>
        </w:tc>
      </w:tr>
      <w:tr>
        <w:trPr>
          <w:trHeight w:val="95"/>
        </w:trPr>
        <w:tc>
          <w:tcPr>
            <w:tcW w:w="44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4400" w:type="dxa"/>
            <w:vAlign w:val="bottom"/>
          </w:tcPr>
          <w:p>
            <w:pPr>
              <w:spacing w:after="0"/>
              <w:rPr>
                <w:sz w:val="20"/>
                <w:szCs w:val="20"/>
                <w:color w:val="auto"/>
              </w:rPr>
            </w:pPr>
            <w:r>
              <w:rPr>
                <w:rFonts w:ascii="Arial" w:cs="Arial" w:eastAsia="Arial" w:hAnsi="Arial"/>
                <w:sz w:val="19"/>
                <w:szCs w:val="19"/>
                <w:color w:val="auto"/>
              </w:rPr>
              <w:t>Exercisable at end of period</w:t>
            </w:r>
          </w:p>
        </w:tc>
        <w:tc>
          <w:tcPr>
            <w:tcW w:w="800" w:type="dxa"/>
            <w:vAlign w:val="bottom"/>
          </w:tcPr>
          <w:p>
            <w:pPr>
              <w:jc w:val="right"/>
              <w:spacing w:after="0"/>
              <w:rPr>
                <w:sz w:val="20"/>
                <w:szCs w:val="20"/>
                <w:color w:val="auto"/>
              </w:rPr>
            </w:pPr>
            <w:r>
              <w:rPr>
                <w:rFonts w:ascii="Arial" w:cs="Arial" w:eastAsia="Arial" w:hAnsi="Arial"/>
                <w:sz w:val="19"/>
                <w:szCs w:val="19"/>
                <w:color w:val="auto"/>
              </w:rPr>
              <w:t>55,181</w:t>
            </w:r>
          </w:p>
        </w:tc>
        <w:tc>
          <w:tcPr>
            <w:tcW w:w="46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9"/>
                <w:szCs w:val="19"/>
                <w:color w:val="auto"/>
              </w:rPr>
              <w:t>44.87</w:t>
            </w:r>
          </w:p>
        </w:tc>
        <w:tc>
          <w:tcPr>
            <w:tcW w:w="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9"/>
                <w:szCs w:val="19"/>
                <w:color w:val="auto"/>
              </w:rPr>
              <w:t>33,647</w:t>
            </w:r>
          </w:p>
        </w:tc>
        <w:tc>
          <w:tcPr>
            <w:tcW w:w="1300" w:type="dxa"/>
            <w:vAlign w:val="bottom"/>
            <w:gridSpan w:val="4"/>
          </w:tcPr>
          <w:p>
            <w:pPr>
              <w:jc w:val="right"/>
              <w:ind w:right="140"/>
              <w:spacing w:after="0"/>
              <w:rPr>
                <w:sz w:val="20"/>
                <w:szCs w:val="20"/>
                <w:color w:val="auto"/>
              </w:rPr>
            </w:pPr>
            <w:r>
              <w:rPr>
                <w:rFonts w:ascii="Arial" w:cs="Arial" w:eastAsia="Arial" w:hAnsi="Arial"/>
                <w:sz w:val="19"/>
                <w:szCs w:val="19"/>
                <w:color w:val="auto"/>
              </w:rPr>
              <w:t>26.82</w:t>
            </w:r>
          </w:p>
        </w:tc>
        <w:tc>
          <w:tcPr>
            <w:tcW w:w="0" w:type="dxa"/>
            <w:vAlign w:val="bottom"/>
          </w:tcPr>
          <w:p>
            <w:pPr>
              <w:spacing w:after="0"/>
              <w:rPr>
                <w:sz w:val="1"/>
                <w:szCs w:val="1"/>
                <w:color w:val="auto"/>
              </w:rPr>
            </w:pPr>
          </w:p>
        </w:tc>
      </w:tr>
      <w:tr>
        <w:trPr>
          <w:trHeight w:val="95"/>
        </w:trPr>
        <w:tc>
          <w:tcPr>
            <w:tcW w:w="4400" w:type="dxa"/>
            <w:vAlign w:val="bottom"/>
            <w:vMerge w:val="restart"/>
          </w:tcPr>
          <w:p>
            <w:pPr>
              <w:ind w:left="460"/>
              <w:spacing w:after="0"/>
              <w:rPr>
                <w:sz w:val="20"/>
                <w:szCs w:val="20"/>
                <w:color w:val="auto"/>
              </w:rPr>
            </w:pPr>
            <w:r>
              <w:rPr>
                <w:rFonts w:ascii="Arial" w:cs="Arial" w:eastAsia="Arial" w:hAnsi="Arial"/>
                <w:sz w:val="19"/>
                <w:szCs w:val="19"/>
                <w:i w:val="1"/>
                <w:iCs w:val="1"/>
                <w:color w:val="auto"/>
              </w:rPr>
              <w:t>Comprehensive Income (Loss)</w:t>
            </w:r>
          </w:p>
        </w:tc>
        <w:tc>
          <w:tcPr>
            <w:tcW w:w="8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2"/>
        </w:trPr>
        <w:tc>
          <w:tcPr>
            <w:tcW w:w="44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720" w:type="dxa"/>
            <w:vAlign w:val="bottom"/>
            <w:gridSpan w:val="8"/>
          </w:tcPr>
          <w:p>
            <w:pPr>
              <w:ind w:left="460"/>
              <w:spacing w:after="0"/>
              <w:rPr>
                <w:sz w:val="20"/>
                <w:szCs w:val="20"/>
                <w:color w:val="auto"/>
              </w:rPr>
            </w:pPr>
            <w:r>
              <w:rPr>
                <w:rFonts w:ascii="Arial" w:cs="Arial" w:eastAsia="Arial" w:hAnsi="Arial"/>
                <w:sz w:val="19"/>
                <w:szCs w:val="19"/>
                <w:color w:val="auto"/>
                <w:w w:val="96"/>
              </w:rPr>
              <w:t>Our total comprehensive income (loss) for the interim periods was as follows (in millions):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4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6"/>
          </w:tcPr>
          <w:p>
            <w:pPr>
              <w:jc w:val="center"/>
              <w:spacing w:after="0"/>
              <w:rPr>
                <w:sz w:val="20"/>
                <w:szCs w:val="20"/>
                <w:color w:val="auto"/>
              </w:rPr>
            </w:pPr>
            <w:r>
              <w:rPr>
                <w:rFonts w:ascii="Arial" w:cs="Arial" w:eastAsia="Arial" w:hAnsi="Arial"/>
                <w:sz w:val="19"/>
                <w:szCs w:val="19"/>
                <w:color w:val="auto"/>
                <w:w w:val="91"/>
              </w:rPr>
              <w:t>Three Months Ended March</w:t>
            </w:r>
          </w:p>
        </w:tc>
        <w:tc>
          <w:tcPr>
            <w:tcW w:w="0" w:type="dxa"/>
            <w:vAlign w:val="bottom"/>
          </w:tcPr>
          <w:p>
            <w:pPr>
              <w:spacing w:after="0"/>
              <w:rPr>
                <w:sz w:val="1"/>
                <w:szCs w:val="1"/>
                <w:color w:val="auto"/>
              </w:rPr>
            </w:pPr>
          </w:p>
        </w:tc>
      </w:tr>
      <w:tr>
        <w:trPr>
          <w:trHeight w:val="215"/>
        </w:trPr>
        <w:tc>
          <w:tcPr>
            <w:tcW w:w="4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20"/>
              <w:spacing w:after="0" w:line="214" w:lineRule="exact"/>
              <w:rPr>
                <w:sz w:val="20"/>
                <w:szCs w:val="20"/>
                <w:color w:val="auto"/>
              </w:rPr>
            </w:pPr>
            <w:r>
              <w:rPr>
                <w:rFonts w:ascii="Arial" w:cs="Arial" w:eastAsia="Arial" w:hAnsi="Arial"/>
                <w:sz w:val="19"/>
                <w:szCs w:val="19"/>
                <w:color w:val="auto"/>
              </w:rPr>
              <w:t>31,</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jc w:val="right"/>
              <w:ind w:right="85"/>
              <w:spacing w:after="0"/>
              <w:rPr>
                <w:sz w:val="20"/>
                <w:szCs w:val="20"/>
                <w:color w:val="auto"/>
              </w:rPr>
            </w:pPr>
            <w:r>
              <w:rPr>
                <w:rFonts w:ascii="Arial" w:cs="Arial" w:eastAsia="Arial" w:hAnsi="Arial"/>
                <w:sz w:val="19"/>
                <w:szCs w:val="19"/>
                <w:color w:val="auto"/>
              </w:rPr>
              <w:t>2004</w:t>
            </w:r>
          </w:p>
        </w:tc>
        <w:tc>
          <w:tcPr>
            <w:tcW w:w="100" w:type="dxa"/>
            <w:vAlign w:val="bottom"/>
          </w:tcPr>
          <w:p>
            <w:pPr>
              <w:spacing w:after="0"/>
              <w:rPr>
                <w:sz w:val="21"/>
                <w:szCs w:val="21"/>
                <w:color w:val="auto"/>
              </w:rPr>
            </w:pPr>
          </w:p>
        </w:tc>
        <w:tc>
          <w:tcPr>
            <w:tcW w:w="1160" w:type="dxa"/>
            <w:vAlign w:val="bottom"/>
            <w:gridSpan w:val="3"/>
          </w:tcPr>
          <w:p>
            <w:pPr>
              <w:jc w:val="right"/>
              <w:ind w:right="165"/>
              <w:spacing w:after="0"/>
              <w:rPr>
                <w:sz w:val="20"/>
                <w:szCs w:val="20"/>
                <w:color w:val="auto"/>
              </w:rPr>
            </w:pPr>
            <w:r>
              <w:rPr>
                <w:rFonts w:ascii="Arial" w:cs="Arial" w:eastAsia="Arial" w:hAnsi="Arial"/>
                <w:sz w:val="19"/>
                <w:szCs w:val="19"/>
                <w:color w:val="auto"/>
              </w:rPr>
              <w:t>2003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4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gridSpan w:val="2"/>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gridSpan w:val="2"/>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4400" w:type="dxa"/>
            <w:vAlign w:val="bottom"/>
          </w:tcPr>
          <w:p>
            <w:pPr>
              <w:spacing w:after="0"/>
              <w:rPr>
                <w:sz w:val="20"/>
                <w:szCs w:val="20"/>
                <w:color w:val="auto"/>
              </w:rPr>
            </w:pPr>
            <w:r>
              <w:rPr>
                <w:rFonts w:ascii="Arial" w:cs="Arial" w:eastAsia="Arial" w:hAnsi="Arial"/>
                <w:sz w:val="19"/>
                <w:szCs w:val="19"/>
                <w:color w:val="auto"/>
              </w:rPr>
              <w:t>Net income (loss)</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$65</w:t>
            </w:r>
          </w:p>
        </w:tc>
        <w:tc>
          <w:tcPr>
            <w:tcW w:w="1300" w:type="dxa"/>
            <w:vAlign w:val="bottom"/>
            <w:gridSpan w:val="4"/>
          </w:tcPr>
          <w:p>
            <w:pPr>
              <w:jc w:val="right"/>
              <w:ind w:right="80"/>
              <w:spacing w:after="0"/>
              <w:rPr>
                <w:sz w:val="20"/>
                <w:szCs w:val="20"/>
                <w:color w:val="auto"/>
              </w:rPr>
            </w:pPr>
            <w:r>
              <w:rPr>
                <w:rFonts w:ascii="Arial" w:cs="Arial" w:eastAsia="Arial" w:hAnsi="Arial"/>
                <w:sz w:val="19"/>
                <w:szCs w:val="19"/>
                <w:color w:val="auto"/>
              </w:rPr>
              <w:t>($297)</w:t>
            </w:r>
          </w:p>
        </w:tc>
        <w:tc>
          <w:tcPr>
            <w:tcW w:w="0" w:type="dxa"/>
            <w:vAlign w:val="bottom"/>
          </w:tcPr>
          <w:p>
            <w:pPr>
              <w:spacing w:after="0"/>
              <w:rPr>
                <w:sz w:val="1"/>
                <w:szCs w:val="1"/>
                <w:color w:val="auto"/>
              </w:rPr>
            </w:pPr>
          </w:p>
        </w:tc>
      </w:tr>
      <w:tr>
        <w:trPr>
          <w:trHeight w:val="215"/>
        </w:trPr>
        <w:tc>
          <w:tcPr>
            <w:tcW w:w="4400" w:type="dxa"/>
            <w:vAlign w:val="bottom"/>
          </w:tcPr>
          <w:p>
            <w:pPr>
              <w:spacing w:after="0" w:line="214" w:lineRule="exact"/>
              <w:rPr>
                <w:sz w:val="20"/>
                <w:szCs w:val="20"/>
                <w:color w:val="auto"/>
              </w:rPr>
            </w:pPr>
            <w:r>
              <w:rPr>
                <w:rFonts w:ascii="Arial" w:cs="Arial" w:eastAsia="Arial" w:hAnsi="Arial"/>
                <w:sz w:val="19"/>
                <w:szCs w:val="19"/>
                <w:color w:val="auto"/>
              </w:rPr>
              <w:t>Unrealized gains (losses) on marketable securities</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2</w:t>
            </w:r>
          </w:p>
        </w:tc>
        <w:tc>
          <w:tcPr>
            <w:tcW w:w="1300" w:type="dxa"/>
            <w:vAlign w:val="bottom"/>
            <w:gridSpan w:val="4"/>
          </w:tcPr>
          <w:p>
            <w:pPr>
              <w:jc w:val="right"/>
              <w:ind w:right="80"/>
              <w:spacing w:after="0" w:line="214" w:lineRule="exact"/>
              <w:rPr>
                <w:sz w:val="20"/>
                <w:szCs w:val="20"/>
                <w:color w:val="auto"/>
              </w:rPr>
            </w:pPr>
            <w:r>
              <w:rPr>
                <w:rFonts w:ascii="Arial" w:cs="Arial" w:eastAsia="Arial" w:hAnsi="Arial"/>
                <w:sz w:val="19"/>
                <w:szCs w:val="19"/>
                <w:color w:val="auto"/>
              </w:rPr>
              <w:t>(31)</w:t>
            </w:r>
          </w:p>
        </w:tc>
        <w:tc>
          <w:tcPr>
            <w:tcW w:w="0" w:type="dxa"/>
            <w:vAlign w:val="bottom"/>
          </w:tcPr>
          <w:p>
            <w:pPr>
              <w:spacing w:after="0"/>
              <w:rPr>
                <w:sz w:val="1"/>
                <w:szCs w:val="1"/>
                <w:color w:val="auto"/>
              </w:rPr>
            </w:pPr>
          </w:p>
        </w:tc>
      </w:tr>
      <w:tr>
        <w:trPr>
          <w:trHeight w:val="215"/>
        </w:trPr>
        <w:tc>
          <w:tcPr>
            <w:tcW w:w="4400" w:type="dxa"/>
            <w:vAlign w:val="bottom"/>
          </w:tcPr>
          <w:p>
            <w:pPr>
              <w:spacing w:after="0" w:line="214" w:lineRule="exact"/>
              <w:rPr>
                <w:sz w:val="20"/>
                <w:szCs w:val="20"/>
                <w:color w:val="auto"/>
              </w:rPr>
            </w:pPr>
            <w:r>
              <w:rPr>
                <w:rFonts w:ascii="Arial" w:cs="Arial" w:eastAsia="Arial" w:hAnsi="Arial"/>
                <w:sz w:val="19"/>
                <w:szCs w:val="19"/>
                <w:color w:val="auto"/>
              </w:rPr>
              <w:t>Reclassification adjustments for losses</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40"/>
              <w:spacing w:after="0" w:line="214" w:lineRule="exact"/>
              <w:rPr>
                <w:sz w:val="20"/>
                <w:szCs w:val="20"/>
                <w:color w:val="auto"/>
              </w:rPr>
            </w:pPr>
            <w:r>
              <w:rPr>
                <w:rFonts w:ascii="Arial" w:cs="Arial" w:eastAsia="Arial" w:hAnsi="Arial"/>
                <w:sz w:val="19"/>
                <w:szCs w:val="19"/>
                <w:color w:val="auto"/>
              </w:rPr>
              <w:t>included in net income (loss)</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8</w:t>
            </w:r>
          </w:p>
        </w:tc>
        <w:tc>
          <w:tcPr>
            <w:tcW w:w="1300" w:type="dxa"/>
            <w:vAlign w:val="bottom"/>
            <w:gridSpan w:val="4"/>
          </w:tcPr>
          <w:p>
            <w:pPr>
              <w:jc w:val="right"/>
              <w:ind w:right="140"/>
              <w:spacing w:after="0" w:line="214" w:lineRule="exact"/>
              <w:rPr>
                <w:sz w:val="20"/>
                <w:szCs w:val="20"/>
                <w:color w:val="auto"/>
              </w:rPr>
            </w:pPr>
            <w:r>
              <w:rPr>
                <w:rFonts w:ascii="Arial" w:cs="Arial" w:eastAsia="Arial" w:hAnsi="Arial"/>
                <w:sz w:val="19"/>
                <w:szCs w:val="19"/>
                <w:color w:val="auto"/>
              </w:rPr>
              <w:t>24</w:t>
            </w:r>
          </w:p>
        </w:tc>
        <w:tc>
          <w:tcPr>
            <w:tcW w:w="0" w:type="dxa"/>
            <w:vAlign w:val="bottom"/>
          </w:tcPr>
          <w:p>
            <w:pPr>
              <w:spacing w:after="0"/>
              <w:rPr>
                <w:sz w:val="1"/>
                <w:szCs w:val="1"/>
                <w:color w:val="auto"/>
              </w:rPr>
            </w:pPr>
          </w:p>
        </w:tc>
      </w:tr>
      <w:tr>
        <w:trPr>
          <w:trHeight w:val="242"/>
        </w:trPr>
        <w:tc>
          <w:tcPr>
            <w:tcW w:w="4400" w:type="dxa"/>
            <w:vAlign w:val="bottom"/>
          </w:tcPr>
          <w:p>
            <w:pPr>
              <w:spacing w:after="0"/>
              <w:rPr>
                <w:sz w:val="20"/>
                <w:szCs w:val="20"/>
                <w:color w:val="auto"/>
              </w:rPr>
            </w:pPr>
            <w:r>
              <w:rPr>
                <w:rFonts w:ascii="Arial" w:cs="Arial" w:eastAsia="Arial" w:hAnsi="Arial"/>
                <w:sz w:val="19"/>
                <w:szCs w:val="19"/>
                <w:color w:val="auto"/>
              </w:rPr>
              <w:t>Foreign currency translation gains</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4"/>
          </w:tcPr>
          <w:p>
            <w:pPr>
              <w:jc w:val="right"/>
              <w:ind w:right="140"/>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87"/>
        </w:trPr>
        <w:tc>
          <w:tcPr>
            <w:tcW w:w="4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gridSpan w:val="2"/>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gridSpan w:val="2"/>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4400" w:type="dxa"/>
            <w:vAlign w:val="bottom"/>
          </w:tcPr>
          <w:p>
            <w:pPr>
              <w:spacing w:after="0"/>
              <w:rPr>
                <w:sz w:val="20"/>
                <w:szCs w:val="20"/>
                <w:color w:val="auto"/>
              </w:rPr>
            </w:pPr>
            <w:r>
              <w:rPr>
                <w:rFonts w:ascii="Arial" w:cs="Arial" w:eastAsia="Arial" w:hAnsi="Arial"/>
                <w:sz w:val="19"/>
                <w:szCs w:val="19"/>
                <w:color w:val="auto"/>
              </w:rPr>
              <w:t>Comprehensive income (loss)</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$75</w:t>
            </w:r>
          </w:p>
        </w:tc>
        <w:tc>
          <w:tcPr>
            <w:tcW w:w="1300" w:type="dxa"/>
            <w:vAlign w:val="bottom"/>
            <w:gridSpan w:val="4"/>
          </w:tcPr>
          <w:p>
            <w:pPr>
              <w:jc w:val="right"/>
              <w:ind w:right="80"/>
              <w:spacing w:after="0"/>
              <w:rPr>
                <w:sz w:val="20"/>
                <w:szCs w:val="20"/>
                <w:color w:val="auto"/>
              </w:rPr>
            </w:pPr>
            <w:r>
              <w:rPr>
                <w:rFonts w:ascii="Arial" w:cs="Arial" w:eastAsia="Arial" w:hAnsi="Arial"/>
                <w:sz w:val="19"/>
                <w:szCs w:val="19"/>
                <w:color w:val="auto"/>
              </w:rPr>
              <w:t>($298)</w:t>
            </w:r>
          </w:p>
        </w:tc>
        <w:tc>
          <w:tcPr>
            <w:tcW w:w="0" w:type="dxa"/>
            <w:vAlign w:val="bottom"/>
          </w:tcPr>
          <w:p>
            <w:pPr>
              <w:spacing w:after="0"/>
              <w:rPr>
                <w:sz w:val="1"/>
                <w:szCs w:val="1"/>
                <w:color w:val="auto"/>
              </w:rPr>
            </w:pPr>
          </w:p>
        </w:tc>
      </w:tr>
      <w:tr>
        <w:trPr>
          <w:trHeight w:val="95"/>
        </w:trPr>
        <w:tc>
          <w:tcPr>
            <w:tcW w:w="4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-2451735</wp:posOffset>
            </wp:positionV>
            <wp:extent cx="127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-2451735</wp:posOffset>
            </wp:positionV>
            <wp:extent cx="127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-2451735</wp:posOffset>
            </wp:positionV>
            <wp:extent cx="127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4329430</wp:posOffset>
            </wp:positionH>
            <wp:positionV relativeFrom="paragraph">
              <wp:posOffset>-2451735</wp:posOffset>
            </wp:positionV>
            <wp:extent cx="127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-2179320</wp:posOffset>
            </wp:positionV>
            <wp:extent cx="127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-2179320</wp:posOffset>
            </wp:positionV>
            <wp:extent cx="127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-2179320</wp:posOffset>
            </wp:positionV>
            <wp:extent cx="127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4329430</wp:posOffset>
            </wp:positionH>
            <wp:positionV relativeFrom="paragraph">
              <wp:posOffset>-2179320</wp:posOffset>
            </wp:positionV>
            <wp:extent cx="127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4889500</wp:posOffset>
            </wp:positionH>
            <wp:positionV relativeFrom="paragraph">
              <wp:posOffset>-13335</wp:posOffset>
            </wp:positionV>
            <wp:extent cx="127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4321810</wp:posOffset>
            </wp:positionH>
            <wp:positionV relativeFrom="paragraph">
              <wp:posOffset>-13335</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-13335</wp:posOffset>
            </wp:positionV>
            <wp:extent cx="127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-13335</wp:posOffset>
            </wp:positionV>
            <wp:extent cx="127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67" w:lineRule="exact"/>
        <w:rPr>
          <w:sz w:val="20"/>
          <w:szCs w:val="20"/>
          <w:color w:val="auto"/>
        </w:rPr>
      </w:pPr>
    </w:p>
    <w:p>
      <w:pPr>
        <w:ind w:left="465" w:hanging="465"/>
        <w:spacing w:after="0"/>
        <w:tabs>
          <w:tab w:leader="none" w:pos="465" w:val="left"/>
        </w:tabs>
        <w:numPr>
          <w:ilvl w:val="0"/>
          <w:numId w:val="9"/>
        </w:numPr>
        <w:rPr>
          <w:rFonts w:ascii="Arial" w:cs="Arial" w:eastAsia="Arial" w:hAnsi="Arial"/>
          <w:sz w:val="19"/>
          <w:szCs w:val="19"/>
          <w:color w:val="auto"/>
        </w:rPr>
      </w:pPr>
      <w:r>
        <w:rPr>
          <w:rFonts w:ascii="Arial" w:cs="Arial" w:eastAsia="Arial" w:hAnsi="Arial"/>
          <w:sz w:val="19"/>
          <w:szCs w:val="19"/>
          <w:color w:val="auto"/>
        </w:rPr>
        <w:t>STATEMENT OF CASH FLOWS - SUPPLEMENTAL INFORMATION</w:t>
      </w:r>
    </w:p>
    <w:p>
      <w:pPr>
        <w:spacing w:after="0" w:line="210" w:lineRule="exact"/>
        <w:rPr>
          <w:rFonts w:ascii="Arial" w:cs="Arial" w:eastAsia="Arial" w:hAnsi="Arial"/>
          <w:sz w:val="19"/>
          <w:szCs w:val="19"/>
          <w:color w:val="auto"/>
        </w:rPr>
      </w:pPr>
    </w:p>
    <w:p>
      <w:pPr>
        <w:ind w:left="465"/>
        <w:spacing w:after="0"/>
        <w:rPr>
          <w:rFonts w:ascii="Arial" w:cs="Arial" w:eastAsia="Arial" w:hAnsi="Arial"/>
          <w:sz w:val="19"/>
          <w:szCs w:val="19"/>
          <w:color w:val="auto"/>
        </w:rPr>
      </w:pPr>
      <w:r>
        <w:rPr>
          <w:rFonts w:ascii="Arial" w:cs="Arial" w:eastAsia="Arial" w:hAnsi="Arial"/>
          <w:sz w:val="19"/>
          <w:szCs w:val="19"/>
          <w:color w:val="auto"/>
        </w:rPr>
        <w:t>We made cash payments for interest and income taxes during the interim periods as follows (in millions):</w:t>
      </w:r>
    </w:p>
    <w:p>
      <w:pPr>
        <w:spacing w:after="0" w:line="207" w:lineRule="exact"/>
        <w:rPr>
          <w:sz w:val="20"/>
          <w:szCs w:val="20"/>
          <w:color w:val="auto"/>
        </w:rPr>
      </w:pPr>
    </w:p>
    <w:tbl>
      <w:tblPr>
        <w:tblLayout w:type="fixed"/>
        <w:tblInd w:w="5" w:type="dxa"/>
        <w:tblCellMar>
          <w:top w:w="0" w:type="dxa"/>
          <w:left w:w="0" w:type="dxa"/>
          <w:bottom w:w="0" w:type="dxa"/>
          <w:right w:w="0" w:type="dxa"/>
        </w:tblCellMar>
      </w:tblPr>
      <w:tr>
        <w:trPr>
          <w:trHeight w:val="218"/>
        </w:trPr>
        <w:tc>
          <w:tcPr>
            <w:tcW w:w="6800" w:type="dxa"/>
            <w:vAlign w:val="bottom"/>
          </w:tcPr>
          <w:p>
            <w:pPr>
              <w:spacing w:after="0"/>
              <w:rPr>
                <w:sz w:val="19"/>
                <w:szCs w:val="19"/>
                <w:color w:val="auto"/>
              </w:rPr>
            </w:pPr>
          </w:p>
        </w:tc>
        <w:tc>
          <w:tcPr>
            <w:tcW w:w="2220" w:type="dxa"/>
            <w:vAlign w:val="bottom"/>
            <w:gridSpan w:val="4"/>
          </w:tcPr>
          <w:p>
            <w:pPr>
              <w:jc w:val="center"/>
              <w:spacing w:after="0"/>
              <w:rPr>
                <w:sz w:val="20"/>
                <w:szCs w:val="20"/>
                <w:color w:val="auto"/>
              </w:rPr>
            </w:pPr>
            <w:r>
              <w:rPr>
                <w:rFonts w:ascii="Arial" w:cs="Arial" w:eastAsia="Arial" w:hAnsi="Arial"/>
                <w:sz w:val="19"/>
                <w:szCs w:val="19"/>
                <w:color w:val="auto"/>
                <w:w w:val="91"/>
              </w:rPr>
              <w:t>Three Months Ended March</w:t>
            </w:r>
          </w:p>
        </w:tc>
      </w:tr>
      <w:tr>
        <w:trPr>
          <w:trHeight w:val="215"/>
        </w:trPr>
        <w:tc>
          <w:tcPr>
            <w:tcW w:w="6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2"/>
          </w:tcPr>
          <w:p>
            <w:pPr>
              <w:jc w:val="right"/>
              <w:ind w:right="820"/>
              <w:spacing w:after="0" w:line="214" w:lineRule="exact"/>
              <w:rPr>
                <w:sz w:val="20"/>
                <w:szCs w:val="20"/>
                <w:color w:val="auto"/>
              </w:rPr>
            </w:pPr>
            <w:r>
              <w:rPr>
                <w:rFonts w:ascii="Arial" w:cs="Arial" w:eastAsia="Arial" w:hAnsi="Arial"/>
                <w:sz w:val="19"/>
                <w:szCs w:val="19"/>
                <w:color w:val="auto"/>
              </w:rPr>
              <w:t>31,</w:t>
            </w:r>
          </w:p>
        </w:tc>
        <w:tc>
          <w:tcPr>
            <w:tcW w:w="140" w:type="dxa"/>
            <w:vAlign w:val="bottom"/>
          </w:tcPr>
          <w:p>
            <w:pPr>
              <w:spacing w:after="0"/>
              <w:rPr>
                <w:sz w:val="18"/>
                <w:szCs w:val="18"/>
                <w:color w:val="auto"/>
              </w:rPr>
            </w:pPr>
          </w:p>
        </w:tc>
      </w:tr>
      <w:tr>
        <w:trPr>
          <w:trHeight w:val="242"/>
        </w:trPr>
        <w:tc>
          <w:tcPr>
            <w:tcW w:w="6800" w:type="dxa"/>
            <w:vAlign w:val="bottom"/>
          </w:tcPr>
          <w:p>
            <w:pPr>
              <w:spacing w:after="0"/>
              <w:rPr>
                <w:sz w:val="21"/>
                <w:szCs w:val="21"/>
                <w:color w:val="auto"/>
              </w:rPr>
            </w:pPr>
          </w:p>
        </w:tc>
        <w:tc>
          <w:tcPr>
            <w:tcW w:w="920" w:type="dxa"/>
            <w:vAlign w:val="bottom"/>
          </w:tcPr>
          <w:p>
            <w:pPr>
              <w:jc w:val="right"/>
              <w:ind w:right="185"/>
              <w:spacing w:after="0"/>
              <w:rPr>
                <w:sz w:val="20"/>
                <w:szCs w:val="20"/>
                <w:color w:val="auto"/>
              </w:rPr>
            </w:pPr>
            <w:r>
              <w:rPr>
                <w:rFonts w:ascii="Arial" w:cs="Arial" w:eastAsia="Arial" w:hAnsi="Arial"/>
                <w:sz w:val="19"/>
                <w:szCs w:val="19"/>
                <w:color w:val="auto"/>
              </w:rPr>
              <w:t>2004</w:t>
            </w:r>
          </w:p>
        </w:tc>
        <w:tc>
          <w:tcPr>
            <w:tcW w:w="1160" w:type="dxa"/>
            <w:vAlign w:val="bottom"/>
            <w:gridSpan w:val="2"/>
          </w:tcPr>
          <w:p>
            <w:pPr>
              <w:jc w:val="right"/>
              <w:ind w:right="260"/>
              <w:spacing w:after="0"/>
              <w:rPr>
                <w:sz w:val="20"/>
                <w:szCs w:val="20"/>
                <w:color w:val="auto"/>
              </w:rPr>
            </w:pPr>
            <w:r>
              <w:rPr>
                <w:rFonts w:ascii="Arial" w:cs="Arial" w:eastAsia="Arial" w:hAnsi="Arial"/>
                <w:sz w:val="19"/>
                <w:szCs w:val="19"/>
                <w:color w:val="auto"/>
              </w:rPr>
              <w:t>2003</w:t>
            </w:r>
          </w:p>
        </w:tc>
        <w:tc>
          <w:tcPr>
            <w:tcW w:w="140" w:type="dxa"/>
            <w:vAlign w:val="bottom"/>
          </w:tcPr>
          <w:p>
            <w:pPr>
              <w:spacing w:after="0"/>
              <w:rPr>
                <w:sz w:val="21"/>
                <w:szCs w:val="21"/>
                <w:color w:val="auto"/>
              </w:rPr>
            </w:pPr>
          </w:p>
        </w:tc>
      </w:tr>
      <w:tr>
        <w:trPr>
          <w:trHeight w:val="87"/>
        </w:trPr>
        <w:tc>
          <w:tcPr>
            <w:tcW w:w="68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r>
      <w:tr>
        <w:trPr>
          <w:trHeight w:val="283"/>
        </w:trPr>
        <w:tc>
          <w:tcPr>
            <w:tcW w:w="6800" w:type="dxa"/>
            <w:vAlign w:val="bottom"/>
          </w:tcPr>
          <w:p>
            <w:pPr>
              <w:spacing w:after="0"/>
              <w:rPr>
                <w:sz w:val="20"/>
                <w:szCs w:val="20"/>
                <w:color w:val="auto"/>
              </w:rPr>
            </w:pPr>
            <w:r>
              <w:rPr>
                <w:rFonts w:ascii="Arial" w:cs="Arial" w:eastAsia="Arial" w:hAnsi="Arial"/>
                <w:sz w:val="19"/>
                <w:szCs w:val="19"/>
                <w:color w:val="auto"/>
              </w:rPr>
              <w:t>Interest</w:t>
            </w:r>
          </w:p>
        </w:tc>
        <w:tc>
          <w:tcPr>
            <w:tcW w:w="920" w:type="dxa"/>
            <w:vAlign w:val="bottom"/>
          </w:tcPr>
          <w:p>
            <w:pPr>
              <w:jc w:val="right"/>
              <w:spacing w:after="0"/>
              <w:rPr>
                <w:sz w:val="20"/>
                <w:szCs w:val="20"/>
                <w:color w:val="auto"/>
              </w:rPr>
            </w:pPr>
            <w:r>
              <w:rPr>
                <w:rFonts w:ascii="Arial" w:cs="Arial" w:eastAsia="Arial" w:hAnsi="Arial"/>
                <w:sz w:val="19"/>
                <w:szCs w:val="19"/>
                <w:color w:val="auto"/>
              </w:rPr>
              <w:t>$605</w:t>
            </w:r>
          </w:p>
        </w:tc>
        <w:tc>
          <w:tcPr>
            <w:tcW w:w="1300" w:type="dxa"/>
            <w:vAlign w:val="bottom"/>
            <w:gridSpan w:val="3"/>
          </w:tcPr>
          <w:p>
            <w:pPr>
              <w:jc w:val="right"/>
              <w:ind w:right="140"/>
              <w:spacing w:after="0"/>
              <w:rPr>
                <w:sz w:val="20"/>
                <w:szCs w:val="20"/>
                <w:color w:val="auto"/>
              </w:rPr>
            </w:pPr>
            <w:r>
              <w:rPr>
                <w:rFonts w:ascii="Arial" w:cs="Arial" w:eastAsia="Arial" w:hAnsi="Arial"/>
                <w:sz w:val="19"/>
                <w:szCs w:val="19"/>
                <w:color w:val="auto"/>
              </w:rPr>
              <w:t>$567</w:t>
            </w:r>
          </w:p>
        </w:tc>
      </w:tr>
      <w:tr>
        <w:trPr>
          <w:trHeight w:val="242"/>
        </w:trPr>
        <w:tc>
          <w:tcPr>
            <w:tcW w:w="6800" w:type="dxa"/>
            <w:vAlign w:val="bottom"/>
          </w:tcPr>
          <w:p>
            <w:pPr>
              <w:spacing w:after="0"/>
              <w:rPr>
                <w:sz w:val="20"/>
                <w:szCs w:val="20"/>
                <w:color w:val="auto"/>
              </w:rPr>
            </w:pPr>
            <w:r>
              <w:rPr>
                <w:rFonts w:ascii="Arial" w:cs="Arial" w:eastAsia="Arial" w:hAnsi="Arial"/>
                <w:sz w:val="19"/>
                <w:szCs w:val="19"/>
                <w:color w:val="auto"/>
              </w:rPr>
              <w:t>Income taxes</w:t>
            </w:r>
          </w:p>
        </w:tc>
        <w:tc>
          <w:tcPr>
            <w:tcW w:w="920" w:type="dxa"/>
            <w:vAlign w:val="bottom"/>
          </w:tcPr>
          <w:p>
            <w:pPr>
              <w:jc w:val="right"/>
              <w:spacing w:after="0"/>
              <w:rPr>
                <w:sz w:val="20"/>
                <w:szCs w:val="20"/>
                <w:color w:val="auto"/>
              </w:rPr>
            </w:pPr>
            <w:r>
              <w:rPr>
                <w:rFonts w:ascii="Arial" w:cs="Arial" w:eastAsia="Arial" w:hAnsi="Arial"/>
                <w:sz w:val="19"/>
                <w:szCs w:val="19"/>
                <w:color w:val="auto"/>
              </w:rPr>
              <w:t>$61</w:t>
            </w:r>
          </w:p>
        </w:tc>
        <w:tc>
          <w:tcPr>
            <w:tcW w:w="1300" w:type="dxa"/>
            <w:vAlign w:val="bottom"/>
            <w:gridSpan w:val="3"/>
          </w:tcPr>
          <w:p>
            <w:pPr>
              <w:jc w:val="right"/>
              <w:ind w:right="140"/>
              <w:spacing w:after="0"/>
              <w:rPr>
                <w:sz w:val="20"/>
                <w:szCs w:val="20"/>
                <w:color w:val="auto"/>
              </w:rPr>
            </w:pPr>
            <w:r>
              <w:rPr>
                <w:rFonts w:ascii="Arial" w:cs="Arial" w:eastAsia="Arial" w:hAnsi="Arial"/>
                <w:sz w:val="19"/>
                <w:szCs w:val="19"/>
                <w:color w:val="auto"/>
              </w:rPr>
              <w:t>$15</w:t>
            </w:r>
          </w:p>
        </w:tc>
      </w:tr>
    </w:tbl>
    <w:p>
      <w:pPr>
        <w:spacing w:after="0" w:line="187" w:lineRule="exact"/>
        <w:rPr>
          <w:sz w:val="20"/>
          <w:szCs w:val="20"/>
          <w:color w:val="auto"/>
        </w:rPr>
      </w:pPr>
    </w:p>
    <w:p>
      <w:pPr>
        <w:ind w:left="465" w:right="100"/>
        <w:spacing w:after="0" w:line="261" w:lineRule="auto"/>
        <w:rPr>
          <w:rFonts w:ascii="Arial" w:cs="Arial" w:eastAsia="Arial" w:hAnsi="Arial"/>
          <w:sz w:val="19"/>
          <w:szCs w:val="19"/>
          <w:color w:val="0000EE"/>
        </w:rPr>
      </w:pPr>
      <w:r>
        <w:rPr>
          <w:rFonts w:ascii="Arial" w:cs="Arial" w:eastAsia="Arial" w:hAnsi="Arial"/>
          <w:sz w:val="19"/>
          <w:szCs w:val="19"/>
          <w:color w:val="auto"/>
        </w:rPr>
        <w:t xml:space="preserve">During the 2004 interim period, we entered into non-cash financing and investing activities related to certain of our Exchangeable Notes (see </w:t>
      </w:r>
      <w:hyperlink w:anchor="page8">
        <w:r>
          <w:rPr>
            <w:rFonts w:ascii="Arial" w:cs="Arial" w:eastAsia="Arial" w:hAnsi="Arial"/>
            <w:sz w:val="19"/>
            <w:szCs w:val="19"/>
            <w:u w:val="single" w:color="auto"/>
            <w:color w:val="0000EE"/>
          </w:rPr>
          <w:t>Note 6</w:t>
        </w:r>
      </w:hyperlink>
      <w:r>
        <w:rPr>
          <w:rFonts w:ascii="Arial" w:cs="Arial" w:eastAsia="Arial" w:hAnsi="Arial"/>
          <w:sz w:val="19"/>
          <w:szCs w:val="19"/>
          <w:color w:val="000000"/>
        </w:rPr>
        <w:t>).</w:t>
      </w:r>
    </w:p>
    <w:p>
      <w:pPr>
        <w:spacing w:after="0" w:line="360" w:lineRule="exact"/>
        <w:rPr>
          <w:sz w:val="20"/>
          <w:szCs w:val="20"/>
          <w:color w:val="auto"/>
        </w:rPr>
      </w:pPr>
    </w:p>
    <w:p>
      <w:pPr>
        <w:jc w:val="center"/>
        <w:ind w:right="-84"/>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7773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ind w:right="-44"/>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44"/>
        <w:spacing w:after="0"/>
        <w:rPr>
          <w:sz w:val="20"/>
          <w:szCs w:val="20"/>
          <w:color w:val="auto"/>
        </w:rPr>
      </w:pPr>
      <w:r>
        <w:rPr>
          <w:rFonts w:ascii="Arial" w:cs="Arial" w:eastAsia="Arial" w:hAnsi="Arial"/>
          <w:sz w:val="19"/>
          <w:szCs w:val="19"/>
          <w:color w:val="auto"/>
        </w:rPr>
        <w:t>FORM 10-Q</w:t>
      </w:r>
    </w:p>
    <w:p>
      <w:pPr>
        <w:jc w:val="center"/>
        <w:ind w:right="-44"/>
        <w:spacing w:after="0" w:line="235" w:lineRule="auto"/>
        <w:rPr>
          <w:sz w:val="20"/>
          <w:szCs w:val="20"/>
          <w:color w:val="auto"/>
        </w:rPr>
      </w:pPr>
      <w:r>
        <w:rPr>
          <w:rFonts w:ascii="Arial" w:cs="Arial" w:eastAsia="Arial" w:hAnsi="Arial"/>
          <w:sz w:val="19"/>
          <w:szCs w:val="19"/>
          <w:color w:val="auto"/>
        </w:rPr>
        <w:t>QUARTER ENDED MARCH 31, 2004</w:t>
      </w:r>
    </w:p>
    <w:p>
      <w:pPr>
        <w:jc w:val="center"/>
        <w:ind w:right="-44"/>
        <w:spacing w:after="0" w:line="236" w:lineRule="auto"/>
        <w:rPr>
          <w:sz w:val="20"/>
          <w:szCs w:val="20"/>
          <w:color w:val="auto"/>
        </w:rPr>
      </w:pPr>
      <w:r>
        <w:rPr>
          <w:rFonts w:ascii="Arial" w:cs="Arial" w:eastAsia="Arial" w:hAnsi="Arial"/>
          <w:sz w:val="19"/>
          <w:szCs w:val="19"/>
          <w:color w:val="auto"/>
        </w:rPr>
        <w:t>NOTES TO CONDENSED CONSOLIDATED FINANCIAL STATEMENTS - CONTINUED</w:t>
      </w:r>
    </w:p>
    <w:p>
      <w:pPr>
        <w:spacing w:after="0" w:line="1" w:lineRule="exact"/>
        <w:rPr>
          <w:sz w:val="20"/>
          <w:szCs w:val="20"/>
          <w:color w:val="auto"/>
        </w:rPr>
      </w:pPr>
    </w:p>
    <w:p>
      <w:pPr>
        <w:jc w:val="center"/>
        <w:ind w:right="-84"/>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p>
      <w:pPr>
        <w:ind w:left="465" w:hanging="465"/>
        <w:spacing w:after="0"/>
        <w:tabs>
          <w:tab w:leader="none" w:pos="465" w:val="left"/>
        </w:tabs>
        <w:numPr>
          <w:ilvl w:val="0"/>
          <w:numId w:val="10"/>
        </w:numPr>
        <w:rPr>
          <w:rFonts w:ascii="Arial" w:cs="Arial" w:eastAsia="Arial" w:hAnsi="Arial"/>
          <w:sz w:val="19"/>
          <w:szCs w:val="19"/>
          <w:color w:val="auto"/>
        </w:rPr>
      </w:pPr>
      <w:r>
        <w:rPr>
          <w:rFonts w:ascii="Arial" w:cs="Arial" w:eastAsia="Arial" w:hAnsi="Arial"/>
          <w:sz w:val="19"/>
          <w:szCs w:val="19"/>
          <w:color w:val="auto"/>
        </w:rPr>
        <w:t>COMMITMENTS AND CONTINGENCIES</w:t>
      </w:r>
    </w:p>
    <w:p>
      <w:pPr>
        <w:spacing w:after="0" w:line="210" w:lineRule="exact"/>
        <w:rPr>
          <w:rFonts w:ascii="Arial" w:cs="Arial" w:eastAsia="Arial" w:hAnsi="Arial"/>
          <w:sz w:val="19"/>
          <w:szCs w:val="19"/>
          <w:color w:val="auto"/>
        </w:rPr>
      </w:pPr>
    </w:p>
    <w:p>
      <w:pPr>
        <w:ind w:left="465"/>
        <w:spacing w:after="0"/>
        <w:rPr>
          <w:rFonts w:ascii="Arial" w:cs="Arial" w:eastAsia="Arial" w:hAnsi="Arial"/>
          <w:sz w:val="19"/>
          <w:szCs w:val="19"/>
          <w:color w:val="auto"/>
        </w:rPr>
      </w:pPr>
      <w:r>
        <w:rPr>
          <w:rFonts w:ascii="Arial" w:cs="Arial" w:eastAsia="Arial" w:hAnsi="Arial"/>
          <w:sz w:val="19"/>
          <w:szCs w:val="19"/>
          <w:i w:val="1"/>
          <w:iCs w:val="1"/>
          <w:color w:val="auto"/>
        </w:rPr>
        <w:t>Commitments</w:t>
      </w:r>
    </w:p>
    <w:p>
      <w:pPr>
        <w:spacing w:after="0" w:line="12" w:lineRule="exact"/>
        <w:rPr>
          <w:rFonts w:ascii="Arial" w:cs="Arial" w:eastAsia="Arial" w:hAnsi="Arial"/>
          <w:sz w:val="19"/>
          <w:szCs w:val="19"/>
          <w:color w:val="auto"/>
        </w:rPr>
      </w:pPr>
    </w:p>
    <w:p>
      <w:pPr>
        <w:ind w:left="465" w:right="140"/>
        <w:spacing w:after="0" w:line="276" w:lineRule="auto"/>
        <w:rPr>
          <w:rFonts w:ascii="Arial" w:cs="Arial" w:eastAsia="Arial" w:hAnsi="Arial"/>
          <w:sz w:val="17"/>
          <w:szCs w:val="17"/>
          <w:color w:val="auto"/>
        </w:rPr>
      </w:pPr>
      <w:r>
        <w:rPr>
          <w:rFonts w:ascii="Arial" w:cs="Arial" w:eastAsia="Arial" w:hAnsi="Arial"/>
          <w:sz w:val="17"/>
          <w:szCs w:val="17"/>
          <w:color w:val="auto"/>
        </w:rPr>
        <w:t xml:space="preserve">Certain of our subsidiaries support debt compliance with respect to obligations of certain cable television partnerships and investments in which we hold an ownership interest (see </w:t>
      </w:r>
      <w:hyperlink w:anchor="page7">
        <w:r>
          <w:rPr>
            <w:rFonts w:ascii="Arial" w:cs="Arial" w:eastAsia="Arial" w:hAnsi="Arial"/>
            <w:sz w:val="17"/>
            <w:szCs w:val="17"/>
            <w:u w:val="single" w:color="auto"/>
            <w:color w:val="0000EE"/>
          </w:rPr>
          <w:t>Note 5</w:t>
        </w:r>
      </w:hyperlink>
      <w:r>
        <w:rPr>
          <w:rFonts w:ascii="Arial" w:cs="Arial" w:eastAsia="Arial" w:hAnsi="Arial"/>
          <w:sz w:val="17"/>
          <w:szCs w:val="17"/>
          <w:color w:val="auto"/>
        </w:rPr>
        <w:t>). The obligations expire between May 2008 and September 2010. Although there can be no assurance, we believe that we will not be required to meet our obligations under such commitments. The total notional amount of our commitments was $1.021 billion as of March 31, 2004, at which time there were no quoted market prices for similar agreements.</w:t>
      </w:r>
    </w:p>
    <w:p>
      <w:pPr>
        <w:spacing w:after="0" w:line="158" w:lineRule="exact"/>
        <w:rPr>
          <w:rFonts w:ascii="Arial" w:cs="Arial" w:eastAsia="Arial" w:hAnsi="Arial"/>
          <w:sz w:val="17"/>
          <w:szCs w:val="17"/>
          <w:color w:val="auto"/>
        </w:rPr>
      </w:pPr>
    </w:p>
    <w:p>
      <w:pPr>
        <w:ind w:left="465"/>
        <w:spacing w:after="0"/>
        <w:rPr>
          <w:rFonts w:ascii="Arial" w:cs="Arial" w:eastAsia="Arial" w:hAnsi="Arial"/>
          <w:sz w:val="17"/>
          <w:szCs w:val="17"/>
          <w:color w:val="auto"/>
        </w:rPr>
      </w:pPr>
      <w:r>
        <w:rPr>
          <w:rFonts w:ascii="Arial" w:cs="Arial" w:eastAsia="Arial" w:hAnsi="Arial"/>
          <w:sz w:val="19"/>
          <w:szCs w:val="19"/>
          <w:i w:val="1"/>
          <w:iCs w:val="1"/>
          <w:color w:val="auto"/>
        </w:rPr>
        <w:t>Contingencies</w:t>
      </w:r>
    </w:p>
    <w:p>
      <w:pPr>
        <w:spacing w:after="0" w:line="210" w:lineRule="exact"/>
        <w:rPr>
          <w:rFonts w:ascii="Arial" w:cs="Arial" w:eastAsia="Arial" w:hAnsi="Arial"/>
          <w:sz w:val="17"/>
          <w:szCs w:val="17"/>
          <w:color w:val="auto"/>
        </w:rPr>
      </w:pPr>
    </w:p>
    <w:p>
      <w:pPr>
        <w:ind w:left="465"/>
        <w:spacing w:after="0"/>
        <w:rPr>
          <w:rFonts w:ascii="Arial" w:cs="Arial" w:eastAsia="Arial" w:hAnsi="Arial"/>
          <w:sz w:val="17"/>
          <w:szCs w:val="17"/>
          <w:color w:val="auto"/>
        </w:rPr>
      </w:pPr>
      <w:r>
        <w:rPr>
          <w:rFonts w:ascii="Arial" w:cs="Arial" w:eastAsia="Arial" w:hAnsi="Arial"/>
          <w:sz w:val="19"/>
          <w:szCs w:val="19"/>
          <w:u w:val="single" w:color="auto"/>
          <w:color w:val="auto"/>
        </w:rPr>
        <w:t>At Home</w:t>
      </w:r>
    </w:p>
    <w:p>
      <w:pPr>
        <w:spacing w:after="0" w:line="12" w:lineRule="exact"/>
        <w:rPr>
          <w:rFonts w:ascii="Arial" w:cs="Arial" w:eastAsia="Arial" w:hAnsi="Arial"/>
          <w:sz w:val="17"/>
          <w:szCs w:val="17"/>
          <w:color w:val="auto"/>
        </w:rPr>
      </w:pPr>
    </w:p>
    <w:p>
      <w:pPr>
        <w:ind w:left="465"/>
        <w:spacing w:after="0" w:line="268" w:lineRule="auto"/>
        <w:rPr>
          <w:rFonts w:ascii="Arial" w:cs="Arial" w:eastAsia="Arial" w:hAnsi="Arial"/>
          <w:sz w:val="17"/>
          <w:szCs w:val="17"/>
          <w:color w:val="auto"/>
        </w:rPr>
      </w:pPr>
      <w:r>
        <w:rPr>
          <w:rFonts w:ascii="Arial" w:cs="Arial" w:eastAsia="Arial" w:hAnsi="Arial"/>
          <w:sz w:val="17"/>
          <w:szCs w:val="17"/>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Comcast Cable Communications, LLC, AT&amp;T and others in the United States District Court for the Southern District of New York, alleging securities law violations and common law fraud in connection with disclosures made by At Home in</w:t>
      </w:r>
    </w:p>
    <w:p>
      <w:pPr>
        <w:sectPr>
          <w:pgSz w:w="11900" w:h="16838" w:orient="portrait"/>
          <w:cols w:equalWidth="0" w:num="1">
            <w:col w:w="11345"/>
          </w:cols>
          <w:pgMar w:left="235" w:top="117" w:right="319" w:bottom="0" w:gutter="0" w:footer="0" w:header="0"/>
        </w:sectPr>
      </w:pPr>
    </w:p>
    <w:bookmarkStart w:id="11" w:name="page12"/>
    <w:bookmarkEnd w:id="11"/>
    <w:p>
      <w:pPr>
        <w:spacing w:after="0" w:line="2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2001;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 and (iv) a lawsuit brought in the United States Bankruptcy Court for the Northern District of California by certain At Home bondholders against Comcast Cable Holdings, LLC and Comcast Cable Communications Holdings, Inc., as well as AT&amp;T, AT&amp;T Credit Holdings, Inc. and AT&amp;T Wireless Services, Inc., seeking to avoid and recover certain alleged “preference” payments in excess of $89 million allegedly made to the defendants prior to the At Home bankruptcy filing. The actions in San Mateo County, California have been stayed by the United States Bankruptcy Court for the Northern District of California, the court in which At Home filed for bankruptcy, as violating the automatic bankruptcy stay. The preference action in U.S. Bankruptcy Court has also been stayed by agreement of the parties. In the Southern District of New York actions, the court ordered the actions consolidated into a single action. All of the defendants served motions to dismiss on February 11, 2003. The court dismissed the common law claims against us and Mr. Roberts, leaving only a claim for “control person” liability under the Securities Exchange Act of 1934. In a subsequent decision, the court limited the remaining claim against us and Mr. Roberts to disclosures that are alleged to have been made by At Home prior to August 28, 2000. The Delaware case has been transferred to the United States District Court for the Southern District of New York, and we have moved to dismiss the Section 16(b) claims.</w:t>
      </w:r>
    </w:p>
    <w:p>
      <w:pPr>
        <w:spacing w:after="0" w:line="17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Under the terms of the Broadband acquisition, we are generally contractually liable for 50% of any liabilities of AT&amp;T relating to At Home, including most liabilities resulting from any pending or threatened litigation, with the exception, among other things, of liabilities arising out of contracts between At Home and AT&amp;T (or its affiliates) for the benefit of the businesses retained by AT&amp;T following its divestiture of Broadband. In those situations that we are contractually liable for 50% of any liabilities, AT&amp;T will be liable for the other 50% of these liabilities. In addition to the actions against AT&amp;T described above, in which we are also a defendant, there are two additional actions brought by At Home’s bondholders’ liquidating trust against AT&amp;T not naming us: (i) 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 alleged conduct on the part of the defendants, and</w:t>
      </w:r>
    </w:p>
    <w:p>
      <w:pPr>
        <w:ind w:right="160" w:firstLine="1"/>
        <w:spacing w:after="0" w:line="244" w:lineRule="auto"/>
        <w:tabs>
          <w:tab w:leader="none" w:pos="281" w:val="left"/>
        </w:tabs>
        <w:numPr>
          <w:ilvl w:val="0"/>
          <w:numId w:val="11"/>
        </w:numPr>
        <w:rPr>
          <w:rFonts w:ascii="Arial" w:cs="Arial" w:eastAsia="Arial" w:hAnsi="Arial"/>
          <w:sz w:val="19"/>
          <w:szCs w:val="19"/>
          <w:color w:val="auto"/>
        </w:rPr>
      </w:pPr>
      <w:r>
        <w:rPr>
          <w:rFonts w:ascii="Arial" w:cs="Arial" w:eastAsia="Arial" w:hAnsi="Arial"/>
          <w:sz w:val="19"/>
          <w:szCs w:val="19"/>
          <w:color w:val="auto"/>
        </w:rPr>
        <w:t>an action filed against AT&amp;T in the District Court for the Northern District of California, alleging that AT&amp;T infringes an At Home patent by using its broadband distribution and high-speed Internet backbone networks and equipment. Both of</w:t>
      </w:r>
    </w:p>
    <w:p>
      <w:pPr>
        <w:spacing w:after="0" w:line="375"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130810</wp:posOffset>
            </wp:positionV>
            <wp:extent cx="727773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ind w:right="520"/>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520"/>
        <w:spacing w:after="0"/>
        <w:rPr>
          <w:sz w:val="20"/>
          <w:szCs w:val="20"/>
          <w:color w:val="auto"/>
        </w:rPr>
      </w:pPr>
      <w:r>
        <w:rPr>
          <w:rFonts w:ascii="Arial" w:cs="Arial" w:eastAsia="Arial" w:hAnsi="Arial"/>
          <w:sz w:val="19"/>
          <w:szCs w:val="19"/>
          <w:color w:val="auto"/>
        </w:rPr>
        <w:t>FORM 10-Q</w:t>
      </w:r>
    </w:p>
    <w:p>
      <w:pPr>
        <w:jc w:val="center"/>
        <w:ind w:right="520"/>
        <w:spacing w:after="0" w:line="235" w:lineRule="auto"/>
        <w:rPr>
          <w:sz w:val="20"/>
          <w:szCs w:val="20"/>
          <w:color w:val="auto"/>
        </w:rPr>
      </w:pPr>
      <w:r>
        <w:rPr>
          <w:rFonts w:ascii="Arial" w:cs="Arial" w:eastAsia="Arial" w:hAnsi="Arial"/>
          <w:sz w:val="19"/>
          <w:szCs w:val="19"/>
          <w:color w:val="auto"/>
        </w:rPr>
        <w:t>QUARTER ENDED MARCH 31, 2004</w:t>
      </w:r>
    </w:p>
    <w:p>
      <w:pPr>
        <w:jc w:val="center"/>
        <w:ind w:right="520"/>
        <w:spacing w:after="0" w:line="236" w:lineRule="auto"/>
        <w:rPr>
          <w:sz w:val="20"/>
          <w:szCs w:val="20"/>
          <w:color w:val="auto"/>
        </w:rPr>
      </w:pPr>
      <w:r>
        <w:rPr>
          <w:rFonts w:ascii="Arial" w:cs="Arial" w:eastAsia="Arial" w:hAnsi="Arial"/>
          <w:sz w:val="19"/>
          <w:szCs w:val="19"/>
          <w:color w:val="auto"/>
        </w:rPr>
        <w:t>NOTES TO CONDENSED CONSOLIDATED FINANCIAL STATEMENTS - CONTINUED</w:t>
      </w:r>
    </w:p>
    <w:p>
      <w:pPr>
        <w:spacing w:after="0" w:line="1"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these actions are in the discovery stage.</w:t>
      </w:r>
    </w:p>
    <w:p>
      <w:pPr>
        <w:spacing w:after="0" w:line="21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deny any wrongdoing in connection with the claims that have been made directly against us, our subsidiaries and Brian L. Roberts, and intend to defend all of these claims vigorously. 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70" w:lineRule="exact"/>
        <w:rPr>
          <w:sz w:val="20"/>
          <w:szCs w:val="20"/>
          <w:color w:val="auto"/>
        </w:rPr>
      </w:pPr>
    </w:p>
    <w:p>
      <w:pPr>
        <w:jc w:val="both"/>
        <w:ind w:right="20"/>
        <w:spacing w:after="0" w:line="248" w:lineRule="auto"/>
        <w:rPr>
          <w:sz w:val="20"/>
          <w:szCs w:val="20"/>
          <w:color w:val="auto"/>
        </w:rPr>
      </w:pPr>
      <w:r>
        <w:rPr>
          <w:rFonts w:ascii="Arial" w:cs="Arial" w:eastAsia="Arial" w:hAnsi="Arial"/>
          <w:sz w:val="19"/>
          <w:szCs w:val="19"/>
          <w:color w:val="auto"/>
        </w:rPr>
        <w:t>We are currently waiting to obtain additional information, and, therefore, are unable to determine what impact, if any, the final resolution of our share of these AT&amp;T At Home potential liabilities would have on our consolidated financial position or results of operations. No assurance can be given that any adverse outcome would not be material.</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AT&amp;T</w:t>
      </w:r>
    </w:p>
    <w:p>
      <w:pPr>
        <w:spacing w:after="0" w:line="1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in connection with our acquisition of Broadband,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Section 12(a)(2) and Section 15 of the Securities Act of 1933, as amended, and Section 10(b) and Section 20(a) of the Securities Exchange Act of 1934, as amended. The first lawsuit, for which our portion of the exposure is up to 15%, alleges, among other things, that AT&amp;T made material misstatements and omissions in the Registration Statement and Prospectus for the AT&amp;T Wireless initial public offering. The second lawsuit, for which our portion of the exposure is up to 50%, alleges, among other things, that AT&amp;T knowingly provided false projections relating to AT&amp;T common stock. The complaints seek damages in an unspecified amount, but, because the trading activity during the purported class periods was extensive, the amounts ultimately demanded may be significant. We and AT&amp;T believe that AT&amp;T has meritorious defenses and these actions are being vigorously defended. Motions for summary judgment were filed in March 2004 and are pending before the court.</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On June 24, 1998, the first of a number of purported class action lawsuits was filed by then-shareholders of Tele-Communications, Inc. (“TCI”) Series A TCI Group Common Stock (“Common A”) against AT&amp;T and the directors of TCI relating to the acquisition of TCI by AT&amp;T. A consolidated amended complaint combining the various different actions was filed on February 10,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w:t>
      </w:r>
    </w:p>
    <w:p>
      <w:pPr>
        <w:spacing w:after="0" w:line="188" w:lineRule="exact"/>
        <w:rPr>
          <w:sz w:val="20"/>
          <w:szCs w:val="20"/>
          <w:color w:val="auto"/>
        </w:rPr>
      </w:pPr>
    </w:p>
    <w:p>
      <w:pPr>
        <w:ind w:right="80"/>
        <w:spacing w:after="0"/>
        <w:rPr>
          <w:sz w:val="20"/>
          <w:szCs w:val="20"/>
          <w:color w:val="auto"/>
        </w:rPr>
      </w:pPr>
      <w:r>
        <w:rPr>
          <w:rFonts w:ascii="Arial" w:cs="Arial" w:eastAsia="Arial" w:hAnsi="Arial"/>
          <w:sz w:val="19"/>
          <w:szCs w:val="19"/>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Broadband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 in this action.</w:t>
      </w:r>
    </w:p>
    <w:p>
      <w:pPr>
        <w:spacing w:after="0" w:line="192" w:lineRule="exact"/>
        <w:rPr>
          <w:sz w:val="20"/>
          <w:szCs w:val="20"/>
          <w:color w:val="auto"/>
        </w:rPr>
      </w:pPr>
    </w:p>
    <w:p>
      <w:pPr>
        <w:ind w:right="240"/>
        <w:spacing w:after="0" w:line="320" w:lineRule="auto"/>
        <w:rPr>
          <w:sz w:val="20"/>
          <w:szCs w:val="20"/>
          <w:color w:val="auto"/>
        </w:rPr>
      </w:pPr>
      <w:r>
        <w:rPr>
          <w:rFonts w:ascii="Arial" w:cs="Arial" w:eastAsia="Arial" w:hAnsi="Arial"/>
          <w:sz w:val="17"/>
          <w:szCs w:val="17"/>
          <w:color w:val="auto"/>
        </w:rPr>
        <w:t>On September 8, 1999, AT&amp;T moved to dismiss the amended complaint for failure to state a cause of action against AT&amp;T. On July 7, 2003, the Delaware Court of Chancery granted AT&amp;T’s motion to dismiss on the ground that the complaint failed to adequately plead AT&amp;T’s</w:t>
      </w:r>
    </w:p>
    <w:p>
      <w:pPr>
        <w:sectPr>
          <w:pgSz w:w="11900" w:h="16859" w:orient="portrait"/>
          <w:cols w:equalWidth="0" w:num="1">
            <w:col w:w="10980"/>
          </w:cols>
          <w:pgMar w:left="700" w:top="120" w:right="219" w:bottom="0" w:gutter="0" w:footer="0" w:header="0"/>
        </w:sectPr>
      </w:pPr>
    </w:p>
    <w:bookmarkStart w:id="12" w:name="page13"/>
    <w:bookmarkEnd w:id="12"/>
    <w:p>
      <w:pPr>
        <w:spacing w:after="0" w:line="75" w:lineRule="exact"/>
        <w:rPr>
          <w:sz w:val="20"/>
          <w:szCs w:val="20"/>
          <w:color w:val="auto"/>
        </w:rPr>
      </w:pPr>
    </w:p>
    <w:p>
      <w:pPr>
        <w:ind w:left="465" w:right="20"/>
        <w:spacing w:after="0" w:line="262" w:lineRule="auto"/>
        <w:rPr>
          <w:sz w:val="20"/>
          <w:szCs w:val="20"/>
          <w:color w:val="auto"/>
        </w:rPr>
      </w:pPr>
      <w:r>
        <w:rPr>
          <w:rFonts w:ascii="Arial" w:cs="Arial" w:eastAsia="Arial" w:hAnsi="Arial"/>
          <w:sz w:val="19"/>
          <w:szCs w:val="19"/>
          <w:color w:val="auto"/>
        </w:rPr>
        <w:t>“knowing participation,” as required to state a claim for aiding and abetting a breach of fiduciary duty. The other claims made in the complaint remain outstanding. Discovery in this matter is now closed.</w:t>
      </w:r>
    </w:p>
    <w:p>
      <w:pPr>
        <w:spacing w:after="0" w:line="168" w:lineRule="exact"/>
        <w:rPr>
          <w:sz w:val="20"/>
          <w:szCs w:val="20"/>
          <w:color w:val="auto"/>
        </w:rPr>
      </w:pPr>
    </w:p>
    <w:p>
      <w:pPr>
        <w:ind w:left="465" w:right="40"/>
        <w:spacing w:after="0" w:line="261" w:lineRule="auto"/>
        <w:rPr>
          <w:sz w:val="20"/>
          <w:szCs w:val="20"/>
          <w:color w:val="auto"/>
        </w:rPr>
      </w:pPr>
      <w:r>
        <w:rPr>
          <w:rFonts w:ascii="Arial" w:cs="Arial" w:eastAsia="Arial" w:hAnsi="Arial"/>
          <w:sz w:val="19"/>
          <w:szCs w:val="19"/>
          <w:color w:val="auto"/>
        </w:rPr>
        <w:t>In our opinion, the final disposition of these claims is not expected to have a material adverse effect on our consolidated financial position, but could possibly be material to our consolidated results of operations of any one</w:t>
      </w:r>
    </w:p>
    <w:p>
      <w:pPr>
        <w:spacing w:after="0" w:line="360" w:lineRule="exact"/>
        <w:rPr>
          <w:sz w:val="20"/>
          <w:szCs w:val="20"/>
          <w:color w:val="auto"/>
        </w:rPr>
      </w:pPr>
    </w:p>
    <w:p>
      <w:pPr>
        <w:jc w:val="center"/>
        <w:ind w:right="-44"/>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7773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FORM 10-Q</w:t>
      </w:r>
    </w:p>
    <w:p>
      <w:pPr>
        <w:jc w:val="center"/>
        <w:ind w:right="-4"/>
        <w:spacing w:after="0" w:line="235" w:lineRule="auto"/>
        <w:rPr>
          <w:sz w:val="20"/>
          <w:szCs w:val="20"/>
          <w:color w:val="auto"/>
        </w:rPr>
      </w:pPr>
      <w:r>
        <w:rPr>
          <w:rFonts w:ascii="Arial" w:cs="Arial" w:eastAsia="Arial" w:hAnsi="Arial"/>
          <w:sz w:val="19"/>
          <w:szCs w:val="19"/>
          <w:color w:val="auto"/>
        </w:rPr>
        <w:t>QUARTER ENDED MARCH 31, 2004</w:t>
      </w:r>
    </w:p>
    <w:p>
      <w:pPr>
        <w:jc w:val="center"/>
        <w:ind w:right="-4"/>
        <w:spacing w:after="0" w:line="236" w:lineRule="auto"/>
        <w:rPr>
          <w:sz w:val="20"/>
          <w:szCs w:val="20"/>
          <w:color w:val="auto"/>
        </w:rPr>
      </w:pPr>
      <w:r>
        <w:rPr>
          <w:rFonts w:ascii="Arial" w:cs="Arial" w:eastAsia="Arial" w:hAnsi="Arial"/>
          <w:sz w:val="19"/>
          <w:szCs w:val="19"/>
          <w:color w:val="auto"/>
        </w:rPr>
        <w:t>NOTES TO CONDENSED CONSOLIDATED FINANCIAL STATEMENTS - CONTINUED</w:t>
      </w:r>
    </w:p>
    <w:p>
      <w:pPr>
        <w:spacing w:after="0" w:line="1" w:lineRule="exact"/>
        <w:rPr>
          <w:sz w:val="20"/>
          <w:szCs w:val="20"/>
          <w:color w:val="auto"/>
        </w:rPr>
      </w:pPr>
    </w:p>
    <w:p>
      <w:pPr>
        <w:jc w:val="center"/>
        <w:ind w:right="-44"/>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p>
      <w:pPr>
        <w:ind w:left="465"/>
        <w:spacing w:after="0"/>
        <w:rPr>
          <w:sz w:val="20"/>
          <w:szCs w:val="20"/>
          <w:color w:val="auto"/>
        </w:rPr>
      </w:pPr>
      <w:r>
        <w:rPr>
          <w:rFonts w:ascii="Arial" w:cs="Arial" w:eastAsia="Arial" w:hAnsi="Arial"/>
          <w:sz w:val="19"/>
          <w:szCs w:val="19"/>
          <w:color w:val="auto"/>
        </w:rPr>
        <w:t>period. Further, no assurance can be given that any adverse outcome would not be material to our consolidated financial position.</w:t>
      </w:r>
    </w:p>
    <w:p>
      <w:pPr>
        <w:spacing w:after="0" w:line="211" w:lineRule="exact"/>
        <w:rPr>
          <w:sz w:val="20"/>
          <w:szCs w:val="20"/>
          <w:color w:val="auto"/>
        </w:rPr>
      </w:pPr>
    </w:p>
    <w:p>
      <w:pPr>
        <w:ind w:left="465"/>
        <w:spacing w:after="0"/>
        <w:rPr>
          <w:sz w:val="20"/>
          <w:szCs w:val="20"/>
          <w:color w:val="auto"/>
        </w:rPr>
      </w:pPr>
      <w:r>
        <w:rPr>
          <w:rFonts w:ascii="Arial" w:cs="Arial" w:eastAsia="Arial" w:hAnsi="Arial"/>
          <w:sz w:val="19"/>
          <w:szCs w:val="19"/>
          <w:u w:val="single" w:color="auto"/>
          <w:color w:val="auto"/>
        </w:rPr>
        <w:t>Liberty Digital</w:t>
      </w:r>
    </w:p>
    <w:p>
      <w:pPr>
        <w:spacing w:after="0" w:line="12" w:lineRule="exact"/>
        <w:rPr>
          <w:sz w:val="20"/>
          <w:szCs w:val="20"/>
          <w:color w:val="auto"/>
        </w:rPr>
      </w:pPr>
    </w:p>
    <w:p>
      <w:pPr>
        <w:ind w:left="465"/>
        <w:spacing w:after="0" w:line="252" w:lineRule="auto"/>
        <w:rPr>
          <w:sz w:val="20"/>
          <w:szCs w:val="20"/>
          <w:color w:val="auto"/>
        </w:rPr>
      </w:pPr>
      <w:r>
        <w:rPr>
          <w:rFonts w:ascii="Arial" w:cs="Arial" w:eastAsia="Arial" w:hAnsi="Arial"/>
          <w:sz w:val="18"/>
          <w:szCs w:val="18"/>
          <w:color w:val="auto"/>
        </w:rPr>
        <w:t>On January 8, 2003, Liberty Digital, Inc. filed a complaint in Colorado state court against us and Comcast Cable Holdings, LLC. The complaint alleges that Comcast Cable Holdings breached a 1997 “contribution agreement” between Liberty Digital and Comcast Cable Holdings and that we tortiously interfered with that agreement. The complaint alleges that this purported agreement obligates Comcast Cable Holdings to pay fees to Liberty Digital totaling $18 million (increasing at CPI) per year through 2017. Liberty Digital seeks, among other things, compensatory damages, specific performance of the purported agreement, a declaration that the agreement is valid and enforceable going forward, and an unspecified amount of exemplary damages from us based on the alleged intentional interference claim. We and Comcast Cable Holdings filed our answer to the complaint on March 5, 2003, in which we denied the essential allegations of the complaint and asserted various affirmative defenses.</w:t>
      </w:r>
    </w:p>
    <w:p>
      <w:pPr>
        <w:spacing w:after="0" w:line="177" w:lineRule="exact"/>
        <w:rPr>
          <w:sz w:val="20"/>
          <w:szCs w:val="20"/>
          <w:color w:val="auto"/>
        </w:rPr>
      </w:pPr>
    </w:p>
    <w:p>
      <w:pPr>
        <w:ind w:left="465" w:right="40"/>
        <w:spacing w:after="0" w:line="244" w:lineRule="auto"/>
        <w:rPr>
          <w:sz w:val="20"/>
          <w:szCs w:val="20"/>
          <w:color w:val="auto"/>
        </w:rPr>
      </w:pPr>
      <w:r>
        <w:rPr>
          <w:rFonts w:ascii="Arial" w:cs="Arial" w:eastAsia="Arial" w:hAnsi="Arial"/>
          <w:sz w:val="19"/>
          <w:szCs w:val="19"/>
          <w:color w:val="auto"/>
        </w:rPr>
        <w:t>On November 6, 2003, Liberty Digital was granted leave to file an amended complaint that contained one minor revision to the original complaint. On December 16, 2003, we and Comcast Cable Holdings filed our answer to the amended complaint, in which we again denied the essential allegations of the complaint and asserted various affirmative defenses. Discovery in this matter is currently underway and a trial is scheduled to commence on July 19, 2004.</w:t>
      </w:r>
    </w:p>
    <w:p>
      <w:pPr>
        <w:spacing w:after="0" w:line="185" w:lineRule="exact"/>
        <w:rPr>
          <w:sz w:val="20"/>
          <w:szCs w:val="20"/>
          <w:color w:val="auto"/>
        </w:rPr>
      </w:pPr>
    </w:p>
    <w:p>
      <w:pPr>
        <w:ind w:left="465" w:right="40"/>
        <w:spacing w:after="0" w:line="248" w:lineRule="auto"/>
        <w:rPr>
          <w:sz w:val="20"/>
          <w:szCs w:val="20"/>
          <w:color w:val="auto"/>
        </w:rPr>
      </w:pPr>
      <w:r>
        <w:rPr>
          <w:rFonts w:ascii="Arial" w:cs="Arial" w:eastAsia="Arial" w:hAnsi="Arial"/>
          <w:sz w:val="19"/>
          <w:szCs w:val="19"/>
          <w:color w:val="auto"/>
        </w:rPr>
        <w:t>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81" w:lineRule="exact"/>
        <w:rPr>
          <w:sz w:val="20"/>
          <w:szCs w:val="20"/>
          <w:color w:val="auto"/>
        </w:rPr>
      </w:pPr>
    </w:p>
    <w:p>
      <w:pPr>
        <w:ind w:left="465"/>
        <w:spacing w:after="0"/>
        <w:rPr>
          <w:sz w:val="20"/>
          <w:szCs w:val="20"/>
          <w:color w:val="auto"/>
        </w:rPr>
      </w:pPr>
      <w:r>
        <w:rPr>
          <w:rFonts w:ascii="Arial" w:cs="Arial" w:eastAsia="Arial" w:hAnsi="Arial"/>
          <w:sz w:val="19"/>
          <w:szCs w:val="19"/>
          <w:u w:val="single" w:color="auto"/>
          <w:color w:val="auto"/>
        </w:rPr>
        <w:t>Other</w:t>
      </w:r>
    </w:p>
    <w:p>
      <w:pPr>
        <w:spacing w:after="0" w:line="12" w:lineRule="exact"/>
        <w:rPr>
          <w:sz w:val="20"/>
          <w:szCs w:val="20"/>
          <w:color w:val="auto"/>
        </w:rPr>
      </w:pPr>
    </w:p>
    <w:p>
      <w:pPr>
        <w:ind w:left="465" w:right="220"/>
        <w:spacing w:after="0" w:line="270"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In our opinion, the amount of ultimate liability with respect to such actions is not expected to materially affect our financial position, results of operations or liquidity.</w:t>
      </w:r>
    </w:p>
    <w:p>
      <w:pPr>
        <w:spacing w:after="0" w:line="353" w:lineRule="exact"/>
        <w:rPr>
          <w:sz w:val="20"/>
          <w:szCs w:val="20"/>
          <w:color w:val="auto"/>
        </w:rPr>
      </w:pPr>
    </w:p>
    <w:p>
      <w:pPr>
        <w:jc w:val="center"/>
        <w:ind w:right="-44"/>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7773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FORM 10-Q</w:t>
      </w:r>
    </w:p>
    <w:p>
      <w:pPr>
        <w:jc w:val="center"/>
        <w:ind w:right="-4"/>
        <w:spacing w:after="0" w:line="235" w:lineRule="auto"/>
        <w:rPr>
          <w:sz w:val="20"/>
          <w:szCs w:val="20"/>
          <w:color w:val="auto"/>
        </w:rPr>
      </w:pPr>
      <w:r>
        <w:rPr>
          <w:rFonts w:ascii="Arial" w:cs="Arial" w:eastAsia="Arial" w:hAnsi="Arial"/>
          <w:sz w:val="19"/>
          <w:szCs w:val="19"/>
          <w:color w:val="auto"/>
        </w:rPr>
        <w:t>QUARTER ENDED MARCH 31, 2004</w:t>
      </w:r>
    </w:p>
    <w:p>
      <w:pPr>
        <w:jc w:val="center"/>
        <w:ind w:right="-4"/>
        <w:spacing w:after="0" w:line="236" w:lineRule="auto"/>
        <w:rPr>
          <w:sz w:val="20"/>
          <w:szCs w:val="20"/>
          <w:color w:val="auto"/>
        </w:rPr>
      </w:pPr>
      <w:r>
        <w:rPr>
          <w:rFonts w:ascii="Arial" w:cs="Arial" w:eastAsia="Arial" w:hAnsi="Arial"/>
          <w:sz w:val="19"/>
          <w:szCs w:val="19"/>
          <w:color w:val="auto"/>
        </w:rPr>
        <w:t>NOTES TO CONDENSED CONSOLIDATED FINANCIAL STATEMENTS - CONTINUED</w:t>
      </w:r>
    </w:p>
    <w:p>
      <w:pPr>
        <w:spacing w:after="0" w:line="1" w:lineRule="exact"/>
        <w:rPr>
          <w:sz w:val="20"/>
          <w:szCs w:val="20"/>
          <w:color w:val="auto"/>
        </w:rPr>
      </w:pPr>
    </w:p>
    <w:p>
      <w:pPr>
        <w:jc w:val="center"/>
        <w:ind w:right="-44"/>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p>
      <w:pPr>
        <w:ind w:left="465" w:hanging="465"/>
        <w:spacing w:after="0"/>
        <w:tabs>
          <w:tab w:leader="none" w:pos="465" w:val="left"/>
        </w:tabs>
        <w:numPr>
          <w:ilvl w:val="0"/>
          <w:numId w:val="12"/>
        </w:numPr>
        <w:rPr>
          <w:rFonts w:ascii="Arial" w:cs="Arial" w:eastAsia="Arial" w:hAnsi="Arial"/>
          <w:sz w:val="19"/>
          <w:szCs w:val="19"/>
          <w:color w:val="auto"/>
        </w:rPr>
      </w:pPr>
      <w:r>
        <w:rPr>
          <w:rFonts w:ascii="Arial" w:cs="Arial" w:eastAsia="Arial" w:hAnsi="Arial"/>
          <w:sz w:val="19"/>
          <w:szCs w:val="19"/>
          <w:color w:val="auto"/>
        </w:rPr>
        <w:t>FINANCIAL DATA BY BUSINESS SEGMENT</w:t>
      </w:r>
    </w:p>
    <w:p>
      <w:pPr>
        <w:spacing w:after="0" w:line="210" w:lineRule="exact"/>
        <w:rPr>
          <w:rFonts w:ascii="Arial" w:cs="Arial" w:eastAsia="Arial" w:hAnsi="Arial"/>
          <w:sz w:val="19"/>
          <w:szCs w:val="19"/>
          <w:color w:val="auto"/>
        </w:rPr>
      </w:pPr>
    </w:p>
    <w:p>
      <w:pPr>
        <w:ind w:left="465"/>
        <w:spacing w:after="0" w:line="257" w:lineRule="auto"/>
        <w:rPr>
          <w:rFonts w:ascii="Arial" w:cs="Arial" w:eastAsia="Arial" w:hAnsi="Arial"/>
          <w:sz w:val="19"/>
          <w:szCs w:val="19"/>
          <w:color w:val="auto"/>
        </w:rPr>
      </w:pPr>
      <w:r>
        <w:rPr>
          <w:rFonts w:ascii="Arial" w:cs="Arial" w:eastAsia="Arial" w:hAnsi="Arial"/>
          <w:sz w:val="18"/>
          <w:szCs w:val="18"/>
          <w:color w:val="auto"/>
        </w:rPr>
        <w:t>Our reportable segments consist of our Cable and Content businesses. Beginning in the first quarter of 2004, although they do not meet the quantitative disclosure requirements of SFAS No. 131, “Disclosures About Segments of an Enterprise and Related Information,” we have elected to separately disclose our content businesses as a reportable segment. Our content segment consists of our national networks E! Entertainment, Style Network, The Golf Channel, Outdoor Life Network and G4. As a result of this change, we have presented the comparable 2003 Content segment amounts. In evaluating our segments’ profitability, the components of net income (loss) below operating income before depreciation and amortization are not separately evaluated by our management (amounts in millions).</w:t>
      </w:r>
    </w:p>
    <w:p>
      <w:pPr>
        <w:spacing w:after="0" w:line="169" w:lineRule="exact"/>
        <w:rPr>
          <w:sz w:val="20"/>
          <w:szCs w:val="20"/>
          <w:color w:val="auto"/>
        </w:rPr>
      </w:pPr>
    </w:p>
    <w:tbl>
      <w:tblPr>
        <w:tblLayout w:type="fixed"/>
        <w:tblInd w:w="5" w:type="dxa"/>
        <w:tblCellMar>
          <w:top w:w="0" w:type="dxa"/>
          <w:left w:w="0" w:type="dxa"/>
          <w:bottom w:w="0" w:type="dxa"/>
          <w:right w:w="0" w:type="dxa"/>
        </w:tblCellMar>
      </w:tblPr>
      <w:tr>
        <w:trPr>
          <w:trHeight w:val="218"/>
        </w:trPr>
        <w:tc>
          <w:tcPr>
            <w:tcW w:w="28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9"/>
                <w:szCs w:val="19"/>
                <w:color w:val="auto"/>
                <w:w w:val="89"/>
              </w:rPr>
              <w:t>Corporate</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360"/>
              <w:spacing w:after="0" w:line="214" w:lineRule="exact"/>
              <w:rPr>
                <w:sz w:val="20"/>
                <w:szCs w:val="20"/>
                <w:color w:val="auto"/>
              </w:rPr>
            </w:pPr>
            <w:r>
              <w:rPr>
                <w:rFonts w:ascii="Arial" w:cs="Arial" w:eastAsia="Arial" w:hAnsi="Arial"/>
                <w:sz w:val="19"/>
                <w:szCs w:val="19"/>
                <w:color w:val="auto"/>
                <w:w w:val="88"/>
              </w:rPr>
              <w:t>and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8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w w:val="94"/>
              </w:rPr>
              <w:t>Cable (1)</w:t>
            </w:r>
          </w:p>
        </w:tc>
        <w:tc>
          <w:tcPr>
            <w:tcW w:w="280" w:type="dxa"/>
            <w:vAlign w:val="bottom"/>
          </w:tcPr>
          <w:p>
            <w:pPr>
              <w:spacing w:after="0"/>
              <w:rPr>
                <w:sz w:val="21"/>
                <w:szCs w:val="21"/>
                <w:color w:val="auto"/>
              </w:rPr>
            </w:pPr>
          </w:p>
        </w:tc>
        <w:tc>
          <w:tcPr>
            <w:tcW w:w="820" w:type="dxa"/>
            <w:vAlign w:val="bottom"/>
          </w:tcPr>
          <w:p>
            <w:pPr>
              <w:jc w:val="right"/>
              <w:ind w:right="25"/>
              <w:spacing w:after="0"/>
              <w:rPr>
                <w:sz w:val="20"/>
                <w:szCs w:val="20"/>
                <w:color w:val="auto"/>
              </w:rPr>
            </w:pPr>
            <w:r>
              <w:rPr>
                <w:rFonts w:ascii="Arial" w:cs="Arial" w:eastAsia="Arial" w:hAnsi="Arial"/>
                <w:sz w:val="19"/>
                <w:szCs w:val="19"/>
                <w:color w:val="auto"/>
              </w:rPr>
              <w:t>Content</w:t>
            </w:r>
          </w:p>
        </w:tc>
        <w:tc>
          <w:tcPr>
            <w:tcW w:w="260" w:type="dxa"/>
            <w:vAlign w:val="bottom"/>
          </w:tcPr>
          <w:p>
            <w:pPr>
              <w:spacing w:after="0"/>
              <w:rPr>
                <w:sz w:val="21"/>
                <w:szCs w:val="21"/>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9"/>
                <w:szCs w:val="19"/>
                <w:color w:val="auto"/>
                <w:w w:val="92"/>
              </w:rPr>
              <w:t>Other (2)</w:t>
            </w:r>
          </w:p>
        </w:tc>
        <w:tc>
          <w:tcPr>
            <w:tcW w:w="820" w:type="dxa"/>
            <w:vAlign w:val="bottom"/>
          </w:tcPr>
          <w:p>
            <w:pPr>
              <w:jc w:val="right"/>
              <w:ind w:right="125"/>
              <w:spacing w:after="0"/>
              <w:rPr>
                <w:sz w:val="20"/>
                <w:szCs w:val="20"/>
                <w:color w:val="auto"/>
              </w:rPr>
            </w:pPr>
            <w:r>
              <w:rPr>
                <w:rFonts w:ascii="Arial" w:cs="Arial" w:eastAsia="Arial" w:hAnsi="Arial"/>
                <w:sz w:val="19"/>
                <w:szCs w:val="19"/>
                <w:color w:val="auto"/>
              </w:rPr>
              <w:t>Total</w:t>
            </w:r>
          </w:p>
        </w:tc>
        <w:tc>
          <w:tcPr>
            <w:tcW w:w="0" w:type="dxa"/>
            <w:vAlign w:val="bottom"/>
          </w:tcPr>
          <w:p>
            <w:pPr>
              <w:spacing w:after="0"/>
              <w:rPr>
                <w:sz w:val="1"/>
                <w:szCs w:val="1"/>
                <w:color w:val="auto"/>
              </w:rPr>
            </w:pPr>
          </w:p>
        </w:tc>
      </w:tr>
      <w:tr>
        <w:trPr>
          <w:trHeight w:val="87"/>
        </w:trPr>
        <w:tc>
          <w:tcPr>
            <w:tcW w:w="4720" w:type="dxa"/>
            <w:vAlign w:val="bottom"/>
            <w:gridSpan w:val="2"/>
            <w:vMerge w:val="restart"/>
          </w:tcPr>
          <w:p>
            <w:pPr>
              <w:spacing w:after="0"/>
              <w:rPr>
                <w:sz w:val="20"/>
                <w:szCs w:val="20"/>
                <w:color w:val="auto"/>
              </w:rPr>
            </w:pPr>
            <w:r>
              <w:rPr>
                <w:rFonts w:ascii="Arial" w:cs="Arial" w:eastAsia="Arial" w:hAnsi="Arial"/>
                <w:sz w:val="19"/>
                <w:szCs w:val="19"/>
                <w:color w:val="auto"/>
              </w:rPr>
              <w:t>Three Months Ended March 31, 2004</w:t>
            </w:r>
          </w:p>
        </w:tc>
        <w:tc>
          <w:tcPr>
            <w:tcW w:w="82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4720" w:type="dxa"/>
            <w:vAlign w:val="bottom"/>
            <w:gridSpan w:val="2"/>
            <w:vMerge w:val="continue"/>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$4,647</w:t>
            </w:r>
          </w:p>
        </w:tc>
        <w:tc>
          <w:tcPr>
            <w:tcW w:w="1100" w:type="dxa"/>
            <w:vAlign w:val="bottom"/>
            <w:gridSpan w:val="2"/>
            <w:vMerge w:val="restart"/>
          </w:tcPr>
          <w:p>
            <w:pPr>
              <w:jc w:val="right"/>
              <w:spacing w:after="0"/>
              <w:rPr>
                <w:sz w:val="20"/>
                <w:szCs w:val="20"/>
                <w:color w:val="auto"/>
              </w:rPr>
            </w:pPr>
            <w:r>
              <w:rPr>
                <w:rFonts w:ascii="Arial" w:cs="Arial" w:eastAsia="Arial" w:hAnsi="Arial"/>
                <w:sz w:val="19"/>
                <w:szCs w:val="19"/>
                <w:color w:val="auto"/>
              </w:rPr>
              <w:t>$176</w:t>
            </w:r>
          </w:p>
        </w:tc>
        <w:tc>
          <w:tcPr>
            <w:tcW w:w="1080" w:type="dxa"/>
            <w:vAlign w:val="bottom"/>
            <w:gridSpan w:val="2"/>
            <w:vMerge w:val="restart"/>
          </w:tcPr>
          <w:p>
            <w:pPr>
              <w:jc w:val="right"/>
              <w:spacing w:after="0"/>
              <w:rPr>
                <w:sz w:val="20"/>
                <w:szCs w:val="20"/>
                <w:color w:val="auto"/>
              </w:rPr>
            </w:pPr>
            <w:r>
              <w:rPr>
                <w:rFonts w:ascii="Arial" w:cs="Arial" w:eastAsia="Arial" w:hAnsi="Arial"/>
                <w:sz w:val="19"/>
                <w:szCs w:val="19"/>
                <w:color w:val="auto"/>
              </w:rPr>
              <w:t>$85</w:t>
            </w:r>
          </w:p>
        </w:tc>
        <w:tc>
          <w:tcPr>
            <w:tcW w:w="34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$4,908</w:t>
            </w:r>
          </w:p>
        </w:tc>
        <w:tc>
          <w:tcPr>
            <w:tcW w:w="0" w:type="dxa"/>
            <w:vAlign w:val="bottom"/>
          </w:tcPr>
          <w:p>
            <w:pPr>
              <w:spacing w:after="0"/>
              <w:rPr>
                <w:sz w:val="1"/>
                <w:szCs w:val="1"/>
                <w:color w:val="auto"/>
              </w:rPr>
            </w:pPr>
          </w:p>
        </w:tc>
      </w:tr>
      <w:tr>
        <w:trPr>
          <w:trHeight w:val="211"/>
        </w:trPr>
        <w:tc>
          <w:tcPr>
            <w:tcW w:w="2860" w:type="dxa"/>
            <w:vAlign w:val="bottom"/>
            <w:tcBorders>
              <w:top w:val="single" w:sz="8" w:color="auto"/>
            </w:tcBorders>
          </w:tcPr>
          <w:p>
            <w:pPr>
              <w:spacing w:after="0" w:line="212" w:lineRule="exact"/>
              <w:rPr>
                <w:sz w:val="20"/>
                <w:szCs w:val="20"/>
                <w:color w:val="auto"/>
              </w:rPr>
            </w:pPr>
            <w:r>
              <w:rPr>
                <w:rFonts w:ascii="Arial" w:cs="Arial" w:eastAsia="Arial" w:hAnsi="Arial"/>
                <w:sz w:val="19"/>
                <w:szCs w:val="19"/>
                <w:color w:val="auto"/>
              </w:rPr>
              <w:t>Revenues (3)</w:t>
            </w:r>
          </w:p>
        </w:tc>
        <w:tc>
          <w:tcPr>
            <w:tcW w:w="18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gridSpan w:val="2"/>
          </w:tcPr>
          <w:p>
            <w:pPr>
              <w:spacing w:after="0" w:line="214" w:lineRule="exact"/>
              <w:rPr>
                <w:sz w:val="20"/>
                <w:szCs w:val="20"/>
                <w:color w:val="auto"/>
              </w:rPr>
            </w:pPr>
            <w:r>
              <w:rPr>
                <w:rFonts w:ascii="Arial" w:cs="Arial" w:eastAsia="Arial" w:hAnsi="Arial"/>
                <w:sz w:val="19"/>
                <w:szCs w:val="19"/>
                <w:color w:val="auto"/>
              </w:rPr>
              <w:t>Operating income (loss) before depreciation</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gridSpan w:val="2"/>
          </w:tcPr>
          <w:p>
            <w:pPr>
              <w:ind w:left="240"/>
              <w:spacing w:after="0" w:line="214" w:lineRule="exact"/>
              <w:rPr>
                <w:sz w:val="20"/>
                <w:szCs w:val="20"/>
                <w:color w:val="auto"/>
              </w:rPr>
            </w:pPr>
            <w:r>
              <w:rPr>
                <w:rFonts w:ascii="Arial" w:cs="Arial" w:eastAsia="Arial" w:hAnsi="Arial"/>
                <w:sz w:val="19"/>
                <w:szCs w:val="19"/>
                <w:color w:val="auto"/>
              </w:rPr>
              <w:t>and amortization (4)</w:t>
            </w: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1,719</w:t>
            </w:r>
          </w:p>
        </w:tc>
        <w:tc>
          <w:tcPr>
            <w:tcW w:w="11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69</w:t>
            </w:r>
          </w:p>
        </w:tc>
        <w:tc>
          <w:tcPr>
            <w:tcW w:w="1420" w:type="dxa"/>
            <w:vAlign w:val="bottom"/>
            <w:gridSpan w:val="3"/>
          </w:tcPr>
          <w:p>
            <w:pPr>
              <w:jc w:val="right"/>
              <w:ind w:right="280"/>
              <w:spacing w:after="0" w:line="214" w:lineRule="exact"/>
              <w:rPr>
                <w:sz w:val="20"/>
                <w:szCs w:val="20"/>
                <w:color w:val="auto"/>
              </w:rPr>
            </w:pPr>
            <w:r>
              <w:rPr>
                <w:rFonts w:ascii="Arial" w:cs="Arial" w:eastAsia="Arial" w:hAnsi="Arial"/>
                <w:sz w:val="19"/>
                <w:szCs w:val="19"/>
                <w:color w:val="auto"/>
              </w:rPr>
              <w:t>(55)</w:t>
            </w: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1,733</w:t>
            </w:r>
          </w:p>
        </w:tc>
        <w:tc>
          <w:tcPr>
            <w:tcW w:w="0" w:type="dxa"/>
            <w:vAlign w:val="bottom"/>
          </w:tcPr>
          <w:p>
            <w:pPr>
              <w:spacing w:after="0"/>
              <w:rPr>
                <w:sz w:val="1"/>
                <w:szCs w:val="1"/>
                <w:color w:val="auto"/>
              </w:rPr>
            </w:pPr>
          </w:p>
        </w:tc>
      </w:tr>
      <w:tr>
        <w:trPr>
          <w:trHeight w:val="215"/>
        </w:trPr>
        <w:tc>
          <w:tcPr>
            <w:tcW w:w="4720" w:type="dxa"/>
            <w:vAlign w:val="bottom"/>
            <w:gridSpan w:val="2"/>
          </w:tcPr>
          <w:p>
            <w:pPr>
              <w:spacing w:after="0" w:line="214" w:lineRule="exact"/>
              <w:rPr>
                <w:sz w:val="20"/>
                <w:szCs w:val="20"/>
                <w:color w:val="auto"/>
              </w:rPr>
            </w:pPr>
            <w:r>
              <w:rPr>
                <w:rFonts w:ascii="Arial" w:cs="Arial" w:eastAsia="Arial" w:hAnsi="Arial"/>
                <w:sz w:val="19"/>
                <w:szCs w:val="19"/>
                <w:color w:val="auto"/>
              </w:rPr>
              <w:t>Depreciation and amortization</w:t>
            </w: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1,017</w:t>
            </w:r>
          </w:p>
        </w:tc>
        <w:tc>
          <w:tcPr>
            <w:tcW w:w="11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35</w:t>
            </w:r>
          </w:p>
        </w:tc>
        <w:tc>
          <w:tcPr>
            <w:tcW w:w="108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22</w:t>
            </w:r>
          </w:p>
        </w:tc>
        <w:tc>
          <w:tcPr>
            <w:tcW w:w="34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1,074</w:t>
            </w:r>
          </w:p>
        </w:tc>
        <w:tc>
          <w:tcPr>
            <w:tcW w:w="0" w:type="dxa"/>
            <w:vAlign w:val="bottom"/>
          </w:tcPr>
          <w:p>
            <w:pPr>
              <w:spacing w:after="0"/>
              <w:rPr>
                <w:sz w:val="1"/>
                <w:szCs w:val="1"/>
                <w:color w:val="auto"/>
              </w:rPr>
            </w:pPr>
          </w:p>
        </w:tc>
      </w:tr>
      <w:tr>
        <w:trPr>
          <w:trHeight w:val="215"/>
        </w:trPr>
        <w:tc>
          <w:tcPr>
            <w:tcW w:w="4720" w:type="dxa"/>
            <w:vAlign w:val="bottom"/>
            <w:gridSpan w:val="2"/>
          </w:tcPr>
          <w:p>
            <w:pPr>
              <w:spacing w:after="0" w:line="214" w:lineRule="exact"/>
              <w:rPr>
                <w:sz w:val="20"/>
                <w:szCs w:val="20"/>
                <w:color w:val="auto"/>
              </w:rPr>
            </w:pPr>
            <w:r>
              <w:rPr>
                <w:rFonts w:ascii="Arial" w:cs="Arial" w:eastAsia="Arial" w:hAnsi="Arial"/>
                <w:sz w:val="19"/>
                <w:szCs w:val="19"/>
                <w:color w:val="auto"/>
              </w:rPr>
              <w:t>Operating income (loss)</w:t>
            </w: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702</w:t>
            </w:r>
          </w:p>
        </w:tc>
        <w:tc>
          <w:tcPr>
            <w:tcW w:w="11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34</w:t>
            </w:r>
          </w:p>
        </w:tc>
        <w:tc>
          <w:tcPr>
            <w:tcW w:w="1420" w:type="dxa"/>
            <w:vAlign w:val="bottom"/>
            <w:gridSpan w:val="3"/>
          </w:tcPr>
          <w:p>
            <w:pPr>
              <w:jc w:val="right"/>
              <w:ind w:right="280"/>
              <w:spacing w:after="0" w:line="214" w:lineRule="exact"/>
              <w:rPr>
                <w:sz w:val="20"/>
                <w:szCs w:val="20"/>
                <w:color w:val="auto"/>
              </w:rPr>
            </w:pPr>
            <w:r>
              <w:rPr>
                <w:rFonts w:ascii="Arial" w:cs="Arial" w:eastAsia="Arial" w:hAnsi="Arial"/>
                <w:sz w:val="19"/>
                <w:szCs w:val="19"/>
                <w:color w:val="auto"/>
              </w:rPr>
              <w:t>(77)</w:t>
            </w: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659</w:t>
            </w:r>
          </w:p>
        </w:tc>
        <w:tc>
          <w:tcPr>
            <w:tcW w:w="0" w:type="dxa"/>
            <w:vAlign w:val="bottom"/>
          </w:tcPr>
          <w:p>
            <w:pPr>
              <w:spacing w:after="0"/>
              <w:rPr>
                <w:sz w:val="1"/>
                <w:szCs w:val="1"/>
                <w:color w:val="auto"/>
              </w:rPr>
            </w:pPr>
          </w:p>
        </w:tc>
      </w:tr>
      <w:tr>
        <w:trPr>
          <w:trHeight w:val="242"/>
        </w:trPr>
        <w:tc>
          <w:tcPr>
            <w:tcW w:w="4720" w:type="dxa"/>
            <w:vAlign w:val="bottom"/>
            <w:gridSpan w:val="2"/>
          </w:tcPr>
          <w:p>
            <w:pPr>
              <w:spacing w:after="0"/>
              <w:rPr>
                <w:sz w:val="20"/>
                <w:szCs w:val="20"/>
                <w:color w:val="auto"/>
              </w:rPr>
            </w:pPr>
            <w:r>
              <w:rPr>
                <w:rFonts w:ascii="Arial" w:cs="Arial" w:eastAsia="Arial" w:hAnsi="Arial"/>
                <w:sz w:val="19"/>
                <w:szCs w:val="19"/>
                <w:color w:val="auto"/>
              </w:rPr>
              <w:t>Capital expenditures</w:t>
            </w:r>
          </w:p>
        </w:tc>
        <w:tc>
          <w:tcPr>
            <w:tcW w:w="820" w:type="dxa"/>
            <w:vAlign w:val="bottom"/>
          </w:tcPr>
          <w:p>
            <w:pPr>
              <w:jc w:val="right"/>
              <w:spacing w:after="0"/>
              <w:rPr>
                <w:sz w:val="20"/>
                <w:szCs w:val="20"/>
                <w:color w:val="auto"/>
              </w:rPr>
            </w:pPr>
            <w:r>
              <w:rPr>
                <w:rFonts w:ascii="Arial" w:cs="Arial" w:eastAsia="Arial" w:hAnsi="Arial"/>
                <w:sz w:val="19"/>
                <w:szCs w:val="19"/>
                <w:color w:val="auto"/>
              </w:rPr>
              <w:t>814</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4</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10</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828</w:t>
            </w:r>
          </w:p>
        </w:tc>
        <w:tc>
          <w:tcPr>
            <w:tcW w:w="0" w:type="dxa"/>
            <w:vAlign w:val="bottom"/>
          </w:tcPr>
          <w:p>
            <w:pPr>
              <w:spacing w:after="0"/>
              <w:rPr>
                <w:sz w:val="1"/>
                <w:szCs w:val="1"/>
                <w:color w:val="auto"/>
              </w:rPr>
            </w:pPr>
          </w:p>
        </w:tc>
      </w:tr>
      <w:tr>
        <w:trPr>
          <w:trHeight w:val="385"/>
        </w:trPr>
        <w:tc>
          <w:tcPr>
            <w:tcW w:w="4720" w:type="dxa"/>
            <w:vAlign w:val="bottom"/>
            <w:gridSpan w:val="2"/>
          </w:tcPr>
          <w:p>
            <w:pPr>
              <w:spacing w:after="0"/>
              <w:rPr>
                <w:sz w:val="20"/>
                <w:szCs w:val="20"/>
                <w:color w:val="auto"/>
              </w:rPr>
            </w:pPr>
            <w:r>
              <w:rPr>
                <w:rFonts w:ascii="Arial" w:cs="Arial" w:eastAsia="Arial" w:hAnsi="Arial"/>
                <w:sz w:val="19"/>
                <w:szCs w:val="19"/>
                <w:color w:val="auto"/>
              </w:rPr>
              <w:t>Three Months Ended March 31, 2003</w:t>
            </w: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$4,232</w:t>
            </w:r>
          </w:p>
        </w:tc>
        <w:tc>
          <w:tcPr>
            <w:tcW w:w="1100" w:type="dxa"/>
            <w:vAlign w:val="bottom"/>
            <w:gridSpan w:val="2"/>
            <w:vMerge w:val="restart"/>
          </w:tcPr>
          <w:p>
            <w:pPr>
              <w:jc w:val="right"/>
              <w:spacing w:after="0"/>
              <w:rPr>
                <w:sz w:val="20"/>
                <w:szCs w:val="20"/>
                <w:color w:val="auto"/>
              </w:rPr>
            </w:pPr>
            <w:r>
              <w:rPr>
                <w:rFonts w:ascii="Arial" w:cs="Arial" w:eastAsia="Arial" w:hAnsi="Arial"/>
                <w:sz w:val="19"/>
                <w:szCs w:val="19"/>
                <w:color w:val="auto"/>
              </w:rPr>
              <w:t>$145</w:t>
            </w:r>
          </w:p>
        </w:tc>
        <w:tc>
          <w:tcPr>
            <w:tcW w:w="1080" w:type="dxa"/>
            <w:vAlign w:val="bottom"/>
            <w:gridSpan w:val="2"/>
            <w:vMerge w:val="restart"/>
          </w:tcPr>
          <w:p>
            <w:pPr>
              <w:jc w:val="right"/>
              <w:spacing w:after="0"/>
              <w:rPr>
                <w:sz w:val="20"/>
                <w:szCs w:val="20"/>
                <w:color w:val="auto"/>
              </w:rPr>
            </w:pPr>
            <w:r>
              <w:rPr>
                <w:rFonts w:ascii="Arial" w:cs="Arial" w:eastAsia="Arial" w:hAnsi="Arial"/>
                <w:sz w:val="19"/>
                <w:szCs w:val="19"/>
                <w:color w:val="auto"/>
              </w:rPr>
              <w:t>$89</w:t>
            </w:r>
          </w:p>
        </w:tc>
        <w:tc>
          <w:tcPr>
            <w:tcW w:w="34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$4,466</w:t>
            </w:r>
          </w:p>
        </w:tc>
        <w:tc>
          <w:tcPr>
            <w:tcW w:w="0" w:type="dxa"/>
            <w:vAlign w:val="bottom"/>
          </w:tcPr>
          <w:p>
            <w:pPr>
              <w:spacing w:after="0"/>
              <w:rPr>
                <w:sz w:val="1"/>
                <w:szCs w:val="1"/>
                <w:color w:val="auto"/>
              </w:rPr>
            </w:pPr>
          </w:p>
        </w:tc>
      </w:tr>
      <w:tr>
        <w:trPr>
          <w:trHeight w:val="211"/>
        </w:trPr>
        <w:tc>
          <w:tcPr>
            <w:tcW w:w="2860" w:type="dxa"/>
            <w:vAlign w:val="bottom"/>
            <w:tcBorders>
              <w:top w:val="single" w:sz="8" w:color="auto"/>
            </w:tcBorders>
          </w:tcPr>
          <w:p>
            <w:pPr>
              <w:spacing w:after="0" w:line="212" w:lineRule="exact"/>
              <w:rPr>
                <w:sz w:val="20"/>
                <w:szCs w:val="20"/>
                <w:color w:val="auto"/>
              </w:rPr>
            </w:pPr>
            <w:r>
              <w:rPr>
                <w:rFonts w:ascii="Arial" w:cs="Arial" w:eastAsia="Arial" w:hAnsi="Arial"/>
                <w:sz w:val="19"/>
                <w:szCs w:val="19"/>
                <w:color w:val="auto"/>
              </w:rPr>
              <w:t>Revenues (3)</w:t>
            </w:r>
          </w:p>
        </w:tc>
        <w:tc>
          <w:tcPr>
            <w:tcW w:w="18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gridSpan w:val="2"/>
          </w:tcPr>
          <w:p>
            <w:pPr>
              <w:spacing w:after="0" w:line="214" w:lineRule="exact"/>
              <w:rPr>
                <w:sz w:val="20"/>
                <w:szCs w:val="20"/>
                <w:color w:val="auto"/>
              </w:rPr>
            </w:pPr>
            <w:r>
              <w:rPr>
                <w:rFonts w:ascii="Arial" w:cs="Arial" w:eastAsia="Arial" w:hAnsi="Arial"/>
                <w:sz w:val="19"/>
                <w:szCs w:val="19"/>
                <w:color w:val="auto"/>
              </w:rPr>
              <w:t>Operating income (loss) before depreciation</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gridSpan w:val="2"/>
          </w:tcPr>
          <w:p>
            <w:pPr>
              <w:ind w:left="240"/>
              <w:spacing w:after="0" w:line="214" w:lineRule="exact"/>
              <w:rPr>
                <w:sz w:val="20"/>
                <w:szCs w:val="20"/>
                <w:color w:val="auto"/>
              </w:rPr>
            </w:pPr>
            <w:r>
              <w:rPr>
                <w:rFonts w:ascii="Arial" w:cs="Arial" w:eastAsia="Arial" w:hAnsi="Arial"/>
                <w:sz w:val="19"/>
                <w:szCs w:val="19"/>
                <w:color w:val="auto"/>
              </w:rPr>
              <w:t>and amortization (4)</w:t>
            </w: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1,421</w:t>
            </w:r>
          </w:p>
        </w:tc>
        <w:tc>
          <w:tcPr>
            <w:tcW w:w="11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41</w:t>
            </w:r>
          </w:p>
        </w:tc>
        <w:tc>
          <w:tcPr>
            <w:tcW w:w="1420" w:type="dxa"/>
            <w:vAlign w:val="bottom"/>
            <w:gridSpan w:val="3"/>
          </w:tcPr>
          <w:p>
            <w:pPr>
              <w:jc w:val="right"/>
              <w:ind w:right="280"/>
              <w:spacing w:after="0" w:line="214" w:lineRule="exact"/>
              <w:rPr>
                <w:sz w:val="20"/>
                <w:szCs w:val="20"/>
                <w:color w:val="auto"/>
              </w:rPr>
            </w:pPr>
            <w:r>
              <w:rPr>
                <w:rFonts w:ascii="Arial" w:cs="Arial" w:eastAsia="Arial" w:hAnsi="Arial"/>
                <w:sz w:val="19"/>
                <w:szCs w:val="19"/>
                <w:color w:val="auto"/>
              </w:rPr>
              <w:t>(34)</w:t>
            </w: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1,428</w:t>
            </w:r>
          </w:p>
        </w:tc>
        <w:tc>
          <w:tcPr>
            <w:tcW w:w="0" w:type="dxa"/>
            <w:vAlign w:val="bottom"/>
          </w:tcPr>
          <w:p>
            <w:pPr>
              <w:spacing w:after="0"/>
              <w:rPr>
                <w:sz w:val="1"/>
                <w:szCs w:val="1"/>
                <w:color w:val="auto"/>
              </w:rPr>
            </w:pPr>
          </w:p>
        </w:tc>
      </w:tr>
      <w:tr>
        <w:trPr>
          <w:trHeight w:val="215"/>
        </w:trPr>
        <w:tc>
          <w:tcPr>
            <w:tcW w:w="4720" w:type="dxa"/>
            <w:vAlign w:val="bottom"/>
            <w:gridSpan w:val="2"/>
          </w:tcPr>
          <w:p>
            <w:pPr>
              <w:spacing w:after="0" w:line="214" w:lineRule="exact"/>
              <w:rPr>
                <w:sz w:val="20"/>
                <w:szCs w:val="20"/>
                <w:color w:val="auto"/>
              </w:rPr>
            </w:pPr>
            <w:r>
              <w:rPr>
                <w:rFonts w:ascii="Arial" w:cs="Arial" w:eastAsia="Arial" w:hAnsi="Arial"/>
                <w:sz w:val="19"/>
                <w:szCs w:val="19"/>
                <w:color w:val="auto"/>
              </w:rPr>
              <w:t>Depreciation and amortization</w:t>
            </w: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1,080</w:t>
            </w:r>
          </w:p>
        </w:tc>
        <w:tc>
          <w:tcPr>
            <w:tcW w:w="11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32</w:t>
            </w:r>
          </w:p>
        </w:tc>
        <w:tc>
          <w:tcPr>
            <w:tcW w:w="108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22</w:t>
            </w:r>
          </w:p>
        </w:tc>
        <w:tc>
          <w:tcPr>
            <w:tcW w:w="34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1,134</w:t>
            </w:r>
          </w:p>
        </w:tc>
        <w:tc>
          <w:tcPr>
            <w:tcW w:w="0" w:type="dxa"/>
            <w:vAlign w:val="bottom"/>
          </w:tcPr>
          <w:p>
            <w:pPr>
              <w:spacing w:after="0"/>
              <w:rPr>
                <w:sz w:val="1"/>
                <w:szCs w:val="1"/>
                <w:color w:val="auto"/>
              </w:rPr>
            </w:pPr>
          </w:p>
        </w:tc>
      </w:tr>
      <w:tr>
        <w:trPr>
          <w:trHeight w:val="242"/>
        </w:trPr>
        <w:tc>
          <w:tcPr>
            <w:tcW w:w="4720" w:type="dxa"/>
            <w:vAlign w:val="bottom"/>
            <w:gridSpan w:val="2"/>
          </w:tcPr>
          <w:p>
            <w:pPr>
              <w:spacing w:after="0"/>
              <w:rPr>
                <w:sz w:val="20"/>
                <w:szCs w:val="20"/>
                <w:color w:val="auto"/>
              </w:rPr>
            </w:pPr>
            <w:r>
              <w:rPr>
                <w:rFonts w:ascii="Arial" w:cs="Arial" w:eastAsia="Arial" w:hAnsi="Arial"/>
                <w:sz w:val="19"/>
                <w:szCs w:val="19"/>
                <w:color w:val="auto"/>
              </w:rPr>
              <w:t>Operating income (loss)</w:t>
            </w:r>
          </w:p>
        </w:tc>
        <w:tc>
          <w:tcPr>
            <w:tcW w:w="820" w:type="dxa"/>
            <w:vAlign w:val="bottom"/>
          </w:tcPr>
          <w:p>
            <w:pPr>
              <w:jc w:val="right"/>
              <w:spacing w:after="0"/>
              <w:rPr>
                <w:sz w:val="20"/>
                <w:szCs w:val="20"/>
                <w:color w:val="auto"/>
              </w:rPr>
            </w:pPr>
            <w:r>
              <w:rPr>
                <w:rFonts w:ascii="Arial" w:cs="Arial" w:eastAsia="Arial" w:hAnsi="Arial"/>
                <w:sz w:val="19"/>
                <w:szCs w:val="19"/>
                <w:color w:val="auto"/>
              </w:rPr>
              <w:t>341</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9</w:t>
            </w:r>
          </w:p>
        </w:tc>
        <w:tc>
          <w:tcPr>
            <w:tcW w:w="1420" w:type="dxa"/>
            <w:vAlign w:val="bottom"/>
            <w:gridSpan w:val="3"/>
          </w:tcPr>
          <w:p>
            <w:pPr>
              <w:jc w:val="right"/>
              <w:ind w:right="280"/>
              <w:spacing w:after="0"/>
              <w:rPr>
                <w:sz w:val="20"/>
                <w:szCs w:val="20"/>
                <w:color w:val="auto"/>
              </w:rPr>
            </w:pPr>
            <w:r>
              <w:rPr>
                <w:rFonts w:ascii="Arial" w:cs="Arial" w:eastAsia="Arial" w:hAnsi="Arial"/>
                <w:sz w:val="19"/>
                <w:szCs w:val="19"/>
                <w:color w:val="auto"/>
              </w:rPr>
              <w:t>(56)</w:t>
            </w:r>
          </w:p>
        </w:tc>
        <w:tc>
          <w:tcPr>
            <w:tcW w:w="820" w:type="dxa"/>
            <w:vAlign w:val="bottom"/>
          </w:tcPr>
          <w:p>
            <w:pPr>
              <w:jc w:val="right"/>
              <w:spacing w:after="0"/>
              <w:rPr>
                <w:sz w:val="20"/>
                <w:szCs w:val="20"/>
                <w:color w:val="auto"/>
              </w:rPr>
            </w:pPr>
            <w:r>
              <w:rPr>
                <w:rFonts w:ascii="Arial" w:cs="Arial" w:eastAsia="Arial" w:hAnsi="Arial"/>
                <w:sz w:val="19"/>
                <w:szCs w:val="19"/>
                <w:color w:val="auto"/>
              </w:rPr>
              <w:t>294</w:t>
            </w:r>
          </w:p>
        </w:tc>
        <w:tc>
          <w:tcPr>
            <w:tcW w:w="0" w:type="dxa"/>
            <w:vAlign w:val="bottom"/>
          </w:tcPr>
          <w:p>
            <w:pPr>
              <w:spacing w:after="0"/>
              <w:rPr>
                <w:sz w:val="1"/>
                <w:szCs w:val="1"/>
                <w:color w:val="auto"/>
              </w:rPr>
            </w:pPr>
          </w:p>
        </w:tc>
      </w:tr>
    </w:tbl>
    <w:p>
      <w:pPr>
        <w:sectPr>
          <w:pgSz w:w="11900" w:h="16914" w:orient="portrait"/>
          <w:cols w:equalWidth="0" w:num="1">
            <w:col w:w="11385"/>
          </w:cols>
          <w:pgMar w:left="235" w:top="120" w:right="279" w:bottom="0" w:gutter="0" w:footer="0" w:header="0"/>
        </w:sectPr>
      </w:pPr>
    </w:p>
    <w:bookmarkStart w:id="13" w:name="page14"/>
    <w:bookmarkEnd w:id="13"/>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43"/>
        </w:trPr>
        <w:tc>
          <w:tcPr>
            <w:tcW w:w="3400" w:type="dxa"/>
            <w:vAlign w:val="bottom"/>
            <w:gridSpan w:val="3"/>
          </w:tcPr>
          <w:p>
            <w:pPr>
              <w:spacing w:after="0"/>
              <w:rPr>
                <w:sz w:val="20"/>
                <w:szCs w:val="20"/>
                <w:color w:val="auto"/>
              </w:rPr>
            </w:pPr>
            <w:r>
              <w:rPr>
                <w:rFonts w:ascii="Arial" w:cs="Arial" w:eastAsia="Arial" w:hAnsi="Arial"/>
                <w:sz w:val="19"/>
                <w:szCs w:val="19"/>
                <w:color w:val="auto"/>
              </w:rPr>
              <w:t>Capital expenditures</w:t>
            </w:r>
          </w:p>
        </w:tc>
        <w:tc>
          <w:tcPr>
            <w:tcW w:w="2420" w:type="dxa"/>
            <w:vAlign w:val="bottom"/>
          </w:tcPr>
          <w:p>
            <w:pPr>
              <w:jc w:val="right"/>
              <w:ind w:right="185"/>
              <w:spacing w:after="0"/>
              <w:rPr>
                <w:sz w:val="20"/>
                <w:szCs w:val="20"/>
                <w:color w:val="auto"/>
              </w:rPr>
            </w:pPr>
            <w:r>
              <w:rPr>
                <w:rFonts w:ascii="Arial" w:cs="Arial" w:eastAsia="Arial" w:hAnsi="Arial"/>
                <w:sz w:val="19"/>
                <w:szCs w:val="19"/>
                <w:color w:val="auto"/>
              </w:rPr>
              <w:t>953</w:t>
            </w:r>
          </w:p>
        </w:tc>
        <w:tc>
          <w:tcPr>
            <w:tcW w:w="1100" w:type="dxa"/>
            <w:vAlign w:val="bottom"/>
          </w:tcPr>
          <w:p>
            <w:pPr>
              <w:jc w:val="right"/>
              <w:ind w:right="185"/>
              <w:spacing w:after="0"/>
              <w:rPr>
                <w:sz w:val="20"/>
                <w:szCs w:val="20"/>
                <w:color w:val="auto"/>
              </w:rPr>
            </w:pPr>
            <w:r>
              <w:rPr>
                <w:rFonts w:ascii="Arial" w:cs="Arial" w:eastAsia="Arial" w:hAnsi="Arial"/>
                <w:sz w:val="19"/>
                <w:szCs w:val="19"/>
                <w:color w:val="auto"/>
              </w:rPr>
              <w:t>3</w:t>
            </w:r>
          </w:p>
        </w:tc>
        <w:tc>
          <w:tcPr>
            <w:tcW w:w="1020" w:type="dxa"/>
            <w:vAlign w:val="bottom"/>
          </w:tcPr>
          <w:p>
            <w:pPr>
              <w:jc w:val="right"/>
              <w:ind w:right="125"/>
              <w:spacing w:after="0"/>
              <w:rPr>
                <w:sz w:val="20"/>
                <w:szCs w:val="20"/>
                <w:color w:val="auto"/>
              </w:rPr>
            </w:pPr>
            <w:r>
              <w:rPr>
                <w:rFonts w:ascii="Arial" w:cs="Arial" w:eastAsia="Arial" w:hAnsi="Arial"/>
                <w:sz w:val="19"/>
                <w:szCs w:val="19"/>
                <w:color w:val="auto"/>
              </w:rPr>
              <w:t>2</w:t>
            </w:r>
          </w:p>
        </w:tc>
        <w:tc>
          <w:tcPr>
            <w:tcW w:w="940" w:type="dxa"/>
            <w:vAlign w:val="bottom"/>
          </w:tcPr>
          <w:p>
            <w:pPr>
              <w:jc w:val="right"/>
              <w:spacing w:after="0"/>
              <w:rPr>
                <w:sz w:val="20"/>
                <w:szCs w:val="20"/>
                <w:color w:val="auto"/>
              </w:rPr>
            </w:pPr>
            <w:r>
              <w:rPr>
                <w:rFonts w:ascii="Arial" w:cs="Arial" w:eastAsia="Arial" w:hAnsi="Arial"/>
                <w:sz w:val="19"/>
                <w:szCs w:val="19"/>
                <w:color w:val="auto"/>
              </w:rPr>
              <w:t>958</w:t>
            </w:r>
          </w:p>
        </w:tc>
        <w:tc>
          <w:tcPr>
            <w:tcW w:w="0" w:type="dxa"/>
            <w:vAlign w:val="bottom"/>
          </w:tcPr>
          <w:p>
            <w:pPr>
              <w:spacing w:after="0"/>
              <w:rPr>
                <w:sz w:val="1"/>
                <w:szCs w:val="1"/>
                <w:color w:val="auto"/>
              </w:rPr>
            </w:pPr>
          </w:p>
        </w:tc>
      </w:tr>
      <w:tr>
        <w:trPr>
          <w:trHeight w:val="385"/>
        </w:trPr>
        <w:tc>
          <w:tcPr>
            <w:tcW w:w="168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1"/>
              </w:rPr>
              <w:t>As of March 31, 2004</w:t>
            </w:r>
          </w:p>
        </w:tc>
        <w:tc>
          <w:tcPr>
            <w:tcW w:w="1720" w:type="dxa"/>
            <w:vAlign w:val="bottom"/>
            <w:gridSpan w:val="2"/>
          </w:tcPr>
          <w:p>
            <w:pPr>
              <w:spacing w:after="0"/>
              <w:rPr>
                <w:sz w:val="24"/>
                <w:szCs w:val="24"/>
                <w:color w:val="auto"/>
              </w:rPr>
            </w:pPr>
          </w:p>
        </w:tc>
        <w:tc>
          <w:tcPr>
            <w:tcW w:w="2420" w:type="dxa"/>
            <w:vAlign w:val="bottom"/>
            <w:vMerge w:val="restart"/>
          </w:tcPr>
          <w:p>
            <w:pPr>
              <w:jc w:val="right"/>
              <w:ind w:right="185"/>
              <w:spacing w:after="0"/>
              <w:rPr>
                <w:sz w:val="20"/>
                <w:szCs w:val="20"/>
                <w:color w:val="auto"/>
              </w:rPr>
            </w:pPr>
            <w:r>
              <w:rPr>
                <w:rFonts w:ascii="Arial" w:cs="Arial" w:eastAsia="Arial" w:hAnsi="Arial"/>
                <w:sz w:val="19"/>
                <w:szCs w:val="19"/>
                <w:color w:val="auto"/>
              </w:rPr>
              <w:t>$105,043</w:t>
            </w:r>
          </w:p>
        </w:tc>
        <w:tc>
          <w:tcPr>
            <w:tcW w:w="1100" w:type="dxa"/>
            <w:vAlign w:val="bottom"/>
            <w:vMerge w:val="restart"/>
          </w:tcPr>
          <w:p>
            <w:pPr>
              <w:jc w:val="right"/>
              <w:ind w:right="185"/>
              <w:spacing w:after="0"/>
              <w:rPr>
                <w:sz w:val="20"/>
                <w:szCs w:val="20"/>
                <w:color w:val="auto"/>
              </w:rPr>
            </w:pPr>
            <w:r>
              <w:rPr>
                <w:rFonts w:ascii="Arial" w:cs="Arial" w:eastAsia="Arial" w:hAnsi="Arial"/>
                <w:sz w:val="19"/>
                <w:szCs w:val="19"/>
                <w:color w:val="auto"/>
              </w:rPr>
              <w:t>$2,067</w:t>
            </w:r>
          </w:p>
        </w:tc>
        <w:tc>
          <w:tcPr>
            <w:tcW w:w="1020" w:type="dxa"/>
            <w:vAlign w:val="bottom"/>
            <w:vMerge w:val="restart"/>
          </w:tcPr>
          <w:p>
            <w:pPr>
              <w:jc w:val="right"/>
              <w:ind w:right="125"/>
              <w:spacing w:after="0"/>
              <w:rPr>
                <w:sz w:val="20"/>
                <w:szCs w:val="20"/>
                <w:color w:val="auto"/>
              </w:rPr>
            </w:pPr>
            <w:r>
              <w:rPr>
                <w:rFonts w:ascii="Arial" w:cs="Arial" w:eastAsia="Arial" w:hAnsi="Arial"/>
                <w:sz w:val="19"/>
                <w:szCs w:val="19"/>
                <w:color w:val="auto"/>
              </w:rPr>
              <w:t>$1,457</w:t>
            </w:r>
          </w:p>
        </w:tc>
        <w:tc>
          <w:tcPr>
            <w:tcW w:w="940" w:type="dxa"/>
            <w:vAlign w:val="bottom"/>
            <w:vMerge w:val="restart"/>
          </w:tcPr>
          <w:p>
            <w:pPr>
              <w:jc w:val="right"/>
              <w:spacing w:after="0"/>
              <w:rPr>
                <w:sz w:val="20"/>
                <w:szCs w:val="20"/>
                <w:color w:val="auto"/>
              </w:rPr>
            </w:pPr>
            <w:r>
              <w:rPr>
                <w:rFonts w:ascii="Arial" w:cs="Arial" w:eastAsia="Arial" w:hAnsi="Arial"/>
                <w:sz w:val="19"/>
                <w:szCs w:val="19"/>
                <w:color w:val="auto"/>
              </w:rPr>
              <w:t>$108,567</w:t>
            </w:r>
          </w:p>
        </w:tc>
        <w:tc>
          <w:tcPr>
            <w:tcW w:w="0" w:type="dxa"/>
            <w:vAlign w:val="bottom"/>
          </w:tcPr>
          <w:p>
            <w:pPr>
              <w:spacing w:after="0"/>
              <w:rPr>
                <w:sz w:val="1"/>
                <w:szCs w:val="1"/>
                <w:color w:val="auto"/>
              </w:rPr>
            </w:pPr>
          </w:p>
        </w:tc>
      </w:tr>
      <w:tr>
        <w:trPr>
          <w:trHeight w:val="239"/>
        </w:trPr>
        <w:tc>
          <w:tcPr>
            <w:tcW w:w="3400" w:type="dxa"/>
            <w:vAlign w:val="bottom"/>
            <w:gridSpan w:val="3"/>
          </w:tcPr>
          <w:p>
            <w:pPr>
              <w:spacing w:after="0"/>
              <w:rPr>
                <w:sz w:val="20"/>
                <w:szCs w:val="20"/>
                <w:color w:val="auto"/>
              </w:rPr>
            </w:pPr>
            <w:r>
              <w:rPr>
                <w:rFonts w:ascii="Arial" w:cs="Arial" w:eastAsia="Arial" w:hAnsi="Arial"/>
                <w:sz w:val="19"/>
                <w:szCs w:val="19"/>
                <w:color w:val="auto"/>
              </w:rPr>
              <w:t>Assets</w:t>
            </w:r>
          </w:p>
        </w:tc>
        <w:tc>
          <w:tcPr>
            <w:tcW w:w="24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3400" w:type="dxa"/>
            <w:vAlign w:val="bottom"/>
            <w:gridSpan w:val="3"/>
          </w:tcPr>
          <w:p>
            <w:pPr>
              <w:spacing w:after="0"/>
              <w:rPr>
                <w:sz w:val="20"/>
                <w:szCs w:val="20"/>
                <w:color w:val="auto"/>
              </w:rPr>
            </w:pPr>
            <w:r>
              <w:rPr>
                <w:rFonts w:ascii="Arial" w:cs="Arial" w:eastAsia="Arial" w:hAnsi="Arial"/>
                <w:sz w:val="19"/>
                <w:szCs w:val="19"/>
                <w:color w:val="auto"/>
              </w:rPr>
              <w:t>As of December 31, 2003</w:t>
            </w:r>
          </w:p>
        </w:tc>
        <w:tc>
          <w:tcPr>
            <w:tcW w:w="2420" w:type="dxa"/>
            <w:vAlign w:val="bottom"/>
            <w:vMerge w:val="restart"/>
          </w:tcPr>
          <w:p>
            <w:pPr>
              <w:jc w:val="right"/>
              <w:ind w:right="185"/>
              <w:spacing w:after="0"/>
              <w:rPr>
                <w:sz w:val="20"/>
                <w:szCs w:val="20"/>
                <w:color w:val="auto"/>
              </w:rPr>
            </w:pPr>
            <w:r>
              <w:rPr>
                <w:rFonts w:ascii="Arial" w:cs="Arial" w:eastAsia="Arial" w:hAnsi="Arial"/>
                <w:sz w:val="19"/>
                <w:szCs w:val="19"/>
                <w:color w:val="auto"/>
              </w:rPr>
              <w:t>$105,316</w:t>
            </w:r>
          </w:p>
        </w:tc>
        <w:tc>
          <w:tcPr>
            <w:tcW w:w="1100" w:type="dxa"/>
            <w:vAlign w:val="bottom"/>
            <w:vMerge w:val="restart"/>
          </w:tcPr>
          <w:p>
            <w:pPr>
              <w:jc w:val="right"/>
              <w:ind w:right="185"/>
              <w:spacing w:after="0"/>
              <w:rPr>
                <w:sz w:val="20"/>
                <w:szCs w:val="20"/>
                <w:color w:val="auto"/>
              </w:rPr>
            </w:pPr>
            <w:r>
              <w:rPr>
                <w:rFonts w:ascii="Arial" w:cs="Arial" w:eastAsia="Arial" w:hAnsi="Arial"/>
                <w:sz w:val="19"/>
                <w:szCs w:val="19"/>
                <w:color w:val="auto"/>
              </w:rPr>
              <w:t>$2,110</w:t>
            </w:r>
          </w:p>
        </w:tc>
        <w:tc>
          <w:tcPr>
            <w:tcW w:w="1020" w:type="dxa"/>
            <w:vAlign w:val="bottom"/>
            <w:vMerge w:val="restart"/>
          </w:tcPr>
          <w:p>
            <w:pPr>
              <w:jc w:val="right"/>
              <w:ind w:right="125"/>
              <w:spacing w:after="0"/>
              <w:rPr>
                <w:sz w:val="20"/>
                <w:szCs w:val="20"/>
                <w:color w:val="auto"/>
              </w:rPr>
            </w:pPr>
            <w:r>
              <w:rPr>
                <w:rFonts w:ascii="Arial" w:cs="Arial" w:eastAsia="Arial" w:hAnsi="Arial"/>
                <w:sz w:val="19"/>
                <w:szCs w:val="19"/>
                <w:color w:val="auto"/>
              </w:rPr>
              <w:t>$1,733</w:t>
            </w:r>
          </w:p>
        </w:tc>
        <w:tc>
          <w:tcPr>
            <w:tcW w:w="940" w:type="dxa"/>
            <w:vAlign w:val="bottom"/>
            <w:vMerge w:val="restart"/>
          </w:tcPr>
          <w:p>
            <w:pPr>
              <w:jc w:val="right"/>
              <w:spacing w:after="0"/>
              <w:rPr>
                <w:sz w:val="20"/>
                <w:szCs w:val="20"/>
                <w:color w:val="auto"/>
              </w:rPr>
            </w:pPr>
            <w:r>
              <w:rPr>
                <w:rFonts w:ascii="Arial" w:cs="Arial" w:eastAsia="Arial" w:hAnsi="Arial"/>
                <w:sz w:val="19"/>
                <w:szCs w:val="19"/>
                <w:color w:val="auto"/>
              </w:rPr>
              <w:t>$109,159</w:t>
            </w:r>
          </w:p>
        </w:tc>
        <w:tc>
          <w:tcPr>
            <w:tcW w:w="0" w:type="dxa"/>
            <w:vAlign w:val="bottom"/>
          </w:tcPr>
          <w:p>
            <w:pPr>
              <w:spacing w:after="0"/>
              <w:rPr>
                <w:sz w:val="1"/>
                <w:szCs w:val="1"/>
                <w:color w:val="auto"/>
              </w:rPr>
            </w:pPr>
          </w:p>
        </w:tc>
      </w:tr>
      <w:tr>
        <w:trPr>
          <w:trHeight w:val="239"/>
        </w:trPr>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9"/>
                <w:szCs w:val="19"/>
                <w:color w:val="auto"/>
              </w:rPr>
              <w:t>Assets</w:t>
            </w:r>
          </w:p>
        </w:tc>
        <w:tc>
          <w:tcPr>
            <w:tcW w:w="1440" w:type="dxa"/>
            <w:vAlign w:val="bottom"/>
          </w:tcPr>
          <w:p>
            <w:pPr>
              <w:spacing w:after="0"/>
              <w:rPr>
                <w:sz w:val="20"/>
                <w:szCs w:val="20"/>
                <w:color w:val="auto"/>
              </w:rPr>
            </w:pPr>
          </w:p>
        </w:tc>
        <w:tc>
          <w:tcPr>
            <w:tcW w:w="24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ind w:left="5"/>
        <w:spacing w:after="0"/>
        <w:rPr>
          <w:sz w:val="20"/>
          <w:szCs w:val="20"/>
          <w:color w:val="auto"/>
        </w:rPr>
      </w:pPr>
      <w:r>
        <w:rPr>
          <w:rFonts w:ascii="Arial" w:cs="Arial" w:eastAsia="Arial" w:hAnsi="Arial"/>
          <w:sz w:val="19"/>
          <w:szCs w:val="19"/>
          <w:color w:val="auto"/>
        </w:rPr>
        <w:t>_____________</w:t>
      </w:r>
    </w:p>
    <w:p>
      <w:pPr>
        <w:spacing w:after="0" w:line="187" w:lineRule="exact"/>
        <w:rPr>
          <w:sz w:val="20"/>
          <w:szCs w:val="20"/>
          <w:color w:val="auto"/>
        </w:rPr>
      </w:pPr>
    </w:p>
    <w:p>
      <w:pPr>
        <w:ind w:left="685" w:right="460" w:hanging="685"/>
        <w:spacing w:after="0" w:line="244" w:lineRule="auto"/>
        <w:tabs>
          <w:tab w:leader="none" w:pos="685" w:val="left"/>
        </w:tabs>
        <w:numPr>
          <w:ilvl w:val="0"/>
          <w:numId w:val="13"/>
        </w:numPr>
        <w:rPr>
          <w:rFonts w:ascii="Arial" w:cs="Arial" w:eastAsia="Arial" w:hAnsi="Arial"/>
          <w:sz w:val="19"/>
          <w:szCs w:val="19"/>
          <w:color w:val="auto"/>
        </w:rPr>
      </w:pPr>
      <w:r>
        <w:rPr>
          <w:rFonts w:ascii="Arial" w:cs="Arial" w:eastAsia="Arial" w:hAnsi="Arial"/>
          <w:sz w:val="19"/>
          <w:szCs w:val="19"/>
          <w:color w:val="auto"/>
        </w:rPr>
        <w:t>Our regional programming networks Comcast SportsNet, Comcast SportsNet Mid-Atlantic, Comcast SportsNet Chicago, Cable Sports Southeast and CN8-The Comcast Network are included in our cable segment.</w:t>
      </w:r>
    </w:p>
    <w:p>
      <w:pPr>
        <w:spacing w:after="0" w:line="1" w:lineRule="exact"/>
        <w:rPr>
          <w:rFonts w:ascii="Arial" w:cs="Arial" w:eastAsia="Arial" w:hAnsi="Arial"/>
          <w:sz w:val="19"/>
          <w:szCs w:val="19"/>
          <w:color w:val="auto"/>
        </w:rPr>
      </w:pPr>
    </w:p>
    <w:p>
      <w:pPr>
        <w:ind w:left="685" w:hanging="685"/>
        <w:spacing w:after="0" w:line="235" w:lineRule="auto"/>
        <w:tabs>
          <w:tab w:leader="none" w:pos="685"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Corporate and other includes corporate activities, elimination entries and all other businesses not presented in our cable or content segments. Assets included in this caption consist primarily of our investments (see </w:t>
      </w:r>
      <w:hyperlink w:anchor="page7">
        <w:r>
          <w:rPr>
            <w:rFonts w:ascii="Arial" w:cs="Arial" w:eastAsia="Arial" w:hAnsi="Arial"/>
            <w:sz w:val="19"/>
            <w:szCs w:val="19"/>
            <w:u w:val="single" w:color="auto"/>
            <w:color w:val="0000EE"/>
          </w:rPr>
          <w:t>Note 5</w:t>
        </w:r>
      </w:hyperlink>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ind w:left="685" w:hanging="685"/>
        <w:spacing w:after="0"/>
        <w:tabs>
          <w:tab w:leader="none" w:pos="685"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Non-US revenues were not significant in any period. No single customer accounted for a significant amount of our revenue in any period.</w:t>
      </w:r>
    </w:p>
    <w:p>
      <w:pPr>
        <w:spacing w:after="0" w:line="19" w:lineRule="exact"/>
        <w:rPr>
          <w:rFonts w:ascii="Arial" w:cs="Arial" w:eastAsia="Arial" w:hAnsi="Arial"/>
          <w:sz w:val="17"/>
          <w:szCs w:val="17"/>
          <w:color w:val="auto"/>
        </w:rPr>
      </w:pPr>
    </w:p>
    <w:p>
      <w:pPr>
        <w:ind w:left="685" w:right="60" w:hanging="685"/>
        <w:spacing w:after="0" w:line="268" w:lineRule="auto"/>
        <w:tabs>
          <w:tab w:leader="none" w:pos="685" w:val="left"/>
        </w:tabs>
        <w:numPr>
          <w:ilvl w:val="0"/>
          <w:numId w:val="13"/>
        </w:numPr>
        <w:rPr>
          <w:rFonts w:ascii="Arial" w:cs="Arial" w:eastAsia="Arial" w:hAnsi="Arial"/>
          <w:sz w:val="17"/>
          <w:szCs w:val="17"/>
          <w:color w:val="auto"/>
        </w:rPr>
      </w:pPr>
      <w:r>
        <w:rPr>
          <w:rFonts w:ascii="Arial" w:cs="Arial" w:eastAsia="Arial" w:hAnsi="Arial"/>
          <w:sz w:val="17"/>
          <w:szCs w:val="17"/>
          <w:color w:val="auto"/>
        </w:rPr>
        <w:t>Operating income (loss)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w:t>
      </w:r>
    </w:p>
    <w:p>
      <w:pPr>
        <w:spacing w:after="0" w:line="357"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7773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ind w:right="35"/>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35"/>
        <w:spacing w:after="0"/>
        <w:rPr>
          <w:sz w:val="20"/>
          <w:szCs w:val="20"/>
          <w:color w:val="auto"/>
        </w:rPr>
      </w:pPr>
      <w:r>
        <w:rPr>
          <w:rFonts w:ascii="Arial" w:cs="Arial" w:eastAsia="Arial" w:hAnsi="Arial"/>
          <w:sz w:val="19"/>
          <w:szCs w:val="19"/>
          <w:color w:val="auto"/>
        </w:rPr>
        <w:t>FORM 10-Q</w:t>
      </w:r>
    </w:p>
    <w:p>
      <w:pPr>
        <w:jc w:val="center"/>
        <w:ind w:right="35"/>
        <w:spacing w:after="0" w:line="235" w:lineRule="auto"/>
        <w:rPr>
          <w:sz w:val="20"/>
          <w:szCs w:val="20"/>
          <w:color w:val="auto"/>
        </w:rPr>
      </w:pPr>
      <w:r>
        <w:rPr>
          <w:rFonts w:ascii="Arial" w:cs="Arial" w:eastAsia="Arial" w:hAnsi="Arial"/>
          <w:sz w:val="19"/>
          <w:szCs w:val="19"/>
          <w:color w:val="auto"/>
        </w:rPr>
        <w:t>QUARTER ENDED MARCH 31, 2004</w:t>
      </w:r>
    </w:p>
    <w:p>
      <w:pPr>
        <w:jc w:val="center"/>
        <w:ind w:right="35"/>
        <w:spacing w:after="0" w:line="236" w:lineRule="auto"/>
        <w:rPr>
          <w:sz w:val="20"/>
          <w:szCs w:val="20"/>
          <w:color w:val="auto"/>
        </w:rPr>
      </w:pPr>
      <w:r>
        <w:rPr>
          <w:rFonts w:ascii="Arial" w:cs="Arial" w:eastAsia="Arial" w:hAnsi="Arial"/>
          <w:sz w:val="19"/>
          <w:szCs w:val="19"/>
          <w:color w:val="auto"/>
        </w:rPr>
        <w:t>NOTES TO CONDENSED CONSOLIDATED FINANCIAL STATEMENTS - CONTINUED</w:t>
      </w:r>
    </w:p>
    <w:p>
      <w:pPr>
        <w:spacing w:after="0" w:line="1"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p>
      <w:pPr>
        <w:ind w:left="685" w:right="260"/>
        <w:spacing w:after="0" w:line="261" w:lineRule="auto"/>
        <w:rPr>
          <w:sz w:val="20"/>
          <w:szCs w:val="20"/>
          <w:color w:val="auto"/>
        </w:rPr>
      </w:pPr>
      <w:r>
        <w:rPr>
          <w:rFonts w:ascii="Arial" w:cs="Arial" w:eastAsia="Arial" w:hAnsi="Arial"/>
          <w:sz w:val="19"/>
          <w:szCs w:val="19"/>
          <w:color w:val="auto"/>
        </w:rPr>
        <w:t>provided by operating activities or other measures of performance or liquidity reported in accordance with generally accepted accounting principles.</w:t>
      </w:r>
    </w:p>
    <w:p>
      <w:pPr>
        <w:spacing w:after="0" w:line="169" w:lineRule="exact"/>
        <w:rPr>
          <w:sz w:val="20"/>
          <w:szCs w:val="20"/>
          <w:color w:val="auto"/>
        </w:rPr>
      </w:pPr>
    </w:p>
    <w:p>
      <w:pPr>
        <w:ind w:left="465" w:hanging="465"/>
        <w:spacing w:after="0"/>
        <w:tabs>
          <w:tab w:leader="none" w:pos="465" w:val="left"/>
        </w:tabs>
        <w:numPr>
          <w:ilvl w:val="0"/>
          <w:numId w:val="14"/>
        </w:numPr>
        <w:rPr>
          <w:rFonts w:ascii="Arial" w:cs="Arial" w:eastAsia="Arial" w:hAnsi="Arial"/>
          <w:sz w:val="19"/>
          <w:szCs w:val="19"/>
          <w:color w:val="auto"/>
        </w:rPr>
      </w:pPr>
      <w:r>
        <w:rPr>
          <w:rFonts w:ascii="Arial" w:cs="Arial" w:eastAsia="Arial" w:hAnsi="Arial"/>
          <w:sz w:val="19"/>
          <w:szCs w:val="19"/>
          <w:color w:val="auto"/>
        </w:rPr>
        <w:t>CONDENSED CONSOLIDATING FINANCIAL INFORMATION</w:t>
      </w:r>
    </w:p>
    <w:p>
      <w:pPr>
        <w:spacing w:after="0" w:line="210" w:lineRule="exact"/>
        <w:rPr>
          <w:rFonts w:ascii="Arial" w:cs="Arial" w:eastAsia="Arial" w:hAnsi="Arial"/>
          <w:sz w:val="19"/>
          <w:szCs w:val="19"/>
          <w:color w:val="auto"/>
        </w:rPr>
      </w:pPr>
    </w:p>
    <w:p>
      <w:pPr>
        <w:ind w:left="465" w:right="80"/>
        <w:spacing w:after="0" w:line="277" w:lineRule="auto"/>
        <w:rPr>
          <w:rFonts w:ascii="Arial" w:cs="Arial" w:eastAsia="Arial" w:hAnsi="Arial"/>
          <w:sz w:val="19"/>
          <w:szCs w:val="19"/>
          <w:color w:val="auto"/>
        </w:rPr>
      </w:pPr>
      <w:r>
        <w:rPr>
          <w:rFonts w:ascii="Arial" w:cs="Arial" w:eastAsia="Arial" w:hAnsi="Arial"/>
          <w:sz w:val="17"/>
          <w:szCs w:val="17"/>
          <w:color w:val="auto"/>
        </w:rPr>
        <w:t>We and five of our cable holding company subsidiaries, Comcast Cable Communications, LLC (Comcast Cable or "CCCL"), Comcast Cable Communications Holdings, Inc. (Comcast Cable Communications Holdings or "CCCH"), Comcast MO Group, Inc. ("Comcast MO Group"), Comcast Cable Holdings, LLC (Comcast Cable Holdings or "CCH"), and Comcast MO of Delaware, LLC ("Comcast MO of Delaware") fully and unconditionally guarantee each other's debt securities. Comcast MO Group, CCH and Comcast MO of Delaware are collectively referred to as the "Combined CCHMO Parents." Our condensed consolidating financial information is as follows (in millions):</w:t>
      </w:r>
    </w:p>
    <w:p>
      <w:pPr>
        <w:spacing w:after="0" w:line="160" w:lineRule="exact"/>
        <w:rPr>
          <w:sz w:val="20"/>
          <w:szCs w:val="20"/>
          <w:color w:val="auto"/>
        </w:rPr>
      </w:pPr>
    </w:p>
    <w:p>
      <w:pPr>
        <w:jc w:val="center"/>
        <w:ind w:right="2395"/>
        <w:spacing w:after="0"/>
        <w:rPr>
          <w:sz w:val="20"/>
          <w:szCs w:val="20"/>
          <w:color w:val="auto"/>
        </w:rPr>
      </w:pPr>
      <w:r>
        <w:rPr>
          <w:rFonts w:ascii="Arial" w:cs="Arial" w:eastAsia="Arial" w:hAnsi="Arial"/>
          <w:sz w:val="19"/>
          <w:szCs w:val="19"/>
          <w:color w:val="auto"/>
        </w:rPr>
        <w:t>Comcast Corporation</w:t>
      </w:r>
    </w:p>
    <w:p>
      <w:pPr>
        <w:spacing w:after="0" w:line="8" w:lineRule="exact"/>
        <w:rPr>
          <w:sz w:val="20"/>
          <w:szCs w:val="20"/>
          <w:color w:val="auto"/>
        </w:rPr>
      </w:pPr>
    </w:p>
    <w:p>
      <w:pPr>
        <w:jc w:val="center"/>
        <w:ind w:right="2395"/>
        <w:spacing w:after="0"/>
        <w:rPr>
          <w:sz w:val="20"/>
          <w:szCs w:val="20"/>
          <w:color w:val="auto"/>
        </w:rPr>
      </w:pPr>
      <w:r>
        <w:rPr>
          <w:rFonts w:ascii="Arial" w:cs="Arial" w:eastAsia="Arial" w:hAnsi="Arial"/>
          <w:sz w:val="19"/>
          <w:szCs w:val="19"/>
          <w:color w:val="auto"/>
        </w:rPr>
        <w:t>Condensed Consolidating Balance Sheet</w:t>
      </w:r>
    </w:p>
    <w:p>
      <w:pPr>
        <w:jc w:val="center"/>
        <w:ind w:right="2395"/>
        <w:spacing w:after="0"/>
        <w:rPr>
          <w:sz w:val="20"/>
          <w:szCs w:val="20"/>
          <w:color w:val="auto"/>
        </w:rPr>
      </w:pPr>
      <w:r>
        <w:rPr>
          <w:rFonts w:ascii="Arial" w:cs="Arial" w:eastAsia="Arial" w:hAnsi="Arial"/>
          <w:sz w:val="19"/>
          <w:szCs w:val="19"/>
          <w:color w:val="auto"/>
        </w:rPr>
        <w:t>As of March 31, 2004</w:t>
      </w:r>
    </w:p>
    <w:p>
      <w:pPr>
        <w:spacing w:after="0" w:line="207"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2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Elimination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87"/>
              </w:rPr>
              <w:t>Combined</w:t>
            </w:r>
          </w:p>
        </w:tc>
        <w:tc>
          <w:tcPr>
            <w:tcW w:w="760" w:type="dxa"/>
            <w:vAlign w:val="bottom"/>
          </w:tcPr>
          <w:p>
            <w:pPr>
              <w:jc w:val="center"/>
              <w:spacing w:after="0"/>
              <w:rPr>
                <w:sz w:val="20"/>
                <w:szCs w:val="20"/>
                <w:color w:val="auto"/>
              </w:rPr>
            </w:pPr>
            <w:r>
              <w:rPr>
                <w:rFonts w:ascii="Arial" w:cs="Arial" w:eastAsia="Arial" w:hAnsi="Arial"/>
                <w:sz w:val="16"/>
                <w:szCs w:val="16"/>
                <w:color w:val="auto"/>
                <w:w w:val="92"/>
              </w:rPr>
              <w:t>Non-</w:t>
            </w:r>
          </w:p>
        </w:tc>
        <w:tc>
          <w:tcPr>
            <w:tcW w:w="16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color w:val="auto"/>
                <w:w w:val="82"/>
              </w:rPr>
              <w:t>and</w:t>
            </w:r>
          </w:p>
        </w:tc>
        <w:tc>
          <w:tcPr>
            <w:tcW w:w="820" w:type="dxa"/>
            <w:vAlign w:val="bottom"/>
          </w:tcPr>
          <w:p>
            <w:pPr>
              <w:jc w:val="center"/>
              <w:spacing w:after="0"/>
              <w:rPr>
                <w:sz w:val="20"/>
                <w:szCs w:val="20"/>
                <w:color w:val="auto"/>
              </w:rPr>
            </w:pPr>
            <w:r>
              <w:rPr>
                <w:rFonts w:ascii="Arial" w:cs="Arial" w:eastAsia="Arial" w:hAnsi="Arial"/>
                <w:sz w:val="16"/>
                <w:szCs w:val="16"/>
                <w:color w:val="auto"/>
                <w:w w:val="87"/>
              </w:rPr>
              <w:t>Consolidated</w:t>
            </w:r>
          </w:p>
        </w:tc>
        <w:tc>
          <w:tcPr>
            <w:tcW w:w="0" w:type="dxa"/>
            <w:vAlign w:val="bottom"/>
          </w:tcPr>
          <w:p>
            <w:pPr>
              <w:spacing w:after="0"/>
              <w:rPr>
                <w:sz w:val="1"/>
                <w:szCs w:val="1"/>
                <w:color w:val="auto"/>
              </w:rPr>
            </w:pPr>
          </w:p>
        </w:tc>
      </w:tr>
      <w:tr>
        <w:trPr>
          <w:trHeight w:val="191"/>
        </w:trPr>
        <w:tc>
          <w:tcPr>
            <w:tcW w:w="29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1"/>
              </w:rPr>
              <w:t>Comcast</w:t>
            </w:r>
          </w:p>
        </w:tc>
        <w:tc>
          <w:tcPr>
            <w:tcW w:w="1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w w:val="96"/>
              </w:rPr>
              <w:t>CCCL</w:t>
            </w:r>
          </w:p>
        </w:tc>
        <w:tc>
          <w:tcPr>
            <w:tcW w:w="160" w:type="dxa"/>
            <w:vAlign w:val="bottom"/>
          </w:tcPr>
          <w:p>
            <w:pPr>
              <w:spacing w:after="0"/>
              <w:rPr>
                <w:sz w:val="16"/>
                <w:szCs w:val="16"/>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CCCH</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CCHMO</w:t>
            </w:r>
          </w:p>
        </w:tc>
        <w:tc>
          <w:tcPr>
            <w:tcW w:w="760" w:type="dxa"/>
            <w:vAlign w:val="bottom"/>
          </w:tcPr>
          <w:p>
            <w:pPr>
              <w:jc w:val="center"/>
              <w:spacing w:after="0"/>
              <w:rPr>
                <w:sz w:val="20"/>
                <w:szCs w:val="20"/>
                <w:color w:val="auto"/>
              </w:rPr>
            </w:pPr>
            <w:r>
              <w:rPr>
                <w:rFonts w:ascii="Arial" w:cs="Arial" w:eastAsia="Arial" w:hAnsi="Arial"/>
                <w:sz w:val="16"/>
                <w:szCs w:val="16"/>
                <w:color w:val="auto"/>
                <w:w w:val="88"/>
              </w:rPr>
              <w:t>Guarantor</w:t>
            </w:r>
          </w:p>
        </w:tc>
        <w:tc>
          <w:tcPr>
            <w:tcW w:w="16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Consolidation</w:t>
            </w:r>
          </w:p>
        </w:tc>
        <w:tc>
          <w:tcPr>
            <w:tcW w:w="820" w:type="dxa"/>
            <w:vAlign w:val="bottom"/>
          </w:tcPr>
          <w:p>
            <w:pPr>
              <w:jc w:val="center"/>
              <w:spacing w:after="0"/>
              <w:rPr>
                <w:sz w:val="20"/>
                <w:szCs w:val="20"/>
                <w:color w:val="auto"/>
              </w:rPr>
            </w:pPr>
            <w:r>
              <w:rPr>
                <w:rFonts w:ascii="Arial" w:cs="Arial" w:eastAsia="Arial" w:hAnsi="Arial"/>
                <w:sz w:val="16"/>
                <w:szCs w:val="16"/>
                <w:color w:val="auto"/>
                <w:w w:val="85"/>
              </w:rPr>
              <w:t>Comcast</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6"/>
                <w:szCs w:val="16"/>
                <w:color w:val="auto"/>
              </w:rPr>
              <w:t>Parent</w:t>
            </w:r>
          </w:p>
        </w:tc>
        <w:tc>
          <w:tcPr>
            <w:tcW w:w="16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w w:val="80"/>
              </w:rPr>
              <w:t>Parent</w:t>
            </w:r>
          </w:p>
        </w:tc>
        <w:tc>
          <w:tcPr>
            <w:tcW w:w="16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6"/>
                <w:szCs w:val="16"/>
                <w:color w:val="auto"/>
                <w:w w:val="84"/>
              </w:rPr>
              <w:t>Parent</w:t>
            </w:r>
          </w:p>
        </w:tc>
        <w:tc>
          <w:tcPr>
            <w:tcW w:w="820" w:type="dxa"/>
            <w:vAlign w:val="bottom"/>
            <w:gridSpan w:val="2"/>
          </w:tcPr>
          <w:p>
            <w:pPr>
              <w:jc w:val="center"/>
              <w:ind w:right="160"/>
              <w:spacing w:after="0"/>
              <w:rPr>
                <w:sz w:val="20"/>
                <w:szCs w:val="20"/>
                <w:color w:val="auto"/>
              </w:rPr>
            </w:pPr>
            <w:r>
              <w:rPr>
                <w:rFonts w:ascii="Arial" w:cs="Arial" w:eastAsia="Arial" w:hAnsi="Arial"/>
                <w:sz w:val="16"/>
                <w:szCs w:val="16"/>
                <w:color w:val="auto"/>
                <w:w w:val="83"/>
              </w:rPr>
              <w:t>Parents</w:t>
            </w:r>
          </w:p>
        </w:tc>
        <w:tc>
          <w:tcPr>
            <w:tcW w:w="760" w:type="dxa"/>
            <w:vAlign w:val="bottom"/>
          </w:tcPr>
          <w:p>
            <w:pPr>
              <w:jc w:val="center"/>
              <w:spacing w:after="0"/>
              <w:rPr>
                <w:sz w:val="20"/>
                <w:szCs w:val="20"/>
                <w:color w:val="auto"/>
              </w:rPr>
            </w:pPr>
            <w:r>
              <w:rPr>
                <w:rFonts w:ascii="Arial" w:cs="Arial" w:eastAsia="Arial" w:hAnsi="Arial"/>
                <w:sz w:val="16"/>
                <w:szCs w:val="16"/>
                <w:color w:val="auto"/>
                <w:w w:val="87"/>
              </w:rPr>
              <w:t>Subsidiaries</w:t>
            </w:r>
          </w:p>
        </w:tc>
        <w:tc>
          <w:tcPr>
            <w:tcW w:w="16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Adjustments</w:t>
            </w:r>
          </w:p>
        </w:tc>
        <w:tc>
          <w:tcPr>
            <w:tcW w:w="820" w:type="dxa"/>
            <w:vAlign w:val="bottom"/>
          </w:tcPr>
          <w:p>
            <w:pPr>
              <w:jc w:val="center"/>
              <w:spacing w:after="0"/>
              <w:rPr>
                <w:sz w:val="20"/>
                <w:szCs w:val="20"/>
                <w:color w:val="auto"/>
              </w:rPr>
            </w:pPr>
            <w:r>
              <w:rPr>
                <w:rFonts w:ascii="Arial" w:cs="Arial" w:eastAsia="Arial" w:hAnsi="Arial"/>
                <w:sz w:val="16"/>
                <w:szCs w:val="16"/>
                <w:color w:val="auto"/>
                <w:w w:val="88"/>
              </w:rPr>
              <w:t>Corporation</w:t>
            </w:r>
          </w:p>
        </w:tc>
        <w:tc>
          <w:tcPr>
            <w:tcW w:w="0" w:type="dxa"/>
            <w:vAlign w:val="bottom"/>
          </w:tcPr>
          <w:p>
            <w:pPr>
              <w:spacing w:after="0"/>
              <w:rPr>
                <w:sz w:val="1"/>
                <w:szCs w:val="1"/>
                <w:color w:val="auto"/>
              </w:rPr>
            </w:pPr>
          </w:p>
        </w:tc>
      </w:tr>
      <w:tr>
        <w:trPr>
          <w:trHeight w:val="97"/>
        </w:trPr>
        <w:tc>
          <w:tcPr>
            <w:tcW w:w="2900" w:type="dxa"/>
            <w:vAlign w:val="bottom"/>
            <w:vMerge w:val="restart"/>
          </w:tcPr>
          <w:p>
            <w:pPr>
              <w:spacing w:after="0"/>
              <w:rPr>
                <w:sz w:val="20"/>
                <w:szCs w:val="20"/>
                <w:color w:val="auto"/>
              </w:rPr>
            </w:pPr>
            <w:r>
              <w:rPr>
                <w:rFonts w:ascii="Arial" w:cs="Arial" w:eastAsia="Arial" w:hAnsi="Arial"/>
                <w:sz w:val="19"/>
                <w:szCs w:val="19"/>
                <w:color w:val="auto"/>
              </w:rPr>
              <w:t>ASSETS</w:t>
            </w: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9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140"/>
              <w:spacing w:after="0" w:line="214" w:lineRule="exact"/>
              <w:rPr>
                <w:sz w:val="20"/>
                <w:szCs w:val="20"/>
                <w:color w:val="auto"/>
              </w:rPr>
            </w:pPr>
            <w:r>
              <w:rPr>
                <w:rFonts w:ascii="Arial" w:cs="Arial" w:eastAsia="Arial" w:hAnsi="Arial"/>
                <w:sz w:val="19"/>
                <w:szCs w:val="19"/>
                <w:color w:val="auto"/>
              </w:rPr>
              <w:t>Cash and cash equivalents</w:t>
            </w:r>
          </w:p>
        </w:tc>
        <w:tc>
          <w:tcPr>
            <w:tcW w:w="640" w:type="dxa"/>
            <w:vAlign w:val="bottom"/>
          </w:tcPr>
          <w:p>
            <w:pPr>
              <w:jc w:val="right"/>
              <w:spacing w:after="0" w:line="214" w:lineRule="exact"/>
              <w:rPr>
                <w:sz w:val="20"/>
                <w:szCs w:val="20"/>
                <w:color w:val="auto"/>
              </w:rPr>
            </w:pPr>
            <w:r>
              <w:rPr>
                <w:rFonts w:ascii="Arial" w:cs="Arial" w:eastAsia="Arial" w:hAnsi="Arial"/>
                <w:sz w:val="19"/>
                <w:szCs w:val="19"/>
                <w:color w:val="auto"/>
              </w:rPr>
              <w:t>$13</w:t>
            </w:r>
          </w:p>
        </w:tc>
        <w:tc>
          <w:tcPr>
            <w:tcW w:w="780" w:type="dxa"/>
            <w:vAlign w:val="bottom"/>
            <w:gridSpan w:val="2"/>
          </w:tcPr>
          <w:p>
            <w:pPr>
              <w:jc w:val="center"/>
              <w:ind w:left="65"/>
              <w:spacing w:after="0" w:line="214" w:lineRule="exact"/>
              <w:rPr>
                <w:sz w:val="20"/>
                <w:szCs w:val="20"/>
                <w:color w:val="auto"/>
              </w:rPr>
            </w:pPr>
            <w:r>
              <w:rPr>
                <w:rFonts w:ascii="Arial" w:cs="Arial" w:eastAsia="Arial" w:hAnsi="Arial"/>
                <w:sz w:val="19"/>
                <w:szCs w:val="19"/>
                <w:color w:val="auto"/>
                <w:w w:val="94"/>
              </w:rPr>
              <w:t>$</w:t>
            </w:r>
          </w:p>
        </w:tc>
        <w:tc>
          <w:tcPr>
            <w:tcW w:w="800" w:type="dxa"/>
            <w:vAlign w:val="bottom"/>
            <w:gridSpan w:val="2"/>
          </w:tcPr>
          <w:p>
            <w:pPr>
              <w:jc w:val="center"/>
              <w:ind w:left="45"/>
              <w:spacing w:after="0" w:line="214" w:lineRule="exact"/>
              <w:rPr>
                <w:sz w:val="20"/>
                <w:szCs w:val="20"/>
                <w:color w:val="auto"/>
              </w:rPr>
            </w:pPr>
            <w:r>
              <w:rPr>
                <w:rFonts w:ascii="Arial" w:cs="Arial" w:eastAsia="Arial" w:hAnsi="Arial"/>
                <w:sz w:val="19"/>
                <w:szCs w:val="19"/>
                <w:color w:val="auto"/>
                <w:w w:val="94"/>
              </w:rPr>
              <w:t>$</w:t>
            </w:r>
          </w:p>
        </w:tc>
        <w:tc>
          <w:tcPr>
            <w:tcW w:w="140" w:type="dxa"/>
            <w:vAlign w:val="bottom"/>
          </w:tcPr>
          <w:p>
            <w:pPr>
              <w:spacing w:after="0"/>
              <w:rPr>
                <w:sz w:val="18"/>
                <w:szCs w:val="18"/>
                <w:color w:val="auto"/>
              </w:rPr>
            </w:pPr>
          </w:p>
        </w:tc>
        <w:tc>
          <w:tcPr>
            <w:tcW w:w="660" w:type="dxa"/>
            <w:vAlign w:val="bottom"/>
          </w:tcPr>
          <w:p>
            <w:pPr>
              <w:jc w:val="center"/>
              <w:spacing w:after="0" w:line="214" w:lineRule="exact"/>
              <w:rPr>
                <w:sz w:val="20"/>
                <w:szCs w:val="20"/>
                <w:color w:val="auto"/>
              </w:rPr>
            </w:pPr>
            <w:r>
              <w:rPr>
                <w:rFonts w:ascii="Arial" w:cs="Arial" w:eastAsia="Arial" w:hAnsi="Arial"/>
                <w:sz w:val="19"/>
                <w:szCs w:val="19"/>
                <w:color w:val="auto"/>
                <w:w w:val="94"/>
              </w:rPr>
              <w:t>$</w:t>
            </w: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$862</w:t>
            </w:r>
          </w:p>
        </w:tc>
        <w:tc>
          <w:tcPr>
            <w:tcW w:w="1020" w:type="dxa"/>
            <w:vAlign w:val="bottom"/>
            <w:gridSpan w:val="2"/>
          </w:tcPr>
          <w:p>
            <w:pPr>
              <w:jc w:val="center"/>
              <w:ind w:left="65"/>
              <w:spacing w:after="0" w:line="214" w:lineRule="exact"/>
              <w:rPr>
                <w:sz w:val="20"/>
                <w:szCs w:val="20"/>
                <w:color w:val="auto"/>
              </w:rPr>
            </w:pPr>
            <w:r>
              <w:rPr>
                <w:rFonts w:ascii="Arial" w:cs="Arial" w:eastAsia="Arial" w:hAnsi="Arial"/>
                <w:sz w:val="19"/>
                <w:szCs w:val="19"/>
                <w:color w:val="auto"/>
                <w:w w:val="94"/>
              </w:rPr>
              <w:t>$</w:t>
            </w:r>
          </w:p>
        </w:tc>
        <w:tc>
          <w:tcPr>
            <w:tcW w:w="18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$875</w:t>
            </w:r>
          </w:p>
        </w:tc>
        <w:tc>
          <w:tcPr>
            <w:tcW w:w="0" w:type="dxa"/>
            <w:vAlign w:val="bottom"/>
          </w:tcPr>
          <w:p>
            <w:pPr>
              <w:spacing w:after="0"/>
              <w:rPr>
                <w:sz w:val="1"/>
                <w:szCs w:val="1"/>
                <w:color w:val="auto"/>
              </w:rPr>
            </w:pPr>
          </w:p>
        </w:tc>
      </w:tr>
      <w:tr>
        <w:trPr>
          <w:trHeight w:val="215"/>
        </w:trPr>
        <w:tc>
          <w:tcPr>
            <w:tcW w:w="2900" w:type="dxa"/>
            <w:vAlign w:val="bottom"/>
          </w:tcPr>
          <w:p>
            <w:pPr>
              <w:ind w:left="140"/>
              <w:spacing w:after="0" w:line="214" w:lineRule="exact"/>
              <w:rPr>
                <w:sz w:val="20"/>
                <w:szCs w:val="20"/>
                <w:color w:val="auto"/>
              </w:rPr>
            </w:pPr>
            <w:r>
              <w:rPr>
                <w:rFonts w:ascii="Arial" w:cs="Arial" w:eastAsia="Arial" w:hAnsi="Arial"/>
                <w:sz w:val="19"/>
                <w:szCs w:val="19"/>
                <w:color w:val="auto"/>
              </w:rPr>
              <w:t>Investments</w:t>
            </w:r>
          </w:p>
        </w:tc>
        <w:tc>
          <w:tcPr>
            <w:tcW w:w="640" w:type="dxa"/>
            <w:vAlign w:val="bottom"/>
          </w:tcPr>
          <w:p>
            <w:pPr>
              <w:jc w:val="right"/>
              <w:spacing w:after="0" w:line="214" w:lineRule="exact"/>
              <w:rPr>
                <w:sz w:val="20"/>
                <w:szCs w:val="20"/>
                <w:color w:val="auto"/>
              </w:rPr>
            </w:pPr>
            <w:r>
              <w:rPr>
                <w:rFonts w:ascii="Arial" w:cs="Arial" w:eastAsia="Arial" w:hAnsi="Arial"/>
                <w:sz w:val="19"/>
                <w:szCs w:val="19"/>
                <w:color w:val="auto"/>
              </w:rPr>
              <w:t>47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2,735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2,782</w:t>
            </w:r>
          </w:p>
        </w:tc>
        <w:tc>
          <w:tcPr>
            <w:tcW w:w="0" w:type="dxa"/>
            <w:vAlign w:val="bottom"/>
          </w:tcPr>
          <w:p>
            <w:pPr>
              <w:spacing w:after="0"/>
              <w:rPr>
                <w:sz w:val="1"/>
                <w:szCs w:val="1"/>
                <w:color w:val="auto"/>
              </w:rPr>
            </w:pPr>
          </w:p>
        </w:tc>
      </w:tr>
      <w:tr>
        <w:trPr>
          <w:trHeight w:val="215"/>
        </w:trPr>
        <w:tc>
          <w:tcPr>
            <w:tcW w:w="2900" w:type="dxa"/>
            <w:vAlign w:val="bottom"/>
          </w:tcPr>
          <w:p>
            <w:pPr>
              <w:ind w:left="120"/>
              <w:spacing w:after="0" w:line="214" w:lineRule="exact"/>
              <w:rPr>
                <w:sz w:val="20"/>
                <w:szCs w:val="20"/>
                <w:color w:val="auto"/>
              </w:rPr>
            </w:pPr>
            <w:r>
              <w:rPr>
                <w:rFonts w:ascii="Arial" w:cs="Arial" w:eastAsia="Arial" w:hAnsi="Arial"/>
                <w:sz w:val="19"/>
                <w:szCs w:val="19"/>
                <w:color w:val="auto"/>
              </w:rPr>
              <w:t>Accounts receivable, net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776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776</w:t>
            </w:r>
          </w:p>
        </w:tc>
        <w:tc>
          <w:tcPr>
            <w:tcW w:w="0" w:type="dxa"/>
            <w:vAlign w:val="bottom"/>
          </w:tcPr>
          <w:p>
            <w:pPr>
              <w:spacing w:after="0"/>
              <w:rPr>
                <w:sz w:val="1"/>
                <w:szCs w:val="1"/>
                <w:color w:val="auto"/>
              </w:rPr>
            </w:pPr>
          </w:p>
        </w:tc>
      </w:tr>
      <w:tr>
        <w:trPr>
          <w:trHeight w:val="242"/>
        </w:trPr>
        <w:tc>
          <w:tcPr>
            <w:tcW w:w="2900" w:type="dxa"/>
            <w:vAlign w:val="bottom"/>
          </w:tcPr>
          <w:p>
            <w:pPr>
              <w:ind w:left="140"/>
              <w:spacing w:after="0"/>
              <w:rPr>
                <w:sz w:val="20"/>
                <w:szCs w:val="20"/>
                <w:color w:val="auto"/>
              </w:rPr>
            </w:pPr>
            <w:r>
              <w:rPr>
                <w:rFonts w:ascii="Arial" w:cs="Arial" w:eastAsia="Arial" w:hAnsi="Arial"/>
                <w:sz w:val="19"/>
                <w:szCs w:val="19"/>
                <w:color w:val="auto"/>
              </w:rPr>
              <w:t>Other current assets</w:t>
            </w:r>
          </w:p>
        </w:tc>
        <w:tc>
          <w:tcPr>
            <w:tcW w:w="640" w:type="dxa"/>
            <w:vAlign w:val="bottom"/>
          </w:tcPr>
          <w:p>
            <w:pPr>
              <w:jc w:val="right"/>
              <w:spacing w:after="0"/>
              <w:rPr>
                <w:sz w:val="20"/>
                <w:szCs w:val="20"/>
                <w:color w:val="auto"/>
              </w:rPr>
            </w:pPr>
            <w:r>
              <w:rPr>
                <w:rFonts w:ascii="Arial" w:cs="Arial" w:eastAsia="Arial" w:hAnsi="Arial"/>
                <w:sz w:val="19"/>
                <w:szCs w:val="19"/>
                <w:color w:val="auto"/>
              </w:rPr>
              <w:t>14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813</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827</w:t>
            </w:r>
          </w:p>
        </w:tc>
        <w:tc>
          <w:tcPr>
            <w:tcW w:w="0" w:type="dxa"/>
            <w:vAlign w:val="bottom"/>
          </w:tcPr>
          <w:p>
            <w:pPr>
              <w:spacing w:after="0"/>
              <w:rPr>
                <w:sz w:val="1"/>
                <w:szCs w:val="1"/>
                <w:color w:val="auto"/>
              </w:rPr>
            </w:pPr>
          </w:p>
        </w:tc>
      </w:tr>
      <w:tr>
        <w:trPr>
          <w:trHeight w:val="87"/>
        </w:trPr>
        <w:tc>
          <w:tcPr>
            <w:tcW w:w="29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00" w:type="dxa"/>
            <w:vAlign w:val="bottom"/>
          </w:tcPr>
          <w:p>
            <w:pPr>
              <w:ind w:left="240"/>
              <w:spacing w:after="0"/>
              <w:rPr>
                <w:sz w:val="20"/>
                <w:szCs w:val="20"/>
                <w:color w:val="auto"/>
              </w:rPr>
            </w:pPr>
            <w:r>
              <w:rPr>
                <w:rFonts w:ascii="Arial" w:cs="Arial" w:eastAsia="Arial" w:hAnsi="Arial"/>
                <w:sz w:val="19"/>
                <w:szCs w:val="19"/>
                <w:color w:val="auto"/>
              </w:rPr>
              <w:t>Total current assets</w:t>
            </w:r>
          </w:p>
        </w:tc>
        <w:tc>
          <w:tcPr>
            <w:tcW w:w="640" w:type="dxa"/>
            <w:vAlign w:val="bottom"/>
          </w:tcPr>
          <w:p>
            <w:pPr>
              <w:jc w:val="right"/>
              <w:spacing w:after="0"/>
              <w:rPr>
                <w:sz w:val="20"/>
                <w:szCs w:val="20"/>
                <w:color w:val="auto"/>
              </w:rPr>
            </w:pPr>
            <w:r>
              <w:rPr>
                <w:rFonts w:ascii="Arial" w:cs="Arial" w:eastAsia="Arial" w:hAnsi="Arial"/>
                <w:sz w:val="19"/>
                <w:szCs w:val="19"/>
                <w:color w:val="auto"/>
              </w:rPr>
              <w:t>74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5,186</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5,260</w:t>
            </w:r>
          </w:p>
        </w:tc>
        <w:tc>
          <w:tcPr>
            <w:tcW w:w="0" w:type="dxa"/>
            <w:vAlign w:val="bottom"/>
          </w:tcPr>
          <w:p>
            <w:pPr>
              <w:spacing w:after="0"/>
              <w:rPr>
                <w:sz w:val="1"/>
                <w:szCs w:val="1"/>
                <w:color w:val="auto"/>
              </w:rPr>
            </w:pPr>
          </w:p>
        </w:tc>
      </w:tr>
      <w:tr>
        <w:trPr>
          <w:trHeight w:val="87"/>
        </w:trPr>
        <w:tc>
          <w:tcPr>
            <w:tcW w:w="29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00" w:type="dxa"/>
            <w:vAlign w:val="bottom"/>
          </w:tcPr>
          <w:p>
            <w:pPr>
              <w:ind w:left="140"/>
              <w:spacing w:after="0"/>
              <w:rPr>
                <w:sz w:val="20"/>
                <w:szCs w:val="20"/>
                <w:color w:val="auto"/>
              </w:rPr>
            </w:pPr>
            <w:r>
              <w:rPr>
                <w:rFonts w:ascii="Arial" w:cs="Arial" w:eastAsia="Arial" w:hAnsi="Arial"/>
                <w:sz w:val="19"/>
                <w:szCs w:val="19"/>
                <w:color w:val="auto"/>
              </w:rPr>
              <w:t>INVESTMENTS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14,270</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14,270</w:t>
            </w:r>
          </w:p>
        </w:tc>
        <w:tc>
          <w:tcPr>
            <w:tcW w:w="0" w:type="dxa"/>
            <w:vAlign w:val="bottom"/>
          </w:tcPr>
          <w:p>
            <w:pPr>
              <w:spacing w:after="0"/>
              <w:rPr>
                <w:sz w:val="1"/>
                <w:szCs w:val="1"/>
                <w:color w:val="auto"/>
              </w:rPr>
            </w:pPr>
          </w:p>
        </w:tc>
      </w:tr>
      <w:tr>
        <w:trPr>
          <w:trHeight w:val="215"/>
        </w:trPr>
        <w:tc>
          <w:tcPr>
            <w:tcW w:w="2900" w:type="dxa"/>
            <w:vAlign w:val="bottom"/>
          </w:tcPr>
          <w:p>
            <w:pPr>
              <w:ind w:left="140"/>
              <w:spacing w:after="0" w:line="214" w:lineRule="exact"/>
              <w:rPr>
                <w:sz w:val="20"/>
                <w:szCs w:val="20"/>
                <w:color w:val="auto"/>
              </w:rPr>
            </w:pPr>
            <w:r>
              <w:rPr>
                <w:rFonts w:ascii="Arial" w:cs="Arial" w:eastAsia="Arial" w:hAnsi="Arial"/>
                <w:sz w:val="19"/>
                <w:szCs w:val="19"/>
                <w:color w:val="auto"/>
              </w:rPr>
              <w:t>INVESTMENTS IN AND</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spacing w:after="0" w:line="214" w:lineRule="exact"/>
              <w:rPr>
                <w:sz w:val="20"/>
                <w:szCs w:val="20"/>
                <w:color w:val="auto"/>
              </w:rPr>
            </w:pPr>
            <w:r>
              <w:rPr>
                <w:rFonts w:ascii="Arial" w:cs="Arial" w:eastAsia="Arial" w:hAnsi="Arial"/>
                <w:sz w:val="19"/>
                <w:szCs w:val="19"/>
                <w:color w:val="auto"/>
              </w:rPr>
              <w:t>AMOUNTS DUE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40"/>
              <w:spacing w:after="0" w:line="214" w:lineRule="exact"/>
              <w:rPr>
                <w:sz w:val="20"/>
                <w:szCs w:val="20"/>
                <w:color w:val="auto"/>
              </w:rPr>
            </w:pPr>
            <w:r>
              <w:rPr>
                <w:rFonts w:ascii="Arial" w:cs="Arial" w:eastAsia="Arial" w:hAnsi="Arial"/>
                <w:sz w:val="19"/>
                <w:szCs w:val="19"/>
                <w:color w:val="auto"/>
              </w:rPr>
              <w:t>FROM SUBSIDIARIES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spacing w:after="0" w:line="214" w:lineRule="exact"/>
              <w:rPr>
                <w:sz w:val="20"/>
                <w:szCs w:val="20"/>
                <w:color w:val="auto"/>
              </w:rPr>
            </w:pPr>
            <w:r>
              <w:rPr>
                <w:rFonts w:ascii="Arial" w:cs="Arial" w:eastAsia="Arial" w:hAnsi="Arial"/>
                <w:sz w:val="19"/>
                <w:szCs w:val="19"/>
                <w:color w:val="auto"/>
              </w:rPr>
              <w:t>ELIMINATED</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40"/>
              <w:spacing w:after="0" w:line="214" w:lineRule="exact"/>
              <w:rPr>
                <w:sz w:val="20"/>
                <w:szCs w:val="20"/>
                <w:color w:val="auto"/>
              </w:rPr>
            </w:pPr>
            <w:r>
              <w:rPr>
                <w:rFonts w:ascii="Arial" w:cs="Arial" w:eastAsia="Arial" w:hAnsi="Arial"/>
                <w:sz w:val="19"/>
                <w:szCs w:val="19"/>
                <w:color w:val="auto"/>
              </w:rPr>
              <w:t>UPON CONSOLIDATION</w:t>
            </w:r>
          </w:p>
        </w:tc>
        <w:tc>
          <w:tcPr>
            <w:tcW w:w="640" w:type="dxa"/>
            <w:vAlign w:val="bottom"/>
          </w:tcPr>
          <w:p>
            <w:pPr>
              <w:jc w:val="right"/>
              <w:spacing w:after="0" w:line="214" w:lineRule="exact"/>
              <w:rPr>
                <w:sz w:val="20"/>
                <w:szCs w:val="20"/>
                <w:color w:val="auto"/>
              </w:rPr>
            </w:pPr>
            <w:r>
              <w:rPr>
                <w:rFonts w:ascii="Arial" w:cs="Arial" w:eastAsia="Arial" w:hAnsi="Arial"/>
                <w:sz w:val="19"/>
                <w:szCs w:val="19"/>
                <w:color w:val="auto"/>
              </w:rPr>
              <w:t>46,197</w:t>
            </w:r>
          </w:p>
        </w:tc>
        <w:tc>
          <w:tcPr>
            <w:tcW w:w="78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26,797</w:t>
            </w:r>
          </w:p>
        </w:tc>
        <w:tc>
          <w:tcPr>
            <w:tcW w:w="940" w:type="dxa"/>
            <w:vAlign w:val="bottom"/>
            <w:gridSpan w:val="3"/>
          </w:tcPr>
          <w:p>
            <w:pPr>
              <w:jc w:val="right"/>
              <w:ind w:right="140"/>
              <w:spacing w:after="0" w:line="214" w:lineRule="exact"/>
              <w:rPr>
                <w:sz w:val="20"/>
                <w:szCs w:val="20"/>
                <w:color w:val="auto"/>
              </w:rPr>
            </w:pPr>
            <w:r>
              <w:rPr>
                <w:rFonts w:ascii="Arial" w:cs="Arial" w:eastAsia="Arial" w:hAnsi="Arial"/>
                <w:sz w:val="19"/>
                <w:szCs w:val="19"/>
                <w:color w:val="auto"/>
              </w:rPr>
              <w:t>33,264</w:t>
            </w:r>
          </w:p>
        </w:tc>
        <w:tc>
          <w:tcPr>
            <w:tcW w:w="82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39,899</w:t>
            </w: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19,843</w:t>
            </w:r>
          </w:p>
        </w:tc>
        <w:tc>
          <w:tcPr>
            <w:tcW w:w="1200" w:type="dxa"/>
            <w:vAlign w:val="bottom"/>
            <w:gridSpan w:val="3"/>
          </w:tcPr>
          <w:p>
            <w:pPr>
              <w:jc w:val="right"/>
              <w:ind w:right="100"/>
              <w:spacing w:after="0" w:line="214" w:lineRule="exact"/>
              <w:rPr>
                <w:sz w:val="20"/>
                <w:szCs w:val="20"/>
                <w:color w:val="auto"/>
              </w:rPr>
            </w:pPr>
            <w:r>
              <w:rPr>
                <w:rFonts w:ascii="Arial" w:cs="Arial" w:eastAsia="Arial" w:hAnsi="Arial"/>
                <w:sz w:val="19"/>
                <w:szCs w:val="19"/>
                <w:color w:val="auto"/>
              </w:rPr>
              <w:t>(166,000)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140"/>
              <w:spacing w:after="0" w:line="214" w:lineRule="exact"/>
              <w:rPr>
                <w:sz w:val="20"/>
                <w:szCs w:val="20"/>
                <w:color w:val="auto"/>
              </w:rPr>
            </w:pPr>
            <w:r>
              <w:rPr>
                <w:rFonts w:ascii="Arial" w:cs="Arial" w:eastAsia="Arial" w:hAnsi="Arial"/>
                <w:sz w:val="19"/>
                <w:szCs w:val="19"/>
                <w:color w:val="auto"/>
              </w:rPr>
              <w:t>PROPERTY AND EQUIPMENT,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spacing w:after="0" w:line="214" w:lineRule="exact"/>
              <w:rPr>
                <w:sz w:val="20"/>
                <w:szCs w:val="20"/>
                <w:color w:val="auto"/>
              </w:rPr>
            </w:pPr>
            <w:r>
              <w:rPr>
                <w:rFonts w:ascii="Arial" w:cs="Arial" w:eastAsia="Arial" w:hAnsi="Arial"/>
                <w:sz w:val="19"/>
                <w:szCs w:val="19"/>
                <w:color w:val="auto"/>
              </w:rPr>
              <w:t>net</w:t>
            </w:r>
          </w:p>
        </w:tc>
        <w:tc>
          <w:tcPr>
            <w:tcW w:w="640" w:type="dxa"/>
            <w:vAlign w:val="bottom"/>
          </w:tcPr>
          <w:p>
            <w:pPr>
              <w:jc w:val="right"/>
              <w:spacing w:after="0" w:line="214" w:lineRule="exact"/>
              <w:rPr>
                <w:sz w:val="20"/>
                <w:szCs w:val="20"/>
                <w:color w:val="auto"/>
              </w:rPr>
            </w:pPr>
            <w:r>
              <w:rPr>
                <w:rFonts w:ascii="Arial" w:cs="Arial" w:eastAsia="Arial" w:hAnsi="Arial"/>
                <w:sz w:val="19"/>
                <w:szCs w:val="19"/>
                <w:color w:val="auto"/>
              </w:rPr>
              <w:t>8</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3"/>
          </w:tcPr>
          <w:p>
            <w:pPr>
              <w:jc w:val="right"/>
              <w:ind w:right="140"/>
              <w:spacing w:after="0" w:line="214" w:lineRule="exact"/>
              <w:rPr>
                <w:sz w:val="20"/>
                <w:szCs w:val="20"/>
                <w:color w:val="auto"/>
              </w:rPr>
            </w:pPr>
            <w:r>
              <w:rPr>
                <w:rFonts w:ascii="Arial" w:cs="Arial" w:eastAsia="Arial" w:hAnsi="Arial"/>
                <w:sz w:val="19"/>
                <w:szCs w:val="19"/>
                <w:color w:val="auto"/>
              </w:rPr>
              <w:t>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18,484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18,495</w:t>
            </w:r>
          </w:p>
        </w:tc>
        <w:tc>
          <w:tcPr>
            <w:tcW w:w="0" w:type="dxa"/>
            <w:vAlign w:val="bottom"/>
          </w:tcPr>
          <w:p>
            <w:pPr>
              <w:spacing w:after="0"/>
              <w:rPr>
                <w:sz w:val="1"/>
                <w:szCs w:val="1"/>
                <w:color w:val="auto"/>
              </w:rPr>
            </w:pPr>
          </w:p>
        </w:tc>
      </w:tr>
      <w:tr>
        <w:trPr>
          <w:trHeight w:val="215"/>
        </w:trPr>
        <w:tc>
          <w:tcPr>
            <w:tcW w:w="2900" w:type="dxa"/>
            <w:vAlign w:val="bottom"/>
          </w:tcPr>
          <w:p>
            <w:pPr>
              <w:ind w:left="140"/>
              <w:spacing w:after="0" w:line="214" w:lineRule="exact"/>
              <w:rPr>
                <w:sz w:val="20"/>
                <w:szCs w:val="20"/>
                <w:color w:val="auto"/>
              </w:rPr>
            </w:pPr>
            <w:r>
              <w:rPr>
                <w:rFonts w:ascii="Arial" w:cs="Arial" w:eastAsia="Arial" w:hAnsi="Arial"/>
                <w:sz w:val="19"/>
                <w:szCs w:val="19"/>
                <w:color w:val="auto"/>
              </w:rPr>
              <w:t>FRANCHISE RIGHTS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51,050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51,050</w:t>
            </w:r>
          </w:p>
        </w:tc>
        <w:tc>
          <w:tcPr>
            <w:tcW w:w="0" w:type="dxa"/>
            <w:vAlign w:val="bottom"/>
          </w:tcPr>
          <w:p>
            <w:pPr>
              <w:spacing w:after="0"/>
              <w:rPr>
                <w:sz w:val="1"/>
                <w:szCs w:val="1"/>
                <w:color w:val="auto"/>
              </w:rPr>
            </w:pPr>
          </w:p>
        </w:tc>
      </w:tr>
      <w:tr>
        <w:trPr>
          <w:trHeight w:val="215"/>
        </w:trPr>
        <w:tc>
          <w:tcPr>
            <w:tcW w:w="2900" w:type="dxa"/>
            <w:vAlign w:val="bottom"/>
          </w:tcPr>
          <w:p>
            <w:pPr>
              <w:ind w:left="140"/>
              <w:spacing w:after="0" w:line="214" w:lineRule="exact"/>
              <w:rPr>
                <w:sz w:val="20"/>
                <w:szCs w:val="20"/>
                <w:color w:val="auto"/>
              </w:rPr>
            </w:pPr>
            <w:r>
              <w:rPr>
                <w:rFonts w:ascii="Arial" w:cs="Arial" w:eastAsia="Arial" w:hAnsi="Arial"/>
                <w:sz w:val="19"/>
                <w:szCs w:val="19"/>
                <w:color w:val="auto"/>
              </w:rPr>
              <w:t>GOODWILL</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14,840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14,840</w:t>
            </w:r>
          </w:p>
        </w:tc>
        <w:tc>
          <w:tcPr>
            <w:tcW w:w="0" w:type="dxa"/>
            <w:vAlign w:val="bottom"/>
          </w:tcPr>
          <w:p>
            <w:pPr>
              <w:spacing w:after="0"/>
              <w:rPr>
                <w:sz w:val="1"/>
                <w:szCs w:val="1"/>
                <w:color w:val="auto"/>
              </w:rPr>
            </w:pPr>
          </w:p>
        </w:tc>
      </w:tr>
      <w:tr>
        <w:trPr>
          <w:trHeight w:val="215"/>
        </w:trPr>
        <w:tc>
          <w:tcPr>
            <w:tcW w:w="2900" w:type="dxa"/>
            <w:vAlign w:val="bottom"/>
          </w:tcPr>
          <w:p>
            <w:pPr>
              <w:ind w:left="140"/>
              <w:spacing w:after="0" w:line="214" w:lineRule="exact"/>
              <w:rPr>
                <w:sz w:val="20"/>
                <w:szCs w:val="20"/>
                <w:color w:val="auto"/>
              </w:rPr>
            </w:pPr>
            <w:r>
              <w:rPr>
                <w:rFonts w:ascii="Arial" w:cs="Arial" w:eastAsia="Arial" w:hAnsi="Arial"/>
                <w:sz w:val="19"/>
                <w:szCs w:val="19"/>
                <w:color w:val="auto"/>
              </w:rPr>
              <w:t>OTHER INTANGIBLE ASSETS,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spacing w:after="0" w:line="214" w:lineRule="exact"/>
              <w:rPr>
                <w:sz w:val="20"/>
                <w:szCs w:val="20"/>
                <w:color w:val="auto"/>
              </w:rPr>
            </w:pPr>
            <w:r>
              <w:rPr>
                <w:rFonts w:ascii="Arial" w:cs="Arial" w:eastAsia="Arial" w:hAnsi="Arial"/>
                <w:sz w:val="19"/>
                <w:szCs w:val="19"/>
                <w:color w:val="auto"/>
              </w:rPr>
              <w:t>net</w:t>
            </w:r>
          </w:p>
        </w:tc>
        <w:tc>
          <w:tcPr>
            <w:tcW w:w="640" w:type="dxa"/>
            <w:vAlign w:val="bottom"/>
          </w:tcPr>
          <w:p>
            <w:pPr>
              <w:jc w:val="right"/>
              <w:spacing w:after="0" w:line="214" w:lineRule="exact"/>
              <w:rPr>
                <w:sz w:val="20"/>
                <w:szCs w:val="20"/>
                <w:color w:val="auto"/>
              </w:rPr>
            </w:pPr>
            <w:r>
              <w:rPr>
                <w:rFonts w:ascii="Arial" w:cs="Arial" w:eastAsia="Arial" w:hAnsi="Arial"/>
                <w:sz w:val="19"/>
                <w:szCs w:val="19"/>
                <w:color w:val="auto"/>
              </w:rPr>
              <w:t>250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3,711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3,961</w:t>
            </w:r>
          </w:p>
        </w:tc>
        <w:tc>
          <w:tcPr>
            <w:tcW w:w="0" w:type="dxa"/>
            <w:vAlign w:val="bottom"/>
          </w:tcPr>
          <w:p>
            <w:pPr>
              <w:spacing w:after="0"/>
              <w:rPr>
                <w:sz w:val="1"/>
                <w:szCs w:val="1"/>
                <w:color w:val="auto"/>
              </w:rPr>
            </w:pPr>
          </w:p>
        </w:tc>
      </w:tr>
      <w:tr>
        <w:trPr>
          <w:trHeight w:val="215"/>
        </w:trPr>
        <w:tc>
          <w:tcPr>
            <w:tcW w:w="2900" w:type="dxa"/>
            <w:vAlign w:val="bottom"/>
          </w:tcPr>
          <w:p>
            <w:pPr>
              <w:ind w:left="140"/>
              <w:spacing w:after="0" w:line="214" w:lineRule="exact"/>
              <w:rPr>
                <w:sz w:val="20"/>
                <w:szCs w:val="20"/>
                <w:color w:val="auto"/>
              </w:rPr>
            </w:pPr>
            <w:r>
              <w:rPr>
                <w:rFonts w:ascii="Arial" w:cs="Arial" w:eastAsia="Arial" w:hAnsi="Arial"/>
                <w:sz w:val="19"/>
                <w:szCs w:val="19"/>
                <w:color w:val="auto"/>
              </w:rPr>
              <w:t>OTHER NONCURRENT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00" w:type="dxa"/>
            <w:vAlign w:val="bottom"/>
          </w:tcPr>
          <w:p>
            <w:pPr>
              <w:spacing w:after="0"/>
              <w:rPr>
                <w:sz w:val="20"/>
                <w:szCs w:val="20"/>
                <w:color w:val="auto"/>
              </w:rPr>
            </w:pPr>
            <w:r>
              <w:rPr>
                <w:rFonts w:ascii="Arial" w:cs="Arial" w:eastAsia="Arial" w:hAnsi="Arial"/>
                <w:sz w:val="19"/>
                <w:szCs w:val="19"/>
                <w:color w:val="auto"/>
              </w:rPr>
              <w:t>ASSETS, net</w:t>
            </w:r>
          </w:p>
        </w:tc>
        <w:tc>
          <w:tcPr>
            <w:tcW w:w="640" w:type="dxa"/>
            <w:vAlign w:val="bottom"/>
          </w:tcPr>
          <w:p>
            <w:pPr>
              <w:jc w:val="right"/>
              <w:spacing w:after="0"/>
              <w:rPr>
                <w:sz w:val="20"/>
                <w:szCs w:val="20"/>
                <w:color w:val="auto"/>
              </w:rPr>
            </w:pPr>
            <w:r>
              <w:rPr>
                <w:rFonts w:ascii="Arial" w:cs="Arial" w:eastAsia="Arial" w:hAnsi="Arial"/>
                <w:sz w:val="19"/>
                <w:szCs w:val="19"/>
                <w:color w:val="auto"/>
              </w:rPr>
              <w:t>74</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66</w:t>
            </w:r>
          </w:p>
        </w:tc>
        <w:tc>
          <w:tcPr>
            <w:tcW w:w="940" w:type="dxa"/>
            <w:vAlign w:val="bottom"/>
            <w:gridSpan w:val="3"/>
          </w:tcPr>
          <w:p>
            <w:pPr>
              <w:jc w:val="right"/>
              <w:ind w:right="140"/>
              <w:spacing w:after="0"/>
              <w:rPr>
                <w:sz w:val="20"/>
                <w:szCs w:val="20"/>
                <w:color w:val="auto"/>
              </w:rPr>
            </w:pPr>
            <w:r>
              <w:rPr>
                <w:rFonts w:ascii="Arial" w:cs="Arial" w:eastAsia="Arial" w:hAnsi="Arial"/>
                <w:sz w:val="19"/>
                <w:szCs w:val="19"/>
                <w:color w:val="auto"/>
              </w:rPr>
              <w:t>30</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521</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691</w:t>
            </w:r>
          </w:p>
        </w:tc>
        <w:tc>
          <w:tcPr>
            <w:tcW w:w="0" w:type="dxa"/>
            <w:vAlign w:val="bottom"/>
          </w:tcPr>
          <w:p>
            <w:pPr>
              <w:spacing w:after="0"/>
              <w:rPr>
                <w:sz w:val="1"/>
                <w:szCs w:val="1"/>
                <w:color w:val="auto"/>
              </w:rPr>
            </w:pPr>
          </w:p>
        </w:tc>
      </w:tr>
    </w:tbl>
    <w:p>
      <w:pPr>
        <w:sectPr>
          <w:pgSz w:w="11900" w:h="16838" w:orient="portrait"/>
          <w:cols w:equalWidth="0" w:num="1">
            <w:col w:w="11425"/>
          </w:cols>
          <w:pgMar w:left="235" w:top="120" w:right="239" w:bottom="0" w:gutter="0" w:footer="0" w:header="0"/>
        </w:sectPr>
      </w:pPr>
    </w:p>
    <w:bookmarkStart w:id="14" w:name="page15"/>
    <w:bookmarkEnd w:id="14"/>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1997075</wp:posOffset>
            </wp:positionH>
            <wp:positionV relativeFrom="page">
              <wp:posOffset>88900</wp:posOffset>
            </wp:positionV>
            <wp:extent cx="377888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778885"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2"/>
        </w:trPr>
        <w:tc>
          <w:tcPr>
            <w:tcW w:w="2900" w:type="dxa"/>
            <w:vAlign w:val="bottom"/>
            <w:gridSpan w:val="3"/>
          </w:tcPr>
          <w:p>
            <w:pPr>
              <w:ind w:left="140"/>
              <w:spacing w:after="0"/>
              <w:rPr>
                <w:sz w:val="20"/>
                <w:szCs w:val="20"/>
                <w:color w:val="auto"/>
              </w:rPr>
            </w:pPr>
            <w:r>
              <w:rPr>
                <w:rFonts w:ascii="Arial" w:cs="Arial" w:eastAsia="Arial" w:hAnsi="Arial"/>
                <w:sz w:val="19"/>
                <w:szCs w:val="19"/>
                <w:color w:val="auto"/>
              </w:rPr>
              <w:t>Total Assets</w:t>
            </w:r>
          </w:p>
        </w:tc>
        <w:tc>
          <w:tcPr>
            <w:tcW w:w="640" w:type="dxa"/>
            <w:vAlign w:val="bottom"/>
          </w:tcPr>
          <w:p>
            <w:pPr>
              <w:jc w:val="right"/>
              <w:spacing w:after="0"/>
              <w:rPr>
                <w:sz w:val="20"/>
                <w:szCs w:val="20"/>
                <w:color w:val="auto"/>
              </w:rPr>
            </w:pPr>
            <w:r>
              <w:rPr>
                <w:rFonts w:ascii="Arial" w:cs="Arial" w:eastAsia="Arial" w:hAnsi="Arial"/>
                <w:sz w:val="19"/>
                <w:szCs w:val="19"/>
                <w:color w:val="auto"/>
                <w:w w:val="90"/>
              </w:rPr>
              <w:t>$46,603</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$26,863</w:t>
            </w:r>
          </w:p>
        </w:tc>
        <w:tc>
          <w:tcPr>
            <w:tcW w:w="940" w:type="dxa"/>
            <w:vAlign w:val="bottom"/>
            <w:gridSpan w:val="3"/>
          </w:tcPr>
          <w:p>
            <w:pPr>
              <w:jc w:val="right"/>
              <w:ind w:right="140"/>
              <w:spacing w:after="0"/>
              <w:rPr>
                <w:sz w:val="20"/>
                <w:szCs w:val="20"/>
                <w:color w:val="auto"/>
              </w:rPr>
            </w:pPr>
            <w:r>
              <w:rPr>
                <w:rFonts w:ascii="Arial" w:cs="Arial" w:eastAsia="Arial" w:hAnsi="Arial"/>
                <w:sz w:val="19"/>
                <w:szCs w:val="19"/>
                <w:color w:val="auto"/>
              </w:rPr>
              <w:t>$33,297</w:t>
            </w:r>
          </w:p>
        </w:tc>
        <w:tc>
          <w:tcPr>
            <w:tcW w:w="820" w:type="dxa"/>
            <w:vAlign w:val="bottom"/>
            <w:gridSpan w:val="2"/>
          </w:tcPr>
          <w:p>
            <w:pPr>
              <w:jc w:val="right"/>
              <w:ind w:right="160"/>
              <w:spacing w:after="0"/>
              <w:rPr>
                <w:sz w:val="20"/>
                <w:szCs w:val="20"/>
                <w:color w:val="auto"/>
              </w:rPr>
            </w:pPr>
            <w:r>
              <w:rPr>
                <w:rFonts w:ascii="Arial" w:cs="Arial" w:eastAsia="Arial" w:hAnsi="Arial"/>
                <w:sz w:val="19"/>
                <w:szCs w:val="19"/>
                <w:color w:val="auto"/>
                <w:w w:val="93"/>
              </w:rPr>
              <w:t>$39,899</w:t>
            </w:r>
          </w:p>
        </w:tc>
        <w:tc>
          <w:tcPr>
            <w:tcW w:w="760" w:type="dxa"/>
            <w:vAlign w:val="bottom"/>
          </w:tcPr>
          <w:p>
            <w:pPr>
              <w:jc w:val="right"/>
              <w:spacing w:after="0"/>
              <w:rPr>
                <w:sz w:val="20"/>
                <w:szCs w:val="20"/>
                <w:color w:val="auto"/>
              </w:rPr>
            </w:pPr>
            <w:r>
              <w:rPr>
                <w:rFonts w:ascii="Arial" w:cs="Arial" w:eastAsia="Arial" w:hAnsi="Arial"/>
                <w:sz w:val="19"/>
                <w:szCs w:val="19"/>
                <w:color w:val="auto"/>
                <w:w w:val="93"/>
              </w:rPr>
              <w:t>$127,905</w:t>
            </w:r>
          </w:p>
        </w:tc>
        <w:tc>
          <w:tcPr>
            <w:tcW w:w="1200" w:type="dxa"/>
            <w:vAlign w:val="bottom"/>
            <w:gridSpan w:val="3"/>
          </w:tcPr>
          <w:p>
            <w:pPr>
              <w:jc w:val="right"/>
              <w:ind w:right="100"/>
              <w:spacing w:after="0"/>
              <w:rPr>
                <w:sz w:val="20"/>
                <w:szCs w:val="20"/>
                <w:color w:val="auto"/>
              </w:rPr>
            </w:pPr>
            <w:r>
              <w:rPr>
                <w:rFonts w:ascii="Arial" w:cs="Arial" w:eastAsia="Arial" w:hAnsi="Arial"/>
                <w:sz w:val="19"/>
                <w:szCs w:val="19"/>
                <w:color w:val="auto"/>
              </w:rPr>
              <w:t>($166,000)</w:t>
            </w:r>
          </w:p>
        </w:tc>
        <w:tc>
          <w:tcPr>
            <w:tcW w:w="820" w:type="dxa"/>
            <w:vAlign w:val="bottom"/>
          </w:tcPr>
          <w:p>
            <w:pPr>
              <w:jc w:val="right"/>
              <w:spacing w:after="0"/>
              <w:rPr>
                <w:sz w:val="20"/>
                <w:szCs w:val="20"/>
                <w:color w:val="auto"/>
              </w:rPr>
            </w:pPr>
            <w:r>
              <w:rPr>
                <w:rFonts w:ascii="Arial" w:cs="Arial" w:eastAsia="Arial" w:hAnsi="Arial"/>
                <w:sz w:val="19"/>
                <w:szCs w:val="19"/>
                <w:color w:val="auto"/>
              </w:rPr>
              <w:t>$108,567</w:t>
            </w:r>
          </w:p>
        </w:tc>
        <w:tc>
          <w:tcPr>
            <w:tcW w:w="0" w:type="dxa"/>
            <w:vAlign w:val="bottom"/>
          </w:tcPr>
          <w:p>
            <w:pPr>
              <w:spacing w:after="0"/>
              <w:rPr>
                <w:sz w:val="1"/>
                <w:szCs w:val="1"/>
                <w:color w:val="auto"/>
              </w:rPr>
            </w:pPr>
          </w:p>
        </w:tc>
      </w:tr>
      <w:tr>
        <w:trPr>
          <w:trHeight w:val="95"/>
        </w:trPr>
        <w:tc>
          <w:tcPr>
            <w:tcW w:w="2900" w:type="dxa"/>
            <w:vAlign w:val="bottom"/>
            <w:gridSpan w:val="3"/>
            <w:vMerge w:val="restart"/>
          </w:tcPr>
          <w:p>
            <w:pPr>
              <w:spacing w:after="0"/>
              <w:rPr>
                <w:sz w:val="20"/>
                <w:szCs w:val="20"/>
                <w:color w:val="auto"/>
              </w:rPr>
            </w:pPr>
            <w:r>
              <w:rPr>
                <w:rFonts w:ascii="Arial" w:cs="Arial" w:eastAsia="Arial" w:hAnsi="Arial"/>
                <w:sz w:val="19"/>
                <w:szCs w:val="19"/>
                <w:color w:val="auto"/>
              </w:rPr>
              <w:t>LIABILITIES AND</w:t>
            </w: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485"/>
        </w:trPr>
        <w:tc>
          <w:tcPr>
            <w:tcW w:w="290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32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9"/>
                <w:szCs w:val="19"/>
                <w:color w:val="auto"/>
                <w:w w:val="96"/>
              </w:rPr>
              <w:t>STOCKHOLDERS’ EQUITY</w:t>
            </w:r>
          </w:p>
        </w:tc>
        <w:tc>
          <w:tcPr>
            <w:tcW w:w="580" w:type="dxa"/>
            <w:vAlign w:val="bottom"/>
          </w:tcPr>
          <w:p>
            <w:pPr>
              <w:spacing w:after="0"/>
              <w:rPr>
                <w:sz w:val="16"/>
                <w:szCs w:val="16"/>
                <w:color w:val="auto"/>
              </w:rPr>
            </w:pPr>
          </w:p>
        </w:tc>
        <w:tc>
          <w:tcPr>
            <w:tcW w:w="640" w:type="dxa"/>
            <w:vAlign w:val="bottom"/>
            <w:vMerge w:val="restart"/>
          </w:tcPr>
          <w:p>
            <w:pPr>
              <w:jc w:val="right"/>
              <w:ind w:right="185"/>
              <w:spacing w:after="0"/>
              <w:rPr>
                <w:sz w:val="20"/>
                <w:szCs w:val="20"/>
                <w:color w:val="auto"/>
              </w:rPr>
            </w:pPr>
            <w:r>
              <w:rPr>
                <w:rFonts w:ascii="Arial" w:cs="Arial" w:eastAsia="Arial" w:hAnsi="Arial"/>
                <w:sz w:val="19"/>
                <w:szCs w:val="19"/>
                <w:color w:val="auto"/>
              </w:rPr>
              <w:t>$</w:t>
            </w: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9"/>
                <w:szCs w:val="19"/>
                <w:color w:val="auto"/>
              </w:rPr>
              <w:t>$</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185"/>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color w:val="auto"/>
              </w:rPr>
              <w:t>$1,024</w:t>
            </w: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$1,024</w:t>
            </w:r>
          </w:p>
        </w:tc>
        <w:tc>
          <w:tcPr>
            <w:tcW w:w="0" w:type="dxa"/>
            <w:vAlign w:val="bottom"/>
          </w:tcPr>
          <w:p>
            <w:pPr>
              <w:spacing w:after="0"/>
              <w:rPr>
                <w:sz w:val="1"/>
                <w:szCs w:val="1"/>
                <w:color w:val="auto"/>
              </w:rPr>
            </w:pPr>
          </w:p>
        </w:tc>
      </w:tr>
      <w:tr>
        <w:trPr>
          <w:trHeight w:val="211"/>
        </w:trPr>
        <w:tc>
          <w:tcPr>
            <w:tcW w:w="2900" w:type="dxa"/>
            <w:vAlign w:val="bottom"/>
            <w:gridSpan w:val="3"/>
          </w:tcPr>
          <w:p>
            <w:pPr>
              <w:ind w:left="120"/>
              <w:spacing w:after="0" w:line="212" w:lineRule="exact"/>
              <w:rPr>
                <w:sz w:val="20"/>
                <w:szCs w:val="20"/>
                <w:color w:val="auto"/>
              </w:rPr>
            </w:pPr>
            <w:r>
              <w:rPr>
                <w:rFonts w:ascii="Arial" w:cs="Arial" w:eastAsia="Arial" w:hAnsi="Arial"/>
                <w:sz w:val="19"/>
                <w:szCs w:val="19"/>
                <w:color w:val="auto"/>
              </w:rPr>
              <w:t>Accounts payable</w:t>
            </w:r>
          </w:p>
        </w:tc>
        <w:tc>
          <w:tcPr>
            <w:tcW w:w="64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gridSpan w:val="3"/>
          </w:tcPr>
          <w:p>
            <w:pPr>
              <w:ind w:left="120"/>
              <w:spacing w:after="0" w:line="214" w:lineRule="exact"/>
              <w:rPr>
                <w:sz w:val="20"/>
                <w:szCs w:val="20"/>
                <w:color w:val="auto"/>
              </w:rPr>
            </w:pPr>
            <w:r>
              <w:rPr>
                <w:rFonts w:ascii="Arial" w:cs="Arial" w:eastAsia="Arial" w:hAnsi="Arial"/>
                <w:sz w:val="19"/>
                <w:szCs w:val="19"/>
                <w:color w:val="auto"/>
              </w:rPr>
              <w:t>Accrued expenses and other</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gridSpan w:val="3"/>
          </w:tcPr>
          <w:p>
            <w:pPr>
              <w:spacing w:after="0" w:line="214" w:lineRule="exact"/>
              <w:rPr>
                <w:sz w:val="20"/>
                <w:szCs w:val="20"/>
                <w:color w:val="auto"/>
              </w:rPr>
            </w:pPr>
            <w:r>
              <w:rPr>
                <w:rFonts w:ascii="Arial" w:cs="Arial" w:eastAsia="Arial" w:hAnsi="Arial"/>
                <w:sz w:val="19"/>
                <w:szCs w:val="19"/>
                <w:color w:val="auto"/>
              </w:rPr>
              <w:t>current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gridSpan w:val="3"/>
          </w:tcPr>
          <w:p>
            <w:pPr>
              <w:ind w:left="240"/>
              <w:spacing w:after="0" w:line="214" w:lineRule="exact"/>
              <w:rPr>
                <w:sz w:val="20"/>
                <w:szCs w:val="20"/>
                <w:color w:val="auto"/>
              </w:rPr>
            </w:pPr>
            <w:r>
              <w:rPr>
                <w:rFonts w:ascii="Arial" w:cs="Arial" w:eastAsia="Arial" w:hAnsi="Arial"/>
                <w:sz w:val="19"/>
                <w:szCs w:val="19"/>
                <w:color w:val="auto"/>
              </w:rPr>
              <w:t>liabilities</w:t>
            </w:r>
          </w:p>
        </w:tc>
        <w:tc>
          <w:tcPr>
            <w:tcW w:w="640" w:type="dxa"/>
            <w:vAlign w:val="bottom"/>
          </w:tcPr>
          <w:p>
            <w:pPr>
              <w:jc w:val="right"/>
              <w:spacing w:after="0" w:line="214" w:lineRule="exact"/>
              <w:rPr>
                <w:sz w:val="20"/>
                <w:szCs w:val="20"/>
                <w:color w:val="auto"/>
              </w:rPr>
            </w:pPr>
            <w:r>
              <w:rPr>
                <w:rFonts w:ascii="Arial" w:cs="Arial" w:eastAsia="Arial" w:hAnsi="Arial"/>
                <w:sz w:val="19"/>
                <w:szCs w:val="19"/>
                <w:color w:val="auto"/>
              </w:rPr>
              <w:t>308</w:t>
            </w:r>
          </w:p>
        </w:tc>
        <w:tc>
          <w:tcPr>
            <w:tcW w:w="78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323</w:t>
            </w:r>
          </w:p>
        </w:tc>
        <w:tc>
          <w:tcPr>
            <w:tcW w:w="940" w:type="dxa"/>
            <w:vAlign w:val="bottom"/>
            <w:gridSpan w:val="3"/>
          </w:tcPr>
          <w:p>
            <w:pPr>
              <w:jc w:val="right"/>
              <w:ind w:right="140"/>
              <w:spacing w:after="0" w:line="214" w:lineRule="exact"/>
              <w:rPr>
                <w:sz w:val="20"/>
                <w:szCs w:val="20"/>
                <w:color w:val="auto"/>
              </w:rPr>
            </w:pPr>
            <w:r>
              <w:rPr>
                <w:rFonts w:ascii="Arial" w:cs="Arial" w:eastAsia="Arial" w:hAnsi="Arial"/>
                <w:sz w:val="19"/>
                <w:szCs w:val="19"/>
                <w:color w:val="auto"/>
              </w:rPr>
              <w:t>161</w:t>
            </w:r>
          </w:p>
        </w:tc>
        <w:tc>
          <w:tcPr>
            <w:tcW w:w="82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200</w:t>
            </w: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3,157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4,149</w:t>
            </w:r>
          </w:p>
        </w:tc>
        <w:tc>
          <w:tcPr>
            <w:tcW w:w="0" w:type="dxa"/>
            <w:vAlign w:val="bottom"/>
          </w:tcPr>
          <w:p>
            <w:pPr>
              <w:spacing w:after="0"/>
              <w:rPr>
                <w:sz w:val="1"/>
                <w:szCs w:val="1"/>
                <w:color w:val="auto"/>
              </w:rPr>
            </w:pPr>
          </w:p>
        </w:tc>
      </w:tr>
      <w:tr>
        <w:trPr>
          <w:trHeight w:val="215"/>
        </w:trPr>
        <w:tc>
          <w:tcPr>
            <w:tcW w:w="2900" w:type="dxa"/>
            <w:vAlign w:val="bottom"/>
            <w:gridSpan w:val="3"/>
          </w:tcPr>
          <w:p>
            <w:pPr>
              <w:ind w:left="140"/>
              <w:spacing w:after="0" w:line="214" w:lineRule="exact"/>
              <w:rPr>
                <w:sz w:val="20"/>
                <w:szCs w:val="20"/>
                <w:color w:val="auto"/>
              </w:rPr>
            </w:pPr>
            <w:r>
              <w:rPr>
                <w:rFonts w:ascii="Arial" w:cs="Arial" w:eastAsia="Arial" w:hAnsi="Arial"/>
                <w:sz w:val="19"/>
                <w:szCs w:val="19"/>
                <w:color w:val="auto"/>
              </w:rPr>
              <w:t>Deferred income taxes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733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733</w:t>
            </w:r>
          </w:p>
        </w:tc>
        <w:tc>
          <w:tcPr>
            <w:tcW w:w="0" w:type="dxa"/>
            <w:vAlign w:val="bottom"/>
          </w:tcPr>
          <w:p>
            <w:pPr>
              <w:spacing w:after="0"/>
              <w:rPr>
                <w:sz w:val="1"/>
                <w:szCs w:val="1"/>
                <w:color w:val="auto"/>
              </w:rPr>
            </w:pPr>
          </w:p>
        </w:tc>
      </w:tr>
      <w:tr>
        <w:trPr>
          <w:trHeight w:val="242"/>
        </w:trPr>
        <w:tc>
          <w:tcPr>
            <w:tcW w:w="2900" w:type="dxa"/>
            <w:vAlign w:val="bottom"/>
            <w:gridSpan w:val="3"/>
          </w:tcPr>
          <w:p>
            <w:pPr>
              <w:ind w:left="140"/>
              <w:spacing w:after="0"/>
              <w:rPr>
                <w:sz w:val="20"/>
                <w:szCs w:val="20"/>
                <w:color w:val="auto"/>
              </w:rPr>
            </w:pPr>
            <w:r>
              <w:rPr>
                <w:rFonts w:ascii="Arial" w:cs="Arial" w:eastAsia="Arial" w:hAnsi="Arial"/>
                <w:sz w:val="19"/>
                <w:szCs w:val="19"/>
                <w:color w:val="auto"/>
                <w:w w:val="99"/>
              </w:rPr>
              <w:t>Current portion of long-term debt</w:t>
            </w:r>
          </w:p>
        </w:tc>
        <w:tc>
          <w:tcPr>
            <w:tcW w:w="6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301</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9"/>
                <w:szCs w:val="19"/>
                <w:color w:val="auto"/>
              </w:rPr>
              <w:t>411</w:t>
            </w:r>
          </w:p>
        </w:tc>
        <w:tc>
          <w:tcPr>
            <w:tcW w:w="760" w:type="dxa"/>
            <w:vAlign w:val="bottom"/>
          </w:tcPr>
          <w:p>
            <w:pPr>
              <w:jc w:val="right"/>
              <w:spacing w:after="0"/>
              <w:rPr>
                <w:sz w:val="20"/>
                <w:szCs w:val="20"/>
                <w:color w:val="auto"/>
              </w:rPr>
            </w:pPr>
            <w:r>
              <w:rPr>
                <w:rFonts w:ascii="Arial" w:cs="Arial" w:eastAsia="Arial" w:hAnsi="Arial"/>
                <w:sz w:val="19"/>
                <w:szCs w:val="19"/>
                <w:color w:val="auto"/>
              </w:rPr>
              <w:t>2,674</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3,386</w:t>
            </w:r>
          </w:p>
        </w:tc>
        <w:tc>
          <w:tcPr>
            <w:tcW w:w="0" w:type="dxa"/>
            <w:vAlign w:val="bottom"/>
          </w:tcPr>
          <w:p>
            <w:pPr>
              <w:spacing w:after="0"/>
              <w:rPr>
                <w:sz w:val="1"/>
                <w:szCs w:val="1"/>
                <w:color w:val="auto"/>
              </w:rPr>
            </w:pPr>
          </w:p>
        </w:tc>
      </w:tr>
      <w:tr>
        <w:trPr>
          <w:trHeight w:val="87"/>
        </w:trPr>
        <w:tc>
          <w:tcPr>
            <w:tcW w:w="1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00" w:type="dxa"/>
            <w:vAlign w:val="bottom"/>
            <w:gridSpan w:val="3"/>
          </w:tcPr>
          <w:p>
            <w:pPr>
              <w:ind w:left="240"/>
              <w:spacing w:after="0"/>
              <w:rPr>
                <w:sz w:val="20"/>
                <w:szCs w:val="20"/>
                <w:color w:val="auto"/>
              </w:rPr>
            </w:pPr>
            <w:r>
              <w:rPr>
                <w:rFonts w:ascii="Arial" w:cs="Arial" w:eastAsia="Arial" w:hAnsi="Arial"/>
                <w:sz w:val="19"/>
                <w:szCs w:val="19"/>
                <w:color w:val="auto"/>
              </w:rPr>
              <w:t>Total current liabilities</w:t>
            </w:r>
          </w:p>
        </w:tc>
        <w:tc>
          <w:tcPr>
            <w:tcW w:w="640" w:type="dxa"/>
            <w:vAlign w:val="bottom"/>
          </w:tcPr>
          <w:p>
            <w:pPr>
              <w:jc w:val="right"/>
              <w:spacing w:after="0"/>
              <w:rPr>
                <w:sz w:val="20"/>
                <w:szCs w:val="20"/>
                <w:color w:val="auto"/>
              </w:rPr>
            </w:pPr>
            <w:r>
              <w:rPr>
                <w:rFonts w:ascii="Arial" w:cs="Arial" w:eastAsia="Arial" w:hAnsi="Arial"/>
                <w:sz w:val="19"/>
                <w:szCs w:val="19"/>
                <w:color w:val="auto"/>
              </w:rPr>
              <w:t>308</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624</w:t>
            </w:r>
          </w:p>
        </w:tc>
        <w:tc>
          <w:tcPr>
            <w:tcW w:w="940" w:type="dxa"/>
            <w:vAlign w:val="bottom"/>
            <w:gridSpan w:val="3"/>
          </w:tcPr>
          <w:p>
            <w:pPr>
              <w:jc w:val="right"/>
              <w:ind w:right="140"/>
              <w:spacing w:after="0"/>
              <w:rPr>
                <w:sz w:val="20"/>
                <w:szCs w:val="20"/>
                <w:color w:val="auto"/>
              </w:rPr>
            </w:pPr>
            <w:r>
              <w:rPr>
                <w:rFonts w:ascii="Arial" w:cs="Arial" w:eastAsia="Arial" w:hAnsi="Arial"/>
                <w:sz w:val="19"/>
                <w:szCs w:val="19"/>
                <w:color w:val="auto"/>
              </w:rPr>
              <w:t>161</w:t>
            </w:r>
          </w:p>
        </w:tc>
        <w:tc>
          <w:tcPr>
            <w:tcW w:w="820" w:type="dxa"/>
            <w:vAlign w:val="bottom"/>
            <w:gridSpan w:val="2"/>
          </w:tcPr>
          <w:p>
            <w:pPr>
              <w:jc w:val="right"/>
              <w:ind w:right="160"/>
              <w:spacing w:after="0"/>
              <w:rPr>
                <w:sz w:val="20"/>
                <w:szCs w:val="20"/>
                <w:color w:val="auto"/>
              </w:rPr>
            </w:pPr>
            <w:r>
              <w:rPr>
                <w:rFonts w:ascii="Arial" w:cs="Arial" w:eastAsia="Arial" w:hAnsi="Arial"/>
                <w:sz w:val="19"/>
                <w:szCs w:val="19"/>
                <w:color w:val="auto"/>
              </w:rPr>
              <w:t>611</w:t>
            </w:r>
          </w:p>
        </w:tc>
        <w:tc>
          <w:tcPr>
            <w:tcW w:w="760" w:type="dxa"/>
            <w:vAlign w:val="bottom"/>
          </w:tcPr>
          <w:p>
            <w:pPr>
              <w:jc w:val="right"/>
              <w:spacing w:after="0"/>
              <w:rPr>
                <w:sz w:val="20"/>
                <w:szCs w:val="20"/>
                <w:color w:val="auto"/>
              </w:rPr>
            </w:pPr>
            <w:r>
              <w:rPr>
                <w:rFonts w:ascii="Arial" w:cs="Arial" w:eastAsia="Arial" w:hAnsi="Arial"/>
                <w:sz w:val="19"/>
                <w:szCs w:val="19"/>
                <w:color w:val="auto"/>
              </w:rPr>
              <w:t>7,588</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9,292</w:t>
            </w:r>
          </w:p>
        </w:tc>
        <w:tc>
          <w:tcPr>
            <w:tcW w:w="0" w:type="dxa"/>
            <w:vAlign w:val="bottom"/>
          </w:tcPr>
          <w:p>
            <w:pPr>
              <w:spacing w:after="0"/>
              <w:rPr>
                <w:sz w:val="1"/>
                <w:szCs w:val="1"/>
                <w:color w:val="auto"/>
              </w:rPr>
            </w:pPr>
          </w:p>
        </w:tc>
      </w:tr>
      <w:tr>
        <w:trPr>
          <w:trHeight w:val="87"/>
        </w:trPr>
        <w:tc>
          <w:tcPr>
            <w:tcW w:w="2900" w:type="dxa"/>
            <w:vAlign w:val="bottom"/>
            <w:gridSpan w:val="3"/>
            <w:vMerge w:val="restart"/>
          </w:tcPr>
          <w:p>
            <w:pPr>
              <w:ind w:left="140"/>
              <w:spacing w:after="0"/>
              <w:rPr>
                <w:sz w:val="20"/>
                <w:szCs w:val="20"/>
                <w:color w:val="auto"/>
              </w:rPr>
            </w:pPr>
            <w:r>
              <w:rPr>
                <w:rFonts w:ascii="Arial" w:cs="Arial" w:eastAsia="Arial" w:hAnsi="Arial"/>
                <w:sz w:val="19"/>
                <w:szCs w:val="19"/>
                <w:color w:val="auto"/>
              </w:rPr>
              <w:t>LONG-TERM DEBT, less</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0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00" w:type="dxa"/>
            <w:vAlign w:val="bottom"/>
            <w:gridSpan w:val="3"/>
          </w:tcPr>
          <w:p>
            <w:pPr>
              <w:spacing w:after="0" w:line="214" w:lineRule="exact"/>
              <w:rPr>
                <w:sz w:val="20"/>
                <w:szCs w:val="20"/>
                <w:color w:val="auto"/>
              </w:rPr>
            </w:pPr>
            <w:r>
              <w:rPr>
                <w:rFonts w:ascii="Arial" w:cs="Arial" w:eastAsia="Arial" w:hAnsi="Arial"/>
                <w:sz w:val="19"/>
                <w:szCs w:val="19"/>
                <w:color w:val="auto"/>
              </w:rPr>
              <w:t>current portion</w:t>
            </w:r>
          </w:p>
        </w:tc>
        <w:tc>
          <w:tcPr>
            <w:tcW w:w="640" w:type="dxa"/>
            <w:vAlign w:val="bottom"/>
          </w:tcPr>
          <w:p>
            <w:pPr>
              <w:jc w:val="right"/>
              <w:spacing w:after="0" w:line="214" w:lineRule="exact"/>
              <w:rPr>
                <w:sz w:val="20"/>
                <w:szCs w:val="20"/>
                <w:color w:val="auto"/>
              </w:rPr>
            </w:pPr>
            <w:r>
              <w:rPr>
                <w:rFonts w:ascii="Arial" w:cs="Arial" w:eastAsia="Arial" w:hAnsi="Arial"/>
                <w:sz w:val="19"/>
                <w:szCs w:val="19"/>
                <w:color w:val="auto"/>
              </w:rPr>
              <w:t>4,012</w:t>
            </w:r>
          </w:p>
        </w:tc>
        <w:tc>
          <w:tcPr>
            <w:tcW w:w="78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6,396</w:t>
            </w:r>
          </w:p>
        </w:tc>
        <w:tc>
          <w:tcPr>
            <w:tcW w:w="940" w:type="dxa"/>
            <w:vAlign w:val="bottom"/>
            <w:gridSpan w:val="3"/>
          </w:tcPr>
          <w:p>
            <w:pPr>
              <w:jc w:val="right"/>
              <w:ind w:right="140"/>
              <w:spacing w:after="0" w:line="214" w:lineRule="exact"/>
              <w:rPr>
                <w:sz w:val="20"/>
                <w:szCs w:val="20"/>
                <w:color w:val="auto"/>
              </w:rPr>
            </w:pPr>
            <w:r>
              <w:rPr>
                <w:rFonts w:ascii="Arial" w:cs="Arial" w:eastAsia="Arial" w:hAnsi="Arial"/>
                <w:sz w:val="19"/>
                <w:szCs w:val="19"/>
                <w:color w:val="auto"/>
              </w:rPr>
              <w:t>3,498</w:t>
            </w:r>
          </w:p>
        </w:tc>
        <w:tc>
          <w:tcPr>
            <w:tcW w:w="82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6,024</w:t>
            </w: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3,310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23,240</w:t>
            </w:r>
          </w:p>
        </w:tc>
        <w:tc>
          <w:tcPr>
            <w:tcW w:w="0" w:type="dxa"/>
            <w:vAlign w:val="bottom"/>
          </w:tcPr>
          <w:p>
            <w:pPr>
              <w:spacing w:after="0"/>
              <w:rPr>
                <w:sz w:val="1"/>
                <w:szCs w:val="1"/>
                <w:color w:val="auto"/>
              </w:rPr>
            </w:pPr>
          </w:p>
        </w:tc>
      </w:tr>
      <w:tr>
        <w:trPr>
          <w:trHeight w:val="215"/>
        </w:trPr>
        <w:tc>
          <w:tcPr>
            <w:tcW w:w="2900" w:type="dxa"/>
            <w:vAlign w:val="bottom"/>
            <w:gridSpan w:val="3"/>
          </w:tcPr>
          <w:p>
            <w:pPr>
              <w:ind w:left="140"/>
              <w:spacing w:after="0" w:line="214" w:lineRule="exact"/>
              <w:rPr>
                <w:sz w:val="20"/>
                <w:szCs w:val="20"/>
                <w:color w:val="auto"/>
              </w:rPr>
            </w:pPr>
            <w:r>
              <w:rPr>
                <w:rFonts w:ascii="Arial" w:cs="Arial" w:eastAsia="Arial" w:hAnsi="Arial"/>
                <w:sz w:val="19"/>
                <w:szCs w:val="19"/>
                <w:color w:val="auto"/>
              </w:rPr>
              <w:t>DEFERRED INCOME TAXES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26,291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26,291</w:t>
            </w:r>
          </w:p>
        </w:tc>
        <w:tc>
          <w:tcPr>
            <w:tcW w:w="0" w:type="dxa"/>
            <w:vAlign w:val="bottom"/>
          </w:tcPr>
          <w:p>
            <w:pPr>
              <w:spacing w:after="0"/>
              <w:rPr>
                <w:sz w:val="1"/>
                <w:szCs w:val="1"/>
                <w:color w:val="auto"/>
              </w:rPr>
            </w:pPr>
          </w:p>
        </w:tc>
      </w:tr>
      <w:tr>
        <w:trPr>
          <w:trHeight w:val="215"/>
        </w:trPr>
        <w:tc>
          <w:tcPr>
            <w:tcW w:w="2900" w:type="dxa"/>
            <w:vAlign w:val="bottom"/>
            <w:gridSpan w:val="3"/>
          </w:tcPr>
          <w:p>
            <w:pPr>
              <w:ind w:left="140"/>
              <w:spacing w:after="0" w:line="214" w:lineRule="exact"/>
              <w:rPr>
                <w:sz w:val="20"/>
                <w:szCs w:val="20"/>
                <w:color w:val="auto"/>
              </w:rPr>
            </w:pPr>
            <w:r>
              <w:rPr>
                <w:rFonts w:ascii="Arial" w:cs="Arial" w:eastAsia="Arial" w:hAnsi="Arial"/>
                <w:sz w:val="19"/>
                <w:szCs w:val="19"/>
                <w:color w:val="auto"/>
              </w:rPr>
              <w:t>OTHER NONCURRENT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gridSpan w:val="3"/>
          </w:tcPr>
          <w:p>
            <w:pPr>
              <w:spacing w:after="0" w:line="214" w:lineRule="exact"/>
              <w:rPr>
                <w:sz w:val="20"/>
                <w:szCs w:val="20"/>
                <w:color w:val="auto"/>
              </w:rPr>
            </w:pPr>
            <w:r>
              <w:rPr>
                <w:rFonts w:ascii="Arial" w:cs="Arial" w:eastAsia="Arial" w:hAnsi="Arial"/>
                <w:sz w:val="19"/>
                <w:szCs w:val="19"/>
                <w:color w:val="auto"/>
              </w:rPr>
              <w:t>LIABILITIES</w:t>
            </w:r>
          </w:p>
        </w:tc>
        <w:tc>
          <w:tcPr>
            <w:tcW w:w="640" w:type="dxa"/>
            <w:vAlign w:val="bottom"/>
          </w:tcPr>
          <w:p>
            <w:pPr>
              <w:jc w:val="right"/>
              <w:spacing w:after="0" w:line="214" w:lineRule="exact"/>
              <w:rPr>
                <w:sz w:val="20"/>
                <w:szCs w:val="20"/>
                <w:color w:val="auto"/>
              </w:rPr>
            </w:pPr>
            <w:r>
              <w:rPr>
                <w:rFonts w:ascii="Arial" w:cs="Arial" w:eastAsia="Arial" w:hAnsi="Arial"/>
                <w:sz w:val="19"/>
                <w:szCs w:val="19"/>
                <w:color w:val="auto"/>
              </w:rPr>
              <w:t>537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7,169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7,706</w:t>
            </w:r>
          </w:p>
        </w:tc>
        <w:tc>
          <w:tcPr>
            <w:tcW w:w="0" w:type="dxa"/>
            <w:vAlign w:val="bottom"/>
          </w:tcPr>
          <w:p>
            <w:pPr>
              <w:spacing w:after="0"/>
              <w:rPr>
                <w:sz w:val="1"/>
                <w:szCs w:val="1"/>
                <w:color w:val="auto"/>
              </w:rPr>
            </w:pPr>
          </w:p>
        </w:tc>
      </w:tr>
      <w:tr>
        <w:trPr>
          <w:trHeight w:val="242"/>
        </w:trPr>
        <w:tc>
          <w:tcPr>
            <w:tcW w:w="2900" w:type="dxa"/>
            <w:vAlign w:val="bottom"/>
            <w:gridSpan w:val="3"/>
          </w:tcPr>
          <w:p>
            <w:pPr>
              <w:ind w:left="140"/>
              <w:spacing w:after="0"/>
              <w:rPr>
                <w:sz w:val="20"/>
                <w:szCs w:val="20"/>
                <w:color w:val="auto"/>
              </w:rPr>
            </w:pPr>
            <w:r>
              <w:rPr>
                <w:rFonts w:ascii="Arial" w:cs="Arial" w:eastAsia="Arial" w:hAnsi="Arial"/>
                <w:sz w:val="19"/>
                <w:szCs w:val="19"/>
                <w:color w:val="auto"/>
              </w:rPr>
              <w:t>MINORITY INTEREST</w:t>
            </w:r>
          </w:p>
        </w:tc>
        <w:tc>
          <w:tcPr>
            <w:tcW w:w="640" w:type="dxa"/>
            <w:vAlign w:val="bottom"/>
          </w:tcPr>
          <w:p>
            <w:pPr>
              <w:jc w:val="right"/>
              <w:spacing w:after="0"/>
              <w:rPr>
                <w:sz w:val="20"/>
                <w:szCs w:val="20"/>
                <w:color w:val="auto"/>
              </w:rPr>
            </w:pPr>
            <w:r>
              <w:rPr>
                <w:rFonts w:ascii="Arial" w:cs="Arial" w:eastAsia="Arial" w:hAnsi="Arial"/>
                <w:sz w:val="19"/>
                <w:szCs w:val="19"/>
                <w:color w:val="auto"/>
              </w:rPr>
              <w:t>8</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292</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300</w:t>
            </w:r>
          </w:p>
        </w:tc>
        <w:tc>
          <w:tcPr>
            <w:tcW w:w="0" w:type="dxa"/>
            <w:vAlign w:val="bottom"/>
          </w:tcPr>
          <w:p>
            <w:pPr>
              <w:spacing w:after="0"/>
              <w:rPr>
                <w:sz w:val="1"/>
                <w:szCs w:val="1"/>
                <w:color w:val="auto"/>
              </w:rPr>
            </w:pPr>
          </w:p>
        </w:tc>
      </w:tr>
      <w:tr>
        <w:trPr>
          <w:trHeight w:val="402"/>
        </w:trPr>
        <w:tc>
          <w:tcPr>
            <w:tcW w:w="2900" w:type="dxa"/>
            <w:vAlign w:val="bottom"/>
            <w:gridSpan w:val="3"/>
          </w:tcPr>
          <w:p>
            <w:pPr>
              <w:spacing w:after="0"/>
              <w:rPr>
                <w:sz w:val="20"/>
                <w:szCs w:val="20"/>
                <w:color w:val="auto"/>
              </w:rPr>
            </w:pPr>
            <w:r>
              <w:rPr>
                <w:rFonts w:ascii="Arial" w:cs="Arial" w:eastAsia="Arial" w:hAnsi="Arial"/>
                <w:sz w:val="19"/>
                <w:szCs w:val="19"/>
                <w:color w:val="auto"/>
              </w:rPr>
              <w:t>STOCKHOLDERS’ EQUITY</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00" w:type="dxa"/>
            <w:vAlign w:val="bottom"/>
            <w:gridSpan w:val="3"/>
          </w:tcPr>
          <w:p>
            <w:pPr>
              <w:ind w:left="140"/>
              <w:spacing w:after="0" w:line="214" w:lineRule="exact"/>
              <w:rPr>
                <w:sz w:val="20"/>
                <w:szCs w:val="20"/>
                <w:color w:val="auto"/>
              </w:rPr>
            </w:pPr>
            <w:r>
              <w:rPr>
                <w:rFonts w:ascii="Arial" w:cs="Arial" w:eastAsia="Arial" w:hAnsi="Arial"/>
                <w:sz w:val="19"/>
                <w:szCs w:val="19"/>
                <w:color w:val="auto"/>
              </w:rPr>
              <w:t>Common stock</w:t>
            </w:r>
          </w:p>
        </w:tc>
        <w:tc>
          <w:tcPr>
            <w:tcW w:w="640" w:type="dxa"/>
            <w:vAlign w:val="bottom"/>
          </w:tcPr>
          <w:p>
            <w:pPr>
              <w:jc w:val="right"/>
              <w:spacing w:after="0" w:line="214" w:lineRule="exact"/>
              <w:rPr>
                <w:sz w:val="20"/>
                <w:szCs w:val="20"/>
                <w:color w:val="auto"/>
              </w:rPr>
            </w:pPr>
            <w:r>
              <w:rPr>
                <w:rFonts w:ascii="Arial" w:cs="Arial" w:eastAsia="Arial" w:hAnsi="Arial"/>
                <w:sz w:val="19"/>
                <w:szCs w:val="19"/>
                <w:color w:val="auto"/>
              </w:rPr>
              <w:t>25</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9"/>
                <w:szCs w:val="19"/>
                <w:color w:val="auto"/>
              </w:rPr>
              <w:t>25</w:t>
            </w:r>
          </w:p>
        </w:tc>
        <w:tc>
          <w:tcPr>
            <w:tcW w:w="0" w:type="dxa"/>
            <w:vAlign w:val="bottom"/>
          </w:tcPr>
          <w:p>
            <w:pPr>
              <w:spacing w:after="0"/>
              <w:rPr>
                <w:sz w:val="1"/>
                <w:szCs w:val="1"/>
                <w:color w:val="auto"/>
              </w:rPr>
            </w:pPr>
          </w:p>
        </w:tc>
      </w:tr>
      <w:tr>
        <w:trPr>
          <w:trHeight w:val="242"/>
        </w:trPr>
        <w:tc>
          <w:tcPr>
            <w:tcW w:w="2900" w:type="dxa"/>
            <w:vAlign w:val="bottom"/>
            <w:gridSpan w:val="3"/>
          </w:tcPr>
          <w:p>
            <w:pPr>
              <w:ind w:left="140"/>
              <w:spacing w:after="0"/>
              <w:rPr>
                <w:sz w:val="20"/>
                <w:szCs w:val="20"/>
                <w:color w:val="auto"/>
              </w:rPr>
            </w:pPr>
            <w:r>
              <w:rPr>
                <w:rFonts w:ascii="Arial" w:cs="Arial" w:eastAsia="Arial" w:hAnsi="Arial"/>
                <w:sz w:val="19"/>
                <w:szCs w:val="19"/>
                <w:color w:val="auto"/>
              </w:rPr>
              <w:t>Other stockholders’ equity</w:t>
            </w:r>
          </w:p>
        </w:tc>
        <w:tc>
          <w:tcPr>
            <w:tcW w:w="640" w:type="dxa"/>
            <w:vAlign w:val="bottom"/>
          </w:tcPr>
          <w:p>
            <w:pPr>
              <w:jc w:val="right"/>
              <w:spacing w:after="0"/>
              <w:rPr>
                <w:sz w:val="20"/>
                <w:szCs w:val="20"/>
                <w:color w:val="auto"/>
              </w:rPr>
            </w:pPr>
            <w:r>
              <w:rPr>
                <w:rFonts w:ascii="Arial" w:cs="Arial" w:eastAsia="Arial" w:hAnsi="Arial"/>
                <w:sz w:val="19"/>
                <w:szCs w:val="19"/>
                <w:color w:val="auto"/>
              </w:rPr>
              <w:t>41,713</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19,843</w:t>
            </w:r>
          </w:p>
        </w:tc>
        <w:tc>
          <w:tcPr>
            <w:tcW w:w="940" w:type="dxa"/>
            <w:vAlign w:val="bottom"/>
            <w:gridSpan w:val="3"/>
          </w:tcPr>
          <w:p>
            <w:pPr>
              <w:jc w:val="right"/>
              <w:ind w:right="140"/>
              <w:spacing w:after="0"/>
              <w:rPr>
                <w:sz w:val="20"/>
                <w:szCs w:val="20"/>
                <w:color w:val="auto"/>
              </w:rPr>
            </w:pPr>
            <w:r>
              <w:rPr>
                <w:rFonts w:ascii="Arial" w:cs="Arial" w:eastAsia="Arial" w:hAnsi="Arial"/>
                <w:sz w:val="19"/>
                <w:szCs w:val="19"/>
                <w:color w:val="auto"/>
              </w:rPr>
              <w:t>29,638</w:t>
            </w:r>
          </w:p>
        </w:tc>
        <w:tc>
          <w:tcPr>
            <w:tcW w:w="820" w:type="dxa"/>
            <w:vAlign w:val="bottom"/>
            <w:gridSpan w:val="2"/>
          </w:tcPr>
          <w:p>
            <w:pPr>
              <w:jc w:val="right"/>
              <w:ind w:right="160"/>
              <w:spacing w:after="0"/>
              <w:rPr>
                <w:sz w:val="20"/>
                <w:szCs w:val="20"/>
                <w:color w:val="auto"/>
              </w:rPr>
            </w:pPr>
            <w:r>
              <w:rPr>
                <w:rFonts w:ascii="Arial" w:cs="Arial" w:eastAsia="Arial" w:hAnsi="Arial"/>
                <w:sz w:val="19"/>
                <w:szCs w:val="19"/>
                <w:color w:val="auto"/>
              </w:rPr>
              <w:t>33,264</w:t>
            </w:r>
          </w:p>
        </w:tc>
        <w:tc>
          <w:tcPr>
            <w:tcW w:w="760" w:type="dxa"/>
            <w:vAlign w:val="bottom"/>
          </w:tcPr>
          <w:p>
            <w:pPr>
              <w:jc w:val="right"/>
              <w:spacing w:after="0"/>
              <w:rPr>
                <w:sz w:val="20"/>
                <w:szCs w:val="20"/>
                <w:color w:val="auto"/>
              </w:rPr>
            </w:pPr>
            <w:r>
              <w:rPr>
                <w:rFonts w:ascii="Arial" w:cs="Arial" w:eastAsia="Arial" w:hAnsi="Arial"/>
                <w:sz w:val="19"/>
                <w:szCs w:val="19"/>
                <w:color w:val="auto"/>
              </w:rPr>
              <w:t>83,255</w:t>
            </w:r>
          </w:p>
        </w:tc>
        <w:tc>
          <w:tcPr>
            <w:tcW w:w="1200" w:type="dxa"/>
            <w:vAlign w:val="bottom"/>
            <w:gridSpan w:val="3"/>
          </w:tcPr>
          <w:p>
            <w:pPr>
              <w:jc w:val="right"/>
              <w:ind w:right="100"/>
              <w:spacing w:after="0"/>
              <w:rPr>
                <w:sz w:val="20"/>
                <w:szCs w:val="20"/>
                <w:color w:val="auto"/>
              </w:rPr>
            </w:pPr>
            <w:r>
              <w:rPr>
                <w:rFonts w:ascii="Arial" w:cs="Arial" w:eastAsia="Arial" w:hAnsi="Arial"/>
                <w:sz w:val="19"/>
                <w:szCs w:val="19"/>
                <w:color w:val="auto"/>
              </w:rPr>
              <w:t>(166,000)</w:t>
            </w:r>
          </w:p>
        </w:tc>
        <w:tc>
          <w:tcPr>
            <w:tcW w:w="820" w:type="dxa"/>
            <w:vAlign w:val="bottom"/>
          </w:tcPr>
          <w:p>
            <w:pPr>
              <w:jc w:val="right"/>
              <w:spacing w:after="0"/>
              <w:rPr>
                <w:sz w:val="20"/>
                <w:szCs w:val="20"/>
                <w:color w:val="auto"/>
              </w:rPr>
            </w:pPr>
            <w:r>
              <w:rPr>
                <w:rFonts w:ascii="Arial" w:cs="Arial" w:eastAsia="Arial" w:hAnsi="Arial"/>
                <w:sz w:val="19"/>
                <w:szCs w:val="19"/>
                <w:color w:val="auto"/>
              </w:rPr>
              <w:t>41,713</w:t>
            </w:r>
          </w:p>
        </w:tc>
        <w:tc>
          <w:tcPr>
            <w:tcW w:w="0" w:type="dxa"/>
            <w:vAlign w:val="bottom"/>
          </w:tcPr>
          <w:p>
            <w:pPr>
              <w:spacing w:after="0"/>
              <w:rPr>
                <w:sz w:val="1"/>
                <w:szCs w:val="1"/>
                <w:color w:val="auto"/>
              </w:rPr>
            </w:pPr>
          </w:p>
        </w:tc>
      </w:tr>
      <w:tr>
        <w:trPr>
          <w:trHeight w:val="87"/>
        </w:trPr>
        <w:tc>
          <w:tcPr>
            <w:tcW w:w="1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00" w:type="dxa"/>
            <w:vAlign w:val="bottom"/>
            <w:gridSpan w:val="3"/>
          </w:tcPr>
          <w:p>
            <w:pPr>
              <w:ind w:left="240"/>
              <w:spacing w:after="0"/>
              <w:rPr>
                <w:sz w:val="20"/>
                <w:szCs w:val="20"/>
                <w:color w:val="auto"/>
              </w:rPr>
            </w:pPr>
            <w:r>
              <w:rPr>
                <w:rFonts w:ascii="Arial" w:cs="Arial" w:eastAsia="Arial" w:hAnsi="Arial"/>
                <w:sz w:val="19"/>
                <w:szCs w:val="19"/>
                <w:color w:val="auto"/>
              </w:rPr>
              <w:t>Total Stockholders’ Equity</w:t>
            </w:r>
          </w:p>
        </w:tc>
        <w:tc>
          <w:tcPr>
            <w:tcW w:w="640" w:type="dxa"/>
            <w:vAlign w:val="bottom"/>
          </w:tcPr>
          <w:p>
            <w:pPr>
              <w:jc w:val="right"/>
              <w:spacing w:after="0"/>
              <w:rPr>
                <w:sz w:val="20"/>
                <w:szCs w:val="20"/>
                <w:color w:val="auto"/>
              </w:rPr>
            </w:pPr>
            <w:r>
              <w:rPr>
                <w:rFonts w:ascii="Arial" w:cs="Arial" w:eastAsia="Arial" w:hAnsi="Arial"/>
                <w:sz w:val="19"/>
                <w:szCs w:val="19"/>
                <w:color w:val="auto"/>
              </w:rPr>
              <w:t>41,738</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19,843</w:t>
            </w:r>
          </w:p>
        </w:tc>
        <w:tc>
          <w:tcPr>
            <w:tcW w:w="940" w:type="dxa"/>
            <w:vAlign w:val="bottom"/>
            <w:gridSpan w:val="3"/>
          </w:tcPr>
          <w:p>
            <w:pPr>
              <w:jc w:val="right"/>
              <w:ind w:right="140"/>
              <w:spacing w:after="0"/>
              <w:rPr>
                <w:sz w:val="20"/>
                <w:szCs w:val="20"/>
                <w:color w:val="auto"/>
              </w:rPr>
            </w:pPr>
            <w:r>
              <w:rPr>
                <w:rFonts w:ascii="Arial" w:cs="Arial" w:eastAsia="Arial" w:hAnsi="Arial"/>
                <w:sz w:val="19"/>
                <w:szCs w:val="19"/>
                <w:color w:val="auto"/>
              </w:rPr>
              <w:t>29,638</w:t>
            </w:r>
          </w:p>
        </w:tc>
        <w:tc>
          <w:tcPr>
            <w:tcW w:w="820" w:type="dxa"/>
            <w:vAlign w:val="bottom"/>
            <w:gridSpan w:val="2"/>
          </w:tcPr>
          <w:p>
            <w:pPr>
              <w:jc w:val="right"/>
              <w:ind w:right="160"/>
              <w:spacing w:after="0"/>
              <w:rPr>
                <w:sz w:val="20"/>
                <w:szCs w:val="20"/>
                <w:color w:val="auto"/>
              </w:rPr>
            </w:pPr>
            <w:r>
              <w:rPr>
                <w:rFonts w:ascii="Arial" w:cs="Arial" w:eastAsia="Arial" w:hAnsi="Arial"/>
                <w:sz w:val="19"/>
                <w:szCs w:val="19"/>
                <w:color w:val="auto"/>
              </w:rPr>
              <w:t>33,264</w:t>
            </w:r>
          </w:p>
        </w:tc>
        <w:tc>
          <w:tcPr>
            <w:tcW w:w="760" w:type="dxa"/>
            <w:vAlign w:val="bottom"/>
          </w:tcPr>
          <w:p>
            <w:pPr>
              <w:jc w:val="right"/>
              <w:spacing w:after="0"/>
              <w:rPr>
                <w:sz w:val="20"/>
                <w:szCs w:val="20"/>
                <w:color w:val="auto"/>
              </w:rPr>
            </w:pPr>
            <w:r>
              <w:rPr>
                <w:rFonts w:ascii="Arial" w:cs="Arial" w:eastAsia="Arial" w:hAnsi="Arial"/>
                <w:sz w:val="19"/>
                <w:szCs w:val="19"/>
                <w:color w:val="auto"/>
              </w:rPr>
              <w:t>83,255</w:t>
            </w:r>
          </w:p>
        </w:tc>
        <w:tc>
          <w:tcPr>
            <w:tcW w:w="1200" w:type="dxa"/>
            <w:vAlign w:val="bottom"/>
            <w:gridSpan w:val="3"/>
          </w:tcPr>
          <w:p>
            <w:pPr>
              <w:jc w:val="right"/>
              <w:ind w:right="100"/>
              <w:spacing w:after="0"/>
              <w:rPr>
                <w:sz w:val="20"/>
                <w:szCs w:val="20"/>
                <w:color w:val="auto"/>
              </w:rPr>
            </w:pPr>
            <w:r>
              <w:rPr>
                <w:rFonts w:ascii="Arial" w:cs="Arial" w:eastAsia="Arial" w:hAnsi="Arial"/>
                <w:sz w:val="19"/>
                <w:szCs w:val="19"/>
                <w:color w:val="auto"/>
              </w:rPr>
              <w:t>(166,000)</w:t>
            </w:r>
          </w:p>
        </w:tc>
        <w:tc>
          <w:tcPr>
            <w:tcW w:w="820" w:type="dxa"/>
            <w:vAlign w:val="bottom"/>
          </w:tcPr>
          <w:p>
            <w:pPr>
              <w:jc w:val="right"/>
              <w:spacing w:after="0"/>
              <w:rPr>
                <w:sz w:val="20"/>
                <w:szCs w:val="20"/>
                <w:color w:val="auto"/>
              </w:rPr>
            </w:pPr>
            <w:r>
              <w:rPr>
                <w:rFonts w:ascii="Arial" w:cs="Arial" w:eastAsia="Arial" w:hAnsi="Arial"/>
                <w:sz w:val="19"/>
                <w:szCs w:val="19"/>
                <w:color w:val="auto"/>
              </w:rPr>
              <w:t>41,738</w:t>
            </w:r>
          </w:p>
        </w:tc>
        <w:tc>
          <w:tcPr>
            <w:tcW w:w="0" w:type="dxa"/>
            <w:vAlign w:val="bottom"/>
          </w:tcPr>
          <w:p>
            <w:pPr>
              <w:spacing w:after="0"/>
              <w:rPr>
                <w:sz w:val="1"/>
                <w:szCs w:val="1"/>
                <w:color w:val="auto"/>
              </w:rPr>
            </w:pPr>
          </w:p>
        </w:tc>
      </w:tr>
      <w:tr>
        <w:trPr>
          <w:trHeight w:val="87"/>
        </w:trPr>
        <w:tc>
          <w:tcPr>
            <w:tcW w:w="2900" w:type="dxa"/>
            <w:vAlign w:val="bottom"/>
            <w:gridSpan w:val="3"/>
            <w:vMerge w:val="restart"/>
          </w:tcPr>
          <w:p>
            <w:pPr>
              <w:ind w:left="240"/>
              <w:spacing w:after="0"/>
              <w:rPr>
                <w:sz w:val="20"/>
                <w:szCs w:val="20"/>
                <w:color w:val="auto"/>
              </w:rPr>
            </w:pPr>
            <w:r>
              <w:rPr>
                <w:rFonts w:ascii="Arial" w:cs="Arial" w:eastAsia="Arial" w:hAnsi="Arial"/>
                <w:sz w:val="19"/>
                <w:szCs w:val="19"/>
                <w:color w:val="auto"/>
              </w:rPr>
              <w:t>Total Liabilities and</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498"/>
        </w:trPr>
        <w:tc>
          <w:tcPr>
            <w:tcW w:w="290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900" w:type="dxa"/>
            <w:vAlign w:val="bottom"/>
            <w:gridSpan w:val="3"/>
          </w:tcPr>
          <w:p>
            <w:pPr>
              <w:spacing w:after="0"/>
              <w:rPr>
                <w:sz w:val="20"/>
                <w:szCs w:val="20"/>
                <w:color w:val="auto"/>
              </w:rPr>
            </w:pPr>
            <w:r>
              <w:rPr>
                <w:rFonts w:ascii="Arial" w:cs="Arial" w:eastAsia="Arial" w:hAnsi="Arial"/>
                <w:sz w:val="19"/>
                <w:szCs w:val="19"/>
                <w:color w:val="auto"/>
              </w:rPr>
              <w:t>Stockholders’ Equity</w:t>
            </w:r>
          </w:p>
        </w:tc>
        <w:tc>
          <w:tcPr>
            <w:tcW w:w="640" w:type="dxa"/>
            <w:vAlign w:val="bottom"/>
          </w:tcPr>
          <w:p>
            <w:pPr>
              <w:jc w:val="right"/>
              <w:spacing w:after="0"/>
              <w:rPr>
                <w:sz w:val="20"/>
                <w:szCs w:val="20"/>
                <w:color w:val="auto"/>
              </w:rPr>
            </w:pPr>
            <w:r>
              <w:rPr>
                <w:rFonts w:ascii="Arial" w:cs="Arial" w:eastAsia="Arial" w:hAnsi="Arial"/>
                <w:sz w:val="19"/>
                <w:szCs w:val="19"/>
                <w:color w:val="auto"/>
                <w:w w:val="90"/>
              </w:rPr>
              <w:t>$46,603</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$26,863</w:t>
            </w:r>
          </w:p>
        </w:tc>
        <w:tc>
          <w:tcPr>
            <w:tcW w:w="940" w:type="dxa"/>
            <w:vAlign w:val="bottom"/>
            <w:gridSpan w:val="3"/>
          </w:tcPr>
          <w:p>
            <w:pPr>
              <w:jc w:val="right"/>
              <w:ind w:right="140"/>
              <w:spacing w:after="0"/>
              <w:rPr>
                <w:sz w:val="20"/>
                <w:szCs w:val="20"/>
                <w:color w:val="auto"/>
              </w:rPr>
            </w:pPr>
            <w:r>
              <w:rPr>
                <w:rFonts w:ascii="Arial" w:cs="Arial" w:eastAsia="Arial" w:hAnsi="Arial"/>
                <w:sz w:val="19"/>
                <w:szCs w:val="19"/>
                <w:color w:val="auto"/>
              </w:rPr>
              <w:t>$33,297</w:t>
            </w:r>
          </w:p>
        </w:tc>
        <w:tc>
          <w:tcPr>
            <w:tcW w:w="820" w:type="dxa"/>
            <w:vAlign w:val="bottom"/>
            <w:gridSpan w:val="2"/>
          </w:tcPr>
          <w:p>
            <w:pPr>
              <w:jc w:val="right"/>
              <w:ind w:right="160"/>
              <w:spacing w:after="0"/>
              <w:rPr>
                <w:sz w:val="20"/>
                <w:szCs w:val="20"/>
                <w:color w:val="auto"/>
              </w:rPr>
            </w:pPr>
            <w:r>
              <w:rPr>
                <w:rFonts w:ascii="Arial" w:cs="Arial" w:eastAsia="Arial" w:hAnsi="Arial"/>
                <w:sz w:val="19"/>
                <w:szCs w:val="19"/>
                <w:color w:val="auto"/>
                <w:w w:val="93"/>
              </w:rPr>
              <w:t>$39,899</w:t>
            </w:r>
          </w:p>
        </w:tc>
        <w:tc>
          <w:tcPr>
            <w:tcW w:w="760" w:type="dxa"/>
            <w:vAlign w:val="bottom"/>
          </w:tcPr>
          <w:p>
            <w:pPr>
              <w:jc w:val="right"/>
              <w:spacing w:after="0"/>
              <w:rPr>
                <w:sz w:val="20"/>
                <w:szCs w:val="20"/>
                <w:color w:val="auto"/>
              </w:rPr>
            </w:pPr>
            <w:r>
              <w:rPr>
                <w:rFonts w:ascii="Arial" w:cs="Arial" w:eastAsia="Arial" w:hAnsi="Arial"/>
                <w:sz w:val="19"/>
                <w:szCs w:val="19"/>
                <w:color w:val="auto"/>
                <w:w w:val="93"/>
              </w:rPr>
              <w:t>$127,905</w:t>
            </w:r>
          </w:p>
        </w:tc>
        <w:tc>
          <w:tcPr>
            <w:tcW w:w="1200" w:type="dxa"/>
            <w:vAlign w:val="bottom"/>
            <w:gridSpan w:val="3"/>
          </w:tcPr>
          <w:p>
            <w:pPr>
              <w:jc w:val="right"/>
              <w:ind w:right="100"/>
              <w:spacing w:after="0"/>
              <w:rPr>
                <w:sz w:val="20"/>
                <w:szCs w:val="20"/>
                <w:color w:val="auto"/>
              </w:rPr>
            </w:pPr>
            <w:r>
              <w:rPr>
                <w:rFonts w:ascii="Arial" w:cs="Arial" w:eastAsia="Arial" w:hAnsi="Arial"/>
                <w:sz w:val="19"/>
                <w:szCs w:val="19"/>
                <w:color w:val="auto"/>
              </w:rPr>
              <w:t>($166,000)</w:t>
            </w:r>
          </w:p>
        </w:tc>
        <w:tc>
          <w:tcPr>
            <w:tcW w:w="820" w:type="dxa"/>
            <w:vAlign w:val="bottom"/>
          </w:tcPr>
          <w:p>
            <w:pPr>
              <w:jc w:val="right"/>
              <w:spacing w:after="0"/>
              <w:rPr>
                <w:sz w:val="20"/>
                <w:szCs w:val="20"/>
                <w:color w:val="auto"/>
              </w:rPr>
            </w:pPr>
            <w:r>
              <w:rPr>
                <w:rFonts w:ascii="Arial" w:cs="Arial" w:eastAsia="Arial" w:hAnsi="Arial"/>
                <w:sz w:val="19"/>
                <w:szCs w:val="19"/>
                <w:color w:val="auto"/>
              </w:rPr>
              <w:t>$108,567</w:t>
            </w: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05"/>
        </w:trPr>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25"/>
              <w:spacing w:after="0"/>
              <w:rPr>
                <w:sz w:val="20"/>
                <w:szCs w:val="20"/>
                <w:color w:val="auto"/>
              </w:rPr>
            </w:pPr>
            <w:r>
              <w:rPr>
                <w:rFonts w:ascii="Arial" w:cs="Arial" w:eastAsia="Arial" w:hAnsi="Arial"/>
                <w:sz w:val="19"/>
                <w:szCs w:val="19"/>
                <w:color w:val="auto"/>
              </w:rPr>
              <w:t>18</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-4257040</wp:posOffset>
            </wp:positionV>
            <wp:extent cx="1270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1842135</wp:posOffset>
            </wp:positionH>
            <wp:positionV relativeFrom="paragraph">
              <wp:posOffset>-4257040</wp:posOffset>
            </wp:positionV>
            <wp:extent cx="1270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-4257040</wp:posOffset>
            </wp:positionV>
            <wp:extent cx="127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-4257040</wp:posOffset>
            </wp:positionV>
            <wp:extent cx="1270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-4257040</wp:posOffset>
            </wp:positionV>
            <wp:extent cx="1270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-4257040</wp:posOffset>
            </wp:positionV>
            <wp:extent cx="12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-4257040</wp:posOffset>
            </wp:positionV>
            <wp:extent cx="127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3342005</wp:posOffset>
            </wp:positionH>
            <wp:positionV relativeFrom="paragraph">
              <wp:posOffset>-4257040</wp:posOffset>
            </wp:positionV>
            <wp:extent cx="1270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-4257040</wp:posOffset>
            </wp:positionV>
            <wp:extent cx="1270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-4257040</wp:posOffset>
            </wp:positionV>
            <wp:extent cx="127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-4257040</wp:posOffset>
            </wp:positionV>
            <wp:extent cx="127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4439920</wp:posOffset>
            </wp:positionH>
            <wp:positionV relativeFrom="paragraph">
              <wp:posOffset>-4257040</wp:posOffset>
            </wp:positionV>
            <wp:extent cx="127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-4257040</wp:posOffset>
            </wp:positionV>
            <wp:extent cx="1270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-4257040</wp:posOffset>
            </wp:positionV>
            <wp:extent cx="1270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2236470</wp:posOffset>
            </wp:positionH>
            <wp:positionV relativeFrom="paragraph">
              <wp:posOffset>-334010</wp:posOffset>
            </wp:positionV>
            <wp:extent cx="127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1842135</wp:posOffset>
            </wp:positionH>
            <wp:positionV relativeFrom="paragraph">
              <wp:posOffset>-334010</wp:posOffset>
            </wp:positionV>
            <wp:extent cx="127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-334010</wp:posOffset>
            </wp:positionV>
            <wp:extent cx="1270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-334010</wp:posOffset>
            </wp:positionV>
            <wp:extent cx="1270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-334010</wp:posOffset>
            </wp:positionV>
            <wp:extent cx="1270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-334010</wp:posOffset>
            </wp:positionV>
            <wp:extent cx="127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-334010</wp:posOffset>
            </wp:positionV>
            <wp:extent cx="1270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3342005</wp:posOffset>
            </wp:positionH>
            <wp:positionV relativeFrom="paragraph">
              <wp:posOffset>-334010</wp:posOffset>
            </wp:positionV>
            <wp:extent cx="127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-334010</wp:posOffset>
            </wp:positionV>
            <wp:extent cx="1270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-334010</wp:posOffset>
            </wp:positionV>
            <wp:extent cx="1270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-334010</wp:posOffset>
            </wp:positionV>
            <wp:extent cx="1270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4439920</wp:posOffset>
            </wp:positionH>
            <wp:positionV relativeFrom="paragraph">
              <wp:posOffset>-334010</wp:posOffset>
            </wp:positionV>
            <wp:extent cx="1270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-334010</wp:posOffset>
            </wp:positionV>
            <wp:extent cx="1270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-334010</wp:posOffset>
            </wp:positionV>
            <wp:extent cx="127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116205</wp:posOffset>
            </wp:positionV>
            <wp:extent cx="727773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46"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FORM 10-Q</w:t>
      </w:r>
    </w:p>
    <w:p>
      <w:pPr>
        <w:jc w:val="center"/>
        <w:ind w:right="-1160"/>
        <w:spacing w:after="0" w:line="235" w:lineRule="auto"/>
        <w:rPr>
          <w:sz w:val="20"/>
          <w:szCs w:val="20"/>
          <w:color w:val="auto"/>
        </w:rPr>
      </w:pPr>
      <w:r>
        <w:rPr>
          <w:rFonts w:ascii="Arial" w:cs="Arial" w:eastAsia="Arial" w:hAnsi="Arial"/>
          <w:sz w:val="19"/>
          <w:szCs w:val="19"/>
          <w:color w:val="auto"/>
        </w:rPr>
        <w:t>QUARTER ENDED MARCH 31, 2004</w:t>
      </w:r>
    </w:p>
    <w:p>
      <w:pPr>
        <w:spacing w:after="0" w:line="1"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p>
      <w:pPr>
        <w:jc w:val="center"/>
        <w:ind w:right="1159"/>
        <w:spacing w:after="0"/>
        <w:rPr>
          <w:sz w:val="20"/>
          <w:szCs w:val="20"/>
          <w:color w:val="auto"/>
        </w:rPr>
      </w:pPr>
      <w:r>
        <w:rPr>
          <w:rFonts w:ascii="Arial" w:cs="Arial" w:eastAsia="Arial" w:hAnsi="Arial"/>
          <w:sz w:val="19"/>
          <w:szCs w:val="19"/>
          <w:color w:val="auto"/>
        </w:rPr>
        <w:t>Comcast Corporation</w:t>
      </w:r>
    </w:p>
    <w:p>
      <w:pPr>
        <w:spacing w:after="0" w:line="8" w:lineRule="exact"/>
        <w:rPr>
          <w:sz w:val="20"/>
          <w:szCs w:val="20"/>
          <w:color w:val="auto"/>
        </w:rPr>
      </w:pPr>
    </w:p>
    <w:p>
      <w:pPr>
        <w:jc w:val="center"/>
        <w:ind w:right="1159"/>
        <w:spacing w:after="0"/>
        <w:rPr>
          <w:sz w:val="20"/>
          <w:szCs w:val="20"/>
          <w:color w:val="auto"/>
        </w:rPr>
      </w:pPr>
      <w:r>
        <w:rPr>
          <w:rFonts w:ascii="Arial" w:cs="Arial" w:eastAsia="Arial" w:hAnsi="Arial"/>
          <w:sz w:val="19"/>
          <w:szCs w:val="19"/>
          <w:color w:val="auto"/>
        </w:rPr>
        <w:t>Condensed Consolidating Balance Sheet</w:t>
      </w:r>
    </w:p>
    <w:p>
      <w:pPr>
        <w:jc w:val="center"/>
        <w:ind w:right="1159"/>
        <w:spacing w:after="0"/>
        <w:rPr>
          <w:sz w:val="20"/>
          <w:szCs w:val="20"/>
          <w:color w:val="auto"/>
        </w:rPr>
      </w:pPr>
      <w:r>
        <w:rPr>
          <w:rFonts w:ascii="Arial" w:cs="Arial" w:eastAsia="Arial" w:hAnsi="Arial"/>
          <w:sz w:val="19"/>
          <w:szCs w:val="19"/>
          <w:color w:val="auto"/>
        </w:rPr>
        <w:t>As of December 31, 2003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Elimination</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0"/>
              </w:rPr>
              <w:t>Combined</w:t>
            </w:r>
          </w:p>
        </w:tc>
        <w:tc>
          <w:tcPr>
            <w:tcW w:w="16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Non-</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82"/>
              </w:rPr>
              <w:t>and</w:t>
            </w:r>
          </w:p>
        </w:tc>
        <w:tc>
          <w:tcPr>
            <w:tcW w:w="840" w:type="dxa"/>
            <w:vAlign w:val="bottom"/>
          </w:tcPr>
          <w:p>
            <w:pPr>
              <w:jc w:val="center"/>
              <w:spacing w:after="0"/>
              <w:rPr>
                <w:sz w:val="20"/>
                <w:szCs w:val="20"/>
                <w:color w:val="auto"/>
              </w:rPr>
            </w:pPr>
            <w:r>
              <w:rPr>
                <w:rFonts w:ascii="Arial" w:cs="Arial" w:eastAsia="Arial" w:hAnsi="Arial"/>
                <w:sz w:val="16"/>
                <w:szCs w:val="16"/>
                <w:color w:val="auto"/>
                <w:w w:val="87"/>
              </w:rPr>
              <w:t>Consolidated</w:t>
            </w: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5"/>
              </w:rPr>
              <w:t>Comcast</w:t>
            </w:r>
          </w:p>
        </w:tc>
        <w:tc>
          <w:tcPr>
            <w:tcW w:w="140" w:type="dxa"/>
            <w:vAlign w:val="bottom"/>
          </w:tcPr>
          <w:p>
            <w:pPr>
              <w:spacing w:after="0"/>
              <w:rPr>
                <w:sz w:val="16"/>
                <w:szCs w:val="16"/>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CCCL</w:t>
            </w:r>
          </w:p>
        </w:tc>
        <w:tc>
          <w:tcPr>
            <w:tcW w:w="78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CCCH</w:t>
            </w:r>
          </w:p>
        </w:tc>
        <w:tc>
          <w:tcPr>
            <w:tcW w:w="660" w:type="dxa"/>
            <w:vAlign w:val="bottom"/>
          </w:tcPr>
          <w:p>
            <w:pPr>
              <w:jc w:val="center"/>
              <w:spacing w:after="0"/>
              <w:rPr>
                <w:sz w:val="20"/>
                <w:szCs w:val="20"/>
                <w:color w:val="auto"/>
              </w:rPr>
            </w:pPr>
            <w:r>
              <w:rPr>
                <w:rFonts w:ascii="Arial" w:cs="Arial" w:eastAsia="Arial" w:hAnsi="Arial"/>
                <w:sz w:val="16"/>
                <w:szCs w:val="16"/>
                <w:color w:val="auto"/>
                <w:w w:val="95"/>
              </w:rPr>
              <w:t>CCHMO</w:t>
            </w:r>
          </w:p>
        </w:tc>
        <w:tc>
          <w:tcPr>
            <w:tcW w:w="16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Guarantor</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Consolidation</w:t>
            </w:r>
          </w:p>
        </w:tc>
        <w:tc>
          <w:tcPr>
            <w:tcW w:w="840" w:type="dxa"/>
            <w:vAlign w:val="bottom"/>
          </w:tcPr>
          <w:p>
            <w:pPr>
              <w:jc w:val="center"/>
              <w:spacing w:after="0"/>
              <w:rPr>
                <w:sz w:val="20"/>
                <w:szCs w:val="20"/>
                <w:color w:val="auto"/>
              </w:rPr>
            </w:pPr>
            <w:r>
              <w:rPr>
                <w:rFonts w:ascii="Arial" w:cs="Arial" w:eastAsia="Arial" w:hAnsi="Arial"/>
                <w:sz w:val="16"/>
                <w:szCs w:val="16"/>
                <w:color w:val="auto"/>
                <w:w w:val="88"/>
              </w:rPr>
              <w:t>Comcast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4"/>
              </w:rPr>
              <w:t>Parent</w:t>
            </w:r>
          </w:p>
        </w:tc>
        <w:tc>
          <w:tcPr>
            <w:tcW w:w="140" w:type="dxa"/>
            <w:vAlign w:val="bottom"/>
          </w:tcPr>
          <w:p>
            <w:pPr>
              <w:spacing w:after="0"/>
              <w:rPr>
                <w:sz w:val="17"/>
                <w:szCs w:val="17"/>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6"/>
                <w:szCs w:val="16"/>
                <w:color w:val="auto"/>
                <w:w w:val="84"/>
              </w:rPr>
              <w:t>Parent</w:t>
            </w:r>
          </w:p>
        </w:tc>
        <w:tc>
          <w:tcPr>
            <w:tcW w:w="780" w:type="dxa"/>
            <w:vAlign w:val="bottom"/>
            <w:gridSpan w:val="2"/>
          </w:tcPr>
          <w:p>
            <w:pPr>
              <w:jc w:val="center"/>
              <w:ind w:right="160"/>
              <w:spacing w:after="0"/>
              <w:rPr>
                <w:sz w:val="20"/>
                <w:szCs w:val="20"/>
                <w:color w:val="auto"/>
              </w:rPr>
            </w:pPr>
            <w:r>
              <w:rPr>
                <w:rFonts w:ascii="Arial" w:cs="Arial" w:eastAsia="Arial" w:hAnsi="Arial"/>
                <w:sz w:val="16"/>
                <w:szCs w:val="16"/>
                <w:color w:val="auto"/>
                <w:w w:val="80"/>
              </w:rPr>
              <w:t>Parent</w:t>
            </w:r>
          </w:p>
        </w:tc>
        <w:tc>
          <w:tcPr>
            <w:tcW w:w="660" w:type="dxa"/>
            <w:vAlign w:val="bottom"/>
          </w:tcPr>
          <w:p>
            <w:pPr>
              <w:jc w:val="center"/>
              <w:spacing w:after="0"/>
              <w:rPr>
                <w:sz w:val="20"/>
                <w:szCs w:val="20"/>
                <w:color w:val="auto"/>
              </w:rPr>
            </w:pPr>
            <w:r>
              <w:rPr>
                <w:rFonts w:ascii="Arial" w:cs="Arial" w:eastAsia="Arial" w:hAnsi="Arial"/>
                <w:sz w:val="16"/>
                <w:szCs w:val="16"/>
                <w:color w:val="auto"/>
                <w:w w:val="83"/>
              </w:rPr>
              <w:t>Parents</w:t>
            </w:r>
          </w:p>
        </w:tc>
        <w:tc>
          <w:tcPr>
            <w:tcW w:w="16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color w:val="auto"/>
                <w:w w:val="87"/>
              </w:rPr>
              <w:t>Subsidiaries</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Adjustments</w:t>
            </w:r>
          </w:p>
        </w:tc>
        <w:tc>
          <w:tcPr>
            <w:tcW w:w="840" w:type="dxa"/>
            <w:vAlign w:val="bottom"/>
          </w:tcPr>
          <w:p>
            <w:pPr>
              <w:jc w:val="center"/>
              <w:spacing w:after="0"/>
              <w:rPr>
                <w:sz w:val="20"/>
                <w:szCs w:val="20"/>
                <w:color w:val="auto"/>
              </w:rPr>
            </w:pPr>
            <w:r>
              <w:rPr>
                <w:rFonts w:ascii="Arial" w:cs="Arial" w:eastAsia="Arial" w:hAnsi="Arial"/>
                <w:sz w:val="16"/>
                <w:szCs w:val="16"/>
                <w:color w:val="auto"/>
                <w:w w:val="90"/>
              </w:rPr>
              <w:t>Corporation</w:t>
            </w:r>
          </w:p>
        </w:tc>
        <w:tc>
          <w:tcPr>
            <w:tcW w:w="0" w:type="dxa"/>
            <w:vAlign w:val="bottom"/>
          </w:tcPr>
          <w:p>
            <w:pPr>
              <w:spacing w:after="0"/>
              <w:rPr>
                <w:sz w:val="1"/>
                <w:szCs w:val="1"/>
                <w:color w:val="auto"/>
              </w:rPr>
            </w:pPr>
          </w:p>
        </w:tc>
      </w:tr>
      <w:tr>
        <w:trPr>
          <w:trHeight w:val="97"/>
        </w:trPr>
        <w:tc>
          <w:tcPr>
            <w:tcW w:w="2940" w:type="dxa"/>
            <w:vAlign w:val="bottom"/>
            <w:gridSpan w:val="2"/>
            <w:vMerge w:val="restart"/>
          </w:tcPr>
          <w:p>
            <w:pPr>
              <w:spacing w:after="0"/>
              <w:rPr>
                <w:sz w:val="20"/>
                <w:szCs w:val="20"/>
                <w:color w:val="auto"/>
              </w:rPr>
            </w:pPr>
            <w:r>
              <w:rPr>
                <w:rFonts w:ascii="Arial" w:cs="Arial" w:eastAsia="Arial" w:hAnsi="Arial"/>
                <w:sz w:val="19"/>
                <w:szCs w:val="19"/>
                <w:color w:val="auto"/>
              </w:rPr>
              <w:t>ASSETS</w:t>
            </w:r>
          </w:p>
        </w:tc>
        <w:tc>
          <w:tcPr>
            <w:tcW w:w="6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940" w:type="dxa"/>
            <w:vAlign w:val="bottom"/>
            <w:gridSpan w:val="2"/>
            <w:vMerge w:val="continue"/>
          </w:tcPr>
          <w:p>
            <w:pPr>
              <w:spacing w:after="0"/>
              <w:rPr>
                <w:sz w:val="23"/>
                <w:szCs w:val="23"/>
                <w:color w:val="auto"/>
              </w:rPr>
            </w:pPr>
          </w:p>
        </w:tc>
        <w:tc>
          <w:tcPr>
            <w:tcW w:w="640" w:type="dxa"/>
            <w:vAlign w:val="bottom"/>
            <w:vMerge w:val="restart"/>
          </w:tcPr>
          <w:p>
            <w:pPr>
              <w:jc w:val="center"/>
              <w:spacing w:after="0"/>
              <w:rPr>
                <w:sz w:val="20"/>
                <w:szCs w:val="20"/>
                <w:color w:val="auto"/>
              </w:rPr>
            </w:pPr>
            <w:r>
              <w:rPr>
                <w:rFonts w:ascii="Arial" w:cs="Arial" w:eastAsia="Arial" w:hAnsi="Arial"/>
                <w:sz w:val="19"/>
                <w:szCs w:val="19"/>
                <w:color w:val="auto"/>
                <w:w w:val="94"/>
              </w:rPr>
              <w:t>$</w:t>
            </w:r>
          </w:p>
        </w:tc>
        <w:tc>
          <w:tcPr>
            <w:tcW w:w="780" w:type="dxa"/>
            <w:vAlign w:val="bottom"/>
            <w:gridSpan w:val="2"/>
            <w:vMerge w:val="restart"/>
          </w:tcPr>
          <w:p>
            <w:pPr>
              <w:jc w:val="center"/>
              <w:ind w:left="65"/>
              <w:spacing w:after="0"/>
              <w:rPr>
                <w:sz w:val="20"/>
                <w:szCs w:val="20"/>
                <w:color w:val="auto"/>
              </w:rPr>
            </w:pPr>
            <w:r>
              <w:rPr>
                <w:rFonts w:ascii="Arial" w:cs="Arial" w:eastAsia="Arial" w:hAnsi="Arial"/>
                <w:sz w:val="19"/>
                <w:szCs w:val="19"/>
                <w:color w:val="auto"/>
                <w:w w:val="94"/>
              </w:rPr>
              <w:t>$</w:t>
            </w:r>
          </w:p>
        </w:tc>
        <w:tc>
          <w:tcPr>
            <w:tcW w:w="160" w:type="dxa"/>
            <w:vAlign w:val="bottom"/>
          </w:tcPr>
          <w:p>
            <w:pPr>
              <w:spacing w:after="0"/>
              <w:rPr>
                <w:sz w:val="23"/>
                <w:szCs w:val="23"/>
                <w:color w:val="auto"/>
              </w:rPr>
            </w:pPr>
          </w:p>
        </w:tc>
        <w:tc>
          <w:tcPr>
            <w:tcW w:w="620" w:type="dxa"/>
            <w:vAlign w:val="bottom"/>
            <w:vMerge w:val="restart"/>
          </w:tcPr>
          <w:p>
            <w:pPr>
              <w:jc w:val="center"/>
              <w:spacing w:after="0"/>
              <w:rPr>
                <w:sz w:val="20"/>
                <w:szCs w:val="20"/>
                <w:color w:val="auto"/>
              </w:rPr>
            </w:pPr>
            <w:r>
              <w:rPr>
                <w:rFonts w:ascii="Arial" w:cs="Arial" w:eastAsia="Arial" w:hAnsi="Arial"/>
                <w:sz w:val="19"/>
                <w:szCs w:val="19"/>
                <w:color w:val="auto"/>
                <w:w w:val="94"/>
              </w:rPr>
              <w:t>$</w:t>
            </w:r>
          </w:p>
        </w:tc>
        <w:tc>
          <w:tcPr>
            <w:tcW w:w="160" w:type="dxa"/>
            <w:vAlign w:val="bottom"/>
          </w:tcPr>
          <w:p>
            <w:pPr>
              <w:spacing w:after="0"/>
              <w:rPr>
                <w:sz w:val="23"/>
                <w:szCs w:val="23"/>
                <w:color w:val="auto"/>
              </w:rPr>
            </w:pPr>
          </w:p>
        </w:tc>
        <w:tc>
          <w:tcPr>
            <w:tcW w:w="660" w:type="dxa"/>
            <w:vAlign w:val="bottom"/>
            <w:vMerge w:val="restart"/>
          </w:tcPr>
          <w:p>
            <w:pPr>
              <w:jc w:val="center"/>
              <w:spacing w:after="0"/>
              <w:rPr>
                <w:sz w:val="20"/>
                <w:szCs w:val="20"/>
                <w:color w:val="auto"/>
              </w:rPr>
            </w:pPr>
            <w:r>
              <w:rPr>
                <w:rFonts w:ascii="Arial" w:cs="Arial" w:eastAsia="Arial" w:hAnsi="Arial"/>
                <w:sz w:val="19"/>
                <w:szCs w:val="19"/>
                <w:color w:val="auto"/>
                <w:w w:val="94"/>
              </w:rPr>
              <w:t>$</w:t>
            </w: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9"/>
                <w:szCs w:val="19"/>
                <w:color w:val="auto"/>
              </w:rPr>
              <w:t>$1,550</w:t>
            </w:r>
          </w:p>
        </w:tc>
        <w:tc>
          <w:tcPr>
            <w:tcW w:w="860" w:type="dxa"/>
            <w:vAlign w:val="bottom"/>
            <w:vMerge w:val="restart"/>
          </w:tcPr>
          <w:p>
            <w:pPr>
              <w:jc w:val="center"/>
              <w:spacing w:after="0"/>
              <w:rPr>
                <w:sz w:val="20"/>
                <w:szCs w:val="20"/>
                <w:color w:val="auto"/>
              </w:rPr>
            </w:pPr>
            <w:r>
              <w:rPr>
                <w:rFonts w:ascii="Arial" w:cs="Arial" w:eastAsia="Arial" w:hAnsi="Arial"/>
                <w:sz w:val="19"/>
                <w:szCs w:val="19"/>
                <w:color w:val="auto"/>
                <w:w w:val="94"/>
              </w:rPr>
              <w:t>$</w:t>
            </w:r>
          </w:p>
        </w:tc>
        <w:tc>
          <w:tcPr>
            <w:tcW w:w="160" w:type="dxa"/>
            <w:vAlign w:val="bottom"/>
          </w:tcPr>
          <w:p>
            <w:pPr>
              <w:spacing w:after="0"/>
              <w:rPr>
                <w:sz w:val="23"/>
                <w:szCs w:val="23"/>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$1,550</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40" w:type="dxa"/>
            <w:vAlign w:val="bottom"/>
            <w:gridSpan w:val="2"/>
          </w:tcPr>
          <w:p>
            <w:pPr>
              <w:ind w:left="140"/>
              <w:spacing w:after="0" w:line="212" w:lineRule="exact"/>
              <w:rPr>
                <w:sz w:val="20"/>
                <w:szCs w:val="20"/>
                <w:color w:val="auto"/>
              </w:rPr>
            </w:pPr>
            <w:r>
              <w:rPr>
                <w:rFonts w:ascii="Arial" w:cs="Arial" w:eastAsia="Arial" w:hAnsi="Arial"/>
                <w:sz w:val="19"/>
                <w:szCs w:val="19"/>
                <w:color w:val="auto"/>
              </w:rPr>
              <w:t>Cash and cash equivalents</w:t>
            </w:r>
          </w:p>
        </w:tc>
        <w:tc>
          <w:tcPr>
            <w:tcW w:w="64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gridSpan w:val="2"/>
          </w:tcPr>
          <w:p>
            <w:pPr>
              <w:ind w:left="140"/>
              <w:spacing w:after="0" w:line="214" w:lineRule="exact"/>
              <w:rPr>
                <w:sz w:val="20"/>
                <w:szCs w:val="20"/>
                <w:color w:val="auto"/>
              </w:rPr>
            </w:pPr>
            <w:r>
              <w:rPr>
                <w:rFonts w:ascii="Arial" w:cs="Arial" w:eastAsia="Arial" w:hAnsi="Arial"/>
                <w:sz w:val="19"/>
                <w:szCs w:val="19"/>
                <w:color w:val="auto"/>
              </w:rPr>
              <w:t>Investments</w:t>
            </w:r>
          </w:p>
        </w:tc>
        <w:tc>
          <w:tcPr>
            <w:tcW w:w="640" w:type="dxa"/>
            <w:vAlign w:val="bottom"/>
          </w:tcPr>
          <w:p>
            <w:pPr>
              <w:jc w:val="right"/>
              <w:spacing w:after="0" w:line="214" w:lineRule="exact"/>
              <w:rPr>
                <w:sz w:val="20"/>
                <w:szCs w:val="20"/>
                <w:color w:val="auto"/>
              </w:rPr>
            </w:pPr>
            <w:r>
              <w:rPr>
                <w:rFonts w:ascii="Arial" w:cs="Arial" w:eastAsia="Arial" w:hAnsi="Arial"/>
                <w:sz w:val="19"/>
                <w:szCs w:val="19"/>
                <w:color w:val="auto"/>
              </w:rPr>
              <w:t>50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3"/>
          </w:tcPr>
          <w:p>
            <w:pPr>
              <w:jc w:val="right"/>
              <w:ind w:right="160"/>
              <w:spacing w:after="0" w:line="214" w:lineRule="exact"/>
              <w:rPr>
                <w:sz w:val="20"/>
                <w:szCs w:val="20"/>
                <w:color w:val="auto"/>
              </w:rPr>
            </w:pPr>
            <w:r>
              <w:rPr>
                <w:rFonts w:ascii="Arial" w:cs="Arial" w:eastAsia="Arial" w:hAnsi="Arial"/>
                <w:sz w:val="19"/>
                <w:szCs w:val="19"/>
                <w:color w:val="auto"/>
              </w:rPr>
              <w:t>2,443</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Arial" w:cs="Arial" w:eastAsia="Arial" w:hAnsi="Arial"/>
                <w:sz w:val="19"/>
                <w:szCs w:val="19"/>
                <w:color w:val="auto"/>
              </w:rPr>
              <w:t>2,493</w:t>
            </w:r>
          </w:p>
        </w:tc>
        <w:tc>
          <w:tcPr>
            <w:tcW w:w="0" w:type="dxa"/>
            <w:vAlign w:val="bottom"/>
          </w:tcPr>
          <w:p>
            <w:pPr>
              <w:spacing w:after="0"/>
              <w:rPr>
                <w:sz w:val="1"/>
                <w:szCs w:val="1"/>
                <w:color w:val="auto"/>
              </w:rPr>
            </w:pPr>
          </w:p>
        </w:tc>
      </w:tr>
      <w:tr>
        <w:trPr>
          <w:trHeight w:val="215"/>
        </w:trPr>
        <w:tc>
          <w:tcPr>
            <w:tcW w:w="2940" w:type="dxa"/>
            <w:vAlign w:val="bottom"/>
            <w:gridSpan w:val="2"/>
          </w:tcPr>
          <w:p>
            <w:pPr>
              <w:ind w:left="120"/>
              <w:spacing w:after="0" w:line="214" w:lineRule="exact"/>
              <w:rPr>
                <w:sz w:val="20"/>
                <w:szCs w:val="20"/>
                <w:color w:val="auto"/>
              </w:rPr>
            </w:pPr>
            <w:r>
              <w:rPr>
                <w:rFonts w:ascii="Arial" w:cs="Arial" w:eastAsia="Arial" w:hAnsi="Arial"/>
                <w:sz w:val="19"/>
                <w:szCs w:val="19"/>
                <w:color w:val="auto"/>
              </w:rPr>
              <w:t>Accounts receivable, net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3"/>
          </w:tcPr>
          <w:p>
            <w:pPr>
              <w:jc w:val="right"/>
              <w:ind w:right="160"/>
              <w:spacing w:after="0" w:line="214" w:lineRule="exact"/>
              <w:rPr>
                <w:sz w:val="20"/>
                <w:szCs w:val="20"/>
                <w:color w:val="auto"/>
              </w:rPr>
            </w:pPr>
            <w:r>
              <w:rPr>
                <w:rFonts w:ascii="Arial" w:cs="Arial" w:eastAsia="Arial" w:hAnsi="Arial"/>
                <w:sz w:val="19"/>
                <w:szCs w:val="19"/>
                <w:color w:val="auto"/>
              </w:rPr>
              <w:t>907</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Arial" w:cs="Arial" w:eastAsia="Arial" w:hAnsi="Arial"/>
                <w:sz w:val="19"/>
                <w:szCs w:val="19"/>
                <w:color w:val="auto"/>
              </w:rPr>
              <w:t>907</w:t>
            </w:r>
          </w:p>
        </w:tc>
        <w:tc>
          <w:tcPr>
            <w:tcW w:w="0" w:type="dxa"/>
            <w:vAlign w:val="bottom"/>
          </w:tcPr>
          <w:p>
            <w:pPr>
              <w:spacing w:after="0"/>
              <w:rPr>
                <w:sz w:val="1"/>
                <w:szCs w:val="1"/>
                <w:color w:val="auto"/>
              </w:rPr>
            </w:pPr>
          </w:p>
        </w:tc>
      </w:tr>
      <w:tr>
        <w:trPr>
          <w:trHeight w:val="242"/>
        </w:trPr>
        <w:tc>
          <w:tcPr>
            <w:tcW w:w="2940" w:type="dxa"/>
            <w:vAlign w:val="bottom"/>
            <w:gridSpan w:val="2"/>
          </w:tcPr>
          <w:p>
            <w:pPr>
              <w:ind w:left="140"/>
              <w:spacing w:after="0"/>
              <w:rPr>
                <w:sz w:val="20"/>
                <w:szCs w:val="20"/>
                <w:color w:val="auto"/>
              </w:rPr>
            </w:pPr>
            <w:r>
              <w:rPr>
                <w:rFonts w:ascii="Arial" w:cs="Arial" w:eastAsia="Arial" w:hAnsi="Arial"/>
                <w:sz w:val="19"/>
                <w:szCs w:val="19"/>
                <w:color w:val="auto"/>
              </w:rPr>
              <w:t>Other current assets</w:t>
            </w:r>
          </w:p>
        </w:tc>
        <w:tc>
          <w:tcPr>
            <w:tcW w:w="640" w:type="dxa"/>
            <w:vAlign w:val="bottom"/>
          </w:tcPr>
          <w:p>
            <w:pPr>
              <w:jc w:val="right"/>
              <w:spacing w:after="0"/>
              <w:rPr>
                <w:sz w:val="20"/>
                <w:szCs w:val="20"/>
                <w:color w:val="auto"/>
              </w:rPr>
            </w:pPr>
            <w:r>
              <w:rPr>
                <w:rFonts w:ascii="Arial" w:cs="Arial" w:eastAsia="Arial" w:hAnsi="Arial"/>
                <w:sz w:val="19"/>
                <w:szCs w:val="19"/>
                <w:color w:val="auto"/>
              </w:rPr>
              <w:t>15</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9"/>
                <w:szCs w:val="19"/>
                <w:color w:val="auto"/>
              </w:rPr>
              <w:t>438</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453</w:t>
            </w: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40" w:type="dxa"/>
            <w:vAlign w:val="bottom"/>
            <w:gridSpan w:val="2"/>
          </w:tcPr>
          <w:p>
            <w:pPr>
              <w:ind w:left="240"/>
              <w:spacing w:after="0"/>
              <w:rPr>
                <w:sz w:val="20"/>
                <w:szCs w:val="20"/>
                <w:color w:val="auto"/>
              </w:rPr>
            </w:pPr>
            <w:r>
              <w:rPr>
                <w:rFonts w:ascii="Arial" w:cs="Arial" w:eastAsia="Arial" w:hAnsi="Arial"/>
                <w:sz w:val="19"/>
                <w:szCs w:val="19"/>
                <w:color w:val="auto"/>
              </w:rPr>
              <w:t>Total current assets</w:t>
            </w:r>
          </w:p>
        </w:tc>
        <w:tc>
          <w:tcPr>
            <w:tcW w:w="640" w:type="dxa"/>
            <w:vAlign w:val="bottom"/>
          </w:tcPr>
          <w:p>
            <w:pPr>
              <w:jc w:val="right"/>
              <w:spacing w:after="0"/>
              <w:rPr>
                <w:sz w:val="20"/>
                <w:szCs w:val="20"/>
                <w:color w:val="auto"/>
              </w:rPr>
            </w:pPr>
            <w:r>
              <w:rPr>
                <w:rFonts w:ascii="Arial" w:cs="Arial" w:eastAsia="Arial" w:hAnsi="Arial"/>
                <w:sz w:val="19"/>
                <w:szCs w:val="19"/>
                <w:color w:val="auto"/>
              </w:rPr>
              <w:t>65</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9"/>
                <w:szCs w:val="19"/>
                <w:color w:val="auto"/>
              </w:rPr>
              <w:t>5,338</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5,403</w:t>
            </w: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40" w:type="dxa"/>
            <w:vAlign w:val="bottom"/>
            <w:gridSpan w:val="2"/>
          </w:tcPr>
          <w:p>
            <w:pPr>
              <w:ind w:left="140"/>
              <w:spacing w:after="0"/>
              <w:rPr>
                <w:sz w:val="20"/>
                <w:szCs w:val="20"/>
                <w:color w:val="auto"/>
              </w:rPr>
            </w:pPr>
            <w:r>
              <w:rPr>
                <w:rFonts w:ascii="Arial" w:cs="Arial" w:eastAsia="Arial" w:hAnsi="Arial"/>
                <w:sz w:val="19"/>
                <w:szCs w:val="19"/>
                <w:color w:val="auto"/>
              </w:rPr>
              <w:t>INVESTMENTS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9"/>
                <w:szCs w:val="19"/>
                <w:color w:val="auto"/>
              </w:rPr>
              <w:t>14,818</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14,818</w:t>
            </w:r>
          </w:p>
        </w:tc>
        <w:tc>
          <w:tcPr>
            <w:tcW w:w="0" w:type="dxa"/>
            <w:vAlign w:val="bottom"/>
          </w:tcPr>
          <w:p>
            <w:pPr>
              <w:spacing w:after="0"/>
              <w:rPr>
                <w:sz w:val="1"/>
                <w:szCs w:val="1"/>
                <w:color w:val="auto"/>
              </w:rPr>
            </w:pPr>
          </w:p>
        </w:tc>
      </w:tr>
      <w:tr>
        <w:trPr>
          <w:trHeight w:val="215"/>
        </w:trPr>
        <w:tc>
          <w:tcPr>
            <w:tcW w:w="2940" w:type="dxa"/>
            <w:vAlign w:val="bottom"/>
            <w:gridSpan w:val="2"/>
          </w:tcPr>
          <w:p>
            <w:pPr>
              <w:ind w:left="140"/>
              <w:spacing w:after="0" w:line="214" w:lineRule="exact"/>
              <w:rPr>
                <w:sz w:val="20"/>
                <w:szCs w:val="20"/>
                <w:color w:val="auto"/>
              </w:rPr>
            </w:pPr>
            <w:r>
              <w:rPr>
                <w:rFonts w:ascii="Arial" w:cs="Arial" w:eastAsia="Arial" w:hAnsi="Arial"/>
                <w:sz w:val="19"/>
                <w:szCs w:val="19"/>
                <w:color w:val="auto"/>
              </w:rPr>
              <w:t>INVESTMENTS IN AND</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gridSpan w:val="2"/>
          </w:tcPr>
          <w:p>
            <w:pPr>
              <w:spacing w:after="0" w:line="214" w:lineRule="exact"/>
              <w:rPr>
                <w:sz w:val="20"/>
                <w:szCs w:val="20"/>
                <w:color w:val="auto"/>
              </w:rPr>
            </w:pPr>
            <w:r>
              <w:rPr>
                <w:rFonts w:ascii="Arial" w:cs="Arial" w:eastAsia="Arial" w:hAnsi="Arial"/>
                <w:sz w:val="19"/>
                <w:szCs w:val="19"/>
                <w:color w:val="auto"/>
              </w:rPr>
              <w:t>AMOUNTS DUE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gridSpan w:val="2"/>
          </w:tcPr>
          <w:p>
            <w:pPr>
              <w:ind w:left="240"/>
              <w:spacing w:after="0" w:line="214" w:lineRule="exact"/>
              <w:rPr>
                <w:sz w:val="20"/>
                <w:szCs w:val="20"/>
                <w:color w:val="auto"/>
              </w:rPr>
            </w:pPr>
            <w:r>
              <w:rPr>
                <w:rFonts w:ascii="Arial" w:cs="Arial" w:eastAsia="Arial" w:hAnsi="Arial"/>
                <w:sz w:val="19"/>
                <w:szCs w:val="19"/>
                <w:color w:val="auto"/>
              </w:rPr>
              <w:t>FROM SUBSIDIARIES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gridSpan w:val="2"/>
          </w:tcPr>
          <w:p>
            <w:pPr>
              <w:spacing w:after="0" w:line="214" w:lineRule="exact"/>
              <w:rPr>
                <w:sz w:val="20"/>
                <w:szCs w:val="20"/>
                <w:color w:val="auto"/>
              </w:rPr>
            </w:pPr>
            <w:r>
              <w:rPr>
                <w:rFonts w:ascii="Arial" w:cs="Arial" w:eastAsia="Arial" w:hAnsi="Arial"/>
                <w:sz w:val="19"/>
                <w:szCs w:val="19"/>
                <w:color w:val="auto"/>
              </w:rPr>
              <w:t>ELIMINATED</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gridSpan w:val="2"/>
          </w:tcPr>
          <w:p>
            <w:pPr>
              <w:ind w:left="240"/>
              <w:spacing w:after="0" w:line="214" w:lineRule="exact"/>
              <w:rPr>
                <w:sz w:val="20"/>
                <w:szCs w:val="20"/>
                <w:color w:val="auto"/>
              </w:rPr>
            </w:pPr>
            <w:r>
              <w:rPr>
                <w:rFonts w:ascii="Arial" w:cs="Arial" w:eastAsia="Arial" w:hAnsi="Arial"/>
                <w:sz w:val="19"/>
                <w:szCs w:val="19"/>
                <w:color w:val="auto"/>
              </w:rPr>
              <w:t>UPON CONSOLIDATION</w:t>
            </w:r>
          </w:p>
        </w:tc>
        <w:tc>
          <w:tcPr>
            <w:tcW w:w="640" w:type="dxa"/>
            <w:vAlign w:val="bottom"/>
          </w:tcPr>
          <w:p>
            <w:pPr>
              <w:jc w:val="right"/>
              <w:spacing w:after="0" w:line="214" w:lineRule="exact"/>
              <w:rPr>
                <w:sz w:val="20"/>
                <w:szCs w:val="20"/>
                <w:color w:val="auto"/>
              </w:rPr>
            </w:pPr>
            <w:r>
              <w:rPr>
                <w:rFonts w:ascii="Arial" w:cs="Arial" w:eastAsia="Arial" w:hAnsi="Arial"/>
                <w:sz w:val="19"/>
                <w:szCs w:val="19"/>
                <w:color w:val="auto"/>
              </w:rPr>
              <w:t>46,268</w:t>
            </w:r>
          </w:p>
        </w:tc>
        <w:tc>
          <w:tcPr>
            <w:tcW w:w="940" w:type="dxa"/>
            <w:vAlign w:val="bottom"/>
            <w:gridSpan w:val="3"/>
          </w:tcPr>
          <w:p>
            <w:pPr>
              <w:jc w:val="right"/>
              <w:ind w:right="160"/>
              <w:spacing w:after="0" w:line="214" w:lineRule="exact"/>
              <w:rPr>
                <w:sz w:val="20"/>
                <w:szCs w:val="20"/>
                <w:color w:val="auto"/>
              </w:rPr>
            </w:pPr>
            <w:r>
              <w:rPr>
                <w:rFonts w:ascii="Arial" w:cs="Arial" w:eastAsia="Arial" w:hAnsi="Arial"/>
                <w:sz w:val="19"/>
                <w:szCs w:val="19"/>
                <w:color w:val="auto"/>
              </w:rPr>
              <w:t>26,643</w:t>
            </w:r>
          </w:p>
        </w:tc>
        <w:tc>
          <w:tcPr>
            <w:tcW w:w="78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33,138</w:t>
            </w:r>
          </w:p>
        </w:tc>
        <w:tc>
          <w:tcPr>
            <w:tcW w:w="660" w:type="dxa"/>
            <w:vAlign w:val="bottom"/>
          </w:tcPr>
          <w:p>
            <w:pPr>
              <w:jc w:val="right"/>
              <w:spacing w:after="0" w:line="214" w:lineRule="exact"/>
              <w:rPr>
                <w:sz w:val="20"/>
                <w:szCs w:val="20"/>
                <w:color w:val="auto"/>
              </w:rPr>
            </w:pPr>
            <w:r>
              <w:rPr>
                <w:rFonts w:ascii="Arial" w:cs="Arial" w:eastAsia="Arial" w:hAnsi="Arial"/>
                <w:sz w:val="19"/>
                <w:szCs w:val="19"/>
                <w:color w:val="auto"/>
              </w:rPr>
              <w:t>39,919</w:t>
            </w:r>
          </w:p>
        </w:tc>
        <w:tc>
          <w:tcPr>
            <w:tcW w:w="1080" w:type="dxa"/>
            <w:vAlign w:val="bottom"/>
            <w:gridSpan w:val="3"/>
          </w:tcPr>
          <w:p>
            <w:pPr>
              <w:jc w:val="right"/>
              <w:ind w:right="160"/>
              <w:spacing w:after="0" w:line="214" w:lineRule="exact"/>
              <w:rPr>
                <w:sz w:val="20"/>
                <w:szCs w:val="20"/>
                <w:color w:val="auto"/>
              </w:rPr>
            </w:pPr>
            <w:r>
              <w:rPr>
                <w:rFonts w:ascii="Arial" w:cs="Arial" w:eastAsia="Arial" w:hAnsi="Arial"/>
                <w:sz w:val="19"/>
                <w:szCs w:val="19"/>
                <w:color w:val="auto"/>
              </w:rPr>
              <w:t>19,678</w:t>
            </w:r>
          </w:p>
        </w:tc>
        <w:tc>
          <w:tcPr>
            <w:tcW w:w="10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(165,646)</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gridSpan w:val="2"/>
          </w:tcPr>
          <w:p>
            <w:pPr>
              <w:ind w:left="140"/>
              <w:spacing w:after="0" w:line="214" w:lineRule="exact"/>
              <w:rPr>
                <w:sz w:val="20"/>
                <w:szCs w:val="20"/>
                <w:color w:val="auto"/>
              </w:rPr>
            </w:pPr>
            <w:r>
              <w:rPr>
                <w:rFonts w:ascii="Arial" w:cs="Arial" w:eastAsia="Arial" w:hAnsi="Arial"/>
                <w:sz w:val="19"/>
                <w:szCs w:val="19"/>
                <w:color w:val="auto"/>
              </w:rPr>
              <w:t>PROPERTY AND EQUIPMENT,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gridSpan w:val="2"/>
          </w:tcPr>
          <w:p>
            <w:pPr>
              <w:spacing w:after="0" w:line="214" w:lineRule="exact"/>
              <w:rPr>
                <w:sz w:val="20"/>
                <w:szCs w:val="20"/>
                <w:color w:val="auto"/>
              </w:rPr>
            </w:pPr>
            <w:r>
              <w:rPr>
                <w:rFonts w:ascii="Arial" w:cs="Arial" w:eastAsia="Arial" w:hAnsi="Arial"/>
                <w:sz w:val="19"/>
                <w:szCs w:val="19"/>
                <w:color w:val="auto"/>
              </w:rPr>
              <w:t>net</w:t>
            </w:r>
          </w:p>
        </w:tc>
        <w:tc>
          <w:tcPr>
            <w:tcW w:w="640" w:type="dxa"/>
            <w:vAlign w:val="bottom"/>
          </w:tcPr>
          <w:p>
            <w:pPr>
              <w:jc w:val="right"/>
              <w:spacing w:after="0" w:line="214" w:lineRule="exact"/>
              <w:rPr>
                <w:sz w:val="20"/>
                <w:szCs w:val="20"/>
                <w:color w:val="auto"/>
              </w:rPr>
            </w:pPr>
            <w:r>
              <w:rPr>
                <w:rFonts w:ascii="Arial" w:cs="Arial" w:eastAsia="Arial" w:hAnsi="Arial"/>
                <w:sz w:val="19"/>
                <w:szCs w:val="19"/>
                <w:color w:val="auto"/>
              </w:rPr>
              <w:t>7</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4</w:t>
            </w:r>
          </w:p>
        </w:tc>
        <w:tc>
          <w:tcPr>
            <w:tcW w:w="660" w:type="dxa"/>
            <w:vAlign w:val="bottom"/>
          </w:tcPr>
          <w:p>
            <w:pPr>
              <w:spacing w:after="0"/>
              <w:rPr>
                <w:sz w:val="18"/>
                <w:szCs w:val="18"/>
                <w:color w:val="auto"/>
              </w:rPr>
            </w:pPr>
          </w:p>
        </w:tc>
        <w:tc>
          <w:tcPr>
            <w:tcW w:w="1080" w:type="dxa"/>
            <w:vAlign w:val="bottom"/>
            <w:gridSpan w:val="3"/>
          </w:tcPr>
          <w:p>
            <w:pPr>
              <w:jc w:val="right"/>
              <w:ind w:right="160"/>
              <w:spacing w:after="0" w:line="214" w:lineRule="exact"/>
              <w:rPr>
                <w:sz w:val="20"/>
                <w:szCs w:val="20"/>
                <w:color w:val="auto"/>
              </w:rPr>
            </w:pPr>
            <w:r>
              <w:rPr>
                <w:rFonts w:ascii="Arial" w:cs="Arial" w:eastAsia="Arial" w:hAnsi="Arial"/>
                <w:sz w:val="19"/>
                <w:szCs w:val="19"/>
                <w:color w:val="auto"/>
              </w:rPr>
              <w:t>18,462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Arial" w:cs="Arial" w:eastAsia="Arial" w:hAnsi="Arial"/>
                <w:sz w:val="19"/>
                <w:szCs w:val="19"/>
                <w:color w:val="auto"/>
              </w:rPr>
              <w:t>18,473</w:t>
            </w:r>
          </w:p>
        </w:tc>
        <w:tc>
          <w:tcPr>
            <w:tcW w:w="0" w:type="dxa"/>
            <w:vAlign w:val="bottom"/>
          </w:tcPr>
          <w:p>
            <w:pPr>
              <w:spacing w:after="0"/>
              <w:rPr>
                <w:sz w:val="1"/>
                <w:szCs w:val="1"/>
                <w:color w:val="auto"/>
              </w:rPr>
            </w:pPr>
          </w:p>
        </w:tc>
      </w:tr>
      <w:tr>
        <w:trPr>
          <w:trHeight w:val="215"/>
        </w:trPr>
        <w:tc>
          <w:tcPr>
            <w:tcW w:w="2940" w:type="dxa"/>
            <w:vAlign w:val="bottom"/>
            <w:gridSpan w:val="2"/>
          </w:tcPr>
          <w:p>
            <w:pPr>
              <w:ind w:left="140"/>
              <w:spacing w:after="0" w:line="214" w:lineRule="exact"/>
              <w:rPr>
                <w:sz w:val="20"/>
                <w:szCs w:val="20"/>
                <w:color w:val="auto"/>
              </w:rPr>
            </w:pPr>
            <w:r>
              <w:rPr>
                <w:rFonts w:ascii="Arial" w:cs="Arial" w:eastAsia="Arial" w:hAnsi="Arial"/>
                <w:sz w:val="19"/>
                <w:szCs w:val="19"/>
                <w:color w:val="auto"/>
              </w:rPr>
              <w:t>FRANCHISE RIGHTS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3"/>
          </w:tcPr>
          <w:p>
            <w:pPr>
              <w:jc w:val="right"/>
              <w:ind w:right="160"/>
              <w:spacing w:after="0" w:line="214" w:lineRule="exact"/>
              <w:rPr>
                <w:sz w:val="20"/>
                <w:szCs w:val="20"/>
                <w:color w:val="auto"/>
              </w:rPr>
            </w:pPr>
            <w:r>
              <w:rPr>
                <w:rFonts w:ascii="Arial" w:cs="Arial" w:eastAsia="Arial" w:hAnsi="Arial"/>
                <w:sz w:val="19"/>
                <w:szCs w:val="19"/>
                <w:color w:val="auto"/>
              </w:rPr>
              <w:t>51,050</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Arial" w:cs="Arial" w:eastAsia="Arial" w:hAnsi="Arial"/>
                <w:sz w:val="19"/>
                <w:szCs w:val="19"/>
                <w:color w:val="auto"/>
              </w:rPr>
              <w:t>51,050</w:t>
            </w:r>
          </w:p>
        </w:tc>
        <w:tc>
          <w:tcPr>
            <w:tcW w:w="0" w:type="dxa"/>
            <w:vAlign w:val="bottom"/>
          </w:tcPr>
          <w:p>
            <w:pPr>
              <w:spacing w:after="0"/>
              <w:rPr>
                <w:sz w:val="1"/>
                <w:szCs w:val="1"/>
                <w:color w:val="auto"/>
              </w:rPr>
            </w:pPr>
          </w:p>
        </w:tc>
      </w:tr>
      <w:tr>
        <w:trPr>
          <w:trHeight w:val="215"/>
        </w:trPr>
        <w:tc>
          <w:tcPr>
            <w:tcW w:w="2940" w:type="dxa"/>
            <w:vAlign w:val="bottom"/>
            <w:gridSpan w:val="2"/>
          </w:tcPr>
          <w:p>
            <w:pPr>
              <w:ind w:left="140"/>
              <w:spacing w:after="0" w:line="214" w:lineRule="exact"/>
              <w:rPr>
                <w:sz w:val="20"/>
                <w:szCs w:val="20"/>
                <w:color w:val="auto"/>
              </w:rPr>
            </w:pPr>
            <w:r>
              <w:rPr>
                <w:rFonts w:ascii="Arial" w:cs="Arial" w:eastAsia="Arial" w:hAnsi="Arial"/>
                <w:sz w:val="19"/>
                <w:szCs w:val="19"/>
                <w:color w:val="auto"/>
              </w:rPr>
              <w:t>GOODWILL</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3"/>
          </w:tcPr>
          <w:p>
            <w:pPr>
              <w:jc w:val="right"/>
              <w:ind w:right="160"/>
              <w:spacing w:after="0" w:line="214" w:lineRule="exact"/>
              <w:rPr>
                <w:sz w:val="20"/>
                <w:szCs w:val="20"/>
                <w:color w:val="auto"/>
              </w:rPr>
            </w:pPr>
            <w:r>
              <w:rPr>
                <w:rFonts w:ascii="Arial" w:cs="Arial" w:eastAsia="Arial" w:hAnsi="Arial"/>
                <w:sz w:val="19"/>
                <w:szCs w:val="19"/>
                <w:color w:val="auto"/>
              </w:rPr>
              <w:t>14,841</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Arial" w:cs="Arial" w:eastAsia="Arial" w:hAnsi="Arial"/>
                <w:sz w:val="19"/>
                <w:szCs w:val="19"/>
                <w:color w:val="auto"/>
              </w:rPr>
              <w:t>14,841</w:t>
            </w:r>
          </w:p>
        </w:tc>
        <w:tc>
          <w:tcPr>
            <w:tcW w:w="0" w:type="dxa"/>
            <w:vAlign w:val="bottom"/>
          </w:tcPr>
          <w:p>
            <w:pPr>
              <w:spacing w:after="0"/>
              <w:rPr>
                <w:sz w:val="1"/>
                <w:szCs w:val="1"/>
                <w:color w:val="auto"/>
              </w:rPr>
            </w:pPr>
          </w:p>
        </w:tc>
      </w:tr>
      <w:tr>
        <w:trPr>
          <w:trHeight w:val="215"/>
        </w:trPr>
        <w:tc>
          <w:tcPr>
            <w:tcW w:w="2940" w:type="dxa"/>
            <w:vAlign w:val="bottom"/>
            <w:gridSpan w:val="2"/>
          </w:tcPr>
          <w:p>
            <w:pPr>
              <w:ind w:left="140"/>
              <w:spacing w:after="0" w:line="214" w:lineRule="exact"/>
              <w:rPr>
                <w:sz w:val="20"/>
                <w:szCs w:val="20"/>
                <w:color w:val="auto"/>
              </w:rPr>
            </w:pPr>
            <w:r>
              <w:rPr>
                <w:rFonts w:ascii="Arial" w:cs="Arial" w:eastAsia="Arial" w:hAnsi="Arial"/>
                <w:sz w:val="19"/>
                <w:szCs w:val="19"/>
                <w:color w:val="auto"/>
              </w:rPr>
              <w:t>OTHER INTANGIBLE ASSETS,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gridSpan w:val="2"/>
          </w:tcPr>
          <w:p>
            <w:pPr>
              <w:spacing w:after="0" w:line="214" w:lineRule="exact"/>
              <w:rPr>
                <w:sz w:val="20"/>
                <w:szCs w:val="20"/>
                <w:color w:val="auto"/>
              </w:rPr>
            </w:pPr>
            <w:r>
              <w:rPr>
                <w:rFonts w:ascii="Arial" w:cs="Arial" w:eastAsia="Arial" w:hAnsi="Arial"/>
                <w:sz w:val="19"/>
                <w:szCs w:val="19"/>
                <w:color w:val="auto"/>
              </w:rPr>
              <w:t>net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3"/>
          </w:tcPr>
          <w:p>
            <w:pPr>
              <w:jc w:val="right"/>
              <w:ind w:right="160"/>
              <w:spacing w:after="0" w:line="214" w:lineRule="exact"/>
              <w:rPr>
                <w:sz w:val="20"/>
                <w:szCs w:val="20"/>
                <w:color w:val="auto"/>
              </w:rPr>
            </w:pPr>
            <w:r>
              <w:rPr>
                <w:rFonts w:ascii="Arial" w:cs="Arial" w:eastAsia="Arial" w:hAnsi="Arial"/>
                <w:sz w:val="19"/>
                <w:szCs w:val="19"/>
                <w:color w:val="auto"/>
              </w:rPr>
              <w:t>3,859</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Arial" w:cs="Arial" w:eastAsia="Arial" w:hAnsi="Arial"/>
                <w:sz w:val="19"/>
                <w:szCs w:val="19"/>
                <w:color w:val="auto"/>
              </w:rPr>
              <w:t>3,859</w:t>
            </w:r>
          </w:p>
        </w:tc>
        <w:tc>
          <w:tcPr>
            <w:tcW w:w="0" w:type="dxa"/>
            <w:vAlign w:val="bottom"/>
          </w:tcPr>
          <w:p>
            <w:pPr>
              <w:spacing w:after="0"/>
              <w:rPr>
                <w:sz w:val="1"/>
                <w:szCs w:val="1"/>
                <w:color w:val="auto"/>
              </w:rPr>
            </w:pPr>
          </w:p>
        </w:tc>
      </w:tr>
      <w:tr>
        <w:trPr>
          <w:trHeight w:val="215"/>
        </w:trPr>
        <w:tc>
          <w:tcPr>
            <w:tcW w:w="2940" w:type="dxa"/>
            <w:vAlign w:val="bottom"/>
            <w:gridSpan w:val="2"/>
          </w:tcPr>
          <w:p>
            <w:pPr>
              <w:ind w:left="140"/>
              <w:spacing w:after="0" w:line="214" w:lineRule="exact"/>
              <w:rPr>
                <w:sz w:val="20"/>
                <w:szCs w:val="20"/>
                <w:color w:val="auto"/>
              </w:rPr>
            </w:pPr>
            <w:r>
              <w:rPr>
                <w:rFonts w:ascii="Arial" w:cs="Arial" w:eastAsia="Arial" w:hAnsi="Arial"/>
                <w:sz w:val="19"/>
                <w:szCs w:val="19"/>
                <w:color w:val="auto"/>
              </w:rPr>
              <w:t>OTHER NONCURRENT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40" w:type="dxa"/>
            <w:vAlign w:val="bottom"/>
            <w:gridSpan w:val="2"/>
          </w:tcPr>
          <w:p>
            <w:pPr>
              <w:spacing w:after="0"/>
              <w:rPr>
                <w:sz w:val="20"/>
                <w:szCs w:val="20"/>
                <w:color w:val="auto"/>
              </w:rPr>
            </w:pPr>
            <w:r>
              <w:rPr>
                <w:rFonts w:ascii="Arial" w:cs="Arial" w:eastAsia="Arial" w:hAnsi="Arial"/>
                <w:sz w:val="19"/>
                <w:szCs w:val="19"/>
                <w:color w:val="auto"/>
              </w:rPr>
              <w:t>ASSETS, net</w:t>
            </w:r>
          </w:p>
        </w:tc>
        <w:tc>
          <w:tcPr>
            <w:tcW w:w="640" w:type="dxa"/>
            <w:vAlign w:val="bottom"/>
          </w:tcPr>
          <w:p>
            <w:pPr>
              <w:jc w:val="right"/>
              <w:spacing w:after="0"/>
              <w:rPr>
                <w:sz w:val="20"/>
                <w:szCs w:val="20"/>
                <w:color w:val="auto"/>
              </w:rPr>
            </w:pPr>
            <w:r>
              <w:rPr>
                <w:rFonts w:ascii="Arial" w:cs="Arial" w:eastAsia="Arial" w:hAnsi="Arial"/>
                <w:sz w:val="19"/>
                <w:szCs w:val="19"/>
                <w:color w:val="auto"/>
              </w:rPr>
              <w:t>87</w:t>
            </w:r>
          </w:p>
        </w:tc>
        <w:tc>
          <w:tcPr>
            <w:tcW w:w="940" w:type="dxa"/>
            <w:vAlign w:val="bottom"/>
            <w:gridSpan w:val="3"/>
          </w:tcPr>
          <w:p>
            <w:pPr>
              <w:jc w:val="right"/>
              <w:ind w:right="160"/>
              <w:spacing w:after="0"/>
              <w:rPr>
                <w:sz w:val="20"/>
                <w:szCs w:val="20"/>
                <w:color w:val="auto"/>
              </w:rPr>
            </w:pPr>
            <w:r>
              <w:rPr>
                <w:rFonts w:ascii="Arial" w:cs="Arial" w:eastAsia="Arial" w:hAnsi="Arial"/>
                <w:sz w:val="19"/>
                <w:szCs w:val="19"/>
                <w:color w:val="auto"/>
              </w:rPr>
              <w:t>43</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30</w:t>
            </w:r>
          </w:p>
        </w:tc>
        <w:tc>
          <w:tcPr>
            <w:tcW w:w="660" w:type="dxa"/>
            <w:vAlign w:val="bottom"/>
          </w:tcPr>
          <w:p>
            <w:pPr>
              <w:spacing w:after="0"/>
              <w:rPr>
                <w:sz w:val="21"/>
                <w:szCs w:val="21"/>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9"/>
                <w:szCs w:val="19"/>
                <w:color w:val="auto"/>
              </w:rPr>
              <w:t>555</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715</w:t>
            </w: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40" w:type="dxa"/>
            <w:vAlign w:val="bottom"/>
            <w:gridSpan w:val="2"/>
          </w:tcPr>
          <w:p>
            <w:pPr>
              <w:ind w:left="240"/>
              <w:spacing w:after="0"/>
              <w:rPr>
                <w:sz w:val="20"/>
                <w:szCs w:val="20"/>
                <w:color w:val="auto"/>
              </w:rPr>
            </w:pPr>
            <w:r>
              <w:rPr>
                <w:rFonts w:ascii="Arial" w:cs="Arial" w:eastAsia="Arial" w:hAnsi="Arial"/>
                <w:sz w:val="19"/>
                <w:szCs w:val="19"/>
                <w:color w:val="auto"/>
              </w:rPr>
              <w:t>Total Assets</w:t>
            </w:r>
          </w:p>
        </w:tc>
        <w:tc>
          <w:tcPr>
            <w:tcW w:w="640" w:type="dxa"/>
            <w:vAlign w:val="bottom"/>
          </w:tcPr>
          <w:p>
            <w:pPr>
              <w:jc w:val="right"/>
              <w:spacing w:after="0"/>
              <w:rPr>
                <w:sz w:val="20"/>
                <w:szCs w:val="20"/>
                <w:color w:val="auto"/>
              </w:rPr>
            </w:pPr>
            <w:r>
              <w:rPr>
                <w:rFonts w:ascii="Arial" w:cs="Arial" w:eastAsia="Arial" w:hAnsi="Arial"/>
                <w:sz w:val="19"/>
                <w:szCs w:val="19"/>
                <w:color w:val="auto"/>
                <w:w w:val="90"/>
              </w:rPr>
              <w:t>$46,427</w:t>
            </w:r>
          </w:p>
        </w:tc>
        <w:tc>
          <w:tcPr>
            <w:tcW w:w="940" w:type="dxa"/>
            <w:vAlign w:val="bottom"/>
            <w:gridSpan w:val="3"/>
          </w:tcPr>
          <w:p>
            <w:pPr>
              <w:jc w:val="right"/>
              <w:ind w:right="160"/>
              <w:spacing w:after="0"/>
              <w:rPr>
                <w:sz w:val="20"/>
                <w:szCs w:val="20"/>
                <w:color w:val="auto"/>
              </w:rPr>
            </w:pPr>
            <w:r>
              <w:rPr>
                <w:rFonts w:ascii="Arial" w:cs="Arial" w:eastAsia="Arial" w:hAnsi="Arial"/>
                <w:sz w:val="19"/>
                <w:szCs w:val="19"/>
                <w:color w:val="auto"/>
              </w:rPr>
              <w:t>$26,686</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w w:val="87"/>
              </w:rPr>
              <w:t>$33,172</w:t>
            </w:r>
          </w:p>
        </w:tc>
        <w:tc>
          <w:tcPr>
            <w:tcW w:w="660" w:type="dxa"/>
            <w:vAlign w:val="bottom"/>
          </w:tcPr>
          <w:p>
            <w:pPr>
              <w:jc w:val="right"/>
              <w:spacing w:after="0"/>
              <w:rPr>
                <w:sz w:val="20"/>
                <w:szCs w:val="20"/>
                <w:color w:val="auto"/>
              </w:rPr>
            </w:pPr>
            <w:r>
              <w:rPr>
                <w:rFonts w:ascii="Arial" w:cs="Arial" w:eastAsia="Arial" w:hAnsi="Arial"/>
                <w:sz w:val="19"/>
                <w:szCs w:val="19"/>
                <w:color w:val="auto"/>
                <w:w w:val="93"/>
              </w:rPr>
              <w:t>$39,919</w:t>
            </w:r>
          </w:p>
        </w:tc>
        <w:tc>
          <w:tcPr>
            <w:tcW w:w="1080" w:type="dxa"/>
            <w:vAlign w:val="bottom"/>
            <w:gridSpan w:val="3"/>
          </w:tcPr>
          <w:p>
            <w:pPr>
              <w:jc w:val="right"/>
              <w:ind w:right="160"/>
              <w:spacing w:after="0"/>
              <w:rPr>
                <w:sz w:val="20"/>
                <w:szCs w:val="20"/>
                <w:color w:val="auto"/>
              </w:rPr>
            </w:pPr>
            <w:r>
              <w:rPr>
                <w:rFonts w:ascii="Arial" w:cs="Arial" w:eastAsia="Arial" w:hAnsi="Arial"/>
                <w:sz w:val="19"/>
                <w:szCs w:val="19"/>
                <w:color w:val="auto"/>
              </w:rPr>
              <w:t>$128,601</w:t>
            </w: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w w:val="97"/>
              </w:rPr>
              <w:t>($165,646)</w:t>
            </w:r>
          </w:p>
        </w:tc>
        <w:tc>
          <w:tcPr>
            <w:tcW w:w="840" w:type="dxa"/>
            <w:vAlign w:val="bottom"/>
          </w:tcPr>
          <w:p>
            <w:pPr>
              <w:jc w:val="right"/>
              <w:spacing w:after="0"/>
              <w:rPr>
                <w:sz w:val="20"/>
                <w:szCs w:val="20"/>
                <w:color w:val="auto"/>
              </w:rPr>
            </w:pPr>
            <w:r>
              <w:rPr>
                <w:rFonts w:ascii="Arial" w:cs="Arial" w:eastAsia="Arial" w:hAnsi="Arial"/>
                <w:sz w:val="19"/>
                <w:szCs w:val="19"/>
                <w:color w:val="auto"/>
              </w:rPr>
              <w:t>$109,159</w:t>
            </w: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-13335</wp:posOffset>
            </wp:positionV>
            <wp:extent cx="1270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-13335</wp:posOffset>
            </wp:positionV>
            <wp:extent cx="1270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-13335</wp:posOffset>
            </wp:positionV>
            <wp:extent cx="1270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-13335</wp:posOffset>
            </wp:positionV>
            <wp:extent cx="1270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-13335</wp:posOffset>
            </wp:positionV>
            <wp:extent cx="1270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-13335</wp:posOffset>
            </wp:positionV>
            <wp:extent cx="1270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-13335</wp:posOffset>
            </wp:positionV>
            <wp:extent cx="1270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-13335</wp:posOffset>
            </wp:positionV>
            <wp:extent cx="1270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-13335</wp:posOffset>
            </wp:positionV>
            <wp:extent cx="1270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-13335</wp:posOffset>
            </wp:positionV>
            <wp:extent cx="1270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-13335</wp:posOffset>
            </wp:positionV>
            <wp:extent cx="1270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-13335</wp:posOffset>
            </wp:positionV>
            <wp:extent cx="1270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-13335</wp:posOffset>
            </wp:positionV>
            <wp:extent cx="1270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-13335</wp:posOffset>
            </wp:positionV>
            <wp:extent cx="1270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LIABILITIES AND</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STOCKHOLDERS' EQUITY</w:t>
      </w:r>
    </w:p>
    <w:p>
      <w:pPr>
        <w:sectPr>
          <w:pgSz w:w="11900" w:h="16918" w:orient="portrait"/>
          <w:cols w:equalWidth="0" w:num="1">
            <w:col w:w="10219"/>
          </w:cols>
          <w:pgMar w:left="240" w:top="228" w:right="1440"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8"/>
        </w:trPr>
        <w:tc>
          <w:tcPr>
            <w:tcW w:w="2940" w:type="dxa"/>
            <w:vAlign w:val="bottom"/>
          </w:tcPr>
          <w:p>
            <w:pPr>
              <w:ind w:left="120"/>
              <w:spacing w:after="0"/>
              <w:rPr>
                <w:sz w:val="20"/>
                <w:szCs w:val="20"/>
                <w:color w:val="auto"/>
              </w:rPr>
            </w:pPr>
            <w:r>
              <w:rPr>
                <w:rFonts w:ascii="Arial" w:cs="Arial" w:eastAsia="Arial" w:hAnsi="Arial"/>
                <w:sz w:val="19"/>
                <w:szCs w:val="19"/>
                <w:color w:val="auto"/>
              </w:rPr>
              <w:t>Accounts payable</w:t>
            </w:r>
          </w:p>
        </w:tc>
        <w:tc>
          <w:tcPr>
            <w:tcW w:w="64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8"/>
                <w:szCs w:val="18"/>
                <w:color w:val="auto"/>
              </w:rPr>
            </w:pPr>
          </w:p>
        </w:tc>
        <w:tc>
          <w:tcPr>
            <w:tcW w:w="620" w:type="dxa"/>
            <w:vAlign w:val="bottom"/>
          </w:tcPr>
          <w:p>
            <w:pPr>
              <w:jc w:val="right"/>
              <w:ind w:right="165"/>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8"/>
                <w:szCs w:val="18"/>
                <w:color w:val="auto"/>
              </w:rPr>
            </w:pPr>
          </w:p>
        </w:tc>
        <w:tc>
          <w:tcPr>
            <w:tcW w:w="66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9"/>
                <w:szCs w:val="19"/>
                <w:color w:val="auto"/>
              </w:rPr>
              <w:t>$1,251</w:t>
            </w:r>
          </w:p>
        </w:tc>
        <w:tc>
          <w:tcPr>
            <w:tcW w:w="860" w:type="dxa"/>
            <w:vAlign w:val="bottom"/>
          </w:tcPr>
          <w:p>
            <w:pPr>
              <w:jc w:val="right"/>
              <w:ind w:right="285"/>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$1,251</w:t>
            </w:r>
          </w:p>
        </w:tc>
        <w:tc>
          <w:tcPr>
            <w:tcW w:w="0" w:type="dxa"/>
            <w:vAlign w:val="bottom"/>
          </w:tcPr>
          <w:p>
            <w:pPr>
              <w:spacing w:after="0"/>
              <w:rPr>
                <w:sz w:val="1"/>
                <w:szCs w:val="1"/>
                <w:color w:val="auto"/>
              </w:rPr>
            </w:pPr>
          </w:p>
        </w:tc>
      </w:tr>
      <w:tr>
        <w:trPr>
          <w:trHeight w:val="215"/>
        </w:trPr>
        <w:tc>
          <w:tcPr>
            <w:tcW w:w="2940" w:type="dxa"/>
            <w:vAlign w:val="bottom"/>
          </w:tcPr>
          <w:p>
            <w:pPr>
              <w:ind w:left="120"/>
              <w:spacing w:after="0" w:line="214" w:lineRule="exact"/>
              <w:rPr>
                <w:sz w:val="20"/>
                <w:szCs w:val="20"/>
                <w:color w:val="auto"/>
              </w:rPr>
            </w:pPr>
            <w:r>
              <w:rPr>
                <w:rFonts w:ascii="Arial" w:cs="Arial" w:eastAsia="Arial" w:hAnsi="Arial"/>
                <w:sz w:val="19"/>
                <w:szCs w:val="19"/>
                <w:color w:val="auto"/>
              </w:rPr>
              <w:t>Accrued expenses and other</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line="214" w:lineRule="exact"/>
              <w:rPr>
                <w:sz w:val="20"/>
                <w:szCs w:val="20"/>
                <w:color w:val="auto"/>
              </w:rPr>
            </w:pPr>
            <w:r>
              <w:rPr>
                <w:rFonts w:ascii="Arial" w:cs="Arial" w:eastAsia="Arial" w:hAnsi="Arial"/>
                <w:sz w:val="19"/>
                <w:szCs w:val="19"/>
                <w:color w:val="auto"/>
              </w:rPr>
              <w:t>current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tcPr>
          <w:p>
            <w:pPr>
              <w:ind w:left="180"/>
              <w:spacing w:after="0" w:line="214" w:lineRule="exact"/>
              <w:rPr>
                <w:sz w:val="20"/>
                <w:szCs w:val="20"/>
                <w:color w:val="auto"/>
              </w:rPr>
            </w:pPr>
            <w:r>
              <w:rPr>
                <w:rFonts w:ascii="Arial" w:cs="Arial" w:eastAsia="Arial" w:hAnsi="Arial"/>
                <w:sz w:val="19"/>
                <w:szCs w:val="19"/>
                <w:color w:val="auto"/>
              </w:rPr>
              <w:t>liabilities</w:t>
            </w:r>
          </w:p>
        </w:tc>
        <w:tc>
          <w:tcPr>
            <w:tcW w:w="640" w:type="dxa"/>
            <w:vAlign w:val="bottom"/>
          </w:tcPr>
          <w:p>
            <w:pPr>
              <w:jc w:val="right"/>
              <w:spacing w:after="0" w:line="214" w:lineRule="exact"/>
              <w:rPr>
                <w:sz w:val="20"/>
                <w:szCs w:val="20"/>
                <w:color w:val="auto"/>
              </w:rPr>
            </w:pPr>
            <w:r>
              <w:rPr>
                <w:rFonts w:ascii="Arial" w:cs="Arial" w:eastAsia="Arial" w:hAnsi="Arial"/>
                <w:sz w:val="19"/>
                <w:szCs w:val="19"/>
                <w:color w:val="auto"/>
              </w:rPr>
              <w:t>391</w:t>
            </w:r>
          </w:p>
        </w:tc>
        <w:tc>
          <w:tcPr>
            <w:tcW w:w="940" w:type="dxa"/>
            <w:vAlign w:val="bottom"/>
            <w:gridSpan w:val="3"/>
          </w:tcPr>
          <w:p>
            <w:pPr>
              <w:jc w:val="right"/>
              <w:ind w:right="160"/>
              <w:spacing w:after="0" w:line="214" w:lineRule="exact"/>
              <w:rPr>
                <w:sz w:val="20"/>
                <w:szCs w:val="20"/>
                <w:color w:val="auto"/>
              </w:rPr>
            </w:pPr>
            <w:r>
              <w:rPr>
                <w:rFonts w:ascii="Arial" w:cs="Arial" w:eastAsia="Arial" w:hAnsi="Arial"/>
                <w:sz w:val="19"/>
                <w:szCs w:val="19"/>
                <w:color w:val="auto"/>
              </w:rPr>
              <w:t>99</w:t>
            </w:r>
          </w:p>
        </w:tc>
        <w:tc>
          <w:tcPr>
            <w:tcW w:w="78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76</w:t>
            </w:r>
          </w:p>
        </w:tc>
        <w:tc>
          <w:tcPr>
            <w:tcW w:w="660" w:type="dxa"/>
            <w:vAlign w:val="bottom"/>
          </w:tcPr>
          <w:p>
            <w:pPr>
              <w:jc w:val="right"/>
              <w:spacing w:after="0" w:line="214" w:lineRule="exact"/>
              <w:rPr>
                <w:sz w:val="20"/>
                <w:szCs w:val="20"/>
                <w:color w:val="auto"/>
              </w:rPr>
            </w:pPr>
            <w:r>
              <w:rPr>
                <w:rFonts w:ascii="Arial" w:cs="Arial" w:eastAsia="Arial" w:hAnsi="Arial"/>
                <w:sz w:val="19"/>
                <w:szCs w:val="19"/>
                <w:color w:val="auto"/>
              </w:rPr>
              <w:t>316</w:t>
            </w:r>
          </w:p>
        </w:tc>
        <w:tc>
          <w:tcPr>
            <w:tcW w:w="1080" w:type="dxa"/>
            <w:vAlign w:val="bottom"/>
            <w:gridSpan w:val="3"/>
          </w:tcPr>
          <w:p>
            <w:pPr>
              <w:jc w:val="right"/>
              <w:ind w:right="160"/>
              <w:spacing w:after="0" w:line="214" w:lineRule="exact"/>
              <w:rPr>
                <w:sz w:val="20"/>
                <w:szCs w:val="20"/>
                <w:color w:val="auto"/>
              </w:rPr>
            </w:pPr>
            <w:r>
              <w:rPr>
                <w:rFonts w:ascii="Arial" w:cs="Arial" w:eastAsia="Arial" w:hAnsi="Arial"/>
                <w:sz w:val="19"/>
                <w:szCs w:val="19"/>
                <w:color w:val="auto"/>
              </w:rPr>
              <w:t>3,681</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Arial" w:cs="Arial" w:eastAsia="Arial" w:hAnsi="Arial"/>
                <w:sz w:val="19"/>
                <w:szCs w:val="19"/>
                <w:color w:val="auto"/>
              </w:rPr>
              <w:t>4,563</w:t>
            </w:r>
          </w:p>
        </w:tc>
        <w:tc>
          <w:tcPr>
            <w:tcW w:w="0" w:type="dxa"/>
            <w:vAlign w:val="bottom"/>
          </w:tcPr>
          <w:p>
            <w:pPr>
              <w:spacing w:after="0"/>
              <w:rPr>
                <w:sz w:val="1"/>
                <w:szCs w:val="1"/>
                <w:color w:val="auto"/>
              </w:rPr>
            </w:pPr>
          </w:p>
        </w:tc>
      </w:tr>
      <w:tr>
        <w:trPr>
          <w:trHeight w:val="215"/>
        </w:trPr>
        <w:tc>
          <w:tcPr>
            <w:tcW w:w="2940" w:type="dxa"/>
            <w:vAlign w:val="bottom"/>
          </w:tcPr>
          <w:p>
            <w:pPr>
              <w:ind w:left="140"/>
              <w:spacing w:after="0" w:line="214" w:lineRule="exact"/>
              <w:rPr>
                <w:sz w:val="20"/>
                <w:szCs w:val="20"/>
                <w:color w:val="auto"/>
              </w:rPr>
            </w:pPr>
            <w:r>
              <w:rPr>
                <w:rFonts w:ascii="Arial" w:cs="Arial" w:eastAsia="Arial" w:hAnsi="Arial"/>
                <w:sz w:val="19"/>
                <w:szCs w:val="19"/>
                <w:color w:val="auto"/>
              </w:rPr>
              <w:t>Deferred income taxes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3"/>
          </w:tcPr>
          <w:p>
            <w:pPr>
              <w:jc w:val="right"/>
              <w:ind w:right="160"/>
              <w:spacing w:after="0" w:line="214" w:lineRule="exact"/>
              <w:rPr>
                <w:sz w:val="20"/>
                <w:szCs w:val="20"/>
                <w:color w:val="auto"/>
              </w:rPr>
            </w:pPr>
            <w:r>
              <w:rPr>
                <w:rFonts w:ascii="Arial" w:cs="Arial" w:eastAsia="Arial" w:hAnsi="Arial"/>
                <w:sz w:val="19"/>
                <w:szCs w:val="19"/>
                <w:color w:val="auto"/>
              </w:rPr>
              <w:t>679</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Arial" w:cs="Arial" w:eastAsia="Arial" w:hAnsi="Arial"/>
                <w:sz w:val="19"/>
                <w:szCs w:val="19"/>
                <w:color w:val="auto"/>
              </w:rPr>
              <w:t>679</w:t>
            </w:r>
          </w:p>
        </w:tc>
        <w:tc>
          <w:tcPr>
            <w:tcW w:w="0" w:type="dxa"/>
            <w:vAlign w:val="bottom"/>
          </w:tcPr>
          <w:p>
            <w:pPr>
              <w:spacing w:after="0"/>
              <w:rPr>
                <w:sz w:val="1"/>
                <w:szCs w:val="1"/>
                <w:color w:val="auto"/>
              </w:rPr>
            </w:pPr>
          </w:p>
        </w:tc>
      </w:tr>
      <w:tr>
        <w:trPr>
          <w:trHeight w:val="242"/>
        </w:trPr>
        <w:tc>
          <w:tcPr>
            <w:tcW w:w="2940" w:type="dxa"/>
            <w:vAlign w:val="bottom"/>
          </w:tcPr>
          <w:p>
            <w:pPr>
              <w:ind w:left="140"/>
              <w:spacing w:after="0"/>
              <w:rPr>
                <w:sz w:val="20"/>
                <w:szCs w:val="20"/>
                <w:color w:val="auto"/>
              </w:rPr>
            </w:pPr>
            <w:r>
              <w:rPr>
                <w:rFonts w:ascii="Arial" w:cs="Arial" w:eastAsia="Arial" w:hAnsi="Arial"/>
                <w:sz w:val="19"/>
                <w:szCs w:val="19"/>
                <w:color w:val="auto"/>
              </w:rPr>
              <w:t>Current portion of long-term debt</w:t>
            </w:r>
          </w:p>
        </w:tc>
        <w:tc>
          <w:tcPr>
            <w:tcW w:w="640" w:type="dxa"/>
            <w:vAlign w:val="bottom"/>
          </w:tcPr>
          <w:p>
            <w:pPr>
              <w:spacing w:after="0"/>
              <w:rPr>
                <w:sz w:val="21"/>
                <w:szCs w:val="21"/>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9"/>
                <w:szCs w:val="19"/>
                <w:color w:val="auto"/>
              </w:rPr>
              <w:t>303</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314</w:t>
            </w:r>
          </w:p>
        </w:tc>
        <w:tc>
          <w:tcPr>
            <w:tcW w:w="1080" w:type="dxa"/>
            <w:vAlign w:val="bottom"/>
            <w:gridSpan w:val="3"/>
          </w:tcPr>
          <w:p>
            <w:pPr>
              <w:jc w:val="right"/>
              <w:ind w:right="160"/>
              <w:spacing w:after="0"/>
              <w:rPr>
                <w:sz w:val="20"/>
                <w:szCs w:val="20"/>
                <w:color w:val="auto"/>
              </w:rPr>
            </w:pPr>
            <w:r>
              <w:rPr>
                <w:rFonts w:ascii="Arial" w:cs="Arial" w:eastAsia="Arial" w:hAnsi="Arial"/>
                <w:sz w:val="19"/>
                <w:szCs w:val="19"/>
                <w:color w:val="auto"/>
              </w:rPr>
              <w:t>2,544</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3,161</w:t>
            </w:r>
          </w:p>
        </w:tc>
        <w:tc>
          <w:tcPr>
            <w:tcW w:w="0" w:type="dxa"/>
            <w:vAlign w:val="bottom"/>
          </w:tcPr>
          <w:p>
            <w:pPr>
              <w:spacing w:after="0"/>
              <w:rPr>
                <w:sz w:val="1"/>
                <w:szCs w:val="1"/>
                <w:color w:val="auto"/>
              </w:rPr>
            </w:pPr>
          </w:p>
        </w:tc>
      </w:tr>
      <w:tr>
        <w:trPr>
          <w:trHeight w:val="87"/>
        </w:trPr>
        <w:tc>
          <w:tcPr>
            <w:tcW w:w="294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40" w:type="dxa"/>
            <w:vAlign w:val="bottom"/>
          </w:tcPr>
          <w:p>
            <w:pPr>
              <w:ind w:left="240"/>
              <w:spacing w:after="0"/>
              <w:rPr>
                <w:sz w:val="20"/>
                <w:szCs w:val="20"/>
                <w:color w:val="auto"/>
              </w:rPr>
            </w:pPr>
            <w:r>
              <w:rPr>
                <w:rFonts w:ascii="Arial" w:cs="Arial" w:eastAsia="Arial" w:hAnsi="Arial"/>
                <w:sz w:val="19"/>
                <w:szCs w:val="19"/>
                <w:color w:val="auto"/>
              </w:rPr>
              <w:t>Total current liabilities</w:t>
            </w:r>
          </w:p>
        </w:tc>
        <w:tc>
          <w:tcPr>
            <w:tcW w:w="640" w:type="dxa"/>
            <w:vAlign w:val="bottom"/>
          </w:tcPr>
          <w:p>
            <w:pPr>
              <w:jc w:val="right"/>
              <w:spacing w:after="0"/>
              <w:rPr>
                <w:sz w:val="20"/>
                <w:szCs w:val="20"/>
                <w:color w:val="auto"/>
              </w:rPr>
            </w:pPr>
            <w:r>
              <w:rPr>
                <w:rFonts w:ascii="Arial" w:cs="Arial" w:eastAsia="Arial" w:hAnsi="Arial"/>
                <w:sz w:val="19"/>
                <w:szCs w:val="19"/>
                <w:color w:val="auto"/>
              </w:rPr>
              <w:t>391</w:t>
            </w:r>
          </w:p>
        </w:tc>
        <w:tc>
          <w:tcPr>
            <w:tcW w:w="940" w:type="dxa"/>
            <w:vAlign w:val="bottom"/>
            <w:gridSpan w:val="3"/>
          </w:tcPr>
          <w:p>
            <w:pPr>
              <w:jc w:val="right"/>
              <w:ind w:right="160"/>
              <w:spacing w:after="0"/>
              <w:rPr>
                <w:sz w:val="20"/>
                <w:szCs w:val="20"/>
                <w:color w:val="auto"/>
              </w:rPr>
            </w:pPr>
            <w:r>
              <w:rPr>
                <w:rFonts w:ascii="Arial" w:cs="Arial" w:eastAsia="Arial" w:hAnsi="Arial"/>
                <w:sz w:val="19"/>
                <w:szCs w:val="19"/>
                <w:color w:val="auto"/>
              </w:rPr>
              <w:t>402</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76</w:t>
            </w:r>
          </w:p>
        </w:tc>
        <w:tc>
          <w:tcPr>
            <w:tcW w:w="660" w:type="dxa"/>
            <w:vAlign w:val="bottom"/>
          </w:tcPr>
          <w:p>
            <w:pPr>
              <w:jc w:val="right"/>
              <w:spacing w:after="0"/>
              <w:rPr>
                <w:sz w:val="20"/>
                <w:szCs w:val="20"/>
                <w:color w:val="auto"/>
              </w:rPr>
            </w:pPr>
            <w:r>
              <w:rPr>
                <w:rFonts w:ascii="Arial" w:cs="Arial" w:eastAsia="Arial" w:hAnsi="Arial"/>
                <w:sz w:val="19"/>
                <w:szCs w:val="19"/>
                <w:color w:val="auto"/>
              </w:rPr>
              <w:t>630</w:t>
            </w:r>
          </w:p>
        </w:tc>
        <w:tc>
          <w:tcPr>
            <w:tcW w:w="1080" w:type="dxa"/>
            <w:vAlign w:val="bottom"/>
            <w:gridSpan w:val="3"/>
          </w:tcPr>
          <w:p>
            <w:pPr>
              <w:jc w:val="right"/>
              <w:ind w:right="160"/>
              <w:spacing w:after="0"/>
              <w:rPr>
                <w:sz w:val="20"/>
                <w:szCs w:val="20"/>
                <w:color w:val="auto"/>
              </w:rPr>
            </w:pPr>
            <w:r>
              <w:rPr>
                <w:rFonts w:ascii="Arial" w:cs="Arial" w:eastAsia="Arial" w:hAnsi="Arial"/>
                <w:sz w:val="19"/>
                <w:szCs w:val="19"/>
                <w:color w:val="auto"/>
              </w:rPr>
              <w:t>8,155</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9,654</w:t>
            </w:r>
          </w:p>
        </w:tc>
        <w:tc>
          <w:tcPr>
            <w:tcW w:w="0" w:type="dxa"/>
            <w:vAlign w:val="bottom"/>
          </w:tcPr>
          <w:p>
            <w:pPr>
              <w:spacing w:after="0"/>
              <w:rPr>
                <w:sz w:val="1"/>
                <w:szCs w:val="1"/>
                <w:color w:val="auto"/>
              </w:rPr>
            </w:pPr>
          </w:p>
        </w:tc>
      </w:tr>
      <w:tr>
        <w:trPr>
          <w:trHeight w:val="87"/>
        </w:trPr>
        <w:tc>
          <w:tcPr>
            <w:tcW w:w="2940" w:type="dxa"/>
            <w:vAlign w:val="bottom"/>
            <w:vMerge w:val="restart"/>
          </w:tcPr>
          <w:p>
            <w:pPr>
              <w:ind w:left="140"/>
              <w:spacing w:after="0"/>
              <w:rPr>
                <w:sz w:val="20"/>
                <w:szCs w:val="20"/>
                <w:color w:val="auto"/>
              </w:rPr>
            </w:pPr>
            <w:r>
              <w:rPr>
                <w:rFonts w:ascii="Arial" w:cs="Arial" w:eastAsia="Arial" w:hAnsi="Arial"/>
                <w:sz w:val="19"/>
                <w:szCs w:val="19"/>
                <w:color w:val="auto"/>
                <w:w w:val="99"/>
              </w:rPr>
              <w:t>LONG-TERM DEBT, less current</w:t>
            </w:r>
          </w:p>
        </w:tc>
        <w:tc>
          <w:tcPr>
            <w:tcW w:w="6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line="214" w:lineRule="exact"/>
              <w:rPr>
                <w:sz w:val="20"/>
                <w:szCs w:val="20"/>
                <w:color w:val="auto"/>
              </w:rPr>
            </w:pPr>
            <w:r>
              <w:rPr>
                <w:rFonts w:ascii="Arial" w:cs="Arial" w:eastAsia="Arial" w:hAnsi="Arial"/>
                <w:sz w:val="19"/>
                <w:szCs w:val="19"/>
                <w:color w:val="auto"/>
              </w:rPr>
              <w:t>portion</w:t>
            </w:r>
          </w:p>
        </w:tc>
        <w:tc>
          <w:tcPr>
            <w:tcW w:w="640" w:type="dxa"/>
            <w:vAlign w:val="bottom"/>
          </w:tcPr>
          <w:p>
            <w:pPr>
              <w:jc w:val="right"/>
              <w:spacing w:after="0" w:line="214" w:lineRule="exact"/>
              <w:rPr>
                <w:sz w:val="20"/>
                <w:szCs w:val="20"/>
                <w:color w:val="auto"/>
              </w:rPr>
            </w:pPr>
            <w:r>
              <w:rPr>
                <w:rFonts w:ascii="Arial" w:cs="Arial" w:eastAsia="Arial" w:hAnsi="Arial"/>
                <w:sz w:val="19"/>
                <w:szCs w:val="19"/>
                <w:color w:val="auto"/>
              </w:rPr>
              <w:t>3,994</w:t>
            </w:r>
          </w:p>
        </w:tc>
        <w:tc>
          <w:tcPr>
            <w:tcW w:w="940" w:type="dxa"/>
            <w:vAlign w:val="bottom"/>
            <w:gridSpan w:val="3"/>
          </w:tcPr>
          <w:p>
            <w:pPr>
              <w:jc w:val="right"/>
              <w:ind w:right="160"/>
              <w:spacing w:after="0" w:line="214" w:lineRule="exact"/>
              <w:rPr>
                <w:sz w:val="20"/>
                <w:szCs w:val="20"/>
                <w:color w:val="auto"/>
              </w:rPr>
            </w:pPr>
            <w:r>
              <w:rPr>
                <w:rFonts w:ascii="Arial" w:cs="Arial" w:eastAsia="Arial" w:hAnsi="Arial"/>
                <w:sz w:val="19"/>
                <w:szCs w:val="19"/>
                <w:color w:val="auto"/>
              </w:rPr>
              <w:t>6,606</w:t>
            </w:r>
          </w:p>
        </w:tc>
        <w:tc>
          <w:tcPr>
            <w:tcW w:w="78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3,498</w:t>
            </w:r>
          </w:p>
        </w:tc>
        <w:tc>
          <w:tcPr>
            <w:tcW w:w="660" w:type="dxa"/>
            <w:vAlign w:val="bottom"/>
          </w:tcPr>
          <w:p>
            <w:pPr>
              <w:jc w:val="right"/>
              <w:spacing w:after="0" w:line="214" w:lineRule="exact"/>
              <w:rPr>
                <w:sz w:val="20"/>
                <w:szCs w:val="20"/>
                <w:color w:val="auto"/>
              </w:rPr>
            </w:pPr>
            <w:r>
              <w:rPr>
                <w:rFonts w:ascii="Arial" w:cs="Arial" w:eastAsia="Arial" w:hAnsi="Arial"/>
                <w:sz w:val="19"/>
                <w:szCs w:val="19"/>
                <w:color w:val="auto"/>
              </w:rPr>
              <w:t>6,151</w:t>
            </w:r>
          </w:p>
        </w:tc>
        <w:tc>
          <w:tcPr>
            <w:tcW w:w="1080" w:type="dxa"/>
            <w:vAlign w:val="bottom"/>
            <w:gridSpan w:val="3"/>
          </w:tcPr>
          <w:p>
            <w:pPr>
              <w:jc w:val="right"/>
              <w:ind w:right="160"/>
              <w:spacing w:after="0" w:line="214" w:lineRule="exact"/>
              <w:rPr>
                <w:sz w:val="20"/>
                <w:szCs w:val="20"/>
                <w:color w:val="auto"/>
              </w:rPr>
            </w:pPr>
            <w:r>
              <w:rPr>
                <w:rFonts w:ascii="Arial" w:cs="Arial" w:eastAsia="Arial" w:hAnsi="Arial"/>
                <w:sz w:val="19"/>
                <w:szCs w:val="19"/>
                <w:color w:val="auto"/>
              </w:rPr>
              <w:t>3,586</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Arial" w:cs="Arial" w:eastAsia="Arial" w:hAnsi="Arial"/>
                <w:sz w:val="19"/>
                <w:szCs w:val="19"/>
                <w:color w:val="auto"/>
              </w:rPr>
              <w:t>23,835</w:t>
            </w:r>
          </w:p>
        </w:tc>
        <w:tc>
          <w:tcPr>
            <w:tcW w:w="0" w:type="dxa"/>
            <w:vAlign w:val="bottom"/>
          </w:tcPr>
          <w:p>
            <w:pPr>
              <w:spacing w:after="0"/>
              <w:rPr>
                <w:sz w:val="1"/>
                <w:szCs w:val="1"/>
                <w:color w:val="auto"/>
              </w:rPr>
            </w:pPr>
          </w:p>
        </w:tc>
      </w:tr>
      <w:tr>
        <w:trPr>
          <w:trHeight w:val="215"/>
        </w:trPr>
        <w:tc>
          <w:tcPr>
            <w:tcW w:w="2940" w:type="dxa"/>
            <w:vAlign w:val="bottom"/>
          </w:tcPr>
          <w:p>
            <w:pPr>
              <w:ind w:left="140"/>
              <w:spacing w:after="0" w:line="214" w:lineRule="exact"/>
              <w:rPr>
                <w:sz w:val="20"/>
                <w:szCs w:val="20"/>
                <w:color w:val="auto"/>
              </w:rPr>
            </w:pPr>
            <w:r>
              <w:rPr>
                <w:rFonts w:ascii="Arial" w:cs="Arial" w:eastAsia="Arial" w:hAnsi="Arial"/>
                <w:sz w:val="19"/>
                <w:szCs w:val="19"/>
                <w:color w:val="auto"/>
              </w:rPr>
              <w:t>DEFERRED INCOME TAXES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3"/>
          </w:tcPr>
          <w:p>
            <w:pPr>
              <w:jc w:val="right"/>
              <w:ind w:right="160"/>
              <w:spacing w:after="0" w:line="214" w:lineRule="exact"/>
              <w:rPr>
                <w:sz w:val="20"/>
                <w:szCs w:val="20"/>
                <w:color w:val="auto"/>
              </w:rPr>
            </w:pPr>
            <w:r>
              <w:rPr>
                <w:rFonts w:ascii="Arial" w:cs="Arial" w:eastAsia="Arial" w:hAnsi="Arial"/>
                <w:sz w:val="19"/>
                <w:szCs w:val="19"/>
                <w:color w:val="auto"/>
              </w:rPr>
              <w:t>25,900</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Arial" w:cs="Arial" w:eastAsia="Arial" w:hAnsi="Arial"/>
                <w:sz w:val="19"/>
                <w:szCs w:val="19"/>
                <w:color w:val="auto"/>
              </w:rPr>
              <w:t>25,900</w:t>
            </w:r>
          </w:p>
        </w:tc>
        <w:tc>
          <w:tcPr>
            <w:tcW w:w="0" w:type="dxa"/>
            <w:vAlign w:val="bottom"/>
          </w:tcPr>
          <w:p>
            <w:pPr>
              <w:spacing w:after="0"/>
              <w:rPr>
                <w:sz w:val="1"/>
                <w:szCs w:val="1"/>
                <w:color w:val="auto"/>
              </w:rPr>
            </w:pPr>
          </w:p>
        </w:tc>
      </w:tr>
      <w:tr>
        <w:trPr>
          <w:trHeight w:val="215"/>
        </w:trPr>
        <w:tc>
          <w:tcPr>
            <w:tcW w:w="2940" w:type="dxa"/>
            <w:vAlign w:val="bottom"/>
          </w:tcPr>
          <w:p>
            <w:pPr>
              <w:ind w:left="140"/>
              <w:spacing w:after="0" w:line="214" w:lineRule="exact"/>
              <w:rPr>
                <w:sz w:val="20"/>
                <w:szCs w:val="20"/>
                <w:color w:val="auto"/>
              </w:rPr>
            </w:pPr>
            <w:r>
              <w:rPr>
                <w:rFonts w:ascii="Arial" w:cs="Arial" w:eastAsia="Arial" w:hAnsi="Arial"/>
                <w:sz w:val="19"/>
                <w:szCs w:val="19"/>
                <w:color w:val="auto"/>
              </w:rPr>
              <w:t>OTHER NONCURRENT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line="214" w:lineRule="exact"/>
              <w:rPr>
                <w:sz w:val="20"/>
                <w:szCs w:val="20"/>
                <w:color w:val="auto"/>
              </w:rPr>
            </w:pPr>
            <w:r>
              <w:rPr>
                <w:rFonts w:ascii="Arial" w:cs="Arial" w:eastAsia="Arial" w:hAnsi="Arial"/>
                <w:sz w:val="19"/>
                <w:szCs w:val="19"/>
                <w:color w:val="auto"/>
              </w:rPr>
              <w:t>LIABILITIES</w:t>
            </w:r>
          </w:p>
        </w:tc>
        <w:tc>
          <w:tcPr>
            <w:tcW w:w="640" w:type="dxa"/>
            <w:vAlign w:val="bottom"/>
          </w:tcPr>
          <w:p>
            <w:pPr>
              <w:jc w:val="right"/>
              <w:spacing w:after="0" w:line="214" w:lineRule="exact"/>
              <w:rPr>
                <w:sz w:val="20"/>
                <w:szCs w:val="20"/>
                <w:color w:val="auto"/>
              </w:rPr>
            </w:pPr>
            <w:r>
              <w:rPr>
                <w:rFonts w:ascii="Arial" w:cs="Arial" w:eastAsia="Arial" w:hAnsi="Arial"/>
                <w:sz w:val="19"/>
                <w:szCs w:val="19"/>
                <w:color w:val="auto"/>
              </w:rPr>
              <w:t>380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3"/>
          </w:tcPr>
          <w:p>
            <w:pPr>
              <w:jc w:val="right"/>
              <w:ind w:right="160"/>
              <w:spacing w:after="0" w:line="214" w:lineRule="exact"/>
              <w:rPr>
                <w:sz w:val="20"/>
                <w:szCs w:val="20"/>
                <w:color w:val="auto"/>
              </w:rPr>
            </w:pPr>
            <w:r>
              <w:rPr>
                <w:rFonts w:ascii="Arial" w:cs="Arial" w:eastAsia="Arial" w:hAnsi="Arial"/>
                <w:sz w:val="19"/>
                <w:szCs w:val="19"/>
                <w:color w:val="auto"/>
              </w:rPr>
              <w:t>7,436</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Arial" w:cs="Arial" w:eastAsia="Arial" w:hAnsi="Arial"/>
                <w:sz w:val="19"/>
                <w:szCs w:val="19"/>
                <w:color w:val="auto"/>
              </w:rPr>
              <w:t>7,816</w:t>
            </w:r>
          </w:p>
        </w:tc>
        <w:tc>
          <w:tcPr>
            <w:tcW w:w="0" w:type="dxa"/>
            <w:vAlign w:val="bottom"/>
          </w:tcPr>
          <w:p>
            <w:pPr>
              <w:spacing w:after="0"/>
              <w:rPr>
                <w:sz w:val="1"/>
                <w:szCs w:val="1"/>
                <w:color w:val="auto"/>
              </w:rPr>
            </w:pPr>
          </w:p>
        </w:tc>
      </w:tr>
      <w:tr>
        <w:trPr>
          <w:trHeight w:val="242"/>
        </w:trPr>
        <w:tc>
          <w:tcPr>
            <w:tcW w:w="2940" w:type="dxa"/>
            <w:vAlign w:val="bottom"/>
          </w:tcPr>
          <w:p>
            <w:pPr>
              <w:ind w:left="140"/>
              <w:spacing w:after="0"/>
              <w:rPr>
                <w:sz w:val="20"/>
                <w:szCs w:val="20"/>
                <w:color w:val="auto"/>
              </w:rPr>
            </w:pPr>
            <w:r>
              <w:rPr>
                <w:rFonts w:ascii="Arial" w:cs="Arial" w:eastAsia="Arial" w:hAnsi="Arial"/>
                <w:sz w:val="19"/>
                <w:szCs w:val="19"/>
                <w:color w:val="auto"/>
              </w:rPr>
              <w:t>MINORITY INTEREST</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9"/>
                <w:szCs w:val="19"/>
                <w:color w:val="auto"/>
              </w:rPr>
              <w:t>292</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292</w:t>
            </w:r>
          </w:p>
        </w:tc>
        <w:tc>
          <w:tcPr>
            <w:tcW w:w="0" w:type="dxa"/>
            <w:vAlign w:val="bottom"/>
          </w:tcPr>
          <w:p>
            <w:pPr>
              <w:spacing w:after="0"/>
              <w:rPr>
                <w:sz w:val="1"/>
                <w:szCs w:val="1"/>
                <w:color w:val="auto"/>
              </w:rPr>
            </w:pPr>
          </w:p>
        </w:tc>
      </w:tr>
      <w:tr>
        <w:trPr>
          <w:trHeight w:val="402"/>
        </w:trPr>
        <w:tc>
          <w:tcPr>
            <w:tcW w:w="2940" w:type="dxa"/>
            <w:vAlign w:val="bottom"/>
          </w:tcPr>
          <w:p>
            <w:pPr>
              <w:spacing w:after="0"/>
              <w:rPr>
                <w:sz w:val="20"/>
                <w:szCs w:val="20"/>
                <w:color w:val="auto"/>
              </w:rPr>
            </w:pPr>
            <w:r>
              <w:rPr>
                <w:rFonts w:ascii="Arial" w:cs="Arial" w:eastAsia="Arial" w:hAnsi="Arial"/>
                <w:sz w:val="19"/>
                <w:szCs w:val="19"/>
                <w:color w:val="auto"/>
              </w:rPr>
              <w:t>STOCKHOLDERS' EQUITY</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40" w:type="dxa"/>
            <w:vAlign w:val="bottom"/>
          </w:tcPr>
          <w:p>
            <w:pPr>
              <w:ind w:left="140"/>
              <w:spacing w:after="0" w:line="214" w:lineRule="exact"/>
              <w:rPr>
                <w:sz w:val="20"/>
                <w:szCs w:val="20"/>
                <w:color w:val="auto"/>
              </w:rPr>
            </w:pPr>
            <w:r>
              <w:rPr>
                <w:rFonts w:ascii="Arial" w:cs="Arial" w:eastAsia="Arial" w:hAnsi="Arial"/>
                <w:sz w:val="19"/>
                <w:szCs w:val="19"/>
                <w:color w:val="auto"/>
              </w:rPr>
              <w:t>Common stock</w:t>
            </w:r>
          </w:p>
        </w:tc>
        <w:tc>
          <w:tcPr>
            <w:tcW w:w="640" w:type="dxa"/>
            <w:vAlign w:val="bottom"/>
          </w:tcPr>
          <w:p>
            <w:pPr>
              <w:jc w:val="right"/>
              <w:spacing w:after="0" w:line="214" w:lineRule="exact"/>
              <w:rPr>
                <w:sz w:val="20"/>
                <w:szCs w:val="20"/>
                <w:color w:val="auto"/>
              </w:rPr>
            </w:pPr>
            <w:r>
              <w:rPr>
                <w:rFonts w:ascii="Arial" w:cs="Arial" w:eastAsia="Arial" w:hAnsi="Arial"/>
                <w:sz w:val="19"/>
                <w:szCs w:val="19"/>
                <w:color w:val="auto"/>
              </w:rPr>
              <w:t>25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Arial" w:cs="Arial" w:eastAsia="Arial" w:hAnsi="Arial"/>
                <w:sz w:val="19"/>
                <w:szCs w:val="19"/>
                <w:color w:val="auto"/>
              </w:rPr>
              <w:t>25</w:t>
            </w:r>
          </w:p>
        </w:tc>
        <w:tc>
          <w:tcPr>
            <w:tcW w:w="0" w:type="dxa"/>
            <w:vAlign w:val="bottom"/>
          </w:tcPr>
          <w:p>
            <w:pPr>
              <w:spacing w:after="0"/>
              <w:rPr>
                <w:sz w:val="1"/>
                <w:szCs w:val="1"/>
                <w:color w:val="auto"/>
              </w:rPr>
            </w:pPr>
          </w:p>
        </w:tc>
      </w:tr>
      <w:tr>
        <w:trPr>
          <w:trHeight w:val="242"/>
        </w:trPr>
        <w:tc>
          <w:tcPr>
            <w:tcW w:w="2940" w:type="dxa"/>
            <w:vAlign w:val="bottom"/>
          </w:tcPr>
          <w:p>
            <w:pPr>
              <w:ind w:left="140"/>
              <w:spacing w:after="0"/>
              <w:rPr>
                <w:sz w:val="20"/>
                <w:szCs w:val="20"/>
                <w:color w:val="auto"/>
              </w:rPr>
            </w:pPr>
            <w:r>
              <w:rPr>
                <w:rFonts w:ascii="Arial" w:cs="Arial" w:eastAsia="Arial" w:hAnsi="Arial"/>
                <w:sz w:val="19"/>
                <w:szCs w:val="19"/>
                <w:color w:val="auto"/>
              </w:rPr>
              <w:t>Other stockholders' equity</w:t>
            </w:r>
          </w:p>
        </w:tc>
        <w:tc>
          <w:tcPr>
            <w:tcW w:w="640" w:type="dxa"/>
            <w:vAlign w:val="bottom"/>
          </w:tcPr>
          <w:p>
            <w:pPr>
              <w:jc w:val="right"/>
              <w:spacing w:after="0"/>
              <w:rPr>
                <w:sz w:val="20"/>
                <w:szCs w:val="20"/>
                <w:color w:val="auto"/>
              </w:rPr>
            </w:pPr>
            <w:r>
              <w:rPr>
                <w:rFonts w:ascii="Arial" w:cs="Arial" w:eastAsia="Arial" w:hAnsi="Arial"/>
                <w:sz w:val="19"/>
                <w:szCs w:val="19"/>
                <w:color w:val="auto"/>
              </w:rPr>
              <w:t>41,637</w:t>
            </w:r>
          </w:p>
        </w:tc>
        <w:tc>
          <w:tcPr>
            <w:tcW w:w="940" w:type="dxa"/>
            <w:vAlign w:val="bottom"/>
            <w:gridSpan w:val="3"/>
          </w:tcPr>
          <w:p>
            <w:pPr>
              <w:jc w:val="right"/>
              <w:ind w:right="160"/>
              <w:spacing w:after="0"/>
              <w:rPr>
                <w:sz w:val="20"/>
                <w:szCs w:val="20"/>
                <w:color w:val="auto"/>
              </w:rPr>
            </w:pPr>
            <w:r>
              <w:rPr>
                <w:rFonts w:ascii="Arial" w:cs="Arial" w:eastAsia="Arial" w:hAnsi="Arial"/>
                <w:sz w:val="19"/>
                <w:szCs w:val="19"/>
                <w:color w:val="auto"/>
              </w:rPr>
              <w:t>19,678</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29,598</w:t>
            </w:r>
          </w:p>
        </w:tc>
        <w:tc>
          <w:tcPr>
            <w:tcW w:w="660" w:type="dxa"/>
            <w:vAlign w:val="bottom"/>
          </w:tcPr>
          <w:p>
            <w:pPr>
              <w:jc w:val="right"/>
              <w:spacing w:after="0"/>
              <w:rPr>
                <w:sz w:val="20"/>
                <w:szCs w:val="20"/>
                <w:color w:val="auto"/>
              </w:rPr>
            </w:pPr>
            <w:r>
              <w:rPr>
                <w:rFonts w:ascii="Arial" w:cs="Arial" w:eastAsia="Arial" w:hAnsi="Arial"/>
                <w:sz w:val="19"/>
                <w:szCs w:val="19"/>
                <w:color w:val="auto"/>
              </w:rPr>
              <w:t>33,138</w:t>
            </w:r>
          </w:p>
        </w:tc>
        <w:tc>
          <w:tcPr>
            <w:tcW w:w="1080" w:type="dxa"/>
            <w:vAlign w:val="bottom"/>
            <w:gridSpan w:val="3"/>
          </w:tcPr>
          <w:p>
            <w:pPr>
              <w:jc w:val="right"/>
              <w:ind w:right="160"/>
              <w:spacing w:after="0"/>
              <w:rPr>
                <w:sz w:val="20"/>
                <w:szCs w:val="20"/>
                <w:color w:val="auto"/>
              </w:rPr>
            </w:pPr>
            <w:r>
              <w:rPr>
                <w:rFonts w:ascii="Arial" w:cs="Arial" w:eastAsia="Arial" w:hAnsi="Arial"/>
                <w:sz w:val="19"/>
                <w:szCs w:val="19"/>
                <w:color w:val="auto"/>
              </w:rPr>
              <w:t>83,232</w:t>
            </w: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(165,646)</w:t>
            </w:r>
          </w:p>
        </w:tc>
        <w:tc>
          <w:tcPr>
            <w:tcW w:w="840" w:type="dxa"/>
            <w:vAlign w:val="bottom"/>
          </w:tcPr>
          <w:p>
            <w:pPr>
              <w:jc w:val="right"/>
              <w:spacing w:after="0"/>
              <w:rPr>
                <w:sz w:val="20"/>
                <w:szCs w:val="20"/>
                <w:color w:val="auto"/>
              </w:rPr>
            </w:pPr>
            <w:r>
              <w:rPr>
                <w:rFonts w:ascii="Arial" w:cs="Arial" w:eastAsia="Arial" w:hAnsi="Arial"/>
                <w:sz w:val="19"/>
                <w:szCs w:val="19"/>
                <w:color w:val="auto"/>
              </w:rPr>
              <w:t>41,637</w:t>
            </w:r>
          </w:p>
        </w:tc>
        <w:tc>
          <w:tcPr>
            <w:tcW w:w="0" w:type="dxa"/>
            <w:vAlign w:val="bottom"/>
          </w:tcPr>
          <w:p>
            <w:pPr>
              <w:spacing w:after="0"/>
              <w:rPr>
                <w:sz w:val="1"/>
                <w:szCs w:val="1"/>
                <w:color w:val="auto"/>
              </w:rPr>
            </w:pPr>
          </w:p>
        </w:tc>
      </w:tr>
      <w:tr>
        <w:trPr>
          <w:trHeight w:val="87"/>
        </w:trPr>
        <w:tc>
          <w:tcPr>
            <w:tcW w:w="294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40" w:type="dxa"/>
            <w:vAlign w:val="bottom"/>
          </w:tcPr>
          <w:p>
            <w:pPr>
              <w:ind w:left="240"/>
              <w:spacing w:after="0"/>
              <w:rPr>
                <w:sz w:val="20"/>
                <w:szCs w:val="20"/>
                <w:color w:val="auto"/>
              </w:rPr>
            </w:pPr>
            <w:r>
              <w:rPr>
                <w:rFonts w:ascii="Arial" w:cs="Arial" w:eastAsia="Arial" w:hAnsi="Arial"/>
                <w:sz w:val="19"/>
                <w:szCs w:val="19"/>
                <w:color w:val="auto"/>
              </w:rPr>
              <w:t>Total Stockholders' Equity</w:t>
            </w:r>
          </w:p>
        </w:tc>
        <w:tc>
          <w:tcPr>
            <w:tcW w:w="640" w:type="dxa"/>
            <w:vAlign w:val="bottom"/>
          </w:tcPr>
          <w:p>
            <w:pPr>
              <w:jc w:val="right"/>
              <w:spacing w:after="0"/>
              <w:rPr>
                <w:sz w:val="20"/>
                <w:szCs w:val="20"/>
                <w:color w:val="auto"/>
              </w:rPr>
            </w:pPr>
            <w:r>
              <w:rPr>
                <w:rFonts w:ascii="Arial" w:cs="Arial" w:eastAsia="Arial" w:hAnsi="Arial"/>
                <w:sz w:val="19"/>
                <w:szCs w:val="19"/>
                <w:color w:val="auto"/>
              </w:rPr>
              <w:t>41,662</w:t>
            </w:r>
          </w:p>
        </w:tc>
        <w:tc>
          <w:tcPr>
            <w:tcW w:w="940" w:type="dxa"/>
            <w:vAlign w:val="bottom"/>
            <w:gridSpan w:val="3"/>
          </w:tcPr>
          <w:p>
            <w:pPr>
              <w:jc w:val="right"/>
              <w:ind w:right="160"/>
              <w:spacing w:after="0"/>
              <w:rPr>
                <w:sz w:val="20"/>
                <w:szCs w:val="20"/>
                <w:color w:val="auto"/>
              </w:rPr>
            </w:pPr>
            <w:r>
              <w:rPr>
                <w:rFonts w:ascii="Arial" w:cs="Arial" w:eastAsia="Arial" w:hAnsi="Arial"/>
                <w:sz w:val="19"/>
                <w:szCs w:val="19"/>
                <w:color w:val="auto"/>
              </w:rPr>
              <w:t>19,678</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29,598</w:t>
            </w:r>
          </w:p>
        </w:tc>
        <w:tc>
          <w:tcPr>
            <w:tcW w:w="660" w:type="dxa"/>
            <w:vAlign w:val="bottom"/>
          </w:tcPr>
          <w:p>
            <w:pPr>
              <w:jc w:val="right"/>
              <w:spacing w:after="0"/>
              <w:rPr>
                <w:sz w:val="20"/>
                <w:szCs w:val="20"/>
                <w:color w:val="auto"/>
              </w:rPr>
            </w:pPr>
            <w:r>
              <w:rPr>
                <w:rFonts w:ascii="Arial" w:cs="Arial" w:eastAsia="Arial" w:hAnsi="Arial"/>
                <w:sz w:val="19"/>
                <w:szCs w:val="19"/>
                <w:color w:val="auto"/>
              </w:rPr>
              <w:t>33,138</w:t>
            </w:r>
          </w:p>
        </w:tc>
        <w:tc>
          <w:tcPr>
            <w:tcW w:w="1080" w:type="dxa"/>
            <w:vAlign w:val="bottom"/>
            <w:gridSpan w:val="3"/>
          </w:tcPr>
          <w:p>
            <w:pPr>
              <w:jc w:val="right"/>
              <w:ind w:right="160"/>
              <w:spacing w:after="0"/>
              <w:rPr>
                <w:sz w:val="20"/>
                <w:szCs w:val="20"/>
                <w:color w:val="auto"/>
              </w:rPr>
            </w:pPr>
            <w:r>
              <w:rPr>
                <w:rFonts w:ascii="Arial" w:cs="Arial" w:eastAsia="Arial" w:hAnsi="Arial"/>
                <w:sz w:val="19"/>
                <w:szCs w:val="19"/>
                <w:color w:val="auto"/>
              </w:rPr>
              <w:t>83,232</w:t>
            </w: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(165,646)</w:t>
            </w:r>
          </w:p>
        </w:tc>
        <w:tc>
          <w:tcPr>
            <w:tcW w:w="840" w:type="dxa"/>
            <w:vAlign w:val="bottom"/>
          </w:tcPr>
          <w:p>
            <w:pPr>
              <w:jc w:val="right"/>
              <w:spacing w:after="0"/>
              <w:rPr>
                <w:sz w:val="20"/>
                <w:szCs w:val="20"/>
                <w:color w:val="auto"/>
              </w:rPr>
            </w:pPr>
            <w:r>
              <w:rPr>
                <w:rFonts w:ascii="Arial" w:cs="Arial" w:eastAsia="Arial" w:hAnsi="Arial"/>
                <w:sz w:val="19"/>
                <w:szCs w:val="19"/>
                <w:color w:val="auto"/>
              </w:rPr>
              <w:t>41,662</w:t>
            </w:r>
          </w:p>
        </w:tc>
        <w:tc>
          <w:tcPr>
            <w:tcW w:w="0" w:type="dxa"/>
            <w:vAlign w:val="bottom"/>
          </w:tcPr>
          <w:p>
            <w:pPr>
              <w:spacing w:after="0"/>
              <w:rPr>
                <w:sz w:val="1"/>
                <w:szCs w:val="1"/>
                <w:color w:val="auto"/>
              </w:rPr>
            </w:pPr>
          </w:p>
        </w:tc>
      </w:tr>
      <w:tr>
        <w:trPr>
          <w:trHeight w:val="87"/>
        </w:trPr>
        <w:tc>
          <w:tcPr>
            <w:tcW w:w="2940" w:type="dxa"/>
            <w:vAlign w:val="bottom"/>
            <w:vMerge w:val="restart"/>
          </w:tcPr>
          <w:p>
            <w:pPr>
              <w:ind w:left="240"/>
              <w:spacing w:after="0"/>
              <w:rPr>
                <w:sz w:val="20"/>
                <w:szCs w:val="20"/>
                <w:color w:val="auto"/>
              </w:rPr>
            </w:pPr>
            <w:r>
              <w:rPr>
                <w:rFonts w:ascii="Arial" w:cs="Arial" w:eastAsia="Arial" w:hAnsi="Arial"/>
                <w:sz w:val="19"/>
                <w:szCs w:val="19"/>
                <w:color w:val="auto"/>
              </w:rPr>
              <w:t>Total Liabilities and</w:t>
            </w:r>
          </w:p>
        </w:tc>
        <w:tc>
          <w:tcPr>
            <w:tcW w:w="6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940" w:type="dxa"/>
            <w:vAlign w:val="bottom"/>
          </w:tcPr>
          <w:p>
            <w:pPr>
              <w:spacing w:after="0"/>
              <w:rPr>
                <w:sz w:val="20"/>
                <w:szCs w:val="20"/>
                <w:color w:val="auto"/>
              </w:rPr>
            </w:pPr>
            <w:r>
              <w:rPr>
                <w:rFonts w:ascii="Arial" w:cs="Arial" w:eastAsia="Arial" w:hAnsi="Arial"/>
                <w:sz w:val="19"/>
                <w:szCs w:val="19"/>
                <w:color w:val="auto"/>
              </w:rPr>
              <w:t>Stockholders' Equity</w:t>
            </w:r>
          </w:p>
        </w:tc>
        <w:tc>
          <w:tcPr>
            <w:tcW w:w="640" w:type="dxa"/>
            <w:vAlign w:val="bottom"/>
          </w:tcPr>
          <w:p>
            <w:pPr>
              <w:jc w:val="right"/>
              <w:spacing w:after="0"/>
              <w:rPr>
                <w:sz w:val="20"/>
                <w:szCs w:val="20"/>
                <w:color w:val="auto"/>
              </w:rPr>
            </w:pPr>
            <w:r>
              <w:rPr>
                <w:rFonts w:ascii="Arial" w:cs="Arial" w:eastAsia="Arial" w:hAnsi="Arial"/>
                <w:sz w:val="19"/>
                <w:szCs w:val="19"/>
                <w:color w:val="auto"/>
                <w:w w:val="90"/>
              </w:rPr>
              <w:t>$46,427</w:t>
            </w:r>
          </w:p>
        </w:tc>
        <w:tc>
          <w:tcPr>
            <w:tcW w:w="940" w:type="dxa"/>
            <w:vAlign w:val="bottom"/>
            <w:gridSpan w:val="3"/>
          </w:tcPr>
          <w:p>
            <w:pPr>
              <w:jc w:val="right"/>
              <w:ind w:right="160"/>
              <w:spacing w:after="0"/>
              <w:rPr>
                <w:sz w:val="20"/>
                <w:szCs w:val="20"/>
                <w:color w:val="auto"/>
              </w:rPr>
            </w:pPr>
            <w:r>
              <w:rPr>
                <w:rFonts w:ascii="Arial" w:cs="Arial" w:eastAsia="Arial" w:hAnsi="Arial"/>
                <w:sz w:val="19"/>
                <w:szCs w:val="19"/>
                <w:color w:val="auto"/>
              </w:rPr>
              <w:t>$26,686</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w w:val="87"/>
              </w:rPr>
              <w:t>$33,172</w:t>
            </w:r>
          </w:p>
        </w:tc>
        <w:tc>
          <w:tcPr>
            <w:tcW w:w="660" w:type="dxa"/>
            <w:vAlign w:val="bottom"/>
          </w:tcPr>
          <w:p>
            <w:pPr>
              <w:jc w:val="right"/>
              <w:spacing w:after="0"/>
              <w:rPr>
                <w:sz w:val="20"/>
                <w:szCs w:val="20"/>
                <w:color w:val="auto"/>
              </w:rPr>
            </w:pPr>
            <w:r>
              <w:rPr>
                <w:rFonts w:ascii="Arial" w:cs="Arial" w:eastAsia="Arial" w:hAnsi="Arial"/>
                <w:sz w:val="19"/>
                <w:szCs w:val="19"/>
                <w:color w:val="auto"/>
                <w:w w:val="93"/>
              </w:rPr>
              <w:t>$39,919</w:t>
            </w:r>
          </w:p>
        </w:tc>
        <w:tc>
          <w:tcPr>
            <w:tcW w:w="1080" w:type="dxa"/>
            <w:vAlign w:val="bottom"/>
            <w:gridSpan w:val="3"/>
          </w:tcPr>
          <w:p>
            <w:pPr>
              <w:jc w:val="right"/>
              <w:ind w:right="160"/>
              <w:spacing w:after="0"/>
              <w:rPr>
                <w:sz w:val="20"/>
                <w:szCs w:val="20"/>
                <w:color w:val="auto"/>
              </w:rPr>
            </w:pPr>
            <w:r>
              <w:rPr>
                <w:rFonts w:ascii="Arial" w:cs="Arial" w:eastAsia="Arial" w:hAnsi="Arial"/>
                <w:sz w:val="19"/>
                <w:szCs w:val="19"/>
                <w:color w:val="auto"/>
              </w:rPr>
              <w:t>$128,601</w:t>
            </w: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w w:val="97"/>
              </w:rPr>
              <w:t>($165,646)</w:t>
            </w:r>
          </w:p>
        </w:tc>
        <w:tc>
          <w:tcPr>
            <w:tcW w:w="840" w:type="dxa"/>
            <w:vAlign w:val="bottom"/>
          </w:tcPr>
          <w:p>
            <w:pPr>
              <w:jc w:val="right"/>
              <w:spacing w:after="0"/>
              <w:rPr>
                <w:sz w:val="20"/>
                <w:szCs w:val="20"/>
                <w:color w:val="auto"/>
              </w:rPr>
            </w:pPr>
            <w:r>
              <w:rPr>
                <w:rFonts w:ascii="Arial" w:cs="Arial" w:eastAsia="Arial" w:hAnsi="Arial"/>
                <w:sz w:val="19"/>
                <w:szCs w:val="19"/>
                <w:color w:val="auto"/>
              </w:rPr>
              <w:t>$109,159</w:t>
            </w:r>
          </w:p>
        </w:tc>
        <w:tc>
          <w:tcPr>
            <w:tcW w:w="0" w:type="dxa"/>
            <w:vAlign w:val="bottom"/>
          </w:tcPr>
          <w:p>
            <w:pPr>
              <w:spacing w:after="0"/>
              <w:rPr>
                <w:sz w:val="1"/>
                <w:szCs w:val="1"/>
                <w:color w:val="auto"/>
              </w:rPr>
            </w:pPr>
          </w:p>
        </w:tc>
      </w:tr>
      <w:tr>
        <w:trPr>
          <w:trHeight w:val="95"/>
        </w:trPr>
        <w:tc>
          <w:tcPr>
            <w:tcW w:w="29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05"/>
        </w:trPr>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65"/>
              <w:spacing w:after="0"/>
              <w:rPr>
                <w:sz w:val="20"/>
                <w:szCs w:val="20"/>
                <w:color w:val="auto"/>
              </w:rPr>
            </w:pPr>
            <w:r>
              <w:rPr>
                <w:rFonts w:ascii="Arial" w:cs="Arial" w:eastAsia="Arial" w:hAnsi="Arial"/>
                <w:sz w:val="19"/>
                <w:szCs w:val="19"/>
                <w:color w:val="auto"/>
              </w:rPr>
              <w:t>19</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-334010</wp:posOffset>
            </wp:positionV>
            <wp:extent cx="1270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-334010</wp:posOffset>
            </wp:positionV>
            <wp:extent cx="1270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-334010</wp:posOffset>
            </wp:positionV>
            <wp:extent cx="1270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-334010</wp:posOffset>
            </wp:positionV>
            <wp:extent cx="1270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-334010</wp:posOffset>
            </wp:positionV>
            <wp:extent cx="1270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-334010</wp:posOffset>
            </wp:positionV>
            <wp:extent cx="1270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-334010</wp:posOffset>
            </wp:positionV>
            <wp:extent cx="1270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-334010</wp:posOffset>
            </wp:positionV>
            <wp:extent cx="1270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-334010</wp:posOffset>
            </wp:positionV>
            <wp:extent cx="1270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-334010</wp:posOffset>
            </wp:positionV>
            <wp:extent cx="1270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-334010</wp:posOffset>
            </wp:positionV>
            <wp:extent cx="1270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-334010</wp:posOffset>
            </wp:positionV>
            <wp:extent cx="1270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-334010</wp:posOffset>
            </wp:positionV>
            <wp:extent cx="1270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-334010</wp:posOffset>
            </wp:positionV>
            <wp:extent cx="1270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116205</wp:posOffset>
            </wp:positionV>
            <wp:extent cx="727773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46"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FORM 10-Q</w:t>
      </w:r>
    </w:p>
    <w:p>
      <w:pPr>
        <w:jc w:val="center"/>
        <w:ind w:right="-1160"/>
        <w:spacing w:after="0" w:line="235" w:lineRule="auto"/>
        <w:rPr>
          <w:sz w:val="20"/>
          <w:szCs w:val="20"/>
          <w:color w:val="auto"/>
        </w:rPr>
      </w:pPr>
      <w:r>
        <w:rPr>
          <w:rFonts w:ascii="Arial" w:cs="Arial" w:eastAsia="Arial" w:hAnsi="Arial"/>
          <w:sz w:val="19"/>
          <w:szCs w:val="19"/>
          <w:color w:val="auto"/>
        </w:rPr>
        <w:t>QUARTER ENDED MARCH 31, 2004</w:t>
      </w:r>
    </w:p>
    <w:p>
      <w:pPr>
        <w:spacing w:after="0" w:line="1"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p>
      <w:pPr>
        <w:jc w:val="center"/>
        <w:ind w:right="1159"/>
        <w:spacing w:after="0"/>
        <w:rPr>
          <w:sz w:val="20"/>
          <w:szCs w:val="20"/>
          <w:color w:val="auto"/>
        </w:rPr>
      </w:pPr>
      <w:r>
        <w:rPr>
          <w:rFonts w:ascii="Arial" w:cs="Arial" w:eastAsia="Arial" w:hAnsi="Arial"/>
          <w:sz w:val="19"/>
          <w:szCs w:val="19"/>
          <w:color w:val="auto"/>
        </w:rPr>
        <w:t>Comcast Corporation</w:t>
      </w:r>
    </w:p>
    <w:p>
      <w:pPr>
        <w:spacing w:after="0" w:line="8" w:lineRule="exact"/>
        <w:rPr>
          <w:sz w:val="20"/>
          <w:szCs w:val="20"/>
          <w:color w:val="auto"/>
        </w:rPr>
      </w:pPr>
    </w:p>
    <w:p>
      <w:pPr>
        <w:jc w:val="center"/>
        <w:ind w:right="1159"/>
        <w:spacing w:after="0"/>
        <w:rPr>
          <w:sz w:val="20"/>
          <w:szCs w:val="20"/>
          <w:color w:val="auto"/>
        </w:rPr>
      </w:pPr>
      <w:r>
        <w:rPr>
          <w:rFonts w:ascii="Arial" w:cs="Arial" w:eastAsia="Arial" w:hAnsi="Arial"/>
          <w:sz w:val="19"/>
          <w:szCs w:val="19"/>
          <w:color w:val="auto"/>
        </w:rPr>
        <w:t>Condensed Consolidating Statement of Operations</w:t>
      </w:r>
    </w:p>
    <w:p>
      <w:pPr>
        <w:jc w:val="center"/>
        <w:ind w:right="1159"/>
        <w:spacing w:after="0"/>
        <w:rPr>
          <w:sz w:val="20"/>
          <w:szCs w:val="20"/>
          <w:color w:val="auto"/>
        </w:rPr>
      </w:pPr>
      <w:r>
        <w:rPr>
          <w:rFonts w:ascii="Arial" w:cs="Arial" w:eastAsia="Arial" w:hAnsi="Arial"/>
          <w:sz w:val="19"/>
          <w:szCs w:val="19"/>
          <w:color w:val="auto"/>
        </w:rPr>
        <w:t>For the Three Months Ended March 31, 2004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Elimination</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color w:val="auto"/>
                <w:w w:val="87"/>
              </w:rPr>
              <w:t>Combined</w:t>
            </w:r>
          </w:p>
        </w:tc>
        <w:tc>
          <w:tcPr>
            <w:tcW w:w="94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Non-</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82"/>
              </w:rPr>
              <w:t>and</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color w:val="auto"/>
                <w:w w:val="87"/>
              </w:rPr>
              <w:t>Consolidated</w:t>
            </w: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6"/>
                <w:szCs w:val="16"/>
                <w:color w:val="auto"/>
                <w:w w:val="85"/>
              </w:rPr>
              <w:t>Comcast</w:t>
            </w:r>
          </w:p>
        </w:tc>
        <w:tc>
          <w:tcPr>
            <w:tcW w:w="780" w:type="dxa"/>
            <w:vAlign w:val="bottom"/>
            <w:gridSpan w:val="2"/>
          </w:tcPr>
          <w:p>
            <w:pPr>
              <w:jc w:val="center"/>
              <w:ind w:right="160"/>
              <w:spacing w:after="0"/>
              <w:rPr>
                <w:sz w:val="20"/>
                <w:szCs w:val="20"/>
                <w:color w:val="auto"/>
              </w:rPr>
            </w:pPr>
            <w:r>
              <w:rPr>
                <w:rFonts w:ascii="Arial" w:cs="Arial" w:eastAsia="Arial" w:hAnsi="Arial"/>
                <w:sz w:val="16"/>
                <w:szCs w:val="16"/>
                <w:color w:val="auto"/>
                <w:w w:val="96"/>
              </w:rPr>
              <w:t>CCCL</w:t>
            </w:r>
          </w:p>
        </w:tc>
        <w:tc>
          <w:tcPr>
            <w:tcW w:w="78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CCCH</w:t>
            </w:r>
          </w:p>
        </w:tc>
        <w:tc>
          <w:tcPr>
            <w:tcW w:w="82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CCHMO</w:t>
            </w:r>
          </w:p>
        </w:tc>
        <w:tc>
          <w:tcPr>
            <w:tcW w:w="94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Guarantor</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Consolidation</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color w:val="auto"/>
                <w:w w:val="88"/>
              </w:rPr>
              <w:t>Comcast</w:t>
            </w: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6"/>
                <w:szCs w:val="16"/>
                <w:color w:val="auto"/>
                <w:w w:val="80"/>
              </w:rPr>
              <w:t>Parent</w:t>
            </w:r>
          </w:p>
        </w:tc>
        <w:tc>
          <w:tcPr>
            <w:tcW w:w="780" w:type="dxa"/>
            <w:vAlign w:val="bottom"/>
            <w:gridSpan w:val="2"/>
          </w:tcPr>
          <w:p>
            <w:pPr>
              <w:jc w:val="center"/>
              <w:ind w:right="140"/>
              <w:spacing w:after="0"/>
              <w:rPr>
                <w:sz w:val="20"/>
                <w:szCs w:val="20"/>
                <w:color w:val="auto"/>
              </w:rPr>
            </w:pPr>
            <w:r>
              <w:rPr>
                <w:rFonts w:ascii="Arial" w:cs="Arial" w:eastAsia="Arial" w:hAnsi="Arial"/>
                <w:sz w:val="16"/>
                <w:szCs w:val="16"/>
                <w:color w:val="auto"/>
                <w:w w:val="84"/>
              </w:rPr>
              <w:t>Parent</w:t>
            </w:r>
          </w:p>
        </w:tc>
        <w:tc>
          <w:tcPr>
            <w:tcW w:w="780" w:type="dxa"/>
            <w:vAlign w:val="bottom"/>
            <w:gridSpan w:val="2"/>
          </w:tcPr>
          <w:p>
            <w:pPr>
              <w:jc w:val="center"/>
              <w:ind w:right="180"/>
              <w:spacing w:after="0"/>
              <w:rPr>
                <w:sz w:val="20"/>
                <w:szCs w:val="20"/>
                <w:color w:val="auto"/>
              </w:rPr>
            </w:pPr>
            <w:r>
              <w:rPr>
                <w:rFonts w:ascii="Arial" w:cs="Arial" w:eastAsia="Arial" w:hAnsi="Arial"/>
                <w:sz w:val="16"/>
                <w:szCs w:val="16"/>
                <w:color w:val="auto"/>
                <w:w w:val="84"/>
              </w:rPr>
              <w:t>Parent</w:t>
            </w:r>
          </w:p>
        </w:tc>
        <w:tc>
          <w:tcPr>
            <w:tcW w:w="820" w:type="dxa"/>
            <w:vAlign w:val="bottom"/>
            <w:gridSpan w:val="2"/>
          </w:tcPr>
          <w:p>
            <w:pPr>
              <w:jc w:val="center"/>
              <w:ind w:right="160"/>
              <w:spacing w:after="0"/>
              <w:rPr>
                <w:sz w:val="20"/>
                <w:szCs w:val="20"/>
                <w:color w:val="auto"/>
              </w:rPr>
            </w:pPr>
            <w:r>
              <w:rPr>
                <w:rFonts w:ascii="Arial" w:cs="Arial" w:eastAsia="Arial" w:hAnsi="Arial"/>
                <w:sz w:val="16"/>
                <w:szCs w:val="16"/>
                <w:color w:val="auto"/>
                <w:w w:val="83"/>
              </w:rPr>
              <w:t>Parents</w:t>
            </w:r>
          </w:p>
        </w:tc>
        <w:tc>
          <w:tcPr>
            <w:tcW w:w="940" w:type="dxa"/>
            <w:vAlign w:val="bottom"/>
            <w:gridSpan w:val="2"/>
          </w:tcPr>
          <w:p>
            <w:pPr>
              <w:jc w:val="center"/>
              <w:ind w:right="180"/>
              <w:spacing w:after="0"/>
              <w:rPr>
                <w:sz w:val="20"/>
                <w:szCs w:val="20"/>
                <w:color w:val="auto"/>
              </w:rPr>
            </w:pPr>
            <w:r>
              <w:rPr>
                <w:rFonts w:ascii="Arial" w:cs="Arial" w:eastAsia="Arial" w:hAnsi="Arial"/>
                <w:sz w:val="16"/>
                <w:szCs w:val="16"/>
                <w:color w:val="auto"/>
                <w:w w:val="87"/>
              </w:rPr>
              <w:t>Subsidiaries</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Adjustments</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Corporation</w:t>
            </w:r>
          </w:p>
        </w:tc>
        <w:tc>
          <w:tcPr>
            <w:tcW w:w="0" w:type="dxa"/>
            <w:vAlign w:val="bottom"/>
          </w:tcPr>
          <w:p>
            <w:pPr>
              <w:spacing w:after="0"/>
              <w:rPr>
                <w:sz w:val="1"/>
                <w:szCs w:val="1"/>
                <w:color w:val="auto"/>
              </w:rPr>
            </w:pPr>
          </w:p>
        </w:tc>
      </w:tr>
      <w:tr>
        <w:trPr>
          <w:trHeight w:val="97"/>
        </w:trPr>
        <w:tc>
          <w:tcPr>
            <w:tcW w:w="2940" w:type="dxa"/>
            <w:vAlign w:val="bottom"/>
            <w:vMerge w:val="restart"/>
          </w:tcPr>
          <w:p>
            <w:pPr>
              <w:spacing w:after="0"/>
              <w:rPr>
                <w:sz w:val="20"/>
                <w:szCs w:val="20"/>
                <w:color w:val="auto"/>
              </w:rPr>
            </w:pPr>
            <w:r>
              <w:rPr>
                <w:rFonts w:ascii="Arial" w:cs="Arial" w:eastAsia="Arial" w:hAnsi="Arial"/>
                <w:sz w:val="19"/>
                <w:szCs w:val="19"/>
                <w:color w:val="auto"/>
              </w:rPr>
              <w:t>REVENUES</w:t>
            </w: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9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40" w:type="dxa"/>
            <w:vAlign w:val="bottom"/>
          </w:tcPr>
          <w:p>
            <w:pPr>
              <w:ind w:left="140"/>
              <w:spacing w:after="0" w:line="214" w:lineRule="exact"/>
              <w:rPr>
                <w:sz w:val="20"/>
                <w:szCs w:val="20"/>
                <w:color w:val="auto"/>
              </w:rPr>
            </w:pPr>
            <w:r>
              <w:rPr>
                <w:rFonts w:ascii="Arial" w:cs="Arial" w:eastAsia="Arial" w:hAnsi="Arial"/>
                <w:sz w:val="19"/>
                <w:szCs w:val="19"/>
                <w:color w:val="auto"/>
              </w:rPr>
              <w:t>Service revenues</w:t>
            </w:r>
          </w:p>
        </w:tc>
        <w:tc>
          <w:tcPr>
            <w:tcW w:w="620" w:type="dxa"/>
            <w:vAlign w:val="bottom"/>
          </w:tcPr>
          <w:p>
            <w:pPr>
              <w:jc w:val="center"/>
              <w:spacing w:after="0" w:line="214" w:lineRule="exact"/>
              <w:rPr>
                <w:sz w:val="20"/>
                <w:szCs w:val="20"/>
                <w:color w:val="auto"/>
              </w:rPr>
            </w:pPr>
            <w:r>
              <w:rPr>
                <w:rFonts w:ascii="Arial" w:cs="Arial" w:eastAsia="Arial" w:hAnsi="Arial"/>
                <w:sz w:val="19"/>
                <w:szCs w:val="19"/>
                <w:color w:val="auto"/>
                <w:w w:val="94"/>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line="214" w:lineRule="exact"/>
              <w:rPr>
                <w:sz w:val="20"/>
                <w:szCs w:val="20"/>
                <w:color w:val="auto"/>
              </w:rPr>
            </w:pPr>
            <w:r>
              <w:rPr>
                <w:rFonts w:ascii="Arial" w:cs="Arial" w:eastAsia="Arial" w:hAnsi="Arial"/>
                <w:sz w:val="19"/>
                <w:szCs w:val="19"/>
                <w:color w:val="auto"/>
                <w:w w:val="94"/>
              </w:rPr>
              <w:t>$</w:t>
            </w:r>
          </w:p>
        </w:tc>
        <w:tc>
          <w:tcPr>
            <w:tcW w:w="160" w:type="dxa"/>
            <w:vAlign w:val="bottom"/>
          </w:tcPr>
          <w:p>
            <w:pPr>
              <w:spacing w:after="0"/>
              <w:rPr>
                <w:sz w:val="18"/>
                <w:szCs w:val="18"/>
                <w:color w:val="auto"/>
              </w:rPr>
            </w:pPr>
          </w:p>
        </w:tc>
        <w:tc>
          <w:tcPr>
            <w:tcW w:w="620" w:type="dxa"/>
            <w:vAlign w:val="bottom"/>
          </w:tcPr>
          <w:p>
            <w:pPr>
              <w:jc w:val="center"/>
              <w:spacing w:after="0" w:line="214" w:lineRule="exact"/>
              <w:rPr>
                <w:sz w:val="20"/>
                <w:szCs w:val="20"/>
                <w:color w:val="auto"/>
              </w:rPr>
            </w:pPr>
            <w:r>
              <w:rPr>
                <w:rFonts w:ascii="Arial" w:cs="Arial" w:eastAsia="Arial" w:hAnsi="Arial"/>
                <w:sz w:val="19"/>
                <w:szCs w:val="19"/>
                <w:color w:val="auto"/>
                <w:w w:val="94"/>
              </w:rPr>
              <w:t>$</w:t>
            </w:r>
          </w:p>
        </w:tc>
        <w:tc>
          <w:tcPr>
            <w:tcW w:w="160" w:type="dxa"/>
            <w:vAlign w:val="bottom"/>
          </w:tcPr>
          <w:p>
            <w:pPr>
              <w:spacing w:after="0"/>
              <w:rPr>
                <w:sz w:val="18"/>
                <w:szCs w:val="18"/>
                <w:color w:val="auto"/>
              </w:rPr>
            </w:pPr>
          </w:p>
        </w:tc>
        <w:tc>
          <w:tcPr>
            <w:tcW w:w="660" w:type="dxa"/>
            <w:vAlign w:val="bottom"/>
          </w:tcPr>
          <w:p>
            <w:pPr>
              <w:jc w:val="center"/>
              <w:spacing w:after="0" w:line="214" w:lineRule="exact"/>
              <w:rPr>
                <w:sz w:val="20"/>
                <w:szCs w:val="20"/>
                <w:color w:val="auto"/>
              </w:rPr>
            </w:pPr>
            <w:r>
              <w:rPr>
                <w:rFonts w:ascii="Arial" w:cs="Arial" w:eastAsia="Arial" w:hAnsi="Arial"/>
                <w:sz w:val="19"/>
                <w:szCs w:val="19"/>
                <w:color w:val="auto"/>
                <w:w w:val="94"/>
              </w:rPr>
              <w:t>$</w:t>
            </w: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$4,908</w:t>
            </w:r>
          </w:p>
        </w:tc>
        <w:tc>
          <w:tcPr>
            <w:tcW w:w="180" w:type="dxa"/>
            <w:vAlign w:val="bottom"/>
          </w:tcPr>
          <w:p>
            <w:pPr>
              <w:spacing w:after="0"/>
              <w:rPr>
                <w:sz w:val="18"/>
                <w:szCs w:val="18"/>
                <w:color w:val="auto"/>
              </w:rPr>
            </w:pPr>
          </w:p>
        </w:tc>
        <w:tc>
          <w:tcPr>
            <w:tcW w:w="860" w:type="dxa"/>
            <w:vAlign w:val="bottom"/>
          </w:tcPr>
          <w:p>
            <w:pPr>
              <w:jc w:val="center"/>
              <w:spacing w:after="0" w:line="214" w:lineRule="exact"/>
              <w:rPr>
                <w:sz w:val="20"/>
                <w:szCs w:val="20"/>
                <w:color w:val="auto"/>
              </w:rPr>
            </w:pPr>
            <w:r>
              <w:rPr>
                <w:rFonts w:ascii="Arial" w:cs="Arial" w:eastAsia="Arial" w:hAnsi="Arial"/>
                <w:sz w:val="19"/>
                <w:szCs w:val="19"/>
                <w:color w:val="auto"/>
                <w:w w:val="94"/>
              </w:rPr>
              <w:t>$</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$4,908</w:t>
            </w:r>
          </w:p>
        </w:tc>
        <w:tc>
          <w:tcPr>
            <w:tcW w:w="0" w:type="dxa"/>
            <w:vAlign w:val="bottom"/>
          </w:tcPr>
          <w:p>
            <w:pPr>
              <w:spacing w:after="0"/>
              <w:rPr>
                <w:sz w:val="1"/>
                <w:szCs w:val="1"/>
                <w:color w:val="auto"/>
              </w:rPr>
            </w:pPr>
          </w:p>
        </w:tc>
      </w:tr>
      <w:tr>
        <w:trPr>
          <w:trHeight w:val="242"/>
        </w:trPr>
        <w:tc>
          <w:tcPr>
            <w:tcW w:w="2940" w:type="dxa"/>
            <w:vAlign w:val="bottom"/>
          </w:tcPr>
          <w:p>
            <w:pPr>
              <w:ind w:left="140"/>
              <w:spacing w:after="0"/>
              <w:rPr>
                <w:sz w:val="20"/>
                <w:szCs w:val="20"/>
                <w:color w:val="auto"/>
              </w:rPr>
            </w:pPr>
            <w:r>
              <w:rPr>
                <w:rFonts w:ascii="Arial" w:cs="Arial" w:eastAsia="Arial" w:hAnsi="Arial"/>
                <w:sz w:val="19"/>
                <w:szCs w:val="19"/>
                <w:color w:val="auto"/>
              </w:rPr>
              <w:t>Management fee revenue</w:t>
            </w:r>
          </w:p>
        </w:tc>
        <w:tc>
          <w:tcPr>
            <w:tcW w:w="640" w:type="dxa"/>
            <w:vAlign w:val="bottom"/>
            <w:gridSpan w:val="2"/>
          </w:tcPr>
          <w:p>
            <w:pPr>
              <w:jc w:val="right"/>
              <w:ind w:right="20"/>
              <w:spacing w:after="0"/>
              <w:rPr>
                <w:sz w:val="20"/>
                <w:szCs w:val="20"/>
                <w:color w:val="auto"/>
              </w:rPr>
            </w:pPr>
            <w:r>
              <w:rPr>
                <w:rFonts w:ascii="Arial" w:cs="Arial" w:eastAsia="Arial" w:hAnsi="Arial"/>
                <w:sz w:val="19"/>
                <w:szCs w:val="19"/>
                <w:color w:val="auto"/>
              </w:rPr>
              <w:t>98</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39</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61</w:t>
            </w:r>
          </w:p>
        </w:tc>
        <w:tc>
          <w:tcPr>
            <w:tcW w:w="660" w:type="dxa"/>
            <w:vAlign w:val="bottom"/>
          </w:tcPr>
          <w:p>
            <w:pPr>
              <w:jc w:val="right"/>
              <w:spacing w:after="0"/>
              <w:rPr>
                <w:sz w:val="20"/>
                <w:szCs w:val="20"/>
                <w:color w:val="auto"/>
              </w:rPr>
            </w:pPr>
            <w:r>
              <w:rPr>
                <w:rFonts w:ascii="Arial" w:cs="Arial" w:eastAsia="Arial" w:hAnsi="Arial"/>
                <w:sz w:val="19"/>
                <w:szCs w:val="19"/>
                <w:color w:val="auto"/>
              </w:rPr>
              <w:t>61</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(259)</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940" w:type="dxa"/>
            <w:vAlign w:val="bottom"/>
          </w:tcPr>
          <w:p>
            <w:pPr>
              <w:spacing w:after="0"/>
              <w:rPr>
                <w:sz w:val="7"/>
                <w:szCs w:val="7"/>
                <w:color w:val="auto"/>
              </w:rPr>
            </w:pPr>
          </w:p>
        </w:tc>
        <w:tc>
          <w:tcPr>
            <w:tcW w:w="640" w:type="dxa"/>
            <w:vAlign w:val="bottom"/>
            <w:tcBorders>
              <w:bottom w:val="single" w:sz="8" w:color="808080"/>
            </w:tcBorders>
            <w:gridSpan w:val="2"/>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9"/>
                <w:szCs w:val="19"/>
                <w:color w:val="auto"/>
              </w:rPr>
              <w:t>98</w:t>
            </w:r>
          </w:p>
        </w:tc>
        <w:tc>
          <w:tcPr>
            <w:tcW w:w="1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39</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61</w:t>
            </w:r>
          </w:p>
        </w:tc>
        <w:tc>
          <w:tcPr>
            <w:tcW w:w="660" w:type="dxa"/>
            <w:vAlign w:val="bottom"/>
          </w:tcPr>
          <w:p>
            <w:pPr>
              <w:jc w:val="right"/>
              <w:spacing w:after="0"/>
              <w:rPr>
                <w:sz w:val="20"/>
                <w:szCs w:val="20"/>
                <w:color w:val="auto"/>
              </w:rPr>
            </w:pPr>
            <w:r>
              <w:rPr>
                <w:rFonts w:ascii="Arial" w:cs="Arial" w:eastAsia="Arial" w:hAnsi="Arial"/>
                <w:sz w:val="19"/>
                <w:szCs w:val="19"/>
                <w:color w:val="auto"/>
              </w:rPr>
              <w:t>61</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4,908</w:t>
            </w:r>
          </w:p>
        </w:tc>
        <w:tc>
          <w:tcPr>
            <w:tcW w:w="1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(259)</w:t>
            </w: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4,908</w:t>
            </w:r>
          </w:p>
        </w:tc>
        <w:tc>
          <w:tcPr>
            <w:tcW w:w="0" w:type="dxa"/>
            <w:vAlign w:val="bottom"/>
          </w:tcPr>
          <w:p>
            <w:pPr>
              <w:spacing w:after="0"/>
              <w:rPr>
                <w:sz w:val="1"/>
                <w:szCs w:val="1"/>
                <w:color w:val="auto"/>
              </w:rPr>
            </w:pPr>
          </w:p>
        </w:tc>
      </w:tr>
      <w:tr>
        <w:trPr>
          <w:trHeight w:val="87"/>
        </w:trPr>
        <w:tc>
          <w:tcPr>
            <w:tcW w:w="2940" w:type="dxa"/>
            <w:vAlign w:val="bottom"/>
            <w:vMerge w:val="restart"/>
          </w:tcPr>
          <w:p>
            <w:pPr>
              <w:spacing w:after="0"/>
              <w:rPr>
                <w:sz w:val="20"/>
                <w:szCs w:val="20"/>
                <w:color w:val="auto"/>
              </w:rPr>
            </w:pPr>
            <w:r>
              <w:rPr>
                <w:rFonts w:ascii="Arial" w:cs="Arial" w:eastAsia="Arial" w:hAnsi="Arial"/>
                <w:sz w:val="19"/>
                <w:szCs w:val="19"/>
                <w:color w:val="auto"/>
              </w:rPr>
              <w:t>COSTS AND EXPENSES</w:t>
            </w:r>
          </w:p>
        </w:tc>
        <w:tc>
          <w:tcPr>
            <w:tcW w:w="6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40" w:type="dxa"/>
            <w:vAlign w:val="bottom"/>
          </w:tcPr>
          <w:p>
            <w:pPr>
              <w:ind w:left="140"/>
              <w:spacing w:after="0" w:line="214" w:lineRule="exact"/>
              <w:rPr>
                <w:sz w:val="20"/>
                <w:szCs w:val="20"/>
                <w:color w:val="auto"/>
              </w:rPr>
            </w:pPr>
            <w:r>
              <w:rPr>
                <w:rFonts w:ascii="Arial" w:cs="Arial" w:eastAsia="Arial" w:hAnsi="Arial"/>
                <w:sz w:val="19"/>
                <w:szCs w:val="19"/>
                <w:color w:val="auto"/>
              </w:rPr>
              <w:t>Operating (excluding</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line="214" w:lineRule="exact"/>
              <w:rPr>
                <w:sz w:val="20"/>
                <w:szCs w:val="20"/>
                <w:color w:val="auto"/>
              </w:rPr>
            </w:pPr>
            <w:r>
              <w:rPr>
                <w:rFonts w:ascii="Arial" w:cs="Arial" w:eastAsia="Arial" w:hAnsi="Arial"/>
                <w:sz w:val="19"/>
                <w:szCs w:val="19"/>
                <w:color w:val="auto"/>
              </w:rPr>
              <w:t>depreciation)</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1,869</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1,869</w:t>
            </w:r>
          </w:p>
        </w:tc>
        <w:tc>
          <w:tcPr>
            <w:tcW w:w="0" w:type="dxa"/>
            <w:vAlign w:val="bottom"/>
          </w:tcPr>
          <w:p>
            <w:pPr>
              <w:spacing w:after="0"/>
              <w:rPr>
                <w:sz w:val="1"/>
                <w:szCs w:val="1"/>
                <w:color w:val="auto"/>
              </w:rPr>
            </w:pPr>
          </w:p>
        </w:tc>
      </w:tr>
      <w:tr>
        <w:trPr>
          <w:trHeight w:val="215"/>
        </w:trPr>
        <w:tc>
          <w:tcPr>
            <w:tcW w:w="2940" w:type="dxa"/>
            <w:vAlign w:val="bottom"/>
          </w:tcPr>
          <w:p>
            <w:pPr>
              <w:ind w:left="140"/>
              <w:spacing w:after="0" w:line="214" w:lineRule="exact"/>
              <w:rPr>
                <w:sz w:val="20"/>
                <w:szCs w:val="20"/>
                <w:color w:val="auto"/>
              </w:rPr>
            </w:pPr>
            <w:r>
              <w:rPr>
                <w:rFonts w:ascii="Arial" w:cs="Arial" w:eastAsia="Arial" w:hAnsi="Arial"/>
                <w:sz w:val="19"/>
                <w:szCs w:val="19"/>
                <w:color w:val="auto"/>
              </w:rPr>
              <w:t>Selling, general and</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line="214" w:lineRule="exact"/>
              <w:rPr>
                <w:sz w:val="20"/>
                <w:szCs w:val="20"/>
                <w:color w:val="auto"/>
              </w:rPr>
            </w:pPr>
            <w:r>
              <w:rPr>
                <w:rFonts w:ascii="Arial" w:cs="Arial" w:eastAsia="Arial" w:hAnsi="Arial"/>
                <w:sz w:val="19"/>
                <w:szCs w:val="19"/>
                <w:color w:val="auto"/>
              </w:rPr>
              <w:t>administrative</w:t>
            </w:r>
          </w:p>
        </w:tc>
        <w:tc>
          <w:tcPr>
            <w:tcW w:w="640" w:type="dxa"/>
            <w:vAlign w:val="bottom"/>
            <w:gridSpan w:val="2"/>
          </w:tcPr>
          <w:p>
            <w:pPr>
              <w:jc w:val="right"/>
              <w:ind w:right="20"/>
              <w:spacing w:after="0" w:line="214" w:lineRule="exact"/>
              <w:rPr>
                <w:sz w:val="20"/>
                <w:szCs w:val="20"/>
                <w:color w:val="auto"/>
              </w:rPr>
            </w:pPr>
            <w:r>
              <w:rPr>
                <w:rFonts w:ascii="Arial" w:cs="Arial" w:eastAsia="Arial" w:hAnsi="Arial"/>
                <w:sz w:val="19"/>
                <w:szCs w:val="19"/>
                <w:color w:val="auto"/>
              </w:rPr>
              <w:t>44</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39</w:t>
            </w:r>
          </w:p>
        </w:tc>
        <w:tc>
          <w:tcPr>
            <w:tcW w:w="78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61</w:t>
            </w:r>
          </w:p>
        </w:tc>
        <w:tc>
          <w:tcPr>
            <w:tcW w:w="660" w:type="dxa"/>
            <w:vAlign w:val="bottom"/>
          </w:tcPr>
          <w:p>
            <w:pPr>
              <w:jc w:val="right"/>
              <w:spacing w:after="0" w:line="214" w:lineRule="exact"/>
              <w:rPr>
                <w:sz w:val="20"/>
                <w:szCs w:val="20"/>
                <w:color w:val="auto"/>
              </w:rPr>
            </w:pPr>
            <w:r>
              <w:rPr>
                <w:rFonts w:ascii="Arial" w:cs="Arial" w:eastAsia="Arial" w:hAnsi="Arial"/>
                <w:sz w:val="19"/>
                <w:szCs w:val="19"/>
                <w:color w:val="auto"/>
              </w:rPr>
              <w:t>61</w:t>
            </w: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1,360</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(259)</w:t>
            </w: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1,306</w:t>
            </w:r>
          </w:p>
        </w:tc>
        <w:tc>
          <w:tcPr>
            <w:tcW w:w="0" w:type="dxa"/>
            <w:vAlign w:val="bottom"/>
          </w:tcPr>
          <w:p>
            <w:pPr>
              <w:spacing w:after="0"/>
              <w:rPr>
                <w:sz w:val="1"/>
                <w:szCs w:val="1"/>
                <w:color w:val="auto"/>
              </w:rPr>
            </w:pPr>
          </w:p>
        </w:tc>
      </w:tr>
      <w:tr>
        <w:trPr>
          <w:trHeight w:val="215"/>
        </w:trPr>
        <w:tc>
          <w:tcPr>
            <w:tcW w:w="2940" w:type="dxa"/>
            <w:vAlign w:val="bottom"/>
          </w:tcPr>
          <w:p>
            <w:pPr>
              <w:ind w:left="140"/>
              <w:spacing w:after="0" w:line="214" w:lineRule="exact"/>
              <w:rPr>
                <w:sz w:val="20"/>
                <w:szCs w:val="20"/>
                <w:color w:val="auto"/>
              </w:rPr>
            </w:pPr>
            <w:r>
              <w:rPr>
                <w:rFonts w:ascii="Arial" w:cs="Arial" w:eastAsia="Arial" w:hAnsi="Arial"/>
                <w:sz w:val="19"/>
                <w:szCs w:val="19"/>
                <w:color w:val="auto"/>
              </w:rPr>
              <w:t>Depreciation</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798</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798</w:t>
            </w:r>
          </w:p>
        </w:tc>
        <w:tc>
          <w:tcPr>
            <w:tcW w:w="0" w:type="dxa"/>
            <w:vAlign w:val="bottom"/>
          </w:tcPr>
          <w:p>
            <w:pPr>
              <w:spacing w:after="0"/>
              <w:rPr>
                <w:sz w:val="1"/>
                <w:szCs w:val="1"/>
                <w:color w:val="auto"/>
              </w:rPr>
            </w:pPr>
          </w:p>
        </w:tc>
      </w:tr>
      <w:tr>
        <w:trPr>
          <w:trHeight w:val="242"/>
        </w:trPr>
        <w:tc>
          <w:tcPr>
            <w:tcW w:w="2940" w:type="dxa"/>
            <w:vAlign w:val="bottom"/>
          </w:tcPr>
          <w:p>
            <w:pPr>
              <w:ind w:left="120"/>
              <w:spacing w:after="0"/>
              <w:rPr>
                <w:sz w:val="20"/>
                <w:szCs w:val="20"/>
                <w:color w:val="auto"/>
              </w:rPr>
            </w:pPr>
            <w:r>
              <w:rPr>
                <w:rFonts w:ascii="Arial" w:cs="Arial" w:eastAsia="Arial" w:hAnsi="Arial"/>
                <w:sz w:val="19"/>
                <w:szCs w:val="19"/>
                <w:color w:val="auto"/>
              </w:rPr>
              <w:t>Amortization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276</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276</w:t>
            </w:r>
          </w:p>
        </w:tc>
        <w:tc>
          <w:tcPr>
            <w:tcW w:w="0" w:type="dxa"/>
            <w:vAlign w:val="bottom"/>
          </w:tcPr>
          <w:p>
            <w:pPr>
              <w:spacing w:after="0"/>
              <w:rPr>
                <w:sz w:val="1"/>
                <w:szCs w:val="1"/>
                <w:color w:val="auto"/>
              </w:rPr>
            </w:pPr>
          </w:p>
        </w:tc>
      </w:tr>
      <w:tr>
        <w:trPr>
          <w:trHeight w:val="87"/>
        </w:trPr>
        <w:tc>
          <w:tcPr>
            <w:tcW w:w="294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9"/>
                <w:szCs w:val="19"/>
                <w:color w:val="auto"/>
              </w:rPr>
              <w:t>44</w:t>
            </w:r>
          </w:p>
        </w:tc>
        <w:tc>
          <w:tcPr>
            <w:tcW w:w="1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39</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61</w:t>
            </w:r>
          </w:p>
        </w:tc>
        <w:tc>
          <w:tcPr>
            <w:tcW w:w="660" w:type="dxa"/>
            <w:vAlign w:val="bottom"/>
          </w:tcPr>
          <w:p>
            <w:pPr>
              <w:jc w:val="right"/>
              <w:spacing w:after="0"/>
              <w:rPr>
                <w:sz w:val="20"/>
                <w:szCs w:val="20"/>
                <w:color w:val="auto"/>
              </w:rPr>
            </w:pPr>
            <w:r>
              <w:rPr>
                <w:rFonts w:ascii="Arial" w:cs="Arial" w:eastAsia="Arial" w:hAnsi="Arial"/>
                <w:sz w:val="19"/>
                <w:szCs w:val="19"/>
                <w:color w:val="auto"/>
              </w:rPr>
              <w:t>61</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4,303</w:t>
            </w:r>
          </w:p>
        </w:tc>
        <w:tc>
          <w:tcPr>
            <w:tcW w:w="1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(259)</w:t>
            </w: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4,249</w:t>
            </w:r>
          </w:p>
        </w:tc>
        <w:tc>
          <w:tcPr>
            <w:tcW w:w="0" w:type="dxa"/>
            <w:vAlign w:val="bottom"/>
          </w:tcPr>
          <w:p>
            <w:pPr>
              <w:spacing w:after="0"/>
              <w:rPr>
                <w:sz w:val="1"/>
                <w:szCs w:val="1"/>
                <w:color w:val="auto"/>
              </w:rPr>
            </w:pPr>
          </w:p>
        </w:tc>
      </w:tr>
      <w:tr>
        <w:trPr>
          <w:trHeight w:val="87"/>
        </w:trPr>
        <w:tc>
          <w:tcPr>
            <w:tcW w:w="2940" w:type="dxa"/>
            <w:vAlign w:val="bottom"/>
          </w:tcPr>
          <w:p>
            <w:pPr>
              <w:spacing w:after="0"/>
              <w:rPr>
                <w:sz w:val="7"/>
                <w:szCs w:val="7"/>
                <w:color w:val="auto"/>
              </w:rPr>
            </w:pPr>
          </w:p>
        </w:tc>
        <w:tc>
          <w:tcPr>
            <w:tcW w:w="640" w:type="dxa"/>
            <w:vAlign w:val="bottom"/>
            <w:tcBorders>
              <w:bottom w:val="single" w:sz="8" w:color="808080"/>
            </w:tcBorders>
            <w:gridSpan w:val="2"/>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40" w:type="dxa"/>
            <w:vAlign w:val="bottom"/>
          </w:tcPr>
          <w:p>
            <w:pPr>
              <w:spacing w:after="0"/>
              <w:rPr>
                <w:sz w:val="20"/>
                <w:szCs w:val="20"/>
                <w:color w:val="auto"/>
              </w:rPr>
            </w:pPr>
            <w:r>
              <w:rPr>
                <w:rFonts w:ascii="Arial" w:cs="Arial" w:eastAsia="Arial" w:hAnsi="Arial"/>
                <w:sz w:val="19"/>
                <w:szCs w:val="19"/>
                <w:color w:val="auto"/>
              </w:rPr>
              <w:t>OPERATING INCOME</w:t>
            </w:r>
          </w:p>
        </w:tc>
        <w:tc>
          <w:tcPr>
            <w:tcW w:w="640" w:type="dxa"/>
            <w:vAlign w:val="bottom"/>
            <w:gridSpan w:val="2"/>
          </w:tcPr>
          <w:p>
            <w:pPr>
              <w:jc w:val="right"/>
              <w:ind w:right="20"/>
              <w:spacing w:after="0"/>
              <w:rPr>
                <w:sz w:val="20"/>
                <w:szCs w:val="20"/>
                <w:color w:val="auto"/>
              </w:rPr>
            </w:pPr>
            <w:r>
              <w:rPr>
                <w:rFonts w:ascii="Arial" w:cs="Arial" w:eastAsia="Arial" w:hAnsi="Arial"/>
                <w:sz w:val="19"/>
                <w:szCs w:val="19"/>
                <w:color w:val="auto"/>
              </w:rPr>
              <w:t>54</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605</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659</w:t>
            </w:r>
          </w:p>
        </w:tc>
        <w:tc>
          <w:tcPr>
            <w:tcW w:w="0" w:type="dxa"/>
            <w:vAlign w:val="bottom"/>
          </w:tcPr>
          <w:p>
            <w:pPr>
              <w:spacing w:after="0"/>
              <w:rPr>
                <w:sz w:val="1"/>
                <w:szCs w:val="1"/>
                <w:color w:val="auto"/>
              </w:rPr>
            </w:pPr>
          </w:p>
        </w:tc>
      </w:tr>
      <w:tr>
        <w:trPr>
          <w:trHeight w:val="402"/>
        </w:trPr>
        <w:tc>
          <w:tcPr>
            <w:tcW w:w="2940" w:type="dxa"/>
            <w:vAlign w:val="bottom"/>
          </w:tcPr>
          <w:p>
            <w:pPr>
              <w:spacing w:after="0"/>
              <w:rPr>
                <w:sz w:val="20"/>
                <w:szCs w:val="20"/>
                <w:color w:val="auto"/>
              </w:rPr>
            </w:pPr>
            <w:r>
              <w:rPr>
                <w:rFonts w:ascii="Arial" w:cs="Arial" w:eastAsia="Arial" w:hAnsi="Arial"/>
                <w:sz w:val="19"/>
                <w:szCs w:val="19"/>
                <w:color w:val="auto"/>
              </w:rPr>
              <w:t>OTHER INCOME (EXPENSE)</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40" w:type="dxa"/>
            <w:vAlign w:val="bottom"/>
          </w:tcPr>
          <w:p>
            <w:pPr>
              <w:ind w:left="140"/>
              <w:spacing w:after="0" w:line="214" w:lineRule="exact"/>
              <w:rPr>
                <w:sz w:val="20"/>
                <w:szCs w:val="20"/>
                <w:color w:val="auto"/>
              </w:rPr>
            </w:pPr>
            <w:r>
              <w:rPr>
                <w:rFonts w:ascii="Arial" w:cs="Arial" w:eastAsia="Arial" w:hAnsi="Arial"/>
                <w:sz w:val="19"/>
                <w:szCs w:val="19"/>
                <w:color w:val="auto"/>
              </w:rPr>
              <w:t>Interest expense</w:t>
            </w:r>
          </w:p>
        </w:tc>
        <w:tc>
          <w:tcPr>
            <w:tcW w:w="780" w:type="dxa"/>
            <w:vAlign w:val="bottom"/>
            <w:gridSpan w:val="3"/>
          </w:tcPr>
          <w:p>
            <w:pPr>
              <w:jc w:val="right"/>
              <w:ind w:right="100"/>
              <w:spacing w:after="0" w:line="214" w:lineRule="exact"/>
              <w:rPr>
                <w:sz w:val="20"/>
                <w:szCs w:val="20"/>
                <w:color w:val="auto"/>
              </w:rPr>
            </w:pPr>
            <w:r>
              <w:rPr>
                <w:rFonts w:ascii="Arial" w:cs="Arial" w:eastAsia="Arial" w:hAnsi="Arial"/>
                <w:sz w:val="19"/>
                <w:szCs w:val="19"/>
                <w:color w:val="auto"/>
              </w:rPr>
              <w:t>(102)</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(127)</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(76)</w:t>
            </w:r>
          </w:p>
        </w:tc>
        <w:tc>
          <w:tcPr>
            <w:tcW w:w="8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(101)</w:t>
            </w: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(94)</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(500)</w:t>
            </w:r>
          </w:p>
        </w:tc>
        <w:tc>
          <w:tcPr>
            <w:tcW w:w="0" w:type="dxa"/>
            <w:vAlign w:val="bottom"/>
          </w:tcPr>
          <w:p>
            <w:pPr>
              <w:spacing w:after="0"/>
              <w:rPr>
                <w:sz w:val="1"/>
                <w:szCs w:val="1"/>
                <w:color w:val="auto"/>
              </w:rPr>
            </w:pPr>
          </w:p>
        </w:tc>
      </w:tr>
      <w:tr>
        <w:trPr>
          <w:trHeight w:val="215"/>
        </w:trPr>
        <w:tc>
          <w:tcPr>
            <w:tcW w:w="2940" w:type="dxa"/>
            <w:vAlign w:val="bottom"/>
          </w:tcPr>
          <w:p>
            <w:pPr>
              <w:ind w:left="140"/>
              <w:spacing w:after="0" w:line="214" w:lineRule="exact"/>
              <w:rPr>
                <w:sz w:val="20"/>
                <w:szCs w:val="20"/>
                <w:color w:val="auto"/>
              </w:rPr>
            </w:pPr>
            <w:r>
              <w:rPr>
                <w:rFonts w:ascii="Arial" w:cs="Arial" w:eastAsia="Arial" w:hAnsi="Arial"/>
                <w:sz w:val="19"/>
                <w:szCs w:val="19"/>
                <w:color w:val="auto"/>
              </w:rPr>
              <w:t>Investment loss, net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(9)</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15"/>
        </w:trPr>
        <w:tc>
          <w:tcPr>
            <w:tcW w:w="2940" w:type="dxa"/>
            <w:vAlign w:val="bottom"/>
          </w:tcPr>
          <w:p>
            <w:pPr>
              <w:ind w:left="140"/>
              <w:spacing w:after="0" w:line="214" w:lineRule="exact"/>
              <w:rPr>
                <w:sz w:val="20"/>
                <w:szCs w:val="20"/>
                <w:color w:val="auto"/>
              </w:rPr>
            </w:pPr>
            <w:r>
              <w:rPr>
                <w:rFonts w:ascii="Arial" w:cs="Arial" w:eastAsia="Arial" w:hAnsi="Arial"/>
                <w:sz w:val="19"/>
                <w:szCs w:val="19"/>
                <w:color w:val="auto"/>
              </w:rPr>
              <w:t>Equity in net (losses) income of</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line="214" w:lineRule="exact"/>
              <w:rPr>
                <w:sz w:val="20"/>
                <w:szCs w:val="20"/>
                <w:color w:val="auto"/>
              </w:rPr>
            </w:pPr>
            <w:r>
              <w:rPr>
                <w:rFonts w:ascii="Arial" w:cs="Arial" w:eastAsia="Arial" w:hAnsi="Arial"/>
                <w:sz w:val="19"/>
                <w:szCs w:val="19"/>
                <w:color w:val="auto"/>
              </w:rPr>
              <w:t>affiliates</w:t>
            </w:r>
          </w:p>
        </w:tc>
        <w:tc>
          <w:tcPr>
            <w:tcW w:w="640" w:type="dxa"/>
            <w:vAlign w:val="bottom"/>
            <w:gridSpan w:val="2"/>
          </w:tcPr>
          <w:p>
            <w:pPr>
              <w:jc w:val="right"/>
              <w:ind w:right="20"/>
              <w:spacing w:after="0" w:line="214" w:lineRule="exact"/>
              <w:rPr>
                <w:sz w:val="20"/>
                <w:szCs w:val="20"/>
                <w:color w:val="auto"/>
              </w:rPr>
            </w:pPr>
            <w:r>
              <w:rPr>
                <w:rFonts w:ascii="Arial" w:cs="Arial" w:eastAsia="Arial" w:hAnsi="Arial"/>
                <w:sz w:val="19"/>
                <w:szCs w:val="19"/>
                <w:color w:val="auto"/>
              </w:rPr>
              <w:t>96</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268</w:t>
            </w:r>
          </w:p>
        </w:tc>
        <w:tc>
          <w:tcPr>
            <w:tcW w:w="78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93</w:t>
            </w:r>
          </w:p>
        </w:tc>
        <w:tc>
          <w:tcPr>
            <w:tcW w:w="660" w:type="dxa"/>
            <w:vAlign w:val="bottom"/>
          </w:tcPr>
          <w:p>
            <w:pPr>
              <w:jc w:val="right"/>
              <w:spacing w:after="0" w:line="214" w:lineRule="exact"/>
              <w:rPr>
                <w:sz w:val="20"/>
                <w:szCs w:val="20"/>
                <w:color w:val="auto"/>
              </w:rPr>
            </w:pPr>
            <w:r>
              <w:rPr>
                <w:rFonts w:ascii="Arial" w:cs="Arial" w:eastAsia="Arial" w:hAnsi="Arial"/>
                <w:sz w:val="19"/>
                <w:szCs w:val="19"/>
                <w:color w:val="auto"/>
              </w:rPr>
              <w:t>146</w:t>
            </w: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168</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(788)</w:t>
            </w: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42"/>
        </w:trPr>
        <w:tc>
          <w:tcPr>
            <w:tcW w:w="2940" w:type="dxa"/>
            <w:vAlign w:val="bottom"/>
          </w:tcPr>
          <w:p>
            <w:pPr>
              <w:ind w:left="140"/>
              <w:spacing w:after="0"/>
              <w:rPr>
                <w:sz w:val="20"/>
                <w:szCs w:val="20"/>
                <w:color w:val="auto"/>
              </w:rPr>
            </w:pPr>
            <w:r>
              <w:rPr>
                <w:rFonts w:ascii="Arial" w:cs="Arial" w:eastAsia="Arial" w:hAnsi="Arial"/>
                <w:sz w:val="19"/>
                <w:szCs w:val="19"/>
                <w:color w:val="auto"/>
              </w:rPr>
              <w:t>Other income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7</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87"/>
        </w:trPr>
        <w:tc>
          <w:tcPr>
            <w:tcW w:w="294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gridSpan w:val="2"/>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4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9"/>
                <w:szCs w:val="19"/>
                <w:color w:val="auto"/>
              </w:rPr>
              <w:t>(6)</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141</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17</w:t>
            </w:r>
          </w:p>
        </w:tc>
        <w:tc>
          <w:tcPr>
            <w:tcW w:w="660" w:type="dxa"/>
            <w:vAlign w:val="bottom"/>
          </w:tcPr>
          <w:p>
            <w:pPr>
              <w:jc w:val="right"/>
              <w:spacing w:after="0"/>
              <w:rPr>
                <w:sz w:val="20"/>
                <w:szCs w:val="20"/>
                <w:color w:val="auto"/>
              </w:rPr>
            </w:pPr>
            <w:r>
              <w:rPr>
                <w:rFonts w:ascii="Arial" w:cs="Arial" w:eastAsia="Arial" w:hAnsi="Arial"/>
                <w:sz w:val="19"/>
                <w:szCs w:val="19"/>
                <w:color w:val="auto"/>
              </w:rPr>
              <w:t>45</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72</w:t>
            </w:r>
          </w:p>
        </w:tc>
        <w:tc>
          <w:tcPr>
            <w:tcW w:w="1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(788)</w:t>
            </w: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(519)</w:t>
            </w:r>
          </w:p>
        </w:tc>
        <w:tc>
          <w:tcPr>
            <w:tcW w:w="0" w:type="dxa"/>
            <w:vAlign w:val="bottom"/>
          </w:tcPr>
          <w:p>
            <w:pPr>
              <w:spacing w:after="0"/>
              <w:rPr>
                <w:sz w:val="1"/>
                <w:szCs w:val="1"/>
                <w:color w:val="auto"/>
              </w:rPr>
            </w:pPr>
          </w:p>
        </w:tc>
      </w:tr>
      <w:tr>
        <w:trPr>
          <w:trHeight w:val="87"/>
        </w:trPr>
        <w:tc>
          <w:tcPr>
            <w:tcW w:w="2940" w:type="dxa"/>
            <w:vAlign w:val="bottom"/>
            <w:vMerge w:val="restart"/>
          </w:tcPr>
          <w:p>
            <w:pPr>
              <w:spacing w:after="0"/>
              <w:rPr>
                <w:sz w:val="20"/>
                <w:szCs w:val="20"/>
                <w:color w:val="auto"/>
              </w:rPr>
            </w:pPr>
            <w:r>
              <w:rPr>
                <w:rFonts w:ascii="Arial" w:cs="Arial" w:eastAsia="Arial" w:hAnsi="Arial"/>
                <w:sz w:val="19"/>
                <w:szCs w:val="19"/>
                <w:color w:val="auto"/>
              </w:rPr>
              <w:t>INCOME (LOSS) BEFORE</w:t>
            </w:r>
          </w:p>
        </w:tc>
        <w:tc>
          <w:tcPr>
            <w:tcW w:w="6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line="214" w:lineRule="exact"/>
              <w:rPr>
                <w:sz w:val="20"/>
                <w:szCs w:val="20"/>
                <w:color w:val="auto"/>
              </w:rPr>
            </w:pPr>
            <w:r>
              <w:rPr>
                <w:rFonts w:ascii="Arial" w:cs="Arial" w:eastAsia="Arial" w:hAnsi="Arial"/>
                <w:sz w:val="19"/>
                <w:szCs w:val="19"/>
                <w:color w:val="auto"/>
              </w:rPr>
              <w:t>INCOME TAXES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40" w:type="dxa"/>
            <w:vAlign w:val="bottom"/>
          </w:tcPr>
          <w:p>
            <w:pPr>
              <w:ind w:left="120"/>
              <w:spacing w:after="0"/>
              <w:rPr>
                <w:sz w:val="20"/>
                <w:szCs w:val="20"/>
                <w:color w:val="auto"/>
              </w:rPr>
            </w:pPr>
            <w:r>
              <w:rPr>
                <w:rFonts w:ascii="Arial" w:cs="Arial" w:eastAsia="Arial" w:hAnsi="Arial"/>
                <w:sz w:val="19"/>
                <w:szCs w:val="19"/>
                <w:color w:val="auto"/>
              </w:rPr>
              <w:t>AND MINORITY INTEREST</w:t>
            </w:r>
          </w:p>
        </w:tc>
        <w:tc>
          <w:tcPr>
            <w:tcW w:w="640" w:type="dxa"/>
            <w:vAlign w:val="bottom"/>
            <w:gridSpan w:val="2"/>
          </w:tcPr>
          <w:p>
            <w:pPr>
              <w:jc w:val="right"/>
              <w:ind w:right="20"/>
              <w:spacing w:after="0"/>
              <w:rPr>
                <w:sz w:val="20"/>
                <w:szCs w:val="20"/>
                <w:color w:val="auto"/>
              </w:rPr>
            </w:pPr>
            <w:r>
              <w:rPr>
                <w:rFonts w:ascii="Arial" w:cs="Arial" w:eastAsia="Arial" w:hAnsi="Arial"/>
                <w:sz w:val="19"/>
                <w:szCs w:val="19"/>
                <w:color w:val="auto"/>
              </w:rPr>
              <w:t>48</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141</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17</w:t>
            </w:r>
          </w:p>
        </w:tc>
        <w:tc>
          <w:tcPr>
            <w:tcW w:w="660" w:type="dxa"/>
            <w:vAlign w:val="bottom"/>
          </w:tcPr>
          <w:p>
            <w:pPr>
              <w:jc w:val="right"/>
              <w:spacing w:after="0"/>
              <w:rPr>
                <w:sz w:val="20"/>
                <w:szCs w:val="20"/>
                <w:color w:val="auto"/>
              </w:rPr>
            </w:pPr>
            <w:r>
              <w:rPr>
                <w:rFonts w:ascii="Arial" w:cs="Arial" w:eastAsia="Arial" w:hAnsi="Arial"/>
                <w:sz w:val="19"/>
                <w:szCs w:val="19"/>
                <w:color w:val="auto"/>
              </w:rPr>
              <w:t>45</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677</w:t>
            </w:r>
          </w:p>
        </w:tc>
        <w:tc>
          <w:tcPr>
            <w:tcW w:w="1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(788)</w:t>
            </w: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140</w:t>
            </w:r>
          </w:p>
        </w:tc>
        <w:tc>
          <w:tcPr>
            <w:tcW w:w="0" w:type="dxa"/>
            <w:vAlign w:val="bottom"/>
          </w:tcPr>
          <w:p>
            <w:pPr>
              <w:spacing w:after="0"/>
              <w:rPr>
                <w:sz w:val="1"/>
                <w:szCs w:val="1"/>
                <w:color w:val="auto"/>
              </w:rPr>
            </w:pPr>
          </w:p>
        </w:tc>
      </w:tr>
      <w:tr>
        <w:trPr>
          <w:trHeight w:val="402"/>
        </w:trPr>
        <w:tc>
          <w:tcPr>
            <w:tcW w:w="2940" w:type="dxa"/>
            <w:vAlign w:val="bottom"/>
          </w:tcPr>
          <w:p>
            <w:pPr>
              <w:spacing w:after="0"/>
              <w:rPr>
                <w:sz w:val="20"/>
                <w:szCs w:val="20"/>
                <w:color w:val="auto"/>
              </w:rPr>
            </w:pPr>
            <w:r>
              <w:rPr>
                <w:rFonts w:ascii="Arial" w:cs="Arial" w:eastAsia="Arial" w:hAnsi="Arial"/>
                <w:sz w:val="19"/>
                <w:szCs w:val="19"/>
                <w:color w:val="auto"/>
              </w:rPr>
              <w:t>INCOME TAX (EXPENSE)</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940" w:type="dxa"/>
            <w:vAlign w:val="bottom"/>
          </w:tcPr>
          <w:p>
            <w:pPr>
              <w:spacing w:after="0"/>
              <w:rPr>
                <w:sz w:val="20"/>
                <w:szCs w:val="20"/>
                <w:color w:val="auto"/>
              </w:rPr>
            </w:pPr>
            <w:r>
              <w:rPr>
                <w:rFonts w:ascii="Arial" w:cs="Arial" w:eastAsia="Arial" w:hAnsi="Arial"/>
                <w:sz w:val="19"/>
                <w:szCs w:val="19"/>
                <w:color w:val="auto"/>
              </w:rPr>
              <w:t>BENEFIT</w:t>
            </w:r>
          </w:p>
        </w:tc>
        <w:tc>
          <w:tcPr>
            <w:tcW w:w="640" w:type="dxa"/>
            <w:vAlign w:val="bottom"/>
            <w:gridSpan w:val="2"/>
          </w:tcPr>
          <w:p>
            <w:pPr>
              <w:jc w:val="right"/>
              <w:ind w:right="20"/>
              <w:spacing w:after="0"/>
              <w:rPr>
                <w:sz w:val="20"/>
                <w:szCs w:val="20"/>
                <w:color w:val="auto"/>
              </w:rPr>
            </w:pPr>
            <w:r>
              <w:rPr>
                <w:rFonts w:ascii="Arial" w:cs="Arial" w:eastAsia="Arial" w:hAnsi="Arial"/>
                <w:sz w:val="19"/>
                <w:szCs w:val="19"/>
                <w:color w:val="auto"/>
              </w:rPr>
              <w:t>17</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44</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27</w:t>
            </w:r>
          </w:p>
        </w:tc>
        <w:tc>
          <w:tcPr>
            <w:tcW w:w="660" w:type="dxa"/>
            <w:vAlign w:val="bottom"/>
          </w:tcPr>
          <w:p>
            <w:pPr>
              <w:jc w:val="right"/>
              <w:spacing w:after="0"/>
              <w:rPr>
                <w:sz w:val="20"/>
                <w:szCs w:val="20"/>
                <w:color w:val="auto"/>
              </w:rPr>
            </w:pPr>
            <w:r>
              <w:rPr>
                <w:rFonts w:ascii="Arial" w:cs="Arial" w:eastAsia="Arial" w:hAnsi="Arial"/>
                <w:sz w:val="19"/>
                <w:szCs w:val="19"/>
                <w:color w:val="auto"/>
              </w:rPr>
              <w:t>35</w:t>
            </w:r>
          </w:p>
        </w:tc>
        <w:tc>
          <w:tcPr>
            <w:tcW w:w="16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(199)</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(76)</w:t>
            </w:r>
          </w:p>
        </w:tc>
        <w:tc>
          <w:tcPr>
            <w:tcW w:w="0" w:type="dxa"/>
            <w:vAlign w:val="bottom"/>
          </w:tcPr>
          <w:p>
            <w:pPr>
              <w:spacing w:after="0"/>
              <w:rPr>
                <w:sz w:val="1"/>
                <w:szCs w:val="1"/>
                <w:color w:val="auto"/>
              </w:rPr>
            </w:pPr>
          </w:p>
        </w:tc>
      </w:tr>
      <w:tr>
        <w:trPr>
          <w:trHeight w:val="87"/>
        </w:trPr>
        <w:tc>
          <w:tcPr>
            <w:tcW w:w="294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7" w:right="1440"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940" w:type="dxa"/>
            <w:vAlign w:val="bottom"/>
          </w:tcPr>
          <w:p>
            <w:pPr>
              <w:spacing w:after="0"/>
              <w:rPr>
                <w:sz w:val="20"/>
                <w:szCs w:val="20"/>
                <w:color w:val="auto"/>
              </w:rPr>
            </w:pPr>
            <w:r>
              <w:rPr>
                <w:rFonts w:ascii="Arial" w:cs="Arial" w:eastAsia="Arial" w:hAnsi="Arial"/>
                <w:sz w:val="19"/>
                <w:szCs w:val="19"/>
                <w:color w:val="auto"/>
              </w:rPr>
              <w:t>INCOME (LOSS) BEFORE</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65</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185</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44</w:t>
            </w:r>
          </w:p>
        </w:tc>
        <w:tc>
          <w:tcPr>
            <w:tcW w:w="660" w:type="dxa"/>
            <w:vAlign w:val="bottom"/>
          </w:tcPr>
          <w:p>
            <w:pPr>
              <w:jc w:val="right"/>
              <w:spacing w:after="0"/>
              <w:rPr>
                <w:sz w:val="20"/>
                <w:szCs w:val="20"/>
                <w:color w:val="auto"/>
              </w:rPr>
            </w:pPr>
            <w:r>
              <w:rPr>
                <w:rFonts w:ascii="Arial" w:cs="Arial" w:eastAsia="Arial" w:hAnsi="Arial"/>
                <w:sz w:val="19"/>
                <w:szCs w:val="19"/>
                <w:color w:val="auto"/>
              </w:rPr>
              <w:t>80</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478</w:t>
            </w:r>
          </w:p>
        </w:tc>
        <w:tc>
          <w:tcPr>
            <w:tcW w:w="1200" w:type="dxa"/>
            <w:vAlign w:val="bottom"/>
            <w:gridSpan w:val="3"/>
          </w:tcPr>
          <w:p>
            <w:pPr>
              <w:jc w:val="right"/>
              <w:ind w:right="100"/>
              <w:spacing w:after="0"/>
              <w:rPr>
                <w:sz w:val="20"/>
                <w:szCs w:val="20"/>
                <w:color w:val="auto"/>
              </w:rPr>
            </w:pPr>
            <w:r>
              <w:rPr>
                <w:rFonts w:ascii="Arial" w:cs="Arial" w:eastAsia="Arial" w:hAnsi="Arial"/>
                <w:sz w:val="19"/>
                <w:szCs w:val="19"/>
                <w:color w:val="auto"/>
              </w:rPr>
              <w:t>(788)</w:t>
            </w:r>
          </w:p>
        </w:tc>
        <w:tc>
          <w:tcPr>
            <w:tcW w:w="84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242"/>
        </w:trPr>
        <w:tc>
          <w:tcPr>
            <w:tcW w:w="2940" w:type="dxa"/>
            <w:vAlign w:val="bottom"/>
          </w:tcPr>
          <w:p>
            <w:pPr>
              <w:spacing w:after="0"/>
              <w:rPr>
                <w:sz w:val="20"/>
                <w:szCs w:val="20"/>
                <w:color w:val="auto"/>
              </w:rPr>
            </w:pPr>
            <w:r>
              <w:rPr>
                <w:rFonts w:ascii="Arial" w:cs="Arial" w:eastAsia="Arial" w:hAnsi="Arial"/>
                <w:sz w:val="19"/>
                <w:szCs w:val="19"/>
                <w:color w:val="auto"/>
              </w:rPr>
              <w:t>MINORITY INTEREST</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429"/>
        </w:trPr>
        <w:tc>
          <w:tcPr>
            <w:tcW w:w="2940" w:type="dxa"/>
            <w:vAlign w:val="bottom"/>
          </w:tcPr>
          <w:p>
            <w:pPr>
              <w:spacing w:after="0"/>
              <w:rPr>
                <w:sz w:val="20"/>
                <w:szCs w:val="20"/>
                <w:color w:val="auto"/>
              </w:rPr>
            </w:pPr>
            <w:r>
              <w:rPr>
                <w:rFonts w:ascii="Arial" w:cs="Arial" w:eastAsia="Arial" w:hAnsi="Arial"/>
                <w:sz w:val="19"/>
                <w:szCs w:val="19"/>
                <w:color w:val="auto"/>
              </w:rPr>
              <w:t>MINORITY INTEREST</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87"/>
        </w:trPr>
        <w:tc>
          <w:tcPr>
            <w:tcW w:w="294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r>
      <w:tr>
        <w:trPr>
          <w:trHeight w:val="310"/>
        </w:trPr>
        <w:tc>
          <w:tcPr>
            <w:tcW w:w="2940" w:type="dxa"/>
            <w:vAlign w:val="bottom"/>
          </w:tcPr>
          <w:p>
            <w:pPr>
              <w:spacing w:after="0"/>
              <w:rPr>
                <w:sz w:val="20"/>
                <w:szCs w:val="20"/>
                <w:color w:val="auto"/>
              </w:rPr>
            </w:pPr>
            <w:r>
              <w:rPr>
                <w:rFonts w:ascii="Arial" w:cs="Arial" w:eastAsia="Arial" w:hAnsi="Arial"/>
                <w:sz w:val="19"/>
                <w:szCs w:val="19"/>
                <w:color w:val="auto"/>
              </w:rPr>
              <w:t>NET INCOME (LOSS)</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$65</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$185</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$44</w:t>
            </w:r>
          </w:p>
        </w:tc>
        <w:tc>
          <w:tcPr>
            <w:tcW w:w="660" w:type="dxa"/>
            <w:vAlign w:val="bottom"/>
          </w:tcPr>
          <w:p>
            <w:pPr>
              <w:jc w:val="right"/>
              <w:spacing w:after="0"/>
              <w:rPr>
                <w:sz w:val="20"/>
                <w:szCs w:val="20"/>
                <w:color w:val="auto"/>
              </w:rPr>
            </w:pPr>
            <w:r>
              <w:rPr>
                <w:rFonts w:ascii="Arial" w:cs="Arial" w:eastAsia="Arial" w:hAnsi="Arial"/>
                <w:sz w:val="19"/>
                <w:szCs w:val="19"/>
                <w:color w:val="auto"/>
              </w:rPr>
              <w:t>$80</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$479</w:t>
            </w:r>
          </w:p>
        </w:tc>
        <w:tc>
          <w:tcPr>
            <w:tcW w:w="1200" w:type="dxa"/>
            <w:vAlign w:val="bottom"/>
            <w:gridSpan w:val="3"/>
          </w:tcPr>
          <w:p>
            <w:pPr>
              <w:jc w:val="right"/>
              <w:ind w:right="100"/>
              <w:spacing w:after="0"/>
              <w:rPr>
                <w:sz w:val="20"/>
                <w:szCs w:val="20"/>
                <w:color w:val="auto"/>
              </w:rPr>
            </w:pPr>
            <w:r>
              <w:rPr>
                <w:rFonts w:ascii="Arial" w:cs="Arial" w:eastAsia="Arial" w:hAnsi="Arial"/>
                <w:sz w:val="19"/>
                <w:szCs w:val="19"/>
                <w:color w:val="auto"/>
              </w:rPr>
              <w:t>($788)</w:t>
            </w:r>
          </w:p>
        </w:tc>
        <w:tc>
          <w:tcPr>
            <w:tcW w:w="840" w:type="dxa"/>
            <w:vAlign w:val="bottom"/>
          </w:tcPr>
          <w:p>
            <w:pPr>
              <w:jc w:val="right"/>
              <w:spacing w:after="0"/>
              <w:rPr>
                <w:sz w:val="20"/>
                <w:szCs w:val="20"/>
                <w:color w:val="auto"/>
              </w:rPr>
            </w:pPr>
            <w:r>
              <w:rPr>
                <w:rFonts w:ascii="Arial" w:cs="Arial" w:eastAsia="Arial" w:hAnsi="Arial"/>
                <w:sz w:val="19"/>
                <w:szCs w:val="19"/>
                <w:color w:val="auto"/>
              </w:rPr>
              <w:t>$65</w:t>
            </w:r>
          </w:p>
        </w:tc>
      </w:tr>
      <w:tr>
        <w:trPr>
          <w:trHeight w:val="95"/>
        </w:trPr>
        <w:tc>
          <w:tcPr>
            <w:tcW w:w="29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r>
      <w:tr>
        <w:trPr>
          <w:trHeight w:val="505"/>
        </w:trPr>
        <w:tc>
          <w:tcPr>
            <w:tcW w:w="2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45"/>
              <w:spacing w:after="0"/>
              <w:rPr>
                <w:sz w:val="20"/>
                <w:szCs w:val="20"/>
                <w:color w:val="auto"/>
              </w:rPr>
            </w:pPr>
            <w:r>
              <w:rPr>
                <w:rFonts w:ascii="Arial" w:cs="Arial" w:eastAsia="Arial" w:hAnsi="Arial"/>
                <w:sz w:val="19"/>
                <w:szCs w:val="19"/>
                <w:color w:val="auto"/>
              </w:rPr>
              <w:t>20</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-334010</wp:posOffset>
            </wp:positionV>
            <wp:extent cx="1270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-334010</wp:posOffset>
            </wp:positionV>
            <wp:extent cx="1270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2743835</wp:posOffset>
            </wp:positionH>
            <wp:positionV relativeFrom="paragraph">
              <wp:posOffset>-334010</wp:posOffset>
            </wp:positionV>
            <wp:extent cx="1270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-334010</wp:posOffset>
            </wp:positionV>
            <wp:extent cx="1270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-334010</wp:posOffset>
            </wp:positionV>
            <wp:extent cx="1270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-334010</wp:posOffset>
            </wp:positionV>
            <wp:extent cx="1270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-334010</wp:posOffset>
            </wp:positionV>
            <wp:extent cx="1270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-334010</wp:posOffset>
            </wp:positionV>
            <wp:extent cx="1270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-334010</wp:posOffset>
            </wp:positionV>
            <wp:extent cx="1270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-334010</wp:posOffset>
            </wp:positionV>
            <wp:extent cx="1270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-334010</wp:posOffset>
            </wp:positionV>
            <wp:extent cx="1270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-334010</wp:posOffset>
            </wp:positionV>
            <wp:extent cx="1270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-334010</wp:posOffset>
            </wp:positionV>
            <wp:extent cx="1270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-334010</wp:posOffset>
            </wp:positionV>
            <wp:extent cx="1270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116205</wp:posOffset>
            </wp:positionV>
            <wp:extent cx="727773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46"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FORM 10-Q</w:t>
      </w:r>
    </w:p>
    <w:p>
      <w:pPr>
        <w:jc w:val="center"/>
        <w:ind w:right="-1160"/>
        <w:spacing w:after="0" w:line="235" w:lineRule="auto"/>
        <w:rPr>
          <w:sz w:val="20"/>
          <w:szCs w:val="20"/>
          <w:color w:val="auto"/>
        </w:rPr>
      </w:pPr>
      <w:r>
        <w:rPr>
          <w:rFonts w:ascii="Arial" w:cs="Arial" w:eastAsia="Arial" w:hAnsi="Arial"/>
          <w:sz w:val="19"/>
          <w:szCs w:val="19"/>
          <w:color w:val="auto"/>
        </w:rPr>
        <w:t>QUARTER ENDED MARCH 31, 2004</w:t>
      </w:r>
    </w:p>
    <w:p>
      <w:pPr>
        <w:spacing w:after="0" w:line="1"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p>
      <w:pPr>
        <w:jc w:val="center"/>
        <w:ind w:right="1159"/>
        <w:spacing w:after="0"/>
        <w:rPr>
          <w:sz w:val="20"/>
          <w:szCs w:val="20"/>
          <w:color w:val="auto"/>
        </w:rPr>
      </w:pPr>
      <w:r>
        <w:rPr>
          <w:rFonts w:ascii="Arial" w:cs="Arial" w:eastAsia="Arial" w:hAnsi="Arial"/>
          <w:sz w:val="19"/>
          <w:szCs w:val="19"/>
          <w:color w:val="auto"/>
        </w:rPr>
        <w:t>Comcast Corporation</w:t>
      </w:r>
    </w:p>
    <w:p>
      <w:pPr>
        <w:spacing w:after="0" w:line="8" w:lineRule="exact"/>
        <w:rPr>
          <w:sz w:val="20"/>
          <w:szCs w:val="20"/>
          <w:color w:val="auto"/>
        </w:rPr>
      </w:pPr>
    </w:p>
    <w:p>
      <w:pPr>
        <w:jc w:val="center"/>
        <w:ind w:right="1159"/>
        <w:spacing w:after="0"/>
        <w:rPr>
          <w:sz w:val="20"/>
          <w:szCs w:val="20"/>
          <w:color w:val="auto"/>
        </w:rPr>
      </w:pPr>
      <w:r>
        <w:rPr>
          <w:rFonts w:ascii="Arial" w:cs="Arial" w:eastAsia="Arial" w:hAnsi="Arial"/>
          <w:sz w:val="19"/>
          <w:szCs w:val="19"/>
          <w:color w:val="auto"/>
        </w:rPr>
        <w:t>Condensed Consolidating Statement of Operations</w:t>
      </w:r>
    </w:p>
    <w:p>
      <w:pPr>
        <w:jc w:val="center"/>
        <w:ind w:right="1159"/>
        <w:spacing w:after="0"/>
        <w:rPr>
          <w:sz w:val="20"/>
          <w:szCs w:val="20"/>
          <w:color w:val="auto"/>
        </w:rPr>
      </w:pPr>
      <w:r>
        <w:rPr>
          <w:rFonts w:ascii="Arial" w:cs="Arial" w:eastAsia="Arial" w:hAnsi="Arial"/>
          <w:sz w:val="19"/>
          <w:szCs w:val="19"/>
          <w:color w:val="auto"/>
        </w:rPr>
        <w:t>For the Three Months Ended March 31, 2003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Elimination</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color w:val="auto"/>
                <w:w w:val="87"/>
              </w:rPr>
              <w:t>Combined</w:t>
            </w:r>
          </w:p>
        </w:tc>
        <w:tc>
          <w:tcPr>
            <w:tcW w:w="94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Non-</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82"/>
              </w:rPr>
              <w:t>and</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color w:val="auto"/>
                <w:w w:val="87"/>
              </w:rPr>
              <w:t>Consolidated</w:t>
            </w:r>
          </w:p>
        </w:tc>
        <w:tc>
          <w:tcPr>
            <w:tcW w:w="0" w:type="dxa"/>
            <w:vAlign w:val="bottom"/>
          </w:tcPr>
          <w:p>
            <w:pPr>
              <w:spacing w:after="0"/>
              <w:rPr>
                <w:sz w:val="1"/>
                <w:szCs w:val="1"/>
                <w:color w:val="auto"/>
              </w:rPr>
            </w:pPr>
          </w:p>
        </w:tc>
      </w:tr>
      <w:tr>
        <w:trPr>
          <w:trHeight w:val="191"/>
        </w:trPr>
        <w:tc>
          <w:tcPr>
            <w:tcW w:w="2960" w:type="dxa"/>
            <w:vAlign w:val="bottom"/>
          </w:tcPr>
          <w:p>
            <w:pPr>
              <w:spacing w:after="0"/>
              <w:rPr>
                <w:sz w:val="16"/>
                <w:szCs w:val="16"/>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6"/>
                <w:szCs w:val="16"/>
                <w:color w:val="auto"/>
                <w:w w:val="85"/>
              </w:rPr>
              <w:t>Comcast</w:t>
            </w:r>
          </w:p>
        </w:tc>
        <w:tc>
          <w:tcPr>
            <w:tcW w:w="76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CCCL</w:t>
            </w:r>
          </w:p>
        </w:tc>
        <w:tc>
          <w:tcPr>
            <w:tcW w:w="78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CCCH</w:t>
            </w:r>
          </w:p>
        </w:tc>
        <w:tc>
          <w:tcPr>
            <w:tcW w:w="82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CCHMO</w:t>
            </w:r>
          </w:p>
        </w:tc>
        <w:tc>
          <w:tcPr>
            <w:tcW w:w="94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Guarantor</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Consolidation</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color w:val="auto"/>
                <w:w w:val="88"/>
              </w:rPr>
              <w:t>Comcast</w:t>
            </w: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6"/>
                <w:szCs w:val="16"/>
                <w:color w:val="auto"/>
                <w:w w:val="84"/>
              </w:rPr>
              <w:t>Parent</w:t>
            </w:r>
          </w:p>
        </w:tc>
        <w:tc>
          <w:tcPr>
            <w:tcW w:w="760" w:type="dxa"/>
            <w:vAlign w:val="bottom"/>
            <w:gridSpan w:val="2"/>
          </w:tcPr>
          <w:p>
            <w:pPr>
              <w:jc w:val="center"/>
              <w:ind w:right="160"/>
              <w:spacing w:after="0"/>
              <w:rPr>
                <w:sz w:val="20"/>
                <w:szCs w:val="20"/>
                <w:color w:val="auto"/>
              </w:rPr>
            </w:pPr>
            <w:r>
              <w:rPr>
                <w:rFonts w:ascii="Arial" w:cs="Arial" w:eastAsia="Arial" w:hAnsi="Arial"/>
                <w:sz w:val="16"/>
                <w:szCs w:val="16"/>
                <w:color w:val="auto"/>
                <w:w w:val="84"/>
              </w:rPr>
              <w:t>Parent</w:t>
            </w:r>
          </w:p>
        </w:tc>
        <w:tc>
          <w:tcPr>
            <w:tcW w:w="780" w:type="dxa"/>
            <w:vAlign w:val="bottom"/>
            <w:gridSpan w:val="2"/>
          </w:tcPr>
          <w:p>
            <w:pPr>
              <w:jc w:val="center"/>
              <w:ind w:right="180"/>
              <w:spacing w:after="0"/>
              <w:rPr>
                <w:sz w:val="20"/>
                <w:szCs w:val="20"/>
                <w:color w:val="auto"/>
              </w:rPr>
            </w:pPr>
            <w:r>
              <w:rPr>
                <w:rFonts w:ascii="Arial" w:cs="Arial" w:eastAsia="Arial" w:hAnsi="Arial"/>
                <w:sz w:val="16"/>
                <w:szCs w:val="16"/>
                <w:color w:val="auto"/>
                <w:w w:val="84"/>
              </w:rPr>
              <w:t>Parent</w:t>
            </w:r>
          </w:p>
        </w:tc>
        <w:tc>
          <w:tcPr>
            <w:tcW w:w="820" w:type="dxa"/>
            <w:vAlign w:val="bottom"/>
            <w:gridSpan w:val="2"/>
          </w:tcPr>
          <w:p>
            <w:pPr>
              <w:jc w:val="center"/>
              <w:ind w:right="160"/>
              <w:spacing w:after="0"/>
              <w:rPr>
                <w:sz w:val="20"/>
                <w:szCs w:val="20"/>
                <w:color w:val="auto"/>
              </w:rPr>
            </w:pPr>
            <w:r>
              <w:rPr>
                <w:rFonts w:ascii="Arial" w:cs="Arial" w:eastAsia="Arial" w:hAnsi="Arial"/>
                <w:sz w:val="16"/>
                <w:szCs w:val="16"/>
                <w:color w:val="auto"/>
                <w:w w:val="83"/>
              </w:rPr>
              <w:t>Parents</w:t>
            </w:r>
          </w:p>
        </w:tc>
        <w:tc>
          <w:tcPr>
            <w:tcW w:w="940" w:type="dxa"/>
            <w:vAlign w:val="bottom"/>
            <w:gridSpan w:val="2"/>
          </w:tcPr>
          <w:p>
            <w:pPr>
              <w:jc w:val="center"/>
              <w:ind w:right="180"/>
              <w:spacing w:after="0"/>
              <w:rPr>
                <w:sz w:val="20"/>
                <w:szCs w:val="20"/>
                <w:color w:val="auto"/>
              </w:rPr>
            </w:pPr>
            <w:r>
              <w:rPr>
                <w:rFonts w:ascii="Arial" w:cs="Arial" w:eastAsia="Arial" w:hAnsi="Arial"/>
                <w:sz w:val="16"/>
                <w:szCs w:val="16"/>
                <w:color w:val="auto"/>
                <w:w w:val="87"/>
              </w:rPr>
              <w:t>Subsidiaries</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Adjustments</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Corporation</w:t>
            </w:r>
          </w:p>
        </w:tc>
        <w:tc>
          <w:tcPr>
            <w:tcW w:w="0" w:type="dxa"/>
            <w:vAlign w:val="bottom"/>
          </w:tcPr>
          <w:p>
            <w:pPr>
              <w:spacing w:after="0"/>
              <w:rPr>
                <w:sz w:val="1"/>
                <w:szCs w:val="1"/>
                <w:color w:val="auto"/>
              </w:rPr>
            </w:pPr>
          </w:p>
        </w:tc>
      </w:tr>
      <w:tr>
        <w:trPr>
          <w:trHeight w:val="97"/>
        </w:trPr>
        <w:tc>
          <w:tcPr>
            <w:tcW w:w="2960" w:type="dxa"/>
            <w:vAlign w:val="bottom"/>
            <w:vMerge w:val="restart"/>
          </w:tcPr>
          <w:p>
            <w:pPr>
              <w:spacing w:after="0"/>
              <w:rPr>
                <w:sz w:val="20"/>
                <w:szCs w:val="20"/>
                <w:color w:val="auto"/>
              </w:rPr>
            </w:pPr>
            <w:r>
              <w:rPr>
                <w:rFonts w:ascii="Arial" w:cs="Arial" w:eastAsia="Arial" w:hAnsi="Arial"/>
                <w:sz w:val="19"/>
                <w:szCs w:val="19"/>
                <w:color w:val="auto"/>
              </w:rPr>
              <w:t>REVENUES</w:t>
            </w: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9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Service revenues</w:t>
            </w:r>
          </w:p>
        </w:tc>
        <w:tc>
          <w:tcPr>
            <w:tcW w:w="620" w:type="dxa"/>
            <w:vAlign w:val="bottom"/>
          </w:tcPr>
          <w:p>
            <w:pPr>
              <w:jc w:val="center"/>
              <w:spacing w:after="0" w:line="214" w:lineRule="exact"/>
              <w:rPr>
                <w:sz w:val="20"/>
                <w:szCs w:val="20"/>
                <w:color w:val="auto"/>
              </w:rPr>
            </w:pPr>
            <w:r>
              <w:rPr>
                <w:rFonts w:ascii="Arial" w:cs="Arial" w:eastAsia="Arial" w:hAnsi="Arial"/>
                <w:sz w:val="19"/>
                <w:szCs w:val="19"/>
                <w:color w:val="auto"/>
                <w:w w:val="94"/>
              </w:rPr>
              <w:t>$</w:t>
            </w:r>
          </w:p>
        </w:tc>
        <w:tc>
          <w:tcPr>
            <w:tcW w:w="160" w:type="dxa"/>
            <w:vAlign w:val="bottom"/>
          </w:tcPr>
          <w:p>
            <w:pPr>
              <w:spacing w:after="0"/>
              <w:rPr>
                <w:sz w:val="18"/>
                <w:szCs w:val="18"/>
                <w:color w:val="auto"/>
              </w:rPr>
            </w:pPr>
          </w:p>
        </w:tc>
        <w:tc>
          <w:tcPr>
            <w:tcW w:w="600" w:type="dxa"/>
            <w:vAlign w:val="bottom"/>
          </w:tcPr>
          <w:p>
            <w:pPr>
              <w:jc w:val="center"/>
              <w:spacing w:after="0" w:line="214" w:lineRule="exact"/>
              <w:rPr>
                <w:sz w:val="20"/>
                <w:szCs w:val="20"/>
                <w:color w:val="auto"/>
              </w:rPr>
            </w:pPr>
            <w:r>
              <w:rPr>
                <w:rFonts w:ascii="Arial" w:cs="Arial" w:eastAsia="Arial" w:hAnsi="Arial"/>
                <w:sz w:val="19"/>
                <w:szCs w:val="19"/>
                <w:color w:val="auto"/>
                <w:w w:val="75"/>
              </w:rPr>
              <w:t>$</w:t>
            </w:r>
          </w:p>
        </w:tc>
        <w:tc>
          <w:tcPr>
            <w:tcW w:w="160" w:type="dxa"/>
            <w:vAlign w:val="bottom"/>
          </w:tcPr>
          <w:p>
            <w:pPr>
              <w:spacing w:after="0"/>
              <w:rPr>
                <w:sz w:val="18"/>
                <w:szCs w:val="18"/>
                <w:color w:val="auto"/>
              </w:rPr>
            </w:pPr>
          </w:p>
        </w:tc>
        <w:tc>
          <w:tcPr>
            <w:tcW w:w="620" w:type="dxa"/>
            <w:vAlign w:val="bottom"/>
          </w:tcPr>
          <w:p>
            <w:pPr>
              <w:jc w:val="center"/>
              <w:spacing w:after="0" w:line="214" w:lineRule="exact"/>
              <w:rPr>
                <w:sz w:val="20"/>
                <w:szCs w:val="20"/>
                <w:color w:val="auto"/>
              </w:rPr>
            </w:pPr>
            <w:r>
              <w:rPr>
                <w:rFonts w:ascii="Arial" w:cs="Arial" w:eastAsia="Arial" w:hAnsi="Arial"/>
                <w:sz w:val="19"/>
                <w:szCs w:val="19"/>
                <w:color w:val="auto"/>
                <w:w w:val="94"/>
              </w:rPr>
              <w:t>$</w:t>
            </w:r>
          </w:p>
        </w:tc>
        <w:tc>
          <w:tcPr>
            <w:tcW w:w="160" w:type="dxa"/>
            <w:vAlign w:val="bottom"/>
          </w:tcPr>
          <w:p>
            <w:pPr>
              <w:spacing w:after="0"/>
              <w:rPr>
                <w:sz w:val="18"/>
                <w:szCs w:val="18"/>
                <w:color w:val="auto"/>
              </w:rPr>
            </w:pPr>
          </w:p>
        </w:tc>
        <w:tc>
          <w:tcPr>
            <w:tcW w:w="660" w:type="dxa"/>
            <w:vAlign w:val="bottom"/>
          </w:tcPr>
          <w:p>
            <w:pPr>
              <w:jc w:val="center"/>
              <w:spacing w:after="0" w:line="214" w:lineRule="exact"/>
              <w:rPr>
                <w:sz w:val="20"/>
                <w:szCs w:val="20"/>
                <w:color w:val="auto"/>
              </w:rPr>
            </w:pPr>
            <w:r>
              <w:rPr>
                <w:rFonts w:ascii="Arial" w:cs="Arial" w:eastAsia="Arial" w:hAnsi="Arial"/>
                <w:sz w:val="19"/>
                <w:szCs w:val="19"/>
                <w:color w:val="auto"/>
                <w:w w:val="94"/>
              </w:rPr>
              <w:t>$</w:t>
            </w: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$4,466</w:t>
            </w:r>
          </w:p>
        </w:tc>
        <w:tc>
          <w:tcPr>
            <w:tcW w:w="180" w:type="dxa"/>
            <w:vAlign w:val="bottom"/>
          </w:tcPr>
          <w:p>
            <w:pPr>
              <w:spacing w:after="0"/>
              <w:rPr>
                <w:sz w:val="18"/>
                <w:szCs w:val="18"/>
                <w:color w:val="auto"/>
              </w:rPr>
            </w:pPr>
          </w:p>
        </w:tc>
        <w:tc>
          <w:tcPr>
            <w:tcW w:w="860" w:type="dxa"/>
            <w:vAlign w:val="bottom"/>
          </w:tcPr>
          <w:p>
            <w:pPr>
              <w:jc w:val="center"/>
              <w:spacing w:after="0" w:line="214" w:lineRule="exact"/>
              <w:rPr>
                <w:sz w:val="20"/>
                <w:szCs w:val="20"/>
                <w:color w:val="auto"/>
              </w:rPr>
            </w:pPr>
            <w:r>
              <w:rPr>
                <w:rFonts w:ascii="Arial" w:cs="Arial" w:eastAsia="Arial" w:hAnsi="Arial"/>
                <w:sz w:val="19"/>
                <w:szCs w:val="19"/>
                <w:color w:val="auto"/>
                <w:w w:val="94"/>
              </w:rPr>
              <w:t>$</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$4,466</w:t>
            </w:r>
          </w:p>
        </w:tc>
        <w:tc>
          <w:tcPr>
            <w:tcW w:w="0" w:type="dxa"/>
            <w:vAlign w:val="bottom"/>
          </w:tcPr>
          <w:p>
            <w:pPr>
              <w:spacing w:after="0"/>
              <w:rPr>
                <w:sz w:val="1"/>
                <w:szCs w:val="1"/>
                <w:color w:val="auto"/>
              </w:rPr>
            </w:pPr>
          </w:p>
        </w:tc>
      </w:tr>
      <w:tr>
        <w:trPr>
          <w:trHeight w:val="242"/>
        </w:trPr>
        <w:tc>
          <w:tcPr>
            <w:tcW w:w="2960" w:type="dxa"/>
            <w:vAlign w:val="bottom"/>
          </w:tcPr>
          <w:p>
            <w:pPr>
              <w:ind w:left="140"/>
              <w:spacing w:after="0"/>
              <w:rPr>
                <w:sz w:val="20"/>
                <w:szCs w:val="20"/>
                <w:color w:val="auto"/>
              </w:rPr>
            </w:pPr>
            <w:r>
              <w:rPr>
                <w:rFonts w:ascii="Arial" w:cs="Arial" w:eastAsia="Arial" w:hAnsi="Arial"/>
                <w:sz w:val="19"/>
                <w:szCs w:val="19"/>
                <w:color w:val="auto"/>
              </w:rPr>
              <w:t>Management fee revenue</w:t>
            </w:r>
          </w:p>
        </w:tc>
        <w:tc>
          <w:tcPr>
            <w:tcW w:w="620" w:type="dxa"/>
            <w:vAlign w:val="bottom"/>
          </w:tcPr>
          <w:p>
            <w:pPr>
              <w:jc w:val="right"/>
              <w:spacing w:after="0"/>
              <w:rPr>
                <w:sz w:val="20"/>
                <w:szCs w:val="20"/>
                <w:color w:val="auto"/>
              </w:rPr>
            </w:pPr>
            <w:r>
              <w:rPr>
                <w:rFonts w:ascii="Arial" w:cs="Arial" w:eastAsia="Arial" w:hAnsi="Arial"/>
                <w:sz w:val="19"/>
                <w:szCs w:val="19"/>
                <w:color w:val="auto"/>
              </w:rPr>
              <w:t>95</w:t>
            </w:r>
          </w:p>
        </w:tc>
        <w:tc>
          <w:tcPr>
            <w:tcW w:w="1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9"/>
                <w:szCs w:val="19"/>
                <w:color w:val="auto"/>
              </w:rPr>
              <w:t>37</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58</w:t>
            </w:r>
          </w:p>
        </w:tc>
        <w:tc>
          <w:tcPr>
            <w:tcW w:w="660" w:type="dxa"/>
            <w:vAlign w:val="bottom"/>
          </w:tcPr>
          <w:p>
            <w:pPr>
              <w:jc w:val="right"/>
              <w:spacing w:after="0"/>
              <w:rPr>
                <w:sz w:val="20"/>
                <w:szCs w:val="20"/>
                <w:color w:val="auto"/>
              </w:rPr>
            </w:pPr>
            <w:r>
              <w:rPr>
                <w:rFonts w:ascii="Arial" w:cs="Arial" w:eastAsia="Arial" w:hAnsi="Arial"/>
                <w:sz w:val="19"/>
                <w:szCs w:val="19"/>
                <w:color w:val="auto"/>
              </w:rPr>
              <w:t>58</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(248)</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9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95</w:t>
            </w:r>
          </w:p>
        </w:tc>
        <w:tc>
          <w:tcPr>
            <w:tcW w:w="16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9"/>
                <w:szCs w:val="19"/>
                <w:color w:val="auto"/>
              </w:rPr>
              <w:t>37</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58</w:t>
            </w:r>
          </w:p>
        </w:tc>
        <w:tc>
          <w:tcPr>
            <w:tcW w:w="660" w:type="dxa"/>
            <w:vAlign w:val="bottom"/>
          </w:tcPr>
          <w:p>
            <w:pPr>
              <w:jc w:val="right"/>
              <w:spacing w:after="0"/>
              <w:rPr>
                <w:sz w:val="20"/>
                <w:szCs w:val="20"/>
                <w:color w:val="auto"/>
              </w:rPr>
            </w:pPr>
            <w:r>
              <w:rPr>
                <w:rFonts w:ascii="Arial" w:cs="Arial" w:eastAsia="Arial" w:hAnsi="Arial"/>
                <w:sz w:val="19"/>
                <w:szCs w:val="19"/>
                <w:color w:val="auto"/>
              </w:rPr>
              <w:t>58</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4,466</w:t>
            </w:r>
          </w:p>
        </w:tc>
        <w:tc>
          <w:tcPr>
            <w:tcW w:w="1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(248)</w:t>
            </w: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4,466</w:t>
            </w:r>
          </w:p>
        </w:tc>
        <w:tc>
          <w:tcPr>
            <w:tcW w:w="0" w:type="dxa"/>
            <w:vAlign w:val="bottom"/>
          </w:tcPr>
          <w:p>
            <w:pPr>
              <w:spacing w:after="0"/>
              <w:rPr>
                <w:sz w:val="1"/>
                <w:szCs w:val="1"/>
                <w:color w:val="auto"/>
              </w:rPr>
            </w:pPr>
          </w:p>
        </w:tc>
      </w:tr>
      <w:tr>
        <w:trPr>
          <w:trHeight w:val="87"/>
        </w:trPr>
        <w:tc>
          <w:tcPr>
            <w:tcW w:w="2960" w:type="dxa"/>
            <w:vAlign w:val="bottom"/>
            <w:vMerge w:val="restart"/>
          </w:tcPr>
          <w:p>
            <w:pPr>
              <w:spacing w:after="0"/>
              <w:rPr>
                <w:sz w:val="20"/>
                <w:szCs w:val="20"/>
                <w:color w:val="auto"/>
              </w:rPr>
            </w:pPr>
            <w:r>
              <w:rPr>
                <w:rFonts w:ascii="Arial" w:cs="Arial" w:eastAsia="Arial" w:hAnsi="Arial"/>
                <w:sz w:val="19"/>
                <w:szCs w:val="19"/>
                <w:color w:val="auto"/>
              </w:rPr>
              <w:t>COSTS AND EXPENSES</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Operating (excluding</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depreciation)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1,811</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1,811</w:t>
            </w: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Selling, general and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administrative</w:t>
            </w:r>
          </w:p>
        </w:tc>
        <w:tc>
          <w:tcPr>
            <w:tcW w:w="620" w:type="dxa"/>
            <w:vAlign w:val="bottom"/>
          </w:tcPr>
          <w:p>
            <w:pPr>
              <w:jc w:val="right"/>
              <w:spacing w:after="0" w:line="214" w:lineRule="exact"/>
              <w:rPr>
                <w:sz w:val="20"/>
                <w:szCs w:val="20"/>
                <w:color w:val="auto"/>
              </w:rPr>
            </w:pPr>
            <w:r>
              <w:rPr>
                <w:rFonts w:ascii="Arial" w:cs="Arial" w:eastAsia="Arial" w:hAnsi="Arial"/>
                <w:sz w:val="19"/>
                <w:szCs w:val="19"/>
                <w:color w:val="auto"/>
              </w:rPr>
              <w:t>38</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37</w:t>
            </w:r>
          </w:p>
        </w:tc>
        <w:tc>
          <w:tcPr>
            <w:tcW w:w="78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58</w:t>
            </w:r>
          </w:p>
        </w:tc>
        <w:tc>
          <w:tcPr>
            <w:tcW w:w="660" w:type="dxa"/>
            <w:vAlign w:val="bottom"/>
          </w:tcPr>
          <w:p>
            <w:pPr>
              <w:jc w:val="right"/>
              <w:spacing w:after="0" w:line="214" w:lineRule="exact"/>
              <w:rPr>
                <w:sz w:val="20"/>
                <w:szCs w:val="20"/>
                <w:color w:val="auto"/>
              </w:rPr>
            </w:pPr>
            <w:r>
              <w:rPr>
                <w:rFonts w:ascii="Arial" w:cs="Arial" w:eastAsia="Arial" w:hAnsi="Arial"/>
                <w:sz w:val="19"/>
                <w:szCs w:val="19"/>
                <w:color w:val="auto"/>
              </w:rPr>
              <w:t>58</w:t>
            </w: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1,284</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(248)</w:t>
            </w: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1,227</w:t>
            </w: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Depreciation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780</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780</w:t>
            </w:r>
          </w:p>
        </w:tc>
        <w:tc>
          <w:tcPr>
            <w:tcW w:w="0" w:type="dxa"/>
            <w:vAlign w:val="bottom"/>
          </w:tcPr>
          <w:p>
            <w:pPr>
              <w:spacing w:after="0"/>
              <w:rPr>
                <w:sz w:val="1"/>
                <w:szCs w:val="1"/>
                <w:color w:val="auto"/>
              </w:rPr>
            </w:pPr>
          </w:p>
        </w:tc>
      </w:tr>
      <w:tr>
        <w:trPr>
          <w:trHeight w:val="242"/>
        </w:trPr>
        <w:tc>
          <w:tcPr>
            <w:tcW w:w="2960" w:type="dxa"/>
            <w:vAlign w:val="bottom"/>
          </w:tcPr>
          <w:p>
            <w:pPr>
              <w:ind w:left="120"/>
              <w:spacing w:after="0"/>
              <w:rPr>
                <w:sz w:val="20"/>
                <w:szCs w:val="20"/>
                <w:color w:val="auto"/>
              </w:rPr>
            </w:pPr>
            <w:r>
              <w:rPr>
                <w:rFonts w:ascii="Arial" w:cs="Arial" w:eastAsia="Arial" w:hAnsi="Arial"/>
                <w:sz w:val="19"/>
                <w:szCs w:val="19"/>
                <w:color w:val="auto"/>
              </w:rPr>
              <w:t>Amortization</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354</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354</w:t>
            </w:r>
          </w:p>
        </w:tc>
        <w:tc>
          <w:tcPr>
            <w:tcW w:w="0" w:type="dxa"/>
            <w:vAlign w:val="bottom"/>
          </w:tcPr>
          <w:p>
            <w:pPr>
              <w:spacing w:after="0"/>
              <w:rPr>
                <w:sz w:val="1"/>
                <w:szCs w:val="1"/>
                <w:color w:val="auto"/>
              </w:rPr>
            </w:pPr>
          </w:p>
        </w:tc>
      </w:tr>
      <w:tr>
        <w:trPr>
          <w:trHeight w:val="87"/>
        </w:trPr>
        <w:tc>
          <w:tcPr>
            <w:tcW w:w="29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38</w:t>
            </w:r>
          </w:p>
        </w:tc>
        <w:tc>
          <w:tcPr>
            <w:tcW w:w="16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9"/>
                <w:szCs w:val="19"/>
                <w:color w:val="auto"/>
              </w:rPr>
              <w:t>37</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58</w:t>
            </w:r>
          </w:p>
        </w:tc>
        <w:tc>
          <w:tcPr>
            <w:tcW w:w="660" w:type="dxa"/>
            <w:vAlign w:val="bottom"/>
          </w:tcPr>
          <w:p>
            <w:pPr>
              <w:jc w:val="right"/>
              <w:spacing w:after="0"/>
              <w:rPr>
                <w:sz w:val="20"/>
                <w:szCs w:val="20"/>
                <w:color w:val="auto"/>
              </w:rPr>
            </w:pPr>
            <w:r>
              <w:rPr>
                <w:rFonts w:ascii="Arial" w:cs="Arial" w:eastAsia="Arial" w:hAnsi="Arial"/>
                <w:sz w:val="19"/>
                <w:szCs w:val="19"/>
                <w:color w:val="auto"/>
              </w:rPr>
              <w:t>58</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4,229</w:t>
            </w:r>
          </w:p>
        </w:tc>
        <w:tc>
          <w:tcPr>
            <w:tcW w:w="1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(248)</w:t>
            </w: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4,172</w:t>
            </w:r>
          </w:p>
        </w:tc>
        <w:tc>
          <w:tcPr>
            <w:tcW w:w="0" w:type="dxa"/>
            <w:vAlign w:val="bottom"/>
          </w:tcPr>
          <w:p>
            <w:pPr>
              <w:spacing w:after="0"/>
              <w:rPr>
                <w:sz w:val="1"/>
                <w:szCs w:val="1"/>
                <w:color w:val="auto"/>
              </w:rPr>
            </w:pPr>
          </w:p>
        </w:tc>
      </w:tr>
      <w:tr>
        <w:trPr>
          <w:trHeight w:val="87"/>
        </w:trPr>
        <w:tc>
          <w:tcPr>
            <w:tcW w:w="29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60" w:type="dxa"/>
            <w:vAlign w:val="bottom"/>
          </w:tcPr>
          <w:p>
            <w:pPr>
              <w:spacing w:after="0"/>
              <w:rPr>
                <w:sz w:val="20"/>
                <w:szCs w:val="20"/>
                <w:color w:val="auto"/>
              </w:rPr>
            </w:pPr>
            <w:r>
              <w:rPr>
                <w:rFonts w:ascii="Arial" w:cs="Arial" w:eastAsia="Arial" w:hAnsi="Arial"/>
                <w:sz w:val="19"/>
                <w:szCs w:val="19"/>
                <w:color w:val="auto"/>
              </w:rPr>
              <w:t>OPERATING INCOME</w:t>
            </w:r>
          </w:p>
        </w:tc>
        <w:tc>
          <w:tcPr>
            <w:tcW w:w="620" w:type="dxa"/>
            <w:vAlign w:val="bottom"/>
          </w:tcPr>
          <w:p>
            <w:pPr>
              <w:jc w:val="right"/>
              <w:spacing w:after="0"/>
              <w:rPr>
                <w:sz w:val="20"/>
                <w:szCs w:val="20"/>
                <w:color w:val="auto"/>
              </w:rPr>
            </w:pPr>
            <w:r>
              <w:rPr>
                <w:rFonts w:ascii="Arial" w:cs="Arial" w:eastAsia="Arial" w:hAnsi="Arial"/>
                <w:sz w:val="19"/>
                <w:szCs w:val="19"/>
                <w:color w:val="auto"/>
              </w:rPr>
              <w:t>57</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237</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294</w:t>
            </w:r>
          </w:p>
        </w:tc>
        <w:tc>
          <w:tcPr>
            <w:tcW w:w="0" w:type="dxa"/>
            <w:vAlign w:val="bottom"/>
          </w:tcPr>
          <w:p>
            <w:pPr>
              <w:spacing w:after="0"/>
              <w:rPr>
                <w:sz w:val="1"/>
                <w:szCs w:val="1"/>
                <w:color w:val="auto"/>
              </w:rPr>
            </w:pPr>
          </w:p>
        </w:tc>
      </w:tr>
      <w:tr>
        <w:trPr>
          <w:trHeight w:val="402"/>
        </w:trPr>
        <w:tc>
          <w:tcPr>
            <w:tcW w:w="2960" w:type="dxa"/>
            <w:vAlign w:val="bottom"/>
          </w:tcPr>
          <w:p>
            <w:pPr>
              <w:spacing w:after="0"/>
              <w:rPr>
                <w:sz w:val="20"/>
                <w:szCs w:val="20"/>
                <w:color w:val="auto"/>
              </w:rPr>
            </w:pPr>
            <w:r>
              <w:rPr>
                <w:rFonts w:ascii="Arial" w:cs="Arial" w:eastAsia="Arial" w:hAnsi="Arial"/>
                <w:sz w:val="19"/>
                <w:szCs w:val="19"/>
                <w:color w:val="auto"/>
              </w:rPr>
              <w:t>OTHER INCOME (EXPENSE)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Interest expense</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(44)</w:t>
            </w:r>
          </w:p>
        </w:tc>
        <w:tc>
          <w:tcPr>
            <w:tcW w:w="76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(135)</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(113)</w:t>
            </w:r>
          </w:p>
        </w:tc>
        <w:tc>
          <w:tcPr>
            <w:tcW w:w="8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(115)</w:t>
            </w: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(117)</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(524)</w:t>
            </w: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Investment loss, net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(223)</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(223)</w:t>
            </w: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Equity in net income (losses) of</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affiliates</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(305)</w:t>
            </w:r>
          </w:p>
        </w:tc>
        <w:tc>
          <w:tcPr>
            <w:tcW w:w="76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229</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(337)</w:t>
            </w:r>
          </w:p>
        </w:tc>
        <w:tc>
          <w:tcPr>
            <w:tcW w:w="8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(262)</w:t>
            </w: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124</w:t>
            </w:r>
          </w:p>
        </w:tc>
        <w:tc>
          <w:tcPr>
            <w:tcW w:w="180" w:type="dxa"/>
            <w:vAlign w:val="bottom"/>
          </w:tcPr>
          <w:p>
            <w:pPr>
              <w:spacing w:after="0"/>
              <w:rPr>
                <w:sz w:val="18"/>
                <w:szCs w:val="18"/>
                <w:color w:val="auto"/>
              </w:rPr>
            </w:pPr>
          </w:p>
        </w:tc>
        <w:tc>
          <w:tcPr>
            <w:tcW w:w="860" w:type="dxa"/>
            <w:vAlign w:val="bottom"/>
          </w:tcPr>
          <w:p>
            <w:pPr>
              <w:jc w:val="right"/>
              <w:spacing w:after="0" w:line="214" w:lineRule="exact"/>
              <w:rPr>
                <w:sz w:val="20"/>
                <w:szCs w:val="20"/>
                <w:color w:val="auto"/>
              </w:rPr>
            </w:pPr>
            <w:r>
              <w:rPr>
                <w:rFonts w:ascii="Arial" w:cs="Arial" w:eastAsia="Arial" w:hAnsi="Arial"/>
                <w:sz w:val="19"/>
                <w:szCs w:val="19"/>
                <w:color w:val="auto"/>
              </w:rPr>
              <w:t>534</w:t>
            </w: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42"/>
        </w:trPr>
        <w:tc>
          <w:tcPr>
            <w:tcW w:w="2960" w:type="dxa"/>
            <w:vAlign w:val="bottom"/>
          </w:tcPr>
          <w:p>
            <w:pPr>
              <w:ind w:left="140"/>
              <w:spacing w:after="0"/>
              <w:rPr>
                <w:sz w:val="20"/>
                <w:szCs w:val="20"/>
                <w:color w:val="auto"/>
              </w:rPr>
            </w:pPr>
            <w:r>
              <w:rPr>
                <w:rFonts w:ascii="Arial" w:cs="Arial" w:eastAsia="Arial" w:hAnsi="Arial"/>
                <w:sz w:val="19"/>
                <w:szCs w:val="19"/>
                <w:color w:val="auto"/>
              </w:rPr>
              <w:t>Other income</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13</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87"/>
        </w:trPr>
        <w:tc>
          <w:tcPr>
            <w:tcW w:w="29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9"/>
                <w:szCs w:val="19"/>
                <w:color w:val="auto"/>
              </w:rPr>
              <w:t>(349)</w:t>
            </w:r>
          </w:p>
        </w:tc>
        <w:tc>
          <w:tcPr>
            <w:tcW w:w="760" w:type="dxa"/>
            <w:vAlign w:val="bottom"/>
            <w:gridSpan w:val="2"/>
          </w:tcPr>
          <w:p>
            <w:pPr>
              <w:jc w:val="right"/>
              <w:ind w:right="160"/>
              <w:spacing w:after="0"/>
              <w:rPr>
                <w:sz w:val="20"/>
                <w:szCs w:val="20"/>
                <w:color w:val="auto"/>
              </w:rPr>
            </w:pPr>
            <w:r>
              <w:rPr>
                <w:rFonts w:ascii="Arial" w:cs="Arial" w:eastAsia="Arial" w:hAnsi="Arial"/>
                <w:sz w:val="19"/>
                <w:szCs w:val="19"/>
                <w:color w:val="auto"/>
              </w:rPr>
              <w:t>94</w:t>
            </w:r>
          </w:p>
        </w:tc>
        <w:tc>
          <w:tcPr>
            <w:tcW w:w="780" w:type="dxa"/>
            <w:vAlign w:val="bottom"/>
            <w:gridSpan w:val="2"/>
          </w:tcPr>
          <w:p>
            <w:pPr>
              <w:jc w:val="right"/>
              <w:ind w:right="100"/>
              <w:spacing w:after="0"/>
              <w:rPr>
                <w:sz w:val="20"/>
                <w:szCs w:val="20"/>
                <w:color w:val="auto"/>
              </w:rPr>
            </w:pPr>
            <w:r>
              <w:rPr>
                <w:rFonts w:ascii="Arial" w:cs="Arial" w:eastAsia="Arial" w:hAnsi="Arial"/>
                <w:sz w:val="19"/>
                <w:szCs w:val="19"/>
                <w:color w:val="auto"/>
              </w:rPr>
              <w:t>(450)</w:t>
            </w:r>
          </w:p>
        </w:tc>
        <w:tc>
          <w:tcPr>
            <w:tcW w:w="820" w:type="dxa"/>
            <w:vAlign w:val="bottom"/>
            <w:gridSpan w:val="2"/>
          </w:tcPr>
          <w:p>
            <w:pPr>
              <w:jc w:val="right"/>
              <w:ind w:right="100"/>
              <w:spacing w:after="0"/>
              <w:rPr>
                <w:sz w:val="20"/>
                <w:szCs w:val="20"/>
                <w:color w:val="auto"/>
              </w:rPr>
            </w:pPr>
            <w:r>
              <w:rPr>
                <w:rFonts w:ascii="Arial" w:cs="Arial" w:eastAsia="Arial" w:hAnsi="Arial"/>
                <w:sz w:val="19"/>
                <w:szCs w:val="19"/>
                <w:color w:val="auto"/>
              </w:rPr>
              <w:t>(377)</w:t>
            </w: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(203)</w:t>
            </w:r>
          </w:p>
        </w:tc>
        <w:tc>
          <w:tcPr>
            <w:tcW w:w="860" w:type="dxa"/>
            <w:vAlign w:val="bottom"/>
          </w:tcPr>
          <w:p>
            <w:pPr>
              <w:jc w:val="right"/>
              <w:spacing w:after="0"/>
              <w:rPr>
                <w:sz w:val="20"/>
                <w:szCs w:val="20"/>
                <w:color w:val="auto"/>
              </w:rPr>
            </w:pPr>
            <w:r>
              <w:rPr>
                <w:rFonts w:ascii="Arial" w:cs="Arial" w:eastAsia="Arial" w:hAnsi="Arial"/>
                <w:sz w:val="19"/>
                <w:szCs w:val="19"/>
                <w:color w:val="auto"/>
              </w:rPr>
              <w:t>534</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(751)</w:t>
            </w:r>
          </w:p>
        </w:tc>
        <w:tc>
          <w:tcPr>
            <w:tcW w:w="0" w:type="dxa"/>
            <w:vAlign w:val="bottom"/>
          </w:tcPr>
          <w:p>
            <w:pPr>
              <w:spacing w:after="0"/>
              <w:rPr>
                <w:sz w:val="1"/>
                <w:szCs w:val="1"/>
                <w:color w:val="auto"/>
              </w:rPr>
            </w:pPr>
          </w:p>
        </w:tc>
      </w:tr>
      <w:tr>
        <w:trPr>
          <w:trHeight w:val="87"/>
        </w:trPr>
        <w:tc>
          <w:tcPr>
            <w:tcW w:w="2960" w:type="dxa"/>
            <w:vAlign w:val="bottom"/>
            <w:vMerge w:val="restart"/>
          </w:tcPr>
          <w:p>
            <w:pPr>
              <w:spacing w:after="0"/>
              <w:rPr>
                <w:sz w:val="20"/>
                <w:szCs w:val="20"/>
                <w:color w:val="auto"/>
              </w:rPr>
            </w:pPr>
            <w:r>
              <w:rPr>
                <w:rFonts w:ascii="Arial" w:cs="Arial" w:eastAsia="Arial" w:hAnsi="Arial"/>
                <w:sz w:val="19"/>
                <w:szCs w:val="19"/>
                <w:color w:val="auto"/>
              </w:rPr>
              <w:t>INCOME (LOSS)FROM</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CONTINUING</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OPERATIONS BEFORE INCOME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TAXES AND MINORITY</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INTEREST</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(292)</w:t>
            </w:r>
          </w:p>
        </w:tc>
        <w:tc>
          <w:tcPr>
            <w:tcW w:w="76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94</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(450)</w:t>
            </w:r>
          </w:p>
        </w:tc>
        <w:tc>
          <w:tcPr>
            <w:tcW w:w="8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(377)</w:t>
            </w: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34</w:t>
            </w:r>
          </w:p>
        </w:tc>
        <w:tc>
          <w:tcPr>
            <w:tcW w:w="180" w:type="dxa"/>
            <w:vAlign w:val="bottom"/>
          </w:tcPr>
          <w:p>
            <w:pPr>
              <w:spacing w:after="0"/>
              <w:rPr>
                <w:sz w:val="18"/>
                <w:szCs w:val="18"/>
                <w:color w:val="auto"/>
              </w:rPr>
            </w:pPr>
          </w:p>
        </w:tc>
        <w:tc>
          <w:tcPr>
            <w:tcW w:w="860" w:type="dxa"/>
            <w:vAlign w:val="bottom"/>
          </w:tcPr>
          <w:p>
            <w:pPr>
              <w:jc w:val="right"/>
              <w:spacing w:after="0" w:line="214" w:lineRule="exact"/>
              <w:rPr>
                <w:sz w:val="20"/>
                <w:szCs w:val="20"/>
                <w:color w:val="auto"/>
              </w:rPr>
            </w:pPr>
            <w:r>
              <w:rPr>
                <w:rFonts w:ascii="Arial" w:cs="Arial" w:eastAsia="Arial" w:hAnsi="Arial"/>
                <w:sz w:val="19"/>
                <w:szCs w:val="19"/>
                <w:color w:val="auto"/>
              </w:rPr>
              <w:t>534</w:t>
            </w: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(457)</w:t>
            </w: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INCOME TAX BENEFIT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60" w:type="dxa"/>
            <w:vAlign w:val="bottom"/>
          </w:tcPr>
          <w:p>
            <w:pPr>
              <w:spacing w:after="0"/>
              <w:rPr>
                <w:sz w:val="20"/>
                <w:szCs w:val="20"/>
                <w:color w:val="auto"/>
              </w:rPr>
            </w:pPr>
            <w:r>
              <w:rPr>
                <w:rFonts w:ascii="Arial" w:cs="Arial" w:eastAsia="Arial" w:hAnsi="Arial"/>
                <w:sz w:val="19"/>
                <w:szCs w:val="19"/>
                <w:color w:val="auto"/>
              </w:rPr>
              <w:t>(EXPENSE)</w:t>
            </w:r>
          </w:p>
        </w:tc>
        <w:tc>
          <w:tcPr>
            <w:tcW w:w="780" w:type="dxa"/>
            <w:vAlign w:val="bottom"/>
            <w:gridSpan w:val="2"/>
          </w:tcPr>
          <w:p>
            <w:pPr>
              <w:jc w:val="right"/>
              <w:ind w:right="100"/>
              <w:spacing w:after="0"/>
              <w:rPr>
                <w:sz w:val="20"/>
                <w:szCs w:val="20"/>
                <w:color w:val="auto"/>
              </w:rPr>
            </w:pPr>
            <w:r>
              <w:rPr>
                <w:rFonts w:ascii="Arial" w:cs="Arial" w:eastAsia="Arial" w:hAnsi="Arial"/>
                <w:sz w:val="19"/>
                <w:szCs w:val="19"/>
                <w:color w:val="auto"/>
              </w:rPr>
              <w:t>(5)</w:t>
            </w:r>
          </w:p>
        </w:tc>
        <w:tc>
          <w:tcPr>
            <w:tcW w:w="760" w:type="dxa"/>
            <w:vAlign w:val="bottom"/>
            <w:gridSpan w:val="2"/>
          </w:tcPr>
          <w:p>
            <w:pPr>
              <w:jc w:val="right"/>
              <w:ind w:right="160"/>
              <w:spacing w:after="0"/>
              <w:rPr>
                <w:sz w:val="20"/>
                <w:szCs w:val="20"/>
                <w:color w:val="auto"/>
              </w:rPr>
            </w:pPr>
            <w:r>
              <w:rPr>
                <w:rFonts w:ascii="Arial" w:cs="Arial" w:eastAsia="Arial" w:hAnsi="Arial"/>
                <w:sz w:val="19"/>
                <w:szCs w:val="19"/>
                <w:color w:val="auto"/>
              </w:rPr>
              <w:t>47</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40</w:t>
            </w:r>
          </w:p>
        </w:tc>
        <w:tc>
          <w:tcPr>
            <w:tcW w:w="660" w:type="dxa"/>
            <w:vAlign w:val="bottom"/>
          </w:tcPr>
          <w:p>
            <w:pPr>
              <w:jc w:val="right"/>
              <w:spacing w:after="0"/>
              <w:rPr>
                <w:sz w:val="20"/>
                <w:szCs w:val="20"/>
                <w:color w:val="auto"/>
              </w:rPr>
            </w:pPr>
            <w:r>
              <w:rPr>
                <w:rFonts w:ascii="Arial" w:cs="Arial" w:eastAsia="Arial" w:hAnsi="Arial"/>
                <w:sz w:val="19"/>
                <w:szCs w:val="19"/>
                <w:color w:val="auto"/>
              </w:rPr>
              <w:t>40</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19</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141</w:t>
            </w:r>
          </w:p>
        </w:tc>
        <w:tc>
          <w:tcPr>
            <w:tcW w:w="0" w:type="dxa"/>
            <w:vAlign w:val="bottom"/>
          </w:tcPr>
          <w:p>
            <w:pPr>
              <w:spacing w:after="0"/>
              <w:rPr>
                <w:sz w:val="1"/>
                <w:szCs w:val="1"/>
                <w:color w:val="auto"/>
              </w:rPr>
            </w:pPr>
          </w:p>
        </w:tc>
      </w:tr>
      <w:tr>
        <w:trPr>
          <w:trHeight w:val="87"/>
        </w:trPr>
        <w:tc>
          <w:tcPr>
            <w:tcW w:w="2960" w:type="dxa"/>
            <w:vAlign w:val="bottom"/>
            <w:vMerge w:val="restart"/>
          </w:tcPr>
          <w:p>
            <w:pPr>
              <w:spacing w:after="0"/>
              <w:rPr>
                <w:sz w:val="20"/>
                <w:szCs w:val="20"/>
                <w:color w:val="auto"/>
              </w:rPr>
            </w:pPr>
            <w:r>
              <w:rPr>
                <w:rFonts w:ascii="Arial" w:cs="Arial" w:eastAsia="Arial" w:hAnsi="Arial"/>
                <w:sz w:val="19"/>
                <w:szCs w:val="19"/>
                <w:color w:val="auto"/>
              </w:rPr>
              <w:t>INCOME (LOSS) FROM</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CONTINUING</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OPERATIONS BEFORE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MINORITY INTEREST</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(297)</w:t>
            </w:r>
          </w:p>
        </w:tc>
        <w:tc>
          <w:tcPr>
            <w:tcW w:w="76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141</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(410)</w:t>
            </w:r>
          </w:p>
        </w:tc>
        <w:tc>
          <w:tcPr>
            <w:tcW w:w="8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(337)</w:t>
            </w: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53</w:t>
            </w:r>
          </w:p>
        </w:tc>
        <w:tc>
          <w:tcPr>
            <w:tcW w:w="180" w:type="dxa"/>
            <w:vAlign w:val="bottom"/>
          </w:tcPr>
          <w:p>
            <w:pPr>
              <w:spacing w:after="0"/>
              <w:rPr>
                <w:sz w:val="18"/>
                <w:szCs w:val="18"/>
                <w:color w:val="auto"/>
              </w:rPr>
            </w:pPr>
          </w:p>
        </w:tc>
        <w:tc>
          <w:tcPr>
            <w:tcW w:w="860" w:type="dxa"/>
            <w:vAlign w:val="bottom"/>
          </w:tcPr>
          <w:p>
            <w:pPr>
              <w:jc w:val="right"/>
              <w:spacing w:after="0" w:line="214" w:lineRule="exact"/>
              <w:rPr>
                <w:sz w:val="20"/>
                <w:szCs w:val="20"/>
                <w:color w:val="auto"/>
              </w:rPr>
            </w:pPr>
            <w:r>
              <w:rPr>
                <w:rFonts w:ascii="Arial" w:cs="Arial" w:eastAsia="Arial" w:hAnsi="Arial"/>
                <w:sz w:val="19"/>
                <w:szCs w:val="19"/>
                <w:color w:val="auto"/>
              </w:rPr>
              <w:t>534</w:t>
            </w: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(316)</w:t>
            </w:r>
          </w:p>
        </w:tc>
        <w:tc>
          <w:tcPr>
            <w:tcW w:w="0" w:type="dxa"/>
            <w:vAlign w:val="bottom"/>
          </w:tcPr>
          <w:p>
            <w:pPr>
              <w:spacing w:after="0"/>
              <w:rPr>
                <w:sz w:val="1"/>
                <w:szCs w:val="1"/>
                <w:color w:val="auto"/>
              </w:rPr>
            </w:pPr>
          </w:p>
        </w:tc>
      </w:tr>
      <w:tr>
        <w:trPr>
          <w:trHeight w:val="242"/>
        </w:trPr>
        <w:tc>
          <w:tcPr>
            <w:tcW w:w="2960" w:type="dxa"/>
            <w:vAlign w:val="bottom"/>
          </w:tcPr>
          <w:p>
            <w:pPr>
              <w:spacing w:after="0"/>
              <w:rPr>
                <w:sz w:val="20"/>
                <w:szCs w:val="20"/>
                <w:color w:val="auto"/>
              </w:rPr>
            </w:pPr>
            <w:r>
              <w:rPr>
                <w:rFonts w:ascii="Arial" w:cs="Arial" w:eastAsia="Arial" w:hAnsi="Arial"/>
                <w:sz w:val="19"/>
                <w:szCs w:val="19"/>
                <w:color w:val="auto"/>
              </w:rPr>
              <w:t>MINORITY INTEREST</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(39)</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(39)</w:t>
            </w:r>
          </w:p>
        </w:tc>
        <w:tc>
          <w:tcPr>
            <w:tcW w:w="0" w:type="dxa"/>
            <w:vAlign w:val="bottom"/>
          </w:tcPr>
          <w:p>
            <w:pPr>
              <w:spacing w:after="0"/>
              <w:rPr>
                <w:sz w:val="1"/>
                <w:szCs w:val="1"/>
                <w:color w:val="auto"/>
              </w:rPr>
            </w:pPr>
          </w:p>
        </w:tc>
      </w:tr>
      <w:tr>
        <w:trPr>
          <w:trHeight w:val="87"/>
        </w:trPr>
        <w:tc>
          <w:tcPr>
            <w:tcW w:w="2960" w:type="dxa"/>
            <w:vAlign w:val="bottom"/>
            <w:vMerge w:val="restart"/>
          </w:tcPr>
          <w:p>
            <w:pPr>
              <w:spacing w:after="0"/>
              <w:rPr>
                <w:sz w:val="20"/>
                <w:szCs w:val="20"/>
                <w:color w:val="auto"/>
              </w:rPr>
            </w:pPr>
            <w:r>
              <w:rPr>
                <w:rFonts w:ascii="Arial" w:cs="Arial" w:eastAsia="Arial" w:hAnsi="Arial"/>
                <w:sz w:val="19"/>
                <w:szCs w:val="19"/>
                <w:color w:val="auto"/>
              </w:rPr>
              <w:t>INCOME (LOSS) FROM</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CONTINUING OPERATIONS</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(297)</w:t>
            </w:r>
          </w:p>
        </w:tc>
        <w:tc>
          <w:tcPr>
            <w:tcW w:w="76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141</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(410)</w:t>
            </w:r>
          </w:p>
        </w:tc>
        <w:tc>
          <w:tcPr>
            <w:tcW w:w="8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(337)</w:t>
            </w: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14</w:t>
            </w:r>
          </w:p>
        </w:tc>
        <w:tc>
          <w:tcPr>
            <w:tcW w:w="180" w:type="dxa"/>
            <w:vAlign w:val="bottom"/>
          </w:tcPr>
          <w:p>
            <w:pPr>
              <w:spacing w:after="0"/>
              <w:rPr>
                <w:sz w:val="18"/>
                <w:szCs w:val="18"/>
                <w:color w:val="auto"/>
              </w:rPr>
            </w:pPr>
          </w:p>
        </w:tc>
        <w:tc>
          <w:tcPr>
            <w:tcW w:w="860" w:type="dxa"/>
            <w:vAlign w:val="bottom"/>
          </w:tcPr>
          <w:p>
            <w:pPr>
              <w:jc w:val="right"/>
              <w:spacing w:after="0" w:line="214" w:lineRule="exact"/>
              <w:rPr>
                <w:sz w:val="20"/>
                <w:szCs w:val="20"/>
                <w:color w:val="auto"/>
              </w:rPr>
            </w:pPr>
            <w:r>
              <w:rPr>
                <w:rFonts w:ascii="Arial" w:cs="Arial" w:eastAsia="Arial" w:hAnsi="Arial"/>
                <w:sz w:val="19"/>
                <w:szCs w:val="19"/>
                <w:color w:val="auto"/>
              </w:rPr>
              <w:t>534</w:t>
            </w: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(355)</w:t>
            </w: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INCOME FROM</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DISCONTINUED OPERATIONS,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60" w:type="dxa"/>
            <w:vAlign w:val="bottom"/>
          </w:tcPr>
          <w:p>
            <w:pPr>
              <w:spacing w:after="0"/>
              <w:rPr>
                <w:sz w:val="20"/>
                <w:szCs w:val="20"/>
                <w:color w:val="auto"/>
              </w:rPr>
            </w:pPr>
            <w:r>
              <w:rPr>
                <w:rFonts w:ascii="Arial" w:cs="Arial" w:eastAsia="Arial" w:hAnsi="Arial"/>
                <w:sz w:val="19"/>
                <w:szCs w:val="19"/>
                <w:color w:val="auto"/>
              </w:rPr>
              <w:t>net of tax</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58</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58</w:t>
            </w:r>
          </w:p>
        </w:tc>
        <w:tc>
          <w:tcPr>
            <w:tcW w:w="0" w:type="dxa"/>
            <w:vAlign w:val="bottom"/>
          </w:tcPr>
          <w:p>
            <w:pPr>
              <w:spacing w:after="0"/>
              <w:rPr>
                <w:sz w:val="1"/>
                <w:szCs w:val="1"/>
                <w:color w:val="auto"/>
              </w:rPr>
            </w:pPr>
          </w:p>
        </w:tc>
      </w:tr>
      <w:tr>
        <w:trPr>
          <w:trHeight w:val="87"/>
        </w:trPr>
        <w:tc>
          <w:tcPr>
            <w:tcW w:w="29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60" w:type="dxa"/>
            <w:vAlign w:val="bottom"/>
          </w:tcPr>
          <w:p>
            <w:pPr>
              <w:spacing w:after="0"/>
              <w:rPr>
                <w:sz w:val="20"/>
                <w:szCs w:val="20"/>
                <w:color w:val="auto"/>
              </w:rPr>
            </w:pPr>
            <w:r>
              <w:rPr>
                <w:rFonts w:ascii="Arial" w:cs="Arial" w:eastAsia="Arial" w:hAnsi="Arial"/>
                <w:sz w:val="19"/>
                <w:szCs w:val="19"/>
                <w:color w:val="auto"/>
              </w:rPr>
              <w:t>NET INCOME (LOSS)</w:t>
            </w:r>
          </w:p>
        </w:tc>
        <w:tc>
          <w:tcPr>
            <w:tcW w:w="780" w:type="dxa"/>
            <w:vAlign w:val="bottom"/>
            <w:gridSpan w:val="2"/>
          </w:tcPr>
          <w:p>
            <w:pPr>
              <w:jc w:val="right"/>
              <w:ind w:right="100"/>
              <w:spacing w:after="0"/>
              <w:rPr>
                <w:sz w:val="20"/>
                <w:szCs w:val="20"/>
                <w:color w:val="auto"/>
              </w:rPr>
            </w:pPr>
            <w:r>
              <w:rPr>
                <w:rFonts w:ascii="Arial" w:cs="Arial" w:eastAsia="Arial" w:hAnsi="Arial"/>
                <w:sz w:val="19"/>
                <w:szCs w:val="19"/>
                <w:color w:val="auto"/>
              </w:rPr>
              <w:t>($297)</w:t>
            </w:r>
          </w:p>
        </w:tc>
        <w:tc>
          <w:tcPr>
            <w:tcW w:w="760" w:type="dxa"/>
            <w:vAlign w:val="bottom"/>
            <w:gridSpan w:val="2"/>
          </w:tcPr>
          <w:p>
            <w:pPr>
              <w:jc w:val="right"/>
              <w:ind w:right="160"/>
              <w:spacing w:after="0"/>
              <w:rPr>
                <w:sz w:val="20"/>
                <w:szCs w:val="20"/>
                <w:color w:val="auto"/>
              </w:rPr>
            </w:pPr>
            <w:r>
              <w:rPr>
                <w:rFonts w:ascii="Arial" w:cs="Arial" w:eastAsia="Arial" w:hAnsi="Arial"/>
                <w:sz w:val="19"/>
                <w:szCs w:val="19"/>
                <w:color w:val="auto"/>
              </w:rPr>
              <w:t>$141</w:t>
            </w:r>
          </w:p>
        </w:tc>
        <w:tc>
          <w:tcPr>
            <w:tcW w:w="780" w:type="dxa"/>
            <w:vAlign w:val="bottom"/>
            <w:gridSpan w:val="2"/>
          </w:tcPr>
          <w:p>
            <w:pPr>
              <w:jc w:val="right"/>
              <w:ind w:right="100"/>
              <w:spacing w:after="0"/>
              <w:rPr>
                <w:sz w:val="20"/>
                <w:szCs w:val="20"/>
                <w:color w:val="auto"/>
              </w:rPr>
            </w:pPr>
            <w:r>
              <w:rPr>
                <w:rFonts w:ascii="Arial" w:cs="Arial" w:eastAsia="Arial" w:hAnsi="Arial"/>
                <w:sz w:val="19"/>
                <w:szCs w:val="19"/>
                <w:color w:val="auto"/>
              </w:rPr>
              <w:t>($410)</w:t>
            </w:r>
          </w:p>
        </w:tc>
        <w:tc>
          <w:tcPr>
            <w:tcW w:w="820" w:type="dxa"/>
            <w:vAlign w:val="bottom"/>
            <w:gridSpan w:val="2"/>
          </w:tcPr>
          <w:p>
            <w:pPr>
              <w:jc w:val="right"/>
              <w:ind w:right="100"/>
              <w:spacing w:after="0"/>
              <w:rPr>
                <w:sz w:val="20"/>
                <w:szCs w:val="20"/>
                <w:color w:val="auto"/>
              </w:rPr>
            </w:pPr>
            <w:r>
              <w:rPr>
                <w:rFonts w:ascii="Arial" w:cs="Arial" w:eastAsia="Arial" w:hAnsi="Arial"/>
                <w:sz w:val="19"/>
                <w:szCs w:val="19"/>
                <w:color w:val="auto"/>
              </w:rPr>
              <w:t>($337)</w:t>
            </w:r>
          </w:p>
        </w:tc>
        <w:tc>
          <w:tcPr>
            <w:tcW w:w="760" w:type="dxa"/>
            <w:vAlign w:val="bottom"/>
          </w:tcPr>
          <w:p>
            <w:pPr>
              <w:jc w:val="right"/>
              <w:spacing w:after="0"/>
              <w:rPr>
                <w:sz w:val="20"/>
                <w:szCs w:val="20"/>
                <w:color w:val="auto"/>
              </w:rPr>
            </w:pPr>
            <w:r>
              <w:rPr>
                <w:rFonts w:ascii="Arial" w:cs="Arial" w:eastAsia="Arial" w:hAnsi="Arial"/>
                <w:sz w:val="19"/>
                <w:szCs w:val="19"/>
                <w:color w:val="auto"/>
              </w:rPr>
              <w:t>$72</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$534</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($297)</w:t>
            </w:r>
          </w:p>
        </w:tc>
        <w:tc>
          <w:tcPr>
            <w:tcW w:w="0" w:type="dxa"/>
            <w:vAlign w:val="bottom"/>
          </w:tcPr>
          <w:p>
            <w:pPr>
              <w:spacing w:after="0"/>
              <w:rPr>
                <w:sz w:val="1"/>
                <w:szCs w:val="1"/>
                <w:color w:val="auto"/>
              </w:rPr>
            </w:pPr>
          </w:p>
        </w:tc>
      </w:tr>
      <w:tr>
        <w:trPr>
          <w:trHeight w:val="95"/>
        </w:trPr>
        <w:tc>
          <w:tcPr>
            <w:tcW w:w="29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-13335</wp:posOffset>
            </wp:positionV>
            <wp:extent cx="1270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-13335</wp:posOffset>
            </wp:positionV>
            <wp:extent cx="1270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2743835</wp:posOffset>
            </wp:positionH>
            <wp:positionV relativeFrom="paragraph">
              <wp:posOffset>-13335</wp:posOffset>
            </wp:positionV>
            <wp:extent cx="1270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-13335</wp:posOffset>
            </wp:positionV>
            <wp:extent cx="1270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-13335</wp:posOffset>
            </wp:positionV>
            <wp:extent cx="1270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-13335</wp:posOffset>
            </wp:positionV>
            <wp:extent cx="1270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-13335</wp:posOffset>
            </wp:positionV>
            <wp:extent cx="127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-13335</wp:posOffset>
            </wp:positionV>
            <wp:extent cx="1270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-13335</wp:posOffset>
            </wp:positionV>
            <wp:extent cx="1270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-13335</wp:posOffset>
            </wp:positionV>
            <wp:extent cx="1270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-13335</wp:posOffset>
            </wp:positionV>
            <wp:extent cx="1270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-13335</wp:posOffset>
            </wp:positionV>
            <wp:extent cx="1270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-13335</wp:posOffset>
            </wp:positionV>
            <wp:extent cx="1270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-13335</wp:posOffset>
            </wp:positionV>
            <wp:extent cx="1270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19"/>
          </w:cols>
          <w:pgMar w:left="240" w:top="117" w:right="1440" w:bottom="0" w:gutter="0" w:footer="0" w:header="0"/>
        </w:sectPr>
      </w:pP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727773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ectPr>
          <w:pgSz w:w="11900" w:h="16838" w:orient="portrait"/>
          <w:cols w:equalWidth="0" w:num="1">
            <w:col w:w="10219"/>
          </w:cols>
          <w:pgMar w:left="240" w:top="117" w:right="1440" w:bottom="0" w:gutter="0" w:footer="0" w:header="0"/>
          <w:type w:val="continuous"/>
        </w:sectPr>
      </w:pPr>
    </w:p>
    <w:bookmarkStart w:id="17" w:name="page18"/>
    <w:bookmarkEnd w:id="17"/>
    <w:p>
      <w:pPr>
        <w:spacing w:after="0" w:line="56"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COMCAST CORPORATION AND SUBSIDIARIES</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FORM 10-Q</w:t>
      </w:r>
    </w:p>
    <w:p>
      <w:pPr>
        <w:jc w:val="center"/>
        <w:ind w:right="-1160"/>
        <w:spacing w:after="0" w:line="235" w:lineRule="auto"/>
        <w:rPr>
          <w:sz w:val="20"/>
          <w:szCs w:val="20"/>
          <w:color w:val="auto"/>
        </w:rPr>
      </w:pPr>
      <w:r>
        <w:rPr>
          <w:rFonts w:ascii="Arial" w:cs="Arial" w:eastAsia="Arial" w:hAnsi="Arial"/>
          <w:sz w:val="19"/>
          <w:szCs w:val="19"/>
          <w:color w:val="auto"/>
        </w:rPr>
        <w:t>QUARTER ENDED MARCH 31, 2004</w:t>
      </w:r>
    </w:p>
    <w:p>
      <w:pPr>
        <w:spacing w:after="0" w:line="1"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p>
      <w:pPr>
        <w:jc w:val="center"/>
        <w:ind w:right="1159"/>
        <w:spacing w:after="0"/>
        <w:rPr>
          <w:sz w:val="20"/>
          <w:szCs w:val="20"/>
          <w:color w:val="auto"/>
        </w:rPr>
      </w:pPr>
      <w:r>
        <w:rPr>
          <w:rFonts w:ascii="Arial" w:cs="Arial" w:eastAsia="Arial" w:hAnsi="Arial"/>
          <w:sz w:val="19"/>
          <w:szCs w:val="19"/>
          <w:color w:val="auto"/>
        </w:rPr>
        <w:t>Comcast Corporation</w:t>
      </w:r>
    </w:p>
    <w:p>
      <w:pPr>
        <w:spacing w:after="0" w:line="8" w:lineRule="exact"/>
        <w:rPr>
          <w:sz w:val="20"/>
          <w:szCs w:val="20"/>
          <w:color w:val="auto"/>
        </w:rPr>
      </w:pPr>
    </w:p>
    <w:p>
      <w:pPr>
        <w:jc w:val="center"/>
        <w:ind w:right="1159"/>
        <w:spacing w:after="0"/>
        <w:rPr>
          <w:sz w:val="20"/>
          <w:szCs w:val="20"/>
          <w:color w:val="auto"/>
        </w:rPr>
      </w:pPr>
      <w:r>
        <w:rPr>
          <w:rFonts w:ascii="Arial" w:cs="Arial" w:eastAsia="Arial" w:hAnsi="Arial"/>
          <w:sz w:val="19"/>
          <w:szCs w:val="19"/>
          <w:color w:val="auto"/>
        </w:rPr>
        <w:t>Condensed Consolidating Statement of Cash Flows</w:t>
      </w:r>
    </w:p>
    <w:p>
      <w:pPr>
        <w:jc w:val="center"/>
        <w:ind w:right="1159"/>
        <w:spacing w:after="0"/>
        <w:rPr>
          <w:sz w:val="20"/>
          <w:szCs w:val="20"/>
          <w:color w:val="auto"/>
        </w:rPr>
      </w:pPr>
      <w:r>
        <w:rPr>
          <w:rFonts w:ascii="Arial" w:cs="Arial" w:eastAsia="Arial" w:hAnsi="Arial"/>
          <w:sz w:val="19"/>
          <w:szCs w:val="19"/>
          <w:color w:val="auto"/>
        </w:rPr>
        <w:t>For the Three Months Ended March 31, 2004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Elimination</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color w:val="auto"/>
                <w:w w:val="87"/>
              </w:rPr>
              <w:t>Combined</w:t>
            </w:r>
          </w:p>
        </w:tc>
        <w:tc>
          <w:tcPr>
            <w:tcW w:w="94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Non-</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82"/>
              </w:rPr>
              <w:t>and</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color w:val="auto"/>
                <w:w w:val="87"/>
              </w:rPr>
              <w:t>Consolidated</w:t>
            </w:r>
          </w:p>
        </w:tc>
        <w:tc>
          <w:tcPr>
            <w:tcW w:w="0" w:type="dxa"/>
            <w:vAlign w:val="bottom"/>
          </w:tcPr>
          <w:p>
            <w:pPr>
              <w:spacing w:after="0"/>
              <w:rPr>
                <w:sz w:val="1"/>
                <w:szCs w:val="1"/>
                <w:color w:val="auto"/>
              </w:rPr>
            </w:pPr>
          </w:p>
        </w:tc>
      </w:tr>
      <w:tr>
        <w:trPr>
          <w:trHeight w:val="191"/>
        </w:trPr>
        <w:tc>
          <w:tcPr>
            <w:tcW w:w="296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88"/>
              </w:rPr>
              <w:t>Comcast</w:t>
            </w: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CCCL</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CCCH</w:t>
            </w:r>
          </w:p>
        </w:tc>
        <w:tc>
          <w:tcPr>
            <w:tcW w:w="82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CCHMO</w:t>
            </w:r>
          </w:p>
        </w:tc>
        <w:tc>
          <w:tcPr>
            <w:tcW w:w="94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Guarantor</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Consolidation</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color w:val="auto"/>
                <w:w w:val="88"/>
              </w:rPr>
              <w:t>Comcast</w:t>
            </w: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Parent</w:t>
            </w: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Parent</w:t>
            </w: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Parent</w:t>
            </w:r>
          </w:p>
        </w:tc>
        <w:tc>
          <w:tcPr>
            <w:tcW w:w="820" w:type="dxa"/>
            <w:vAlign w:val="bottom"/>
            <w:gridSpan w:val="2"/>
          </w:tcPr>
          <w:p>
            <w:pPr>
              <w:jc w:val="center"/>
              <w:ind w:right="160"/>
              <w:spacing w:after="0"/>
              <w:rPr>
                <w:sz w:val="20"/>
                <w:szCs w:val="20"/>
                <w:color w:val="auto"/>
              </w:rPr>
            </w:pPr>
            <w:r>
              <w:rPr>
                <w:rFonts w:ascii="Arial" w:cs="Arial" w:eastAsia="Arial" w:hAnsi="Arial"/>
                <w:sz w:val="16"/>
                <w:szCs w:val="16"/>
                <w:color w:val="auto"/>
                <w:w w:val="83"/>
              </w:rPr>
              <w:t>Parents</w:t>
            </w:r>
          </w:p>
        </w:tc>
        <w:tc>
          <w:tcPr>
            <w:tcW w:w="940" w:type="dxa"/>
            <w:vAlign w:val="bottom"/>
            <w:gridSpan w:val="2"/>
          </w:tcPr>
          <w:p>
            <w:pPr>
              <w:jc w:val="center"/>
              <w:ind w:right="180"/>
              <w:spacing w:after="0"/>
              <w:rPr>
                <w:sz w:val="20"/>
                <w:szCs w:val="20"/>
                <w:color w:val="auto"/>
              </w:rPr>
            </w:pPr>
            <w:r>
              <w:rPr>
                <w:rFonts w:ascii="Arial" w:cs="Arial" w:eastAsia="Arial" w:hAnsi="Arial"/>
                <w:sz w:val="16"/>
                <w:szCs w:val="16"/>
                <w:color w:val="auto"/>
                <w:w w:val="87"/>
              </w:rPr>
              <w:t>Subsidiaries</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Adjustments</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Corporation</w:t>
            </w:r>
          </w:p>
        </w:tc>
        <w:tc>
          <w:tcPr>
            <w:tcW w:w="0" w:type="dxa"/>
            <w:vAlign w:val="bottom"/>
          </w:tcPr>
          <w:p>
            <w:pPr>
              <w:spacing w:after="0"/>
              <w:rPr>
                <w:sz w:val="1"/>
                <w:szCs w:val="1"/>
                <w:color w:val="auto"/>
              </w:rPr>
            </w:pPr>
          </w:p>
        </w:tc>
      </w:tr>
      <w:tr>
        <w:trPr>
          <w:trHeight w:val="97"/>
        </w:trPr>
        <w:tc>
          <w:tcPr>
            <w:tcW w:w="2960" w:type="dxa"/>
            <w:vAlign w:val="bottom"/>
            <w:vMerge w:val="restart"/>
          </w:tcPr>
          <w:p>
            <w:pPr>
              <w:spacing w:after="0"/>
              <w:rPr>
                <w:sz w:val="20"/>
                <w:szCs w:val="20"/>
                <w:color w:val="auto"/>
              </w:rPr>
            </w:pPr>
            <w:r>
              <w:rPr>
                <w:rFonts w:ascii="Arial" w:cs="Arial" w:eastAsia="Arial" w:hAnsi="Arial"/>
                <w:sz w:val="19"/>
                <w:szCs w:val="19"/>
                <w:color w:val="auto"/>
              </w:rPr>
              <w:t>OPERATING ACTIVITIES</w:t>
            </w: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9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960" w:type="dxa"/>
            <w:vAlign w:val="bottom"/>
          </w:tcPr>
          <w:p>
            <w:pPr>
              <w:spacing w:after="0"/>
              <w:rPr>
                <w:sz w:val="20"/>
                <w:szCs w:val="20"/>
                <w:color w:val="auto"/>
              </w:rPr>
            </w:pPr>
            <w:r>
              <w:rPr>
                <w:rFonts w:ascii="Arial" w:cs="Arial" w:eastAsia="Arial" w:hAnsi="Arial"/>
                <w:sz w:val="19"/>
                <w:szCs w:val="19"/>
                <w:color w:val="auto"/>
              </w:rPr>
              <w:t>Net income (loss)</w:t>
            </w:r>
          </w:p>
        </w:tc>
        <w:tc>
          <w:tcPr>
            <w:tcW w:w="620" w:type="dxa"/>
            <w:vAlign w:val="bottom"/>
          </w:tcPr>
          <w:p>
            <w:pPr>
              <w:jc w:val="right"/>
              <w:spacing w:after="0"/>
              <w:rPr>
                <w:sz w:val="20"/>
                <w:szCs w:val="20"/>
                <w:color w:val="auto"/>
              </w:rPr>
            </w:pPr>
            <w:r>
              <w:rPr>
                <w:rFonts w:ascii="Arial" w:cs="Arial" w:eastAsia="Arial" w:hAnsi="Arial"/>
                <w:sz w:val="19"/>
                <w:szCs w:val="19"/>
                <w:color w:val="auto"/>
              </w:rPr>
              <w:t>$65</w:t>
            </w:r>
          </w:p>
        </w:tc>
        <w:tc>
          <w:tcPr>
            <w:tcW w:w="1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9"/>
                <w:szCs w:val="19"/>
                <w:color w:val="auto"/>
              </w:rPr>
              <w:t>$185</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$44</w:t>
            </w:r>
          </w:p>
        </w:tc>
        <w:tc>
          <w:tcPr>
            <w:tcW w:w="660" w:type="dxa"/>
            <w:vAlign w:val="bottom"/>
          </w:tcPr>
          <w:p>
            <w:pPr>
              <w:jc w:val="right"/>
              <w:spacing w:after="0"/>
              <w:rPr>
                <w:sz w:val="20"/>
                <w:szCs w:val="20"/>
                <w:color w:val="auto"/>
              </w:rPr>
            </w:pPr>
            <w:r>
              <w:rPr>
                <w:rFonts w:ascii="Arial" w:cs="Arial" w:eastAsia="Arial" w:hAnsi="Arial"/>
                <w:sz w:val="19"/>
                <w:szCs w:val="19"/>
                <w:color w:val="auto"/>
              </w:rPr>
              <w:t>$80</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$479</w:t>
            </w:r>
          </w:p>
        </w:tc>
        <w:tc>
          <w:tcPr>
            <w:tcW w:w="1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9"/>
                <w:szCs w:val="19"/>
                <w:color w:val="auto"/>
              </w:rPr>
              <w:t>($788)</w:t>
            </w: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$65</w:t>
            </w:r>
          </w:p>
        </w:tc>
        <w:tc>
          <w:tcPr>
            <w:tcW w:w="0" w:type="dxa"/>
            <w:vAlign w:val="bottom"/>
          </w:tcPr>
          <w:p>
            <w:pPr>
              <w:spacing w:after="0"/>
              <w:rPr>
                <w:sz w:val="1"/>
                <w:szCs w:val="1"/>
                <w:color w:val="auto"/>
              </w:rPr>
            </w:pPr>
          </w:p>
        </w:tc>
      </w:tr>
      <w:tr>
        <w:trPr>
          <w:trHeight w:val="402"/>
        </w:trPr>
        <w:tc>
          <w:tcPr>
            <w:tcW w:w="2960" w:type="dxa"/>
            <w:vAlign w:val="bottom"/>
          </w:tcPr>
          <w:p>
            <w:pPr>
              <w:spacing w:after="0"/>
              <w:rPr>
                <w:sz w:val="20"/>
                <w:szCs w:val="20"/>
                <w:color w:val="auto"/>
              </w:rPr>
            </w:pPr>
            <w:r>
              <w:rPr>
                <w:rFonts w:ascii="Arial" w:cs="Arial" w:eastAsia="Arial" w:hAnsi="Arial"/>
                <w:sz w:val="19"/>
                <w:szCs w:val="19"/>
                <w:color w:val="auto"/>
              </w:rPr>
              <w:t>Adjustments to reconcile net</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income (loss) to</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net cash provided by (used in)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operating activities: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Depreciation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798</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798</w:t>
            </w:r>
          </w:p>
        </w:tc>
        <w:tc>
          <w:tcPr>
            <w:tcW w:w="0" w:type="dxa"/>
            <w:vAlign w:val="bottom"/>
          </w:tcPr>
          <w:p>
            <w:pPr>
              <w:spacing w:after="0"/>
              <w:rPr>
                <w:sz w:val="1"/>
                <w:szCs w:val="1"/>
                <w:color w:val="auto"/>
              </w:rPr>
            </w:pPr>
          </w:p>
        </w:tc>
      </w:tr>
      <w:tr>
        <w:trPr>
          <w:trHeight w:val="215"/>
        </w:trPr>
        <w:tc>
          <w:tcPr>
            <w:tcW w:w="2960" w:type="dxa"/>
            <w:vAlign w:val="bottom"/>
          </w:tcPr>
          <w:p>
            <w:pPr>
              <w:ind w:left="120"/>
              <w:spacing w:after="0" w:line="214" w:lineRule="exact"/>
              <w:rPr>
                <w:sz w:val="20"/>
                <w:szCs w:val="20"/>
                <w:color w:val="auto"/>
              </w:rPr>
            </w:pPr>
            <w:r>
              <w:rPr>
                <w:rFonts w:ascii="Arial" w:cs="Arial" w:eastAsia="Arial" w:hAnsi="Arial"/>
                <w:sz w:val="19"/>
                <w:szCs w:val="19"/>
                <w:color w:val="auto"/>
              </w:rPr>
              <w:t>Amortization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276</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276</w:t>
            </w: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Non-cash interest (income)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expense, net</w:t>
            </w:r>
          </w:p>
        </w:tc>
        <w:tc>
          <w:tcPr>
            <w:tcW w:w="620" w:type="dxa"/>
            <w:vAlign w:val="bottom"/>
          </w:tcPr>
          <w:p>
            <w:pPr>
              <w:jc w:val="right"/>
              <w:spacing w:after="0" w:line="214" w:lineRule="exact"/>
              <w:rPr>
                <w:sz w:val="20"/>
                <w:szCs w:val="20"/>
                <w:color w:val="auto"/>
              </w:rPr>
            </w:pPr>
            <w:r>
              <w:rPr>
                <w:rFonts w:ascii="Arial" w:cs="Arial" w:eastAsia="Arial" w:hAnsi="Arial"/>
                <w:sz w:val="19"/>
                <w:szCs w:val="19"/>
                <w:color w:val="auto"/>
              </w:rPr>
              <w:t>45</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2</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(26)</w:t>
            </w: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1</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22</w:t>
            </w: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Equity in net (income) losses of</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affiliates</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(96)</w:t>
            </w:r>
          </w:p>
        </w:tc>
        <w:tc>
          <w:tcPr>
            <w:tcW w:w="76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(268)</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(93)</w:t>
            </w:r>
          </w:p>
        </w:tc>
        <w:tc>
          <w:tcPr>
            <w:tcW w:w="8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(146)</w:t>
            </w: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(168)</w:t>
            </w:r>
          </w:p>
        </w:tc>
        <w:tc>
          <w:tcPr>
            <w:tcW w:w="860" w:type="dxa"/>
            <w:vAlign w:val="bottom"/>
          </w:tcPr>
          <w:p>
            <w:pPr>
              <w:jc w:val="right"/>
              <w:spacing w:after="0" w:line="214" w:lineRule="exact"/>
              <w:rPr>
                <w:sz w:val="20"/>
                <w:szCs w:val="20"/>
                <w:color w:val="auto"/>
              </w:rPr>
            </w:pPr>
            <w:r>
              <w:rPr>
                <w:rFonts w:ascii="Arial" w:cs="Arial" w:eastAsia="Arial" w:hAnsi="Arial"/>
                <w:sz w:val="19"/>
                <w:szCs w:val="19"/>
                <w:color w:val="auto"/>
              </w:rPr>
              <w:t>788</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w w:val="95"/>
              </w:rPr>
              <w:t>Losses (gains) on investments and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other</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280"/>
              <w:spacing w:after="0" w:line="214" w:lineRule="exact"/>
              <w:rPr>
                <w:sz w:val="20"/>
                <w:szCs w:val="20"/>
                <w:color w:val="auto"/>
              </w:rPr>
            </w:pPr>
            <w:r>
              <w:rPr>
                <w:rFonts w:ascii="Arial" w:cs="Arial" w:eastAsia="Arial" w:hAnsi="Arial"/>
                <w:sz w:val="19"/>
                <w:szCs w:val="19"/>
                <w:color w:val="auto"/>
              </w:rPr>
              <w:t>(income) expense, net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8</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Non-cash contribution expense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23</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Minority interest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(1)</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42"/>
        </w:trPr>
        <w:tc>
          <w:tcPr>
            <w:tcW w:w="2960" w:type="dxa"/>
            <w:vAlign w:val="bottom"/>
          </w:tcPr>
          <w:p>
            <w:pPr>
              <w:ind w:left="140"/>
              <w:spacing w:after="0"/>
              <w:rPr>
                <w:sz w:val="20"/>
                <w:szCs w:val="20"/>
                <w:color w:val="auto"/>
              </w:rPr>
            </w:pPr>
            <w:r>
              <w:rPr>
                <w:rFonts w:ascii="Arial" w:cs="Arial" w:eastAsia="Arial" w:hAnsi="Arial"/>
                <w:sz w:val="19"/>
                <w:szCs w:val="19"/>
                <w:color w:val="auto"/>
              </w:rPr>
              <w:t>Deferred income taxes</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402"/>
        </w:trPr>
        <w:tc>
          <w:tcPr>
            <w:tcW w:w="2960" w:type="dxa"/>
            <w:vAlign w:val="bottom"/>
          </w:tcPr>
          <w:p>
            <w:pPr>
              <w:ind w:left="140"/>
              <w:spacing w:after="0"/>
              <w:rPr>
                <w:sz w:val="20"/>
                <w:szCs w:val="20"/>
                <w:color w:val="auto"/>
              </w:rPr>
            </w:pPr>
            <w:r>
              <w:rPr>
                <w:rFonts w:ascii="Arial" w:cs="Arial" w:eastAsia="Arial" w:hAnsi="Arial"/>
                <w:sz w:val="19"/>
                <w:szCs w:val="19"/>
                <w:color w:val="auto"/>
              </w:rPr>
              <w:t>Changes in operating assets and</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liabilities,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240"/>
              <w:spacing w:after="0" w:line="214" w:lineRule="exact"/>
              <w:rPr>
                <w:sz w:val="20"/>
                <w:szCs w:val="20"/>
                <w:color w:val="auto"/>
              </w:rPr>
            </w:pPr>
            <w:r>
              <w:rPr>
                <w:rFonts w:ascii="Arial" w:cs="Arial" w:eastAsia="Arial" w:hAnsi="Arial"/>
                <w:sz w:val="19"/>
                <w:szCs w:val="19"/>
                <w:color w:val="auto"/>
                <w:w w:val="99"/>
              </w:rPr>
              <w:t>net of effects of acquisitions and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240"/>
              <w:spacing w:after="0" w:line="214" w:lineRule="exact"/>
              <w:rPr>
                <w:sz w:val="20"/>
                <w:szCs w:val="20"/>
                <w:color w:val="auto"/>
              </w:rPr>
            </w:pPr>
            <w:r>
              <w:rPr>
                <w:rFonts w:ascii="Arial" w:cs="Arial" w:eastAsia="Arial" w:hAnsi="Arial"/>
                <w:sz w:val="19"/>
                <w:szCs w:val="19"/>
                <w:color w:val="auto"/>
              </w:rPr>
              <w:t>divestitures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240"/>
              <w:spacing w:after="0" w:line="214" w:lineRule="exact"/>
              <w:rPr>
                <w:sz w:val="20"/>
                <w:szCs w:val="20"/>
                <w:color w:val="auto"/>
              </w:rPr>
            </w:pPr>
            <w:r>
              <w:rPr>
                <w:rFonts w:ascii="Arial" w:cs="Arial" w:eastAsia="Arial" w:hAnsi="Arial"/>
                <w:sz w:val="19"/>
                <w:szCs w:val="19"/>
                <w:color w:val="auto"/>
              </w:rPr>
              <w:t>Change in accounts receivable,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net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131</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131</w:t>
            </w:r>
          </w:p>
        </w:tc>
        <w:tc>
          <w:tcPr>
            <w:tcW w:w="0" w:type="dxa"/>
            <w:vAlign w:val="bottom"/>
          </w:tcPr>
          <w:p>
            <w:pPr>
              <w:spacing w:after="0"/>
              <w:rPr>
                <w:sz w:val="1"/>
                <w:szCs w:val="1"/>
                <w:color w:val="auto"/>
              </w:rPr>
            </w:pPr>
          </w:p>
        </w:tc>
      </w:tr>
      <w:tr>
        <w:trPr>
          <w:trHeight w:val="215"/>
        </w:trPr>
        <w:tc>
          <w:tcPr>
            <w:tcW w:w="2960" w:type="dxa"/>
            <w:vAlign w:val="bottom"/>
          </w:tcPr>
          <w:p>
            <w:pPr>
              <w:ind w:left="240"/>
              <w:spacing w:after="0" w:line="214" w:lineRule="exact"/>
              <w:rPr>
                <w:sz w:val="20"/>
                <w:szCs w:val="20"/>
                <w:color w:val="auto"/>
              </w:rPr>
            </w:pPr>
            <w:r>
              <w:rPr>
                <w:rFonts w:ascii="Arial" w:cs="Arial" w:eastAsia="Arial" w:hAnsi="Arial"/>
                <w:sz w:val="19"/>
                <w:szCs w:val="19"/>
                <w:color w:val="auto"/>
              </w:rPr>
              <w:t>Change in accounts payable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(227)</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(227)</w:t>
            </w:r>
          </w:p>
        </w:tc>
        <w:tc>
          <w:tcPr>
            <w:tcW w:w="0" w:type="dxa"/>
            <w:vAlign w:val="bottom"/>
          </w:tcPr>
          <w:p>
            <w:pPr>
              <w:spacing w:after="0"/>
              <w:rPr>
                <w:sz w:val="1"/>
                <w:szCs w:val="1"/>
                <w:color w:val="auto"/>
              </w:rPr>
            </w:pPr>
          </w:p>
        </w:tc>
      </w:tr>
      <w:tr>
        <w:trPr>
          <w:trHeight w:val="215"/>
        </w:trPr>
        <w:tc>
          <w:tcPr>
            <w:tcW w:w="2960" w:type="dxa"/>
            <w:vAlign w:val="bottom"/>
          </w:tcPr>
          <w:p>
            <w:pPr>
              <w:ind w:left="240"/>
              <w:spacing w:after="0" w:line="214" w:lineRule="exact"/>
              <w:rPr>
                <w:sz w:val="20"/>
                <w:szCs w:val="20"/>
                <w:color w:val="auto"/>
              </w:rPr>
            </w:pPr>
            <w:r>
              <w:rPr>
                <w:rFonts w:ascii="Arial" w:cs="Arial" w:eastAsia="Arial" w:hAnsi="Arial"/>
                <w:sz w:val="19"/>
                <w:szCs w:val="19"/>
                <w:color w:val="auto"/>
                <w:w w:val="96"/>
              </w:rPr>
              <w:t>Change in other operating assets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and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60" w:type="dxa"/>
            <w:vAlign w:val="bottom"/>
          </w:tcPr>
          <w:p>
            <w:pPr>
              <w:ind w:left="320"/>
              <w:spacing w:after="0"/>
              <w:rPr>
                <w:sz w:val="20"/>
                <w:szCs w:val="20"/>
                <w:color w:val="auto"/>
              </w:rPr>
            </w:pPr>
            <w:r>
              <w:rPr>
                <w:rFonts w:ascii="Arial" w:cs="Arial" w:eastAsia="Arial" w:hAnsi="Arial"/>
                <w:sz w:val="19"/>
                <w:szCs w:val="19"/>
                <w:color w:val="auto"/>
              </w:rPr>
              <w:t>liabilities</w:t>
            </w:r>
          </w:p>
        </w:tc>
        <w:tc>
          <w:tcPr>
            <w:tcW w:w="620" w:type="dxa"/>
            <w:vAlign w:val="bottom"/>
          </w:tcPr>
          <w:p>
            <w:pPr>
              <w:jc w:val="right"/>
              <w:spacing w:after="0"/>
              <w:rPr>
                <w:sz w:val="20"/>
                <w:szCs w:val="20"/>
                <w:color w:val="auto"/>
              </w:rPr>
            </w:pPr>
            <w:r>
              <w:rPr>
                <w:rFonts w:ascii="Arial" w:cs="Arial" w:eastAsia="Arial" w:hAnsi="Arial"/>
                <w:sz w:val="19"/>
                <w:szCs w:val="19"/>
                <w:color w:val="auto"/>
              </w:rPr>
              <w:t>70</w:t>
            </w:r>
          </w:p>
        </w:tc>
        <w:tc>
          <w:tcPr>
            <w:tcW w:w="1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9"/>
                <w:szCs w:val="19"/>
                <w:color w:val="auto"/>
              </w:rPr>
              <w:t>201</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85</w:t>
            </w:r>
          </w:p>
        </w:tc>
        <w:tc>
          <w:tcPr>
            <w:tcW w:w="820" w:type="dxa"/>
            <w:vAlign w:val="bottom"/>
            <w:gridSpan w:val="2"/>
          </w:tcPr>
          <w:p>
            <w:pPr>
              <w:jc w:val="right"/>
              <w:ind w:right="100"/>
              <w:spacing w:after="0"/>
              <w:rPr>
                <w:sz w:val="20"/>
                <w:szCs w:val="20"/>
                <w:color w:val="auto"/>
              </w:rPr>
            </w:pPr>
            <w:r>
              <w:rPr>
                <w:rFonts w:ascii="Arial" w:cs="Arial" w:eastAsia="Arial" w:hAnsi="Arial"/>
                <w:sz w:val="19"/>
                <w:szCs w:val="19"/>
                <w:color w:val="auto"/>
              </w:rPr>
              <w:t>(116)</w:t>
            </w: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(583)</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(343)</w:t>
            </w:r>
          </w:p>
        </w:tc>
        <w:tc>
          <w:tcPr>
            <w:tcW w:w="0" w:type="dxa"/>
            <w:vAlign w:val="bottom"/>
          </w:tcPr>
          <w:p>
            <w:pPr>
              <w:spacing w:after="0"/>
              <w:rPr>
                <w:sz w:val="1"/>
                <w:szCs w:val="1"/>
                <w:color w:val="auto"/>
              </w:rPr>
            </w:pPr>
          </w:p>
        </w:tc>
      </w:tr>
      <w:tr>
        <w:trPr>
          <w:trHeight w:val="87"/>
        </w:trPr>
        <w:tc>
          <w:tcPr>
            <w:tcW w:w="2960" w:type="dxa"/>
            <w:vAlign w:val="bottom"/>
            <w:vMerge w:val="restart"/>
          </w:tcPr>
          <w:p>
            <w:pPr>
              <w:ind w:left="240"/>
              <w:spacing w:after="0"/>
              <w:rPr>
                <w:sz w:val="20"/>
                <w:szCs w:val="20"/>
                <w:color w:val="auto"/>
              </w:rPr>
            </w:pPr>
            <w:r>
              <w:rPr>
                <w:rFonts w:ascii="Arial" w:cs="Arial" w:eastAsia="Arial" w:hAnsi="Arial"/>
                <w:sz w:val="19"/>
                <w:szCs w:val="19"/>
                <w:color w:val="auto"/>
              </w:rPr>
              <w:t>Net cash provided by (used in)</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operating</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60" w:type="dxa"/>
            <w:vAlign w:val="bottom"/>
          </w:tcPr>
          <w:p>
            <w:pPr>
              <w:ind w:left="320"/>
              <w:spacing w:after="0"/>
              <w:rPr>
                <w:sz w:val="20"/>
                <w:szCs w:val="20"/>
                <w:color w:val="auto"/>
              </w:rPr>
            </w:pPr>
            <w:r>
              <w:rPr>
                <w:rFonts w:ascii="Arial" w:cs="Arial" w:eastAsia="Arial" w:hAnsi="Arial"/>
                <w:sz w:val="19"/>
                <w:szCs w:val="19"/>
                <w:color w:val="auto"/>
              </w:rPr>
              <w:t>activities</w:t>
            </w:r>
          </w:p>
        </w:tc>
        <w:tc>
          <w:tcPr>
            <w:tcW w:w="620" w:type="dxa"/>
            <w:vAlign w:val="bottom"/>
          </w:tcPr>
          <w:p>
            <w:pPr>
              <w:jc w:val="right"/>
              <w:spacing w:after="0"/>
              <w:rPr>
                <w:sz w:val="20"/>
                <w:szCs w:val="20"/>
                <w:color w:val="auto"/>
              </w:rPr>
            </w:pPr>
            <w:r>
              <w:rPr>
                <w:rFonts w:ascii="Arial" w:cs="Arial" w:eastAsia="Arial" w:hAnsi="Arial"/>
                <w:sz w:val="19"/>
                <w:szCs w:val="19"/>
                <w:color w:val="auto"/>
              </w:rPr>
              <w:t>84</w:t>
            </w:r>
          </w:p>
        </w:tc>
        <w:tc>
          <w:tcPr>
            <w:tcW w:w="1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9"/>
                <w:szCs w:val="19"/>
                <w:color w:val="auto"/>
              </w:rPr>
              <w:t>120</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36</w:t>
            </w:r>
          </w:p>
        </w:tc>
        <w:tc>
          <w:tcPr>
            <w:tcW w:w="820" w:type="dxa"/>
            <w:vAlign w:val="bottom"/>
            <w:gridSpan w:val="2"/>
          </w:tcPr>
          <w:p>
            <w:pPr>
              <w:jc w:val="right"/>
              <w:ind w:right="100"/>
              <w:spacing w:after="0"/>
              <w:rPr>
                <w:sz w:val="20"/>
                <w:szCs w:val="20"/>
                <w:color w:val="auto"/>
              </w:rPr>
            </w:pPr>
            <w:r>
              <w:rPr>
                <w:rFonts w:ascii="Arial" w:cs="Arial" w:eastAsia="Arial" w:hAnsi="Arial"/>
                <w:sz w:val="19"/>
                <w:szCs w:val="19"/>
                <w:color w:val="auto"/>
              </w:rPr>
              <w:t>(208)</w:t>
            </w:r>
          </w:p>
        </w:tc>
        <w:tc>
          <w:tcPr>
            <w:tcW w:w="760" w:type="dxa"/>
            <w:vAlign w:val="bottom"/>
          </w:tcPr>
          <w:p>
            <w:pPr>
              <w:jc w:val="right"/>
              <w:spacing w:after="0"/>
              <w:rPr>
                <w:sz w:val="20"/>
                <w:szCs w:val="20"/>
                <w:color w:val="auto"/>
              </w:rPr>
            </w:pPr>
            <w:r>
              <w:rPr>
                <w:rFonts w:ascii="Arial" w:cs="Arial" w:eastAsia="Arial" w:hAnsi="Arial"/>
                <w:sz w:val="19"/>
                <w:szCs w:val="19"/>
                <w:color w:val="auto"/>
              </w:rPr>
              <w:t>742</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774</w:t>
            </w:r>
          </w:p>
        </w:tc>
        <w:tc>
          <w:tcPr>
            <w:tcW w:w="0" w:type="dxa"/>
            <w:vAlign w:val="bottom"/>
          </w:tcPr>
          <w:p>
            <w:pPr>
              <w:spacing w:after="0"/>
              <w:rPr>
                <w:sz w:val="1"/>
                <w:szCs w:val="1"/>
                <w:color w:val="auto"/>
              </w:rPr>
            </w:pPr>
          </w:p>
        </w:tc>
      </w:tr>
      <w:tr>
        <w:trPr>
          <w:trHeight w:val="87"/>
        </w:trPr>
        <w:tc>
          <w:tcPr>
            <w:tcW w:w="2960" w:type="dxa"/>
            <w:vAlign w:val="bottom"/>
            <w:vMerge w:val="restart"/>
          </w:tcPr>
          <w:p>
            <w:pPr>
              <w:spacing w:after="0"/>
              <w:rPr>
                <w:sz w:val="20"/>
                <w:szCs w:val="20"/>
                <w:color w:val="auto"/>
              </w:rPr>
            </w:pPr>
            <w:r>
              <w:rPr>
                <w:rFonts w:ascii="Arial" w:cs="Arial" w:eastAsia="Arial" w:hAnsi="Arial"/>
                <w:sz w:val="19"/>
                <w:szCs w:val="19"/>
                <w:color w:val="auto"/>
              </w:rPr>
              <w:t>FINANCING ACTIVITIES</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8"/>
        </w:trPr>
        <w:tc>
          <w:tcPr>
            <w:tcW w:w="29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Proceeds from borrowings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4</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Retirements and repayments of</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debt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(256)</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(3)</w:t>
            </w: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(14)</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(273)</w:t>
            </w:r>
          </w:p>
        </w:tc>
        <w:tc>
          <w:tcPr>
            <w:tcW w:w="0" w:type="dxa"/>
            <w:vAlign w:val="bottom"/>
          </w:tcPr>
          <w:p>
            <w:pPr>
              <w:spacing w:after="0"/>
              <w:rPr>
                <w:sz w:val="1"/>
                <w:szCs w:val="1"/>
                <w:color w:val="auto"/>
              </w:rPr>
            </w:pPr>
          </w:p>
        </w:tc>
      </w:tr>
      <w:tr>
        <w:trPr>
          <w:trHeight w:val="242"/>
        </w:trPr>
        <w:tc>
          <w:tcPr>
            <w:tcW w:w="2960" w:type="dxa"/>
            <w:vAlign w:val="bottom"/>
          </w:tcPr>
          <w:p>
            <w:pPr>
              <w:ind w:left="140"/>
              <w:spacing w:after="0"/>
              <w:rPr>
                <w:sz w:val="20"/>
                <w:szCs w:val="20"/>
                <w:color w:val="auto"/>
              </w:rPr>
            </w:pPr>
            <w:r>
              <w:rPr>
                <w:rFonts w:ascii="Arial" w:cs="Arial" w:eastAsia="Arial" w:hAnsi="Arial"/>
                <w:sz w:val="19"/>
                <w:szCs w:val="19"/>
                <w:color w:val="auto"/>
              </w:rPr>
              <w:t>Other</w:t>
            </w:r>
          </w:p>
        </w:tc>
        <w:tc>
          <w:tcPr>
            <w:tcW w:w="620" w:type="dxa"/>
            <w:vAlign w:val="bottom"/>
          </w:tcPr>
          <w:p>
            <w:pPr>
              <w:jc w:val="right"/>
              <w:spacing w:after="0"/>
              <w:rPr>
                <w:sz w:val="20"/>
                <w:szCs w:val="20"/>
                <w:color w:val="auto"/>
              </w:rPr>
            </w:pPr>
            <w:r>
              <w:rPr>
                <w:rFonts w:ascii="Arial" w:cs="Arial" w:eastAsia="Arial" w:hAnsi="Arial"/>
                <w:sz w:val="19"/>
                <w:szCs w:val="19"/>
                <w:color w:val="auto"/>
              </w:rPr>
              <w:t>8</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10</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18</w:t>
            </w:r>
          </w:p>
        </w:tc>
        <w:tc>
          <w:tcPr>
            <w:tcW w:w="0" w:type="dxa"/>
            <w:vAlign w:val="bottom"/>
          </w:tcPr>
          <w:p>
            <w:pPr>
              <w:spacing w:after="0"/>
              <w:rPr>
                <w:sz w:val="1"/>
                <w:szCs w:val="1"/>
                <w:color w:val="auto"/>
              </w:rPr>
            </w:pPr>
          </w:p>
        </w:tc>
      </w:tr>
      <w:tr>
        <w:trPr>
          <w:trHeight w:val="87"/>
        </w:trPr>
        <w:tc>
          <w:tcPr>
            <w:tcW w:w="2960" w:type="dxa"/>
            <w:vAlign w:val="bottom"/>
            <w:vMerge w:val="restart"/>
          </w:tcPr>
          <w:p>
            <w:pPr>
              <w:ind w:left="240"/>
              <w:spacing w:after="0"/>
              <w:rPr>
                <w:sz w:val="20"/>
                <w:szCs w:val="20"/>
                <w:color w:val="auto"/>
              </w:rPr>
            </w:pPr>
            <w:r>
              <w:rPr>
                <w:rFonts w:ascii="Arial" w:cs="Arial" w:eastAsia="Arial" w:hAnsi="Arial"/>
                <w:sz w:val="19"/>
                <w:szCs w:val="19"/>
                <w:color w:val="auto"/>
              </w:rPr>
              <w:t>Net cash provided by (used in)</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960" w:type="dxa"/>
            <w:vAlign w:val="bottom"/>
          </w:tcPr>
          <w:p>
            <w:pPr>
              <w:ind w:left="320"/>
              <w:spacing w:after="0"/>
              <w:rPr>
                <w:sz w:val="20"/>
                <w:szCs w:val="20"/>
                <w:color w:val="auto"/>
              </w:rPr>
            </w:pPr>
            <w:r>
              <w:rPr>
                <w:rFonts w:ascii="Arial" w:cs="Arial" w:eastAsia="Arial" w:hAnsi="Arial"/>
                <w:sz w:val="19"/>
                <w:szCs w:val="19"/>
                <w:color w:val="auto"/>
              </w:rPr>
              <w:t>financing activities</w:t>
            </w:r>
          </w:p>
        </w:tc>
        <w:tc>
          <w:tcPr>
            <w:tcW w:w="620" w:type="dxa"/>
            <w:vAlign w:val="bottom"/>
          </w:tcPr>
          <w:p>
            <w:pPr>
              <w:jc w:val="right"/>
              <w:spacing w:after="0"/>
              <w:rPr>
                <w:sz w:val="20"/>
                <w:szCs w:val="20"/>
                <w:color w:val="auto"/>
              </w:rPr>
            </w:pPr>
            <w:r>
              <w:rPr>
                <w:rFonts w:ascii="Arial" w:cs="Arial" w:eastAsia="Arial" w:hAnsi="Arial"/>
                <w:sz w:val="19"/>
                <w:szCs w:val="19"/>
                <w:color w:val="auto"/>
              </w:rPr>
              <w:t>8</w:t>
            </w:r>
          </w:p>
        </w:tc>
        <w:tc>
          <w:tcPr>
            <w:tcW w:w="16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9"/>
                <w:szCs w:val="19"/>
                <w:color w:val="auto"/>
              </w:rPr>
              <w:t>(256)</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9"/>
                <w:szCs w:val="19"/>
                <w:color w:val="auto"/>
              </w:rPr>
              <w:t>(3)</w:t>
            </w: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(251)</w:t>
            </w:r>
          </w:p>
        </w:tc>
        <w:tc>
          <w:tcPr>
            <w:tcW w:w="0" w:type="dxa"/>
            <w:vAlign w:val="bottom"/>
          </w:tcPr>
          <w:p>
            <w:pPr>
              <w:spacing w:after="0"/>
              <w:rPr>
                <w:sz w:val="1"/>
                <w:szCs w:val="1"/>
                <w:color w:val="auto"/>
              </w:rPr>
            </w:pPr>
          </w:p>
        </w:tc>
      </w:tr>
      <w:tr>
        <w:trPr>
          <w:trHeight w:val="87"/>
        </w:trPr>
        <w:tc>
          <w:tcPr>
            <w:tcW w:w="2960" w:type="dxa"/>
            <w:vAlign w:val="bottom"/>
            <w:vMerge w:val="restart"/>
          </w:tcPr>
          <w:p>
            <w:pPr>
              <w:spacing w:after="0"/>
              <w:rPr>
                <w:sz w:val="20"/>
                <w:szCs w:val="20"/>
                <w:color w:val="auto"/>
              </w:rPr>
            </w:pPr>
            <w:r>
              <w:rPr>
                <w:rFonts w:ascii="Arial" w:cs="Arial" w:eastAsia="Arial" w:hAnsi="Arial"/>
                <w:sz w:val="19"/>
                <w:szCs w:val="19"/>
                <w:color w:val="auto"/>
              </w:rPr>
              <w:t>INVESTING ACTIVITIES</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Net transactions with affiliates</w:t>
            </w:r>
          </w:p>
        </w:tc>
        <w:tc>
          <w:tcPr>
            <w:tcW w:w="620" w:type="dxa"/>
            <w:vAlign w:val="bottom"/>
          </w:tcPr>
          <w:p>
            <w:pPr>
              <w:jc w:val="right"/>
              <w:spacing w:after="0" w:line="214" w:lineRule="exact"/>
              <w:rPr>
                <w:sz w:val="20"/>
                <w:szCs w:val="20"/>
                <w:color w:val="auto"/>
              </w:rPr>
            </w:pPr>
            <w:r>
              <w:rPr>
                <w:rFonts w:ascii="Arial" w:cs="Arial" w:eastAsia="Arial" w:hAnsi="Arial"/>
                <w:sz w:val="19"/>
                <w:szCs w:val="19"/>
                <w:color w:val="auto"/>
              </w:rPr>
              <w:t>171</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136</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(36)</w:t>
            </w:r>
          </w:p>
        </w:tc>
        <w:tc>
          <w:tcPr>
            <w:tcW w:w="660" w:type="dxa"/>
            <w:vAlign w:val="bottom"/>
          </w:tcPr>
          <w:p>
            <w:pPr>
              <w:jc w:val="right"/>
              <w:spacing w:after="0" w:line="214" w:lineRule="exact"/>
              <w:rPr>
                <w:sz w:val="20"/>
                <w:szCs w:val="20"/>
                <w:color w:val="auto"/>
              </w:rPr>
            </w:pPr>
            <w:r>
              <w:rPr>
                <w:rFonts w:ascii="Arial" w:cs="Arial" w:eastAsia="Arial" w:hAnsi="Arial"/>
                <w:sz w:val="19"/>
                <w:szCs w:val="19"/>
                <w:color w:val="auto"/>
              </w:rPr>
              <w:t>211</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(482)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Acquisitions, net of cash acquired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(41)</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(41)</w:t>
            </w: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Proceeds from sales of (purchases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of)</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line="214" w:lineRule="exact"/>
              <w:rPr>
                <w:sz w:val="20"/>
                <w:szCs w:val="20"/>
                <w:color w:val="auto"/>
              </w:rPr>
            </w:pPr>
            <w:r>
              <w:rPr>
                <w:rFonts w:ascii="Arial" w:cs="Arial" w:eastAsia="Arial" w:hAnsi="Arial"/>
                <w:sz w:val="19"/>
                <w:szCs w:val="19"/>
                <w:color w:val="auto"/>
              </w:rPr>
              <w:t>short-term investments, net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6</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w w:val="97"/>
              </w:rPr>
              <w:t>Proceeds from sales of investments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4</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Purchases of investments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(60)</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(60)</w:t>
            </w: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Capital expenditures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(828)</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(828)</w:t>
            </w: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Additions to intangible and other</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noncurrent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180"/>
              <w:spacing w:after="0" w:line="214" w:lineRule="exact"/>
              <w:rPr>
                <w:sz w:val="20"/>
                <w:szCs w:val="20"/>
                <w:color w:val="auto"/>
              </w:rPr>
            </w:pPr>
            <w:r>
              <w:rPr>
                <w:rFonts w:ascii="Arial" w:cs="Arial" w:eastAsia="Arial" w:hAnsi="Arial"/>
                <w:sz w:val="19"/>
                <w:szCs w:val="19"/>
                <w:color w:val="auto"/>
              </w:rPr>
              <w:t>assets</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(250)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(55)</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(305)</w:t>
            </w: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Proceeds from settlement of</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contract of</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60" w:type="dxa"/>
            <w:vAlign w:val="bottom"/>
          </w:tcPr>
          <w:p>
            <w:pPr>
              <w:ind w:left="240"/>
              <w:spacing w:after="0"/>
              <w:rPr>
                <w:sz w:val="20"/>
                <w:szCs w:val="20"/>
                <w:color w:val="auto"/>
              </w:rPr>
            </w:pPr>
            <w:r>
              <w:rPr>
                <w:rFonts w:ascii="Arial" w:cs="Arial" w:eastAsia="Arial" w:hAnsi="Arial"/>
                <w:sz w:val="19"/>
                <w:szCs w:val="19"/>
                <w:color w:val="auto"/>
              </w:rPr>
              <w:t>acquired company</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26</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55245</wp:posOffset>
            </wp:positionV>
            <wp:extent cx="377126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771265" cy="7620"/>
                    </a:xfrm>
                    <a:prstGeom prst="rect">
                      <a:avLst/>
                    </a:prstGeom>
                    <a:noFill/>
                  </pic:spPr>
                </pic:pic>
              </a:graphicData>
            </a:graphic>
          </wp:anchor>
        </w:drawing>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Net cash (used in) provided by</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investing</w:t>
      </w:r>
    </w:p>
    <w:p>
      <w:pPr>
        <w:sectPr>
          <w:pgSz w:w="11900" w:h="16894" w:orient="portrait"/>
          <w:cols w:equalWidth="0" w:num="1">
            <w:col w:w="10219"/>
          </w:cols>
          <w:pgMar w:left="240" w:top="120" w:right="1440" w:bottom="0" w:gutter="0" w:footer="0" w:header="0"/>
        </w:sectPr>
      </w:pPr>
    </w:p>
    <w:bookmarkStart w:id="18" w:name="page19"/>
    <w:bookmarkEnd w:id="18"/>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60" w:type="dxa"/>
            <w:vAlign w:val="bottom"/>
          </w:tcPr>
          <w:p>
            <w:pPr>
              <w:ind w:left="240"/>
              <w:spacing w:after="0"/>
              <w:rPr>
                <w:sz w:val="20"/>
                <w:szCs w:val="20"/>
                <w:color w:val="auto"/>
              </w:rPr>
            </w:pPr>
            <w:r>
              <w:rPr>
                <w:rFonts w:ascii="Arial" w:cs="Arial" w:eastAsia="Arial" w:hAnsi="Arial"/>
                <w:sz w:val="19"/>
                <w:szCs w:val="19"/>
                <w:color w:val="auto"/>
              </w:rPr>
              <w:t>activities</w:t>
            </w:r>
          </w:p>
        </w:tc>
        <w:tc>
          <w:tcPr>
            <w:tcW w:w="780" w:type="dxa"/>
            <w:vAlign w:val="bottom"/>
            <w:gridSpan w:val="2"/>
          </w:tcPr>
          <w:p>
            <w:pPr>
              <w:jc w:val="right"/>
              <w:ind w:right="100"/>
              <w:spacing w:after="0"/>
              <w:rPr>
                <w:sz w:val="20"/>
                <w:szCs w:val="20"/>
                <w:color w:val="auto"/>
              </w:rPr>
            </w:pPr>
            <w:r>
              <w:rPr>
                <w:rFonts w:ascii="Arial" w:cs="Arial" w:eastAsia="Arial" w:hAnsi="Arial"/>
                <w:sz w:val="19"/>
                <w:szCs w:val="19"/>
                <w:color w:val="auto"/>
              </w:rPr>
              <w:t>(79)</w:t>
            </w:r>
          </w:p>
        </w:tc>
        <w:tc>
          <w:tcPr>
            <w:tcW w:w="760" w:type="dxa"/>
            <w:vAlign w:val="bottom"/>
            <w:gridSpan w:val="2"/>
          </w:tcPr>
          <w:p>
            <w:pPr>
              <w:jc w:val="right"/>
              <w:ind w:right="160"/>
              <w:spacing w:after="0"/>
              <w:rPr>
                <w:sz w:val="20"/>
                <w:szCs w:val="20"/>
                <w:color w:val="auto"/>
              </w:rPr>
            </w:pPr>
            <w:r>
              <w:rPr>
                <w:rFonts w:ascii="Arial" w:cs="Arial" w:eastAsia="Arial" w:hAnsi="Arial"/>
                <w:sz w:val="19"/>
                <w:szCs w:val="19"/>
                <w:color w:val="auto"/>
              </w:rPr>
              <w:t>136</w:t>
            </w:r>
          </w:p>
        </w:tc>
        <w:tc>
          <w:tcPr>
            <w:tcW w:w="780" w:type="dxa"/>
            <w:vAlign w:val="bottom"/>
            <w:gridSpan w:val="2"/>
          </w:tcPr>
          <w:p>
            <w:pPr>
              <w:jc w:val="right"/>
              <w:ind w:right="100"/>
              <w:spacing w:after="0"/>
              <w:rPr>
                <w:sz w:val="20"/>
                <w:szCs w:val="20"/>
                <w:color w:val="auto"/>
              </w:rPr>
            </w:pPr>
            <w:r>
              <w:rPr>
                <w:rFonts w:ascii="Arial" w:cs="Arial" w:eastAsia="Arial" w:hAnsi="Arial"/>
                <w:sz w:val="19"/>
                <w:szCs w:val="19"/>
                <w:color w:val="auto"/>
              </w:rPr>
              <w:t>(36)</w:t>
            </w:r>
          </w:p>
        </w:tc>
        <w:tc>
          <w:tcPr>
            <w:tcW w:w="660" w:type="dxa"/>
            <w:vAlign w:val="bottom"/>
          </w:tcPr>
          <w:p>
            <w:pPr>
              <w:jc w:val="right"/>
              <w:spacing w:after="0"/>
              <w:rPr>
                <w:sz w:val="20"/>
                <w:szCs w:val="20"/>
                <w:color w:val="auto"/>
              </w:rPr>
            </w:pPr>
            <w:r>
              <w:rPr>
                <w:rFonts w:ascii="Arial" w:cs="Arial" w:eastAsia="Arial" w:hAnsi="Arial"/>
                <w:sz w:val="19"/>
                <w:szCs w:val="19"/>
                <w:color w:val="auto"/>
              </w:rPr>
              <w:t>211</w:t>
            </w:r>
          </w:p>
        </w:tc>
        <w:tc>
          <w:tcPr>
            <w:tcW w:w="1100" w:type="dxa"/>
            <w:vAlign w:val="bottom"/>
            <w:gridSpan w:val="3"/>
          </w:tcPr>
          <w:p>
            <w:pPr>
              <w:jc w:val="right"/>
              <w:ind w:right="120"/>
              <w:spacing w:after="0"/>
              <w:rPr>
                <w:sz w:val="20"/>
                <w:szCs w:val="20"/>
                <w:color w:val="auto"/>
              </w:rPr>
            </w:pPr>
            <w:r>
              <w:rPr>
                <w:rFonts w:ascii="Arial" w:cs="Arial" w:eastAsia="Arial" w:hAnsi="Arial"/>
                <w:sz w:val="19"/>
                <w:szCs w:val="19"/>
                <w:color w:val="auto"/>
              </w:rPr>
              <w:t>(1,430)</w:t>
            </w:r>
          </w:p>
        </w:tc>
        <w:tc>
          <w:tcPr>
            <w:tcW w:w="8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9"/>
                <w:szCs w:val="19"/>
                <w:color w:val="auto"/>
              </w:rPr>
              <w:t>(1,198)</w:t>
            </w:r>
          </w:p>
        </w:tc>
        <w:tc>
          <w:tcPr>
            <w:tcW w:w="0" w:type="dxa"/>
            <w:vAlign w:val="bottom"/>
          </w:tcPr>
          <w:p>
            <w:pPr>
              <w:spacing w:after="0"/>
              <w:rPr>
                <w:sz w:val="1"/>
                <w:szCs w:val="1"/>
                <w:color w:val="auto"/>
              </w:rPr>
            </w:pPr>
          </w:p>
        </w:tc>
      </w:tr>
      <w:tr>
        <w:trPr>
          <w:trHeight w:val="87"/>
        </w:trPr>
        <w:tc>
          <w:tcPr>
            <w:tcW w:w="2960" w:type="dxa"/>
            <w:vAlign w:val="bottom"/>
            <w:vMerge w:val="restart"/>
          </w:tcPr>
          <w:p>
            <w:pPr>
              <w:spacing w:after="0"/>
              <w:rPr>
                <w:sz w:val="20"/>
                <w:szCs w:val="20"/>
                <w:color w:val="auto"/>
              </w:rPr>
            </w:pPr>
            <w:r>
              <w:rPr>
                <w:rFonts w:ascii="Arial" w:cs="Arial" w:eastAsia="Arial" w:hAnsi="Arial"/>
                <w:sz w:val="19"/>
                <w:szCs w:val="19"/>
                <w:color w:val="auto"/>
              </w:rPr>
              <w:t>INCREASE (DECREASE) IN</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8"/>
        </w:trPr>
        <w:tc>
          <w:tcPr>
            <w:tcW w:w="29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CASH AND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60" w:type="dxa"/>
            <w:vAlign w:val="bottom"/>
          </w:tcPr>
          <w:p>
            <w:pPr>
              <w:ind w:left="240"/>
              <w:spacing w:after="0"/>
              <w:rPr>
                <w:sz w:val="20"/>
                <w:szCs w:val="20"/>
                <w:color w:val="auto"/>
              </w:rPr>
            </w:pPr>
            <w:r>
              <w:rPr>
                <w:rFonts w:ascii="Arial" w:cs="Arial" w:eastAsia="Arial" w:hAnsi="Arial"/>
                <w:sz w:val="19"/>
                <w:szCs w:val="19"/>
                <w:color w:val="auto"/>
              </w:rPr>
              <w:t>CASH EQUIVALENTS</w:t>
            </w:r>
          </w:p>
        </w:tc>
        <w:tc>
          <w:tcPr>
            <w:tcW w:w="620" w:type="dxa"/>
            <w:vAlign w:val="bottom"/>
          </w:tcPr>
          <w:p>
            <w:pPr>
              <w:jc w:val="right"/>
              <w:spacing w:after="0"/>
              <w:rPr>
                <w:sz w:val="20"/>
                <w:szCs w:val="20"/>
                <w:color w:val="auto"/>
              </w:rPr>
            </w:pPr>
            <w:r>
              <w:rPr>
                <w:rFonts w:ascii="Arial" w:cs="Arial" w:eastAsia="Arial" w:hAnsi="Arial"/>
                <w:sz w:val="19"/>
                <w:szCs w:val="19"/>
                <w:color w:val="auto"/>
              </w:rPr>
              <w:t>13</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9"/>
                <w:szCs w:val="19"/>
                <w:color w:val="auto"/>
              </w:rPr>
              <w:t>(688)</w:t>
            </w:r>
          </w:p>
        </w:tc>
        <w:tc>
          <w:tcPr>
            <w:tcW w:w="8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9"/>
                <w:szCs w:val="19"/>
                <w:color w:val="auto"/>
              </w:rPr>
              <w:t>(675)</w:t>
            </w:r>
          </w:p>
        </w:tc>
        <w:tc>
          <w:tcPr>
            <w:tcW w:w="0" w:type="dxa"/>
            <w:vAlign w:val="bottom"/>
          </w:tcPr>
          <w:p>
            <w:pPr>
              <w:spacing w:after="0"/>
              <w:rPr>
                <w:sz w:val="1"/>
                <w:szCs w:val="1"/>
                <w:color w:val="auto"/>
              </w:rPr>
            </w:pPr>
          </w:p>
        </w:tc>
      </w:tr>
      <w:tr>
        <w:trPr>
          <w:trHeight w:val="402"/>
        </w:trPr>
        <w:tc>
          <w:tcPr>
            <w:tcW w:w="2960" w:type="dxa"/>
            <w:vAlign w:val="bottom"/>
          </w:tcPr>
          <w:p>
            <w:pPr>
              <w:spacing w:after="0"/>
              <w:rPr>
                <w:sz w:val="20"/>
                <w:szCs w:val="20"/>
                <w:color w:val="auto"/>
              </w:rPr>
            </w:pPr>
            <w:r>
              <w:rPr>
                <w:rFonts w:ascii="Arial" w:cs="Arial" w:eastAsia="Arial" w:hAnsi="Arial"/>
                <w:sz w:val="19"/>
                <w:szCs w:val="19"/>
                <w:color w:val="auto"/>
              </w:rPr>
              <w:t>CASH AND CASH</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EQUIVALENTS,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60" w:type="dxa"/>
            <w:vAlign w:val="bottom"/>
          </w:tcPr>
          <w:p>
            <w:pPr>
              <w:ind w:left="280"/>
              <w:spacing w:after="0"/>
              <w:rPr>
                <w:sz w:val="20"/>
                <w:szCs w:val="20"/>
                <w:color w:val="auto"/>
              </w:rPr>
            </w:pPr>
            <w:r>
              <w:rPr>
                <w:rFonts w:ascii="Arial" w:cs="Arial" w:eastAsia="Arial" w:hAnsi="Arial"/>
                <w:sz w:val="19"/>
                <w:szCs w:val="19"/>
                <w:color w:val="auto"/>
              </w:rPr>
              <w:t>beginning of period</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1,550</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9"/>
                <w:szCs w:val="19"/>
                <w:color w:val="auto"/>
              </w:rPr>
              <w:t>1,550</w:t>
            </w:r>
          </w:p>
        </w:tc>
        <w:tc>
          <w:tcPr>
            <w:tcW w:w="0" w:type="dxa"/>
            <w:vAlign w:val="bottom"/>
          </w:tcPr>
          <w:p>
            <w:pPr>
              <w:spacing w:after="0"/>
              <w:rPr>
                <w:sz w:val="1"/>
                <w:szCs w:val="1"/>
                <w:color w:val="auto"/>
              </w:rPr>
            </w:pPr>
          </w:p>
        </w:tc>
      </w:tr>
      <w:tr>
        <w:trPr>
          <w:trHeight w:val="87"/>
        </w:trPr>
        <w:tc>
          <w:tcPr>
            <w:tcW w:w="2960" w:type="dxa"/>
            <w:vAlign w:val="bottom"/>
            <w:vMerge w:val="restart"/>
          </w:tcPr>
          <w:p>
            <w:pPr>
              <w:spacing w:after="0"/>
              <w:rPr>
                <w:sz w:val="20"/>
                <w:szCs w:val="20"/>
                <w:color w:val="auto"/>
              </w:rPr>
            </w:pPr>
            <w:r>
              <w:rPr>
                <w:rFonts w:ascii="Arial" w:cs="Arial" w:eastAsia="Arial" w:hAnsi="Arial"/>
                <w:sz w:val="19"/>
                <w:szCs w:val="19"/>
                <w:color w:val="auto"/>
              </w:rPr>
              <w:t>CASH AND CASH</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8"/>
        </w:trPr>
        <w:tc>
          <w:tcPr>
            <w:tcW w:w="29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line="214" w:lineRule="exact"/>
              <w:rPr>
                <w:sz w:val="20"/>
                <w:szCs w:val="20"/>
                <w:color w:val="auto"/>
              </w:rPr>
            </w:pPr>
            <w:r>
              <w:rPr>
                <w:rFonts w:ascii="Arial" w:cs="Arial" w:eastAsia="Arial" w:hAnsi="Arial"/>
                <w:sz w:val="19"/>
                <w:szCs w:val="19"/>
                <w:color w:val="auto"/>
              </w:rPr>
              <w:t>EQUIVALENTS,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60" w:type="dxa"/>
            <w:vAlign w:val="bottom"/>
          </w:tcPr>
          <w:p>
            <w:pPr>
              <w:ind w:left="280"/>
              <w:spacing w:after="0"/>
              <w:rPr>
                <w:sz w:val="20"/>
                <w:szCs w:val="20"/>
                <w:color w:val="auto"/>
              </w:rPr>
            </w:pPr>
            <w:r>
              <w:rPr>
                <w:rFonts w:ascii="Arial" w:cs="Arial" w:eastAsia="Arial" w:hAnsi="Arial"/>
                <w:sz w:val="19"/>
                <w:szCs w:val="19"/>
                <w:color w:val="auto"/>
              </w:rPr>
              <w:t>end of period</w:t>
            </w:r>
          </w:p>
        </w:tc>
        <w:tc>
          <w:tcPr>
            <w:tcW w:w="620" w:type="dxa"/>
            <w:vAlign w:val="bottom"/>
          </w:tcPr>
          <w:p>
            <w:pPr>
              <w:jc w:val="right"/>
              <w:spacing w:after="0"/>
              <w:rPr>
                <w:sz w:val="20"/>
                <w:szCs w:val="20"/>
                <w:color w:val="auto"/>
              </w:rPr>
            </w:pPr>
            <w:r>
              <w:rPr>
                <w:rFonts w:ascii="Arial" w:cs="Arial" w:eastAsia="Arial" w:hAnsi="Arial"/>
                <w:sz w:val="19"/>
                <w:szCs w:val="19"/>
                <w:color w:val="auto"/>
              </w:rPr>
              <w:t>$13</w:t>
            </w:r>
          </w:p>
        </w:tc>
        <w:tc>
          <w:tcPr>
            <w:tcW w:w="160" w:type="dxa"/>
            <w:vAlign w:val="bottom"/>
          </w:tcPr>
          <w:p>
            <w:pPr>
              <w:spacing w:after="0"/>
              <w:rPr>
                <w:sz w:val="21"/>
                <w:szCs w:val="21"/>
                <w:color w:val="auto"/>
              </w:rPr>
            </w:pPr>
          </w:p>
        </w:tc>
        <w:tc>
          <w:tcPr>
            <w:tcW w:w="600" w:type="dxa"/>
            <w:vAlign w:val="bottom"/>
          </w:tcPr>
          <w:p>
            <w:pPr>
              <w:jc w:val="right"/>
              <w:ind w:right="165"/>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620" w:type="dxa"/>
            <w:vAlign w:val="bottom"/>
          </w:tcPr>
          <w:p>
            <w:pPr>
              <w:jc w:val="right"/>
              <w:ind w:right="165"/>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66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$862</w:t>
            </w:r>
          </w:p>
        </w:tc>
        <w:tc>
          <w:tcPr>
            <w:tcW w:w="180" w:type="dxa"/>
            <w:vAlign w:val="bottom"/>
          </w:tcPr>
          <w:p>
            <w:pPr>
              <w:spacing w:after="0"/>
              <w:rPr>
                <w:sz w:val="21"/>
                <w:szCs w:val="21"/>
                <w:color w:val="auto"/>
              </w:rPr>
            </w:pPr>
          </w:p>
        </w:tc>
        <w:tc>
          <w:tcPr>
            <w:tcW w:w="860" w:type="dxa"/>
            <w:vAlign w:val="bottom"/>
          </w:tcPr>
          <w:p>
            <w:pPr>
              <w:jc w:val="right"/>
              <w:ind w:right="285"/>
              <w:spacing w:after="0"/>
              <w:rPr>
                <w:sz w:val="20"/>
                <w:szCs w:val="20"/>
                <w:color w:val="auto"/>
              </w:rPr>
            </w:pPr>
            <w:r>
              <w:rPr>
                <w:rFonts w:ascii="Arial" w:cs="Arial" w:eastAsia="Arial" w:hAnsi="Arial"/>
                <w:sz w:val="19"/>
                <w:szCs w:val="19"/>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9"/>
                <w:szCs w:val="19"/>
                <w:color w:val="auto"/>
              </w:rPr>
              <w:t>$875</w:t>
            </w:r>
          </w:p>
        </w:tc>
        <w:tc>
          <w:tcPr>
            <w:tcW w:w="0" w:type="dxa"/>
            <w:vAlign w:val="bottom"/>
          </w:tcPr>
          <w:p>
            <w:pPr>
              <w:spacing w:after="0"/>
              <w:rPr>
                <w:sz w:val="1"/>
                <w:szCs w:val="1"/>
                <w:color w:val="auto"/>
              </w:rPr>
            </w:pPr>
          </w:p>
        </w:tc>
      </w:tr>
      <w:tr>
        <w:trPr>
          <w:trHeight w:val="95"/>
        </w:trPr>
        <w:tc>
          <w:tcPr>
            <w:tcW w:w="29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5"/>
        </w:trPr>
        <w:tc>
          <w:tcPr>
            <w:tcW w:w="2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45"/>
              <w:spacing w:after="0"/>
              <w:rPr>
                <w:sz w:val="20"/>
                <w:szCs w:val="20"/>
                <w:color w:val="auto"/>
              </w:rPr>
            </w:pPr>
            <w:r>
              <w:rPr>
                <w:rFonts w:ascii="Arial" w:cs="Arial" w:eastAsia="Arial" w:hAnsi="Arial"/>
                <w:sz w:val="19"/>
                <w:szCs w:val="19"/>
                <w:color w:val="auto"/>
              </w:rPr>
              <w:t>22</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-334010</wp:posOffset>
            </wp:positionV>
            <wp:extent cx="1270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-334010</wp:posOffset>
            </wp:positionV>
            <wp:extent cx="1270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2743835</wp:posOffset>
            </wp:positionH>
            <wp:positionV relativeFrom="paragraph">
              <wp:posOffset>-334010</wp:posOffset>
            </wp:positionV>
            <wp:extent cx="1270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-334010</wp:posOffset>
            </wp:positionV>
            <wp:extent cx="1270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-334010</wp:posOffset>
            </wp:positionV>
            <wp:extent cx="1270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-334010</wp:posOffset>
            </wp:positionV>
            <wp:extent cx="1270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-334010</wp:posOffset>
            </wp:positionV>
            <wp:extent cx="1270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-334010</wp:posOffset>
            </wp:positionV>
            <wp:extent cx="1270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-334010</wp:posOffset>
            </wp:positionV>
            <wp:extent cx="1270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-334010</wp:posOffset>
            </wp:positionV>
            <wp:extent cx="1270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-334010</wp:posOffset>
            </wp:positionV>
            <wp:extent cx="1270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-334010</wp:posOffset>
            </wp:positionV>
            <wp:extent cx="1270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-334010</wp:posOffset>
            </wp:positionV>
            <wp:extent cx="1270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-334010</wp:posOffset>
            </wp:positionV>
            <wp:extent cx="1270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116205</wp:posOffset>
            </wp:positionV>
            <wp:extent cx="727773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46"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FORM 10-Q</w:t>
      </w:r>
    </w:p>
    <w:p>
      <w:pPr>
        <w:jc w:val="center"/>
        <w:ind w:right="-1180"/>
        <w:spacing w:after="0" w:line="235" w:lineRule="auto"/>
        <w:rPr>
          <w:sz w:val="20"/>
          <w:szCs w:val="20"/>
          <w:color w:val="auto"/>
        </w:rPr>
      </w:pPr>
      <w:r>
        <w:rPr>
          <w:rFonts w:ascii="Arial" w:cs="Arial" w:eastAsia="Arial" w:hAnsi="Arial"/>
          <w:sz w:val="19"/>
          <w:szCs w:val="19"/>
          <w:color w:val="auto"/>
        </w:rPr>
        <w:t>QUARTER ENDED MARCH 31, 2004</w:t>
      </w:r>
    </w:p>
    <w:p>
      <w:pPr>
        <w:spacing w:after="0" w:line="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NOTES TO CONDENSED CONSOLIDATED FINANCIAL STATEMENTS - CONCLUDED</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19"/>
          <w:szCs w:val="19"/>
          <w:color w:val="auto"/>
        </w:rPr>
        <w:t>(Unaudited)</w:t>
      </w:r>
    </w:p>
    <w:p>
      <w:pPr>
        <w:spacing w:after="0" w:line="171" w:lineRule="exact"/>
        <w:rPr>
          <w:sz w:val="20"/>
          <w:szCs w:val="20"/>
          <w:color w:val="auto"/>
        </w:rPr>
      </w:pPr>
    </w:p>
    <w:p>
      <w:pPr>
        <w:jc w:val="center"/>
        <w:ind w:right="1159"/>
        <w:spacing w:after="0"/>
        <w:rPr>
          <w:sz w:val="20"/>
          <w:szCs w:val="20"/>
          <w:color w:val="auto"/>
        </w:rPr>
      </w:pPr>
      <w:r>
        <w:rPr>
          <w:rFonts w:ascii="Arial" w:cs="Arial" w:eastAsia="Arial" w:hAnsi="Arial"/>
          <w:sz w:val="19"/>
          <w:szCs w:val="19"/>
          <w:color w:val="auto"/>
        </w:rPr>
        <w:t>Comcast Corporation</w:t>
      </w:r>
    </w:p>
    <w:p>
      <w:pPr>
        <w:spacing w:after="0" w:line="8" w:lineRule="exact"/>
        <w:rPr>
          <w:sz w:val="20"/>
          <w:szCs w:val="20"/>
          <w:color w:val="auto"/>
        </w:rPr>
      </w:pPr>
    </w:p>
    <w:p>
      <w:pPr>
        <w:jc w:val="center"/>
        <w:ind w:right="1159"/>
        <w:spacing w:after="0"/>
        <w:rPr>
          <w:sz w:val="20"/>
          <w:szCs w:val="20"/>
          <w:color w:val="auto"/>
        </w:rPr>
      </w:pPr>
      <w:r>
        <w:rPr>
          <w:rFonts w:ascii="Arial" w:cs="Arial" w:eastAsia="Arial" w:hAnsi="Arial"/>
          <w:sz w:val="19"/>
          <w:szCs w:val="19"/>
          <w:color w:val="auto"/>
        </w:rPr>
        <w:t>Condensed Consolidating Statement of Cash Flows</w:t>
      </w:r>
    </w:p>
    <w:p>
      <w:pPr>
        <w:jc w:val="center"/>
        <w:ind w:right="1159"/>
        <w:spacing w:after="0"/>
        <w:rPr>
          <w:sz w:val="20"/>
          <w:szCs w:val="20"/>
          <w:color w:val="auto"/>
        </w:rPr>
      </w:pPr>
      <w:r>
        <w:rPr>
          <w:rFonts w:ascii="Arial" w:cs="Arial" w:eastAsia="Arial" w:hAnsi="Arial"/>
          <w:sz w:val="19"/>
          <w:szCs w:val="19"/>
          <w:color w:val="auto"/>
        </w:rPr>
        <w:t>For the Three Months Ended March 31, 2003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Elimination</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color w:val="auto"/>
                <w:w w:val="87"/>
              </w:rPr>
              <w:t>Combined</w:t>
            </w:r>
          </w:p>
        </w:tc>
        <w:tc>
          <w:tcPr>
            <w:tcW w:w="94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Non-</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82"/>
              </w:rPr>
              <w:t>and</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color w:val="auto"/>
                <w:w w:val="87"/>
              </w:rPr>
              <w:t>Consolidated</w:t>
            </w: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88"/>
              </w:rPr>
              <w:t>Comcast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CCCL</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CCCH</w:t>
            </w:r>
          </w:p>
        </w:tc>
        <w:tc>
          <w:tcPr>
            <w:tcW w:w="82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CCHMO</w:t>
            </w:r>
          </w:p>
        </w:tc>
        <w:tc>
          <w:tcPr>
            <w:tcW w:w="94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Guarantor</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Consolidation</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color w:val="auto"/>
                <w:w w:val="88"/>
              </w:rPr>
              <w:t>Comcast</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Parent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Parent</w:t>
            </w: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Parent</w:t>
            </w:r>
          </w:p>
        </w:tc>
        <w:tc>
          <w:tcPr>
            <w:tcW w:w="820" w:type="dxa"/>
            <w:vAlign w:val="bottom"/>
            <w:gridSpan w:val="2"/>
          </w:tcPr>
          <w:p>
            <w:pPr>
              <w:jc w:val="center"/>
              <w:ind w:right="160"/>
              <w:spacing w:after="0"/>
              <w:rPr>
                <w:sz w:val="20"/>
                <w:szCs w:val="20"/>
                <w:color w:val="auto"/>
              </w:rPr>
            </w:pPr>
            <w:r>
              <w:rPr>
                <w:rFonts w:ascii="Arial" w:cs="Arial" w:eastAsia="Arial" w:hAnsi="Arial"/>
                <w:sz w:val="16"/>
                <w:szCs w:val="16"/>
                <w:color w:val="auto"/>
                <w:w w:val="83"/>
              </w:rPr>
              <w:t>Parents</w:t>
            </w:r>
          </w:p>
        </w:tc>
        <w:tc>
          <w:tcPr>
            <w:tcW w:w="940" w:type="dxa"/>
            <w:vAlign w:val="bottom"/>
            <w:gridSpan w:val="2"/>
          </w:tcPr>
          <w:p>
            <w:pPr>
              <w:jc w:val="center"/>
              <w:ind w:right="180"/>
              <w:spacing w:after="0"/>
              <w:rPr>
                <w:sz w:val="20"/>
                <w:szCs w:val="20"/>
                <w:color w:val="auto"/>
              </w:rPr>
            </w:pPr>
            <w:r>
              <w:rPr>
                <w:rFonts w:ascii="Arial" w:cs="Arial" w:eastAsia="Arial" w:hAnsi="Arial"/>
                <w:sz w:val="16"/>
                <w:szCs w:val="16"/>
                <w:color w:val="auto"/>
                <w:w w:val="87"/>
              </w:rPr>
              <w:t>Subsidiaries</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Adjustments</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Corporation</w:t>
            </w:r>
          </w:p>
        </w:tc>
        <w:tc>
          <w:tcPr>
            <w:tcW w:w="0" w:type="dxa"/>
            <w:vAlign w:val="bottom"/>
          </w:tcPr>
          <w:p>
            <w:pPr>
              <w:spacing w:after="0"/>
              <w:rPr>
                <w:sz w:val="1"/>
                <w:szCs w:val="1"/>
                <w:color w:val="auto"/>
              </w:rPr>
            </w:pPr>
          </w:p>
        </w:tc>
      </w:tr>
      <w:tr>
        <w:trPr>
          <w:trHeight w:val="97"/>
        </w:trPr>
        <w:tc>
          <w:tcPr>
            <w:tcW w:w="2920" w:type="dxa"/>
            <w:vAlign w:val="bottom"/>
            <w:vMerge w:val="restart"/>
          </w:tcPr>
          <w:p>
            <w:pPr>
              <w:spacing w:after="0"/>
              <w:rPr>
                <w:sz w:val="20"/>
                <w:szCs w:val="20"/>
                <w:color w:val="auto"/>
              </w:rPr>
            </w:pPr>
            <w:r>
              <w:rPr>
                <w:rFonts w:ascii="Arial" w:cs="Arial" w:eastAsia="Arial" w:hAnsi="Arial"/>
                <w:sz w:val="19"/>
                <w:szCs w:val="19"/>
                <w:color w:val="auto"/>
              </w:rPr>
              <w:t>OPERATING ACTIVITIES</w:t>
            </w: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9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Net income (loss)</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($297)</w:t>
            </w:r>
          </w:p>
        </w:tc>
        <w:tc>
          <w:tcPr>
            <w:tcW w:w="620" w:type="dxa"/>
            <w:vAlign w:val="bottom"/>
          </w:tcPr>
          <w:p>
            <w:pPr>
              <w:jc w:val="right"/>
              <w:spacing w:after="0" w:line="214" w:lineRule="exact"/>
              <w:rPr>
                <w:sz w:val="20"/>
                <w:szCs w:val="20"/>
                <w:color w:val="auto"/>
              </w:rPr>
            </w:pPr>
            <w:r>
              <w:rPr>
                <w:rFonts w:ascii="Arial" w:cs="Arial" w:eastAsia="Arial" w:hAnsi="Arial"/>
                <w:sz w:val="19"/>
                <w:szCs w:val="19"/>
                <w:color w:val="auto"/>
              </w:rPr>
              <w:t>$141</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($410)</w:t>
            </w:r>
          </w:p>
        </w:tc>
        <w:tc>
          <w:tcPr>
            <w:tcW w:w="8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($337)</w:t>
            </w: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$72</w:t>
            </w:r>
          </w:p>
        </w:tc>
        <w:tc>
          <w:tcPr>
            <w:tcW w:w="180" w:type="dxa"/>
            <w:vAlign w:val="bottom"/>
          </w:tcPr>
          <w:p>
            <w:pPr>
              <w:spacing w:after="0"/>
              <w:rPr>
                <w:sz w:val="18"/>
                <w:szCs w:val="18"/>
                <w:color w:val="auto"/>
              </w:rPr>
            </w:pPr>
          </w:p>
        </w:tc>
        <w:tc>
          <w:tcPr>
            <w:tcW w:w="860" w:type="dxa"/>
            <w:vAlign w:val="bottom"/>
          </w:tcPr>
          <w:p>
            <w:pPr>
              <w:jc w:val="right"/>
              <w:spacing w:after="0" w:line="214" w:lineRule="exact"/>
              <w:rPr>
                <w:sz w:val="20"/>
                <w:szCs w:val="20"/>
                <w:color w:val="auto"/>
              </w:rPr>
            </w:pPr>
            <w:r>
              <w:rPr>
                <w:rFonts w:ascii="Arial" w:cs="Arial" w:eastAsia="Arial" w:hAnsi="Arial"/>
                <w:sz w:val="19"/>
                <w:szCs w:val="19"/>
                <w:color w:val="auto"/>
              </w:rPr>
              <w:t>$534</w:t>
            </w: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($297)</w:t>
            </w: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Income from discontinued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Arial" w:cs="Arial" w:eastAsia="Arial" w:hAnsi="Arial"/>
                <w:sz w:val="19"/>
                <w:szCs w:val="19"/>
                <w:color w:val="auto"/>
              </w:rPr>
              <w:t>operations</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(58)</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(58)</w:t>
            </w:r>
          </w:p>
        </w:tc>
        <w:tc>
          <w:tcPr>
            <w:tcW w:w="0" w:type="dxa"/>
            <w:vAlign w:val="bottom"/>
          </w:tcPr>
          <w:p>
            <w:pPr>
              <w:spacing w:after="0"/>
              <w:rPr>
                <w:sz w:val="1"/>
                <w:szCs w:val="1"/>
                <w:color w:val="auto"/>
              </w:rPr>
            </w:pPr>
          </w:p>
        </w:tc>
      </w:tr>
      <w:tr>
        <w:trPr>
          <w:trHeight w:val="87"/>
        </w:trPr>
        <w:tc>
          <w:tcPr>
            <w:tcW w:w="2920" w:type="dxa"/>
            <w:vAlign w:val="bottom"/>
            <w:vMerge w:val="restart"/>
          </w:tcPr>
          <w:p>
            <w:pPr>
              <w:spacing w:after="0"/>
              <w:rPr>
                <w:sz w:val="20"/>
                <w:szCs w:val="20"/>
                <w:color w:val="auto"/>
              </w:rPr>
            </w:pPr>
            <w:r>
              <w:rPr>
                <w:rFonts w:ascii="Arial" w:cs="Arial" w:eastAsia="Arial" w:hAnsi="Arial"/>
                <w:sz w:val="19"/>
                <w:szCs w:val="19"/>
                <w:color w:val="auto"/>
              </w:rPr>
              <w:t>Income (loss) from continuing</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Arial" w:cs="Arial" w:eastAsia="Arial" w:hAnsi="Arial"/>
                <w:sz w:val="19"/>
                <w:szCs w:val="19"/>
                <w:color w:val="auto"/>
              </w:rPr>
              <w:t>operations</w:t>
            </w:r>
          </w:p>
        </w:tc>
        <w:tc>
          <w:tcPr>
            <w:tcW w:w="780" w:type="dxa"/>
            <w:vAlign w:val="bottom"/>
            <w:gridSpan w:val="2"/>
          </w:tcPr>
          <w:p>
            <w:pPr>
              <w:jc w:val="right"/>
              <w:ind w:right="100"/>
              <w:spacing w:after="0"/>
              <w:rPr>
                <w:sz w:val="20"/>
                <w:szCs w:val="20"/>
                <w:color w:val="auto"/>
              </w:rPr>
            </w:pPr>
            <w:r>
              <w:rPr>
                <w:rFonts w:ascii="Arial" w:cs="Arial" w:eastAsia="Arial" w:hAnsi="Arial"/>
                <w:sz w:val="19"/>
                <w:szCs w:val="19"/>
                <w:color w:val="auto"/>
              </w:rPr>
              <w:t>(297)</w:t>
            </w:r>
          </w:p>
        </w:tc>
        <w:tc>
          <w:tcPr>
            <w:tcW w:w="620" w:type="dxa"/>
            <w:vAlign w:val="bottom"/>
          </w:tcPr>
          <w:p>
            <w:pPr>
              <w:jc w:val="right"/>
              <w:spacing w:after="0"/>
              <w:rPr>
                <w:sz w:val="20"/>
                <w:szCs w:val="20"/>
                <w:color w:val="auto"/>
              </w:rPr>
            </w:pPr>
            <w:r>
              <w:rPr>
                <w:rFonts w:ascii="Arial" w:cs="Arial" w:eastAsia="Arial" w:hAnsi="Arial"/>
                <w:sz w:val="19"/>
                <w:szCs w:val="19"/>
                <w:color w:val="auto"/>
              </w:rPr>
              <w:t>141</w:t>
            </w:r>
          </w:p>
        </w:tc>
        <w:tc>
          <w:tcPr>
            <w:tcW w:w="18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9"/>
                <w:szCs w:val="19"/>
                <w:color w:val="auto"/>
              </w:rPr>
              <w:t>(410)</w:t>
            </w:r>
          </w:p>
        </w:tc>
        <w:tc>
          <w:tcPr>
            <w:tcW w:w="820" w:type="dxa"/>
            <w:vAlign w:val="bottom"/>
            <w:gridSpan w:val="2"/>
          </w:tcPr>
          <w:p>
            <w:pPr>
              <w:jc w:val="right"/>
              <w:ind w:right="100"/>
              <w:spacing w:after="0"/>
              <w:rPr>
                <w:sz w:val="20"/>
                <w:szCs w:val="20"/>
                <w:color w:val="auto"/>
              </w:rPr>
            </w:pPr>
            <w:r>
              <w:rPr>
                <w:rFonts w:ascii="Arial" w:cs="Arial" w:eastAsia="Arial" w:hAnsi="Arial"/>
                <w:sz w:val="19"/>
                <w:szCs w:val="19"/>
                <w:color w:val="auto"/>
              </w:rPr>
              <w:t>(337)</w:t>
            </w:r>
          </w:p>
        </w:tc>
        <w:tc>
          <w:tcPr>
            <w:tcW w:w="760" w:type="dxa"/>
            <w:vAlign w:val="bottom"/>
          </w:tcPr>
          <w:p>
            <w:pPr>
              <w:jc w:val="right"/>
              <w:spacing w:after="0"/>
              <w:rPr>
                <w:sz w:val="20"/>
                <w:szCs w:val="20"/>
                <w:color w:val="auto"/>
              </w:rPr>
            </w:pPr>
            <w:r>
              <w:rPr>
                <w:rFonts w:ascii="Arial" w:cs="Arial" w:eastAsia="Arial" w:hAnsi="Arial"/>
                <w:sz w:val="19"/>
                <w:szCs w:val="19"/>
                <w:color w:val="auto"/>
              </w:rPr>
              <w:t>14</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534</w:t>
            </w: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(355)</w:t>
            </w:r>
          </w:p>
        </w:tc>
        <w:tc>
          <w:tcPr>
            <w:tcW w:w="0" w:type="dxa"/>
            <w:vAlign w:val="bottom"/>
          </w:tcPr>
          <w:p>
            <w:pPr>
              <w:spacing w:after="0"/>
              <w:rPr>
                <w:sz w:val="1"/>
                <w:szCs w:val="1"/>
                <w:color w:val="auto"/>
              </w:rPr>
            </w:pPr>
          </w:p>
        </w:tc>
      </w:tr>
      <w:tr>
        <w:trPr>
          <w:trHeight w:val="402"/>
        </w:trPr>
        <w:tc>
          <w:tcPr>
            <w:tcW w:w="2920" w:type="dxa"/>
            <w:vAlign w:val="bottom"/>
          </w:tcPr>
          <w:p>
            <w:pPr>
              <w:spacing w:after="0"/>
              <w:rPr>
                <w:sz w:val="20"/>
                <w:szCs w:val="20"/>
                <w:color w:val="auto"/>
              </w:rPr>
            </w:pPr>
            <w:r>
              <w:rPr>
                <w:rFonts w:ascii="Arial" w:cs="Arial" w:eastAsia="Arial" w:hAnsi="Arial"/>
                <w:sz w:val="19"/>
                <w:szCs w:val="19"/>
                <w:color w:val="auto"/>
              </w:rPr>
              <w:t>Adjustments to reconcile net</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income (loss)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140"/>
              <w:spacing w:after="0" w:line="214" w:lineRule="exact"/>
              <w:rPr>
                <w:sz w:val="20"/>
                <w:szCs w:val="20"/>
                <w:color w:val="auto"/>
              </w:rPr>
            </w:pPr>
            <w:r>
              <w:rPr>
                <w:rFonts w:ascii="Arial" w:cs="Arial" w:eastAsia="Arial" w:hAnsi="Arial"/>
                <w:sz w:val="19"/>
                <w:szCs w:val="19"/>
                <w:color w:val="auto"/>
                <w:w w:val="99"/>
              </w:rPr>
              <w:t>from continuing operations to net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140"/>
              <w:spacing w:after="0" w:line="214" w:lineRule="exact"/>
              <w:rPr>
                <w:sz w:val="20"/>
                <w:szCs w:val="20"/>
                <w:color w:val="auto"/>
              </w:rPr>
            </w:pPr>
            <w:r>
              <w:rPr>
                <w:rFonts w:ascii="Arial" w:cs="Arial" w:eastAsia="Arial" w:hAnsi="Arial"/>
                <w:sz w:val="19"/>
                <w:szCs w:val="19"/>
                <w:color w:val="auto"/>
              </w:rPr>
              <w:t>cash provided by (used in)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operating</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140"/>
              <w:spacing w:after="0" w:line="214" w:lineRule="exact"/>
              <w:rPr>
                <w:sz w:val="20"/>
                <w:szCs w:val="20"/>
                <w:color w:val="auto"/>
              </w:rPr>
            </w:pPr>
            <w:r>
              <w:rPr>
                <w:rFonts w:ascii="Arial" w:cs="Arial" w:eastAsia="Arial" w:hAnsi="Arial"/>
                <w:sz w:val="19"/>
                <w:szCs w:val="19"/>
                <w:color w:val="auto"/>
              </w:rPr>
              <w:t>activities from continuing</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operations: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140"/>
              <w:spacing w:after="0" w:line="214" w:lineRule="exact"/>
              <w:rPr>
                <w:sz w:val="20"/>
                <w:szCs w:val="20"/>
                <w:color w:val="auto"/>
              </w:rPr>
            </w:pPr>
            <w:r>
              <w:rPr>
                <w:rFonts w:ascii="Arial" w:cs="Arial" w:eastAsia="Arial" w:hAnsi="Arial"/>
                <w:sz w:val="19"/>
                <w:szCs w:val="19"/>
                <w:color w:val="auto"/>
              </w:rPr>
              <w:t>Depreciation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780</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780</w:t>
            </w:r>
          </w:p>
        </w:tc>
        <w:tc>
          <w:tcPr>
            <w:tcW w:w="0" w:type="dxa"/>
            <w:vAlign w:val="bottom"/>
          </w:tcPr>
          <w:p>
            <w:pPr>
              <w:spacing w:after="0"/>
              <w:rPr>
                <w:sz w:val="1"/>
                <w:szCs w:val="1"/>
                <w:color w:val="auto"/>
              </w:rPr>
            </w:pPr>
          </w:p>
        </w:tc>
      </w:tr>
      <w:tr>
        <w:trPr>
          <w:trHeight w:val="215"/>
        </w:trPr>
        <w:tc>
          <w:tcPr>
            <w:tcW w:w="2920" w:type="dxa"/>
            <w:vAlign w:val="bottom"/>
          </w:tcPr>
          <w:p>
            <w:pPr>
              <w:ind w:left="120"/>
              <w:spacing w:after="0" w:line="214" w:lineRule="exact"/>
              <w:rPr>
                <w:sz w:val="20"/>
                <w:szCs w:val="20"/>
                <w:color w:val="auto"/>
              </w:rPr>
            </w:pPr>
            <w:r>
              <w:rPr>
                <w:rFonts w:ascii="Arial" w:cs="Arial" w:eastAsia="Arial" w:hAnsi="Arial"/>
                <w:sz w:val="19"/>
                <w:szCs w:val="19"/>
                <w:color w:val="auto"/>
              </w:rPr>
              <w:t>Amortization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354</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354</w:t>
            </w:r>
          </w:p>
        </w:tc>
        <w:tc>
          <w:tcPr>
            <w:tcW w:w="0" w:type="dxa"/>
            <w:vAlign w:val="bottom"/>
          </w:tcPr>
          <w:p>
            <w:pPr>
              <w:spacing w:after="0"/>
              <w:rPr>
                <w:sz w:val="1"/>
                <w:szCs w:val="1"/>
                <w:color w:val="auto"/>
              </w:rPr>
            </w:pPr>
          </w:p>
        </w:tc>
      </w:tr>
      <w:tr>
        <w:trPr>
          <w:trHeight w:val="215"/>
        </w:trPr>
        <w:tc>
          <w:tcPr>
            <w:tcW w:w="2920" w:type="dxa"/>
            <w:vAlign w:val="bottom"/>
          </w:tcPr>
          <w:p>
            <w:pPr>
              <w:ind w:left="140"/>
              <w:spacing w:after="0" w:line="214" w:lineRule="exact"/>
              <w:rPr>
                <w:sz w:val="20"/>
                <w:szCs w:val="20"/>
                <w:color w:val="auto"/>
              </w:rPr>
            </w:pPr>
            <w:r>
              <w:rPr>
                <w:rFonts w:ascii="Arial" w:cs="Arial" w:eastAsia="Arial" w:hAnsi="Arial"/>
                <w:sz w:val="19"/>
                <w:szCs w:val="19"/>
                <w:color w:val="auto"/>
              </w:rPr>
              <w:t>Non-cash interest (income)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expense, net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(33)</w:t>
            </w: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16</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15"/>
        </w:trPr>
        <w:tc>
          <w:tcPr>
            <w:tcW w:w="2920" w:type="dxa"/>
            <w:vAlign w:val="bottom"/>
          </w:tcPr>
          <w:p>
            <w:pPr>
              <w:ind w:left="140"/>
              <w:spacing w:after="0" w:line="214" w:lineRule="exact"/>
              <w:rPr>
                <w:sz w:val="20"/>
                <w:szCs w:val="20"/>
                <w:color w:val="auto"/>
              </w:rPr>
            </w:pPr>
            <w:r>
              <w:rPr>
                <w:rFonts w:ascii="Arial" w:cs="Arial" w:eastAsia="Arial" w:hAnsi="Arial"/>
                <w:sz w:val="19"/>
                <w:szCs w:val="19"/>
                <w:color w:val="auto"/>
              </w:rPr>
              <w:t>Equity in net (income) losses of</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affiliates</w:t>
            </w:r>
          </w:p>
        </w:tc>
        <w:tc>
          <w:tcPr>
            <w:tcW w:w="620" w:type="dxa"/>
            <w:vAlign w:val="bottom"/>
          </w:tcPr>
          <w:p>
            <w:pPr>
              <w:jc w:val="right"/>
              <w:spacing w:after="0" w:line="214" w:lineRule="exact"/>
              <w:rPr>
                <w:sz w:val="20"/>
                <w:szCs w:val="20"/>
                <w:color w:val="auto"/>
              </w:rPr>
            </w:pPr>
            <w:r>
              <w:rPr>
                <w:rFonts w:ascii="Arial" w:cs="Arial" w:eastAsia="Arial" w:hAnsi="Arial"/>
                <w:sz w:val="19"/>
                <w:szCs w:val="19"/>
                <w:color w:val="auto"/>
              </w:rPr>
              <w:t>305</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(229)</w:t>
            </w:r>
          </w:p>
        </w:tc>
        <w:tc>
          <w:tcPr>
            <w:tcW w:w="78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337</w:t>
            </w:r>
          </w:p>
        </w:tc>
        <w:tc>
          <w:tcPr>
            <w:tcW w:w="660" w:type="dxa"/>
            <w:vAlign w:val="bottom"/>
          </w:tcPr>
          <w:p>
            <w:pPr>
              <w:jc w:val="right"/>
              <w:spacing w:after="0" w:line="214" w:lineRule="exact"/>
              <w:rPr>
                <w:sz w:val="20"/>
                <w:szCs w:val="20"/>
                <w:color w:val="auto"/>
              </w:rPr>
            </w:pPr>
            <w:r>
              <w:rPr>
                <w:rFonts w:ascii="Arial" w:cs="Arial" w:eastAsia="Arial" w:hAnsi="Arial"/>
                <w:sz w:val="19"/>
                <w:szCs w:val="19"/>
                <w:color w:val="auto"/>
              </w:rPr>
              <w:t>262</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(124)</w:t>
            </w:r>
          </w:p>
        </w:tc>
        <w:tc>
          <w:tcPr>
            <w:tcW w:w="10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(534)</w:t>
            </w: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15"/>
        </w:trPr>
        <w:tc>
          <w:tcPr>
            <w:tcW w:w="2920" w:type="dxa"/>
            <w:vAlign w:val="bottom"/>
          </w:tcPr>
          <w:p>
            <w:pPr>
              <w:ind w:left="140"/>
              <w:spacing w:after="0" w:line="214" w:lineRule="exact"/>
              <w:rPr>
                <w:sz w:val="20"/>
                <w:szCs w:val="20"/>
                <w:color w:val="auto"/>
              </w:rPr>
            </w:pPr>
            <w:r>
              <w:rPr>
                <w:rFonts w:ascii="Arial" w:cs="Arial" w:eastAsia="Arial" w:hAnsi="Arial"/>
                <w:sz w:val="19"/>
                <w:szCs w:val="19"/>
                <w:color w:val="auto"/>
              </w:rPr>
              <w:t>Losses (gains) on investments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and other</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140"/>
              <w:spacing w:after="0" w:line="214" w:lineRule="exact"/>
              <w:rPr>
                <w:sz w:val="20"/>
                <w:szCs w:val="20"/>
                <w:color w:val="auto"/>
              </w:rPr>
            </w:pPr>
            <w:r>
              <w:rPr>
                <w:rFonts w:ascii="Arial" w:cs="Arial" w:eastAsia="Arial" w:hAnsi="Arial"/>
                <w:sz w:val="19"/>
                <w:szCs w:val="19"/>
                <w:color w:val="auto"/>
              </w:rPr>
              <w:t>(income) expense, net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249</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249</w:t>
            </w:r>
          </w:p>
        </w:tc>
        <w:tc>
          <w:tcPr>
            <w:tcW w:w="0" w:type="dxa"/>
            <w:vAlign w:val="bottom"/>
          </w:tcPr>
          <w:p>
            <w:pPr>
              <w:spacing w:after="0"/>
              <w:rPr>
                <w:sz w:val="1"/>
                <w:szCs w:val="1"/>
                <w:color w:val="auto"/>
              </w:rPr>
            </w:pPr>
          </w:p>
        </w:tc>
      </w:tr>
      <w:tr>
        <w:trPr>
          <w:trHeight w:val="215"/>
        </w:trPr>
        <w:tc>
          <w:tcPr>
            <w:tcW w:w="2920" w:type="dxa"/>
            <w:vAlign w:val="bottom"/>
          </w:tcPr>
          <w:p>
            <w:pPr>
              <w:ind w:left="140"/>
              <w:spacing w:after="0" w:line="214" w:lineRule="exact"/>
              <w:rPr>
                <w:sz w:val="20"/>
                <w:szCs w:val="20"/>
                <w:color w:val="auto"/>
              </w:rPr>
            </w:pPr>
            <w:r>
              <w:rPr>
                <w:rFonts w:ascii="Arial" w:cs="Arial" w:eastAsia="Arial" w:hAnsi="Arial"/>
                <w:sz w:val="19"/>
                <w:szCs w:val="19"/>
                <w:color w:val="auto"/>
              </w:rPr>
              <w:t>Minority interest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13</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15"/>
        </w:trPr>
        <w:tc>
          <w:tcPr>
            <w:tcW w:w="2920" w:type="dxa"/>
            <w:vAlign w:val="bottom"/>
          </w:tcPr>
          <w:p>
            <w:pPr>
              <w:ind w:left="140"/>
              <w:spacing w:after="0" w:line="214" w:lineRule="exact"/>
              <w:rPr>
                <w:sz w:val="20"/>
                <w:szCs w:val="20"/>
                <w:color w:val="auto"/>
              </w:rPr>
            </w:pPr>
            <w:r>
              <w:rPr>
                <w:rFonts w:ascii="Arial" w:cs="Arial" w:eastAsia="Arial" w:hAnsi="Arial"/>
                <w:sz w:val="19"/>
                <w:szCs w:val="19"/>
                <w:color w:val="auto"/>
              </w:rPr>
              <w:t>Deferred income taxes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(182)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(182)</w:t>
            </w:r>
          </w:p>
        </w:tc>
        <w:tc>
          <w:tcPr>
            <w:tcW w:w="0" w:type="dxa"/>
            <w:vAlign w:val="bottom"/>
          </w:tcPr>
          <w:p>
            <w:pPr>
              <w:spacing w:after="0"/>
              <w:rPr>
                <w:sz w:val="1"/>
                <w:szCs w:val="1"/>
                <w:color w:val="auto"/>
              </w:rPr>
            </w:pPr>
          </w:p>
        </w:tc>
      </w:tr>
      <w:tr>
        <w:trPr>
          <w:trHeight w:val="215"/>
        </w:trPr>
        <w:tc>
          <w:tcPr>
            <w:tcW w:w="2920" w:type="dxa"/>
            <w:vAlign w:val="bottom"/>
          </w:tcPr>
          <w:p>
            <w:pPr>
              <w:ind w:left="140"/>
              <w:spacing w:after="0" w:line="214" w:lineRule="exact"/>
              <w:rPr>
                <w:sz w:val="20"/>
                <w:szCs w:val="20"/>
                <w:color w:val="auto"/>
              </w:rPr>
            </w:pPr>
            <w:r>
              <w:rPr>
                <w:rFonts w:ascii="Arial" w:cs="Arial" w:eastAsia="Arial" w:hAnsi="Arial"/>
                <w:sz w:val="19"/>
                <w:szCs w:val="19"/>
                <w:color w:val="auto"/>
              </w:rPr>
              <w:t>Proceeds from sales of trading</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Arial" w:cs="Arial" w:eastAsia="Arial" w:hAnsi="Arial"/>
                <w:sz w:val="19"/>
                <w:szCs w:val="19"/>
                <w:color w:val="auto"/>
              </w:rPr>
              <w:t>securities</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32</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32</w:t>
            </w:r>
          </w:p>
        </w:tc>
        <w:tc>
          <w:tcPr>
            <w:tcW w:w="0" w:type="dxa"/>
            <w:vAlign w:val="bottom"/>
          </w:tcPr>
          <w:p>
            <w:pPr>
              <w:spacing w:after="0"/>
              <w:rPr>
                <w:sz w:val="1"/>
                <w:szCs w:val="1"/>
                <w:color w:val="auto"/>
              </w:rPr>
            </w:pPr>
          </w:p>
        </w:tc>
      </w:tr>
      <w:tr>
        <w:trPr>
          <w:trHeight w:val="402"/>
        </w:trPr>
        <w:tc>
          <w:tcPr>
            <w:tcW w:w="2920" w:type="dxa"/>
            <w:vAlign w:val="bottom"/>
          </w:tcPr>
          <w:p>
            <w:pPr>
              <w:ind w:left="140"/>
              <w:spacing w:after="0"/>
              <w:rPr>
                <w:sz w:val="20"/>
                <w:szCs w:val="20"/>
                <w:color w:val="auto"/>
              </w:rPr>
            </w:pPr>
            <w:r>
              <w:rPr>
                <w:rFonts w:ascii="Arial" w:cs="Arial" w:eastAsia="Arial" w:hAnsi="Arial"/>
                <w:sz w:val="19"/>
                <w:szCs w:val="19"/>
                <w:color w:val="auto"/>
                <w:w w:val="99"/>
              </w:rPr>
              <w:t>Changes in operating assets and</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40"/>
              <w:spacing w:after="0" w:line="214" w:lineRule="exact"/>
              <w:rPr>
                <w:sz w:val="20"/>
                <w:szCs w:val="20"/>
                <w:color w:val="auto"/>
              </w:rPr>
            </w:pPr>
            <w:r>
              <w:rPr>
                <w:rFonts w:ascii="Arial" w:cs="Arial" w:eastAsia="Arial" w:hAnsi="Arial"/>
                <w:sz w:val="19"/>
                <w:szCs w:val="19"/>
                <w:color w:val="auto"/>
              </w:rPr>
              <w:t>liabilities, net of effects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40"/>
              <w:spacing w:after="0" w:line="214" w:lineRule="exact"/>
              <w:rPr>
                <w:sz w:val="20"/>
                <w:szCs w:val="20"/>
                <w:color w:val="auto"/>
              </w:rPr>
            </w:pPr>
            <w:r>
              <w:rPr>
                <w:rFonts w:ascii="Arial" w:cs="Arial" w:eastAsia="Arial" w:hAnsi="Arial"/>
                <w:sz w:val="19"/>
                <w:szCs w:val="19"/>
                <w:color w:val="auto"/>
              </w:rPr>
              <w:t>of acquisitions and divestitures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40"/>
              <w:spacing w:after="0" w:line="214" w:lineRule="exact"/>
              <w:rPr>
                <w:sz w:val="20"/>
                <w:szCs w:val="20"/>
                <w:color w:val="auto"/>
              </w:rPr>
            </w:pPr>
            <w:r>
              <w:rPr>
                <w:rFonts w:ascii="Arial" w:cs="Arial" w:eastAsia="Arial" w:hAnsi="Arial"/>
                <w:sz w:val="19"/>
                <w:szCs w:val="19"/>
                <w:color w:val="auto"/>
              </w:rPr>
              <w:t>Change in accounts receivable,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net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72</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72</w:t>
            </w:r>
          </w:p>
        </w:tc>
        <w:tc>
          <w:tcPr>
            <w:tcW w:w="0" w:type="dxa"/>
            <w:vAlign w:val="bottom"/>
          </w:tcPr>
          <w:p>
            <w:pPr>
              <w:spacing w:after="0"/>
              <w:rPr>
                <w:sz w:val="1"/>
                <w:szCs w:val="1"/>
                <w:color w:val="auto"/>
              </w:rPr>
            </w:pPr>
          </w:p>
        </w:tc>
      </w:tr>
      <w:tr>
        <w:trPr>
          <w:trHeight w:val="215"/>
        </w:trPr>
        <w:tc>
          <w:tcPr>
            <w:tcW w:w="2920" w:type="dxa"/>
            <w:vAlign w:val="bottom"/>
          </w:tcPr>
          <w:p>
            <w:pPr>
              <w:ind w:left="240"/>
              <w:spacing w:after="0" w:line="214" w:lineRule="exact"/>
              <w:rPr>
                <w:sz w:val="20"/>
                <w:szCs w:val="20"/>
                <w:color w:val="auto"/>
              </w:rPr>
            </w:pPr>
            <w:r>
              <w:rPr>
                <w:rFonts w:ascii="Arial" w:cs="Arial" w:eastAsia="Arial" w:hAnsi="Arial"/>
                <w:sz w:val="19"/>
                <w:szCs w:val="19"/>
                <w:color w:val="auto"/>
              </w:rPr>
              <w:t>Change in accounts payable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(29)</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(29)</w:t>
            </w:r>
          </w:p>
        </w:tc>
        <w:tc>
          <w:tcPr>
            <w:tcW w:w="0" w:type="dxa"/>
            <w:vAlign w:val="bottom"/>
          </w:tcPr>
          <w:p>
            <w:pPr>
              <w:spacing w:after="0"/>
              <w:rPr>
                <w:sz w:val="1"/>
                <w:szCs w:val="1"/>
                <w:color w:val="auto"/>
              </w:rPr>
            </w:pPr>
          </w:p>
        </w:tc>
      </w:tr>
      <w:tr>
        <w:trPr>
          <w:trHeight w:val="215"/>
        </w:trPr>
        <w:tc>
          <w:tcPr>
            <w:tcW w:w="2920" w:type="dxa"/>
            <w:vAlign w:val="bottom"/>
          </w:tcPr>
          <w:p>
            <w:pPr>
              <w:ind w:left="240"/>
              <w:spacing w:after="0" w:line="214" w:lineRule="exact"/>
              <w:rPr>
                <w:sz w:val="20"/>
                <w:szCs w:val="20"/>
                <w:color w:val="auto"/>
              </w:rPr>
            </w:pPr>
            <w:r>
              <w:rPr>
                <w:rFonts w:ascii="Arial" w:cs="Arial" w:eastAsia="Arial" w:hAnsi="Arial"/>
                <w:sz w:val="19"/>
                <w:szCs w:val="19"/>
                <w:color w:val="auto"/>
                <w:w w:val="95"/>
              </w:rPr>
              <w:t>Change in other operating assets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and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20" w:type="dxa"/>
            <w:vAlign w:val="bottom"/>
          </w:tcPr>
          <w:p>
            <w:pPr>
              <w:ind w:left="240"/>
              <w:spacing w:after="0"/>
              <w:rPr>
                <w:sz w:val="20"/>
                <w:szCs w:val="20"/>
                <w:color w:val="auto"/>
              </w:rPr>
            </w:pPr>
            <w:r>
              <w:rPr>
                <w:rFonts w:ascii="Arial" w:cs="Arial" w:eastAsia="Arial" w:hAnsi="Arial"/>
                <w:sz w:val="19"/>
                <w:szCs w:val="19"/>
                <w:color w:val="auto"/>
              </w:rPr>
              <w:t>liabilities</w:t>
            </w:r>
          </w:p>
        </w:tc>
        <w:tc>
          <w:tcPr>
            <w:tcW w:w="620" w:type="dxa"/>
            <w:vAlign w:val="bottom"/>
          </w:tcPr>
          <w:p>
            <w:pPr>
              <w:jc w:val="right"/>
              <w:spacing w:after="0"/>
              <w:rPr>
                <w:sz w:val="20"/>
                <w:szCs w:val="20"/>
                <w:color w:val="auto"/>
              </w:rPr>
            </w:pPr>
            <w:r>
              <w:rPr>
                <w:rFonts w:ascii="Arial" w:cs="Arial" w:eastAsia="Arial" w:hAnsi="Arial"/>
                <w:sz w:val="19"/>
                <w:szCs w:val="19"/>
                <w:color w:val="auto"/>
              </w:rPr>
              <w:t>4</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68</w:t>
            </w:r>
          </w:p>
        </w:tc>
        <w:tc>
          <w:tcPr>
            <w:tcW w:w="1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10</w:t>
            </w:r>
          </w:p>
        </w:tc>
        <w:tc>
          <w:tcPr>
            <w:tcW w:w="820" w:type="dxa"/>
            <w:vAlign w:val="bottom"/>
            <w:gridSpan w:val="2"/>
          </w:tcPr>
          <w:p>
            <w:pPr>
              <w:jc w:val="right"/>
              <w:ind w:right="100"/>
              <w:spacing w:after="0"/>
              <w:rPr>
                <w:sz w:val="20"/>
                <w:szCs w:val="20"/>
                <w:color w:val="auto"/>
              </w:rPr>
            </w:pPr>
            <w:r>
              <w:rPr>
                <w:rFonts w:ascii="Arial" w:cs="Arial" w:eastAsia="Arial" w:hAnsi="Arial"/>
                <w:sz w:val="19"/>
                <w:szCs w:val="19"/>
                <w:color w:val="auto"/>
              </w:rPr>
              <w:t>(196)</w:t>
            </w: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(163)</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(277)</w:t>
            </w:r>
          </w:p>
        </w:tc>
        <w:tc>
          <w:tcPr>
            <w:tcW w:w="0" w:type="dxa"/>
            <w:vAlign w:val="bottom"/>
          </w:tcPr>
          <w:p>
            <w:pPr>
              <w:spacing w:after="0"/>
              <w:rPr>
                <w:sz w:val="1"/>
                <w:szCs w:val="1"/>
                <w:color w:val="auto"/>
              </w:rPr>
            </w:pPr>
          </w:p>
        </w:tc>
      </w:tr>
      <w:tr>
        <w:trPr>
          <w:trHeight w:val="87"/>
        </w:trPr>
        <w:tc>
          <w:tcPr>
            <w:tcW w:w="2920" w:type="dxa"/>
            <w:vAlign w:val="bottom"/>
            <w:vMerge w:val="restart"/>
          </w:tcPr>
          <w:p>
            <w:pPr>
              <w:ind w:left="240"/>
              <w:spacing w:after="0"/>
              <w:rPr>
                <w:sz w:val="20"/>
                <w:szCs w:val="20"/>
                <w:color w:val="auto"/>
              </w:rPr>
            </w:pPr>
            <w:r>
              <w:rPr>
                <w:rFonts w:ascii="Arial" w:cs="Arial" w:eastAsia="Arial" w:hAnsi="Arial"/>
                <w:sz w:val="19"/>
                <w:szCs w:val="19"/>
                <w:color w:val="auto"/>
              </w:rPr>
              <w:t>Net cash provided by (used in)</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operating</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40"/>
              <w:spacing w:after="0" w:line="214" w:lineRule="exact"/>
              <w:rPr>
                <w:sz w:val="20"/>
                <w:szCs w:val="20"/>
                <w:color w:val="auto"/>
              </w:rPr>
            </w:pPr>
            <w:r>
              <w:rPr>
                <w:rFonts w:ascii="Arial" w:cs="Arial" w:eastAsia="Arial" w:hAnsi="Arial"/>
                <w:sz w:val="19"/>
                <w:szCs w:val="19"/>
                <w:color w:val="auto"/>
              </w:rPr>
              <w:t>activities from continuing</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Arial" w:cs="Arial" w:eastAsia="Arial" w:hAnsi="Arial"/>
                <w:sz w:val="19"/>
                <w:szCs w:val="19"/>
                <w:color w:val="auto"/>
              </w:rPr>
              <w:t>operations</w:t>
            </w:r>
          </w:p>
        </w:tc>
        <w:tc>
          <w:tcPr>
            <w:tcW w:w="620" w:type="dxa"/>
            <w:vAlign w:val="bottom"/>
          </w:tcPr>
          <w:p>
            <w:pPr>
              <w:jc w:val="right"/>
              <w:spacing w:after="0"/>
              <w:rPr>
                <w:sz w:val="20"/>
                <w:szCs w:val="20"/>
                <w:color w:val="auto"/>
              </w:rPr>
            </w:pPr>
            <w:r>
              <w:rPr>
                <w:rFonts w:ascii="Arial" w:cs="Arial" w:eastAsia="Arial" w:hAnsi="Arial"/>
                <w:sz w:val="19"/>
                <w:szCs w:val="19"/>
                <w:color w:val="auto"/>
              </w:rPr>
              <w:t>12</w:t>
            </w:r>
          </w:p>
        </w:tc>
        <w:tc>
          <w:tcPr>
            <w:tcW w:w="1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(24)</w:t>
            </w:r>
          </w:p>
        </w:tc>
        <w:tc>
          <w:tcPr>
            <w:tcW w:w="780" w:type="dxa"/>
            <w:vAlign w:val="bottom"/>
            <w:gridSpan w:val="2"/>
          </w:tcPr>
          <w:p>
            <w:pPr>
              <w:jc w:val="right"/>
              <w:ind w:right="100"/>
              <w:spacing w:after="0"/>
              <w:rPr>
                <w:sz w:val="20"/>
                <w:szCs w:val="20"/>
                <w:color w:val="auto"/>
              </w:rPr>
            </w:pPr>
            <w:r>
              <w:rPr>
                <w:rFonts w:ascii="Arial" w:cs="Arial" w:eastAsia="Arial" w:hAnsi="Arial"/>
                <w:sz w:val="19"/>
                <w:szCs w:val="19"/>
                <w:color w:val="auto"/>
              </w:rPr>
              <w:t>(63)</w:t>
            </w:r>
          </w:p>
        </w:tc>
        <w:tc>
          <w:tcPr>
            <w:tcW w:w="820" w:type="dxa"/>
            <w:vAlign w:val="bottom"/>
            <w:gridSpan w:val="2"/>
          </w:tcPr>
          <w:p>
            <w:pPr>
              <w:jc w:val="right"/>
              <w:ind w:right="100"/>
              <w:spacing w:after="0"/>
              <w:rPr>
                <w:sz w:val="20"/>
                <w:szCs w:val="20"/>
                <w:color w:val="auto"/>
              </w:rPr>
            </w:pPr>
            <w:r>
              <w:rPr>
                <w:rFonts w:ascii="Arial" w:cs="Arial" w:eastAsia="Arial" w:hAnsi="Arial"/>
                <w:sz w:val="19"/>
                <w:szCs w:val="19"/>
                <w:color w:val="auto"/>
              </w:rPr>
              <w:t>(304)</w:t>
            </w:r>
          </w:p>
        </w:tc>
        <w:tc>
          <w:tcPr>
            <w:tcW w:w="760" w:type="dxa"/>
            <w:vAlign w:val="bottom"/>
          </w:tcPr>
          <w:p>
            <w:pPr>
              <w:jc w:val="right"/>
              <w:spacing w:after="0"/>
              <w:rPr>
                <w:sz w:val="20"/>
                <w:szCs w:val="20"/>
                <w:color w:val="auto"/>
              </w:rPr>
            </w:pPr>
            <w:r>
              <w:rPr>
                <w:rFonts w:ascii="Arial" w:cs="Arial" w:eastAsia="Arial" w:hAnsi="Arial"/>
                <w:sz w:val="19"/>
                <w:szCs w:val="19"/>
                <w:color w:val="auto"/>
              </w:rPr>
              <w:t>1,032</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9"/>
                <w:szCs w:val="19"/>
                <w:color w:val="auto"/>
              </w:rPr>
              <w:t>653</w:t>
            </w:r>
          </w:p>
        </w:tc>
        <w:tc>
          <w:tcPr>
            <w:tcW w:w="0" w:type="dxa"/>
            <w:vAlign w:val="bottom"/>
          </w:tcPr>
          <w:p>
            <w:pPr>
              <w:spacing w:after="0"/>
              <w:rPr>
                <w:sz w:val="1"/>
                <w:szCs w:val="1"/>
                <w:color w:val="auto"/>
              </w:rPr>
            </w:pPr>
          </w:p>
        </w:tc>
      </w:tr>
    </w:tbl>
    <w:p>
      <w:pPr>
        <w:sectPr>
          <w:pgSz w:w="11900" w:h="16854" w:orient="portrait"/>
          <w:cols w:equalWidth="0" w:num="1">
            <w:col w:w="10219"/>
          </w:cols>
          <w:pgMar w:left="240" w:top="120" w:right="1440" w:bottom="0" w:gutter="0" w:footer="0" w:header="0"/>
        </w:sectPr>
      </w:pPr>
    </w:p>
    <w:bookmarkStart w:id="19" w:name="page20"/>
    <w:bookmarkEnd w:id="19"/>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2004695</wp:posOffset>
            </wp:positionH>
            <wp:positionV relativeFrom="page">
              <wp:posOffset>88900</wp:posOffset>
            </wp:positionV>
            <wp:extent cx="379412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794125"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2920" w:type="dxa"/>
            <w:vAlign w:val="bottom"/>
          </w:tcPr>
          <w:p>
            <w:pPr>
              <w:spacing w:after="0"/>
              <w:rPr>
                <w:sz w:val="20"/>
                <w:szCs w:val="20"/>
                <w:color w:val="auto"/>
              </w:rPr>
            </w:pPr>
            <w:r>
              <w:rPr>
                <w:rFonts w:ascii="Arial" w:cs="Arial" w:eastAsia="Arial" w:hAnsi="Arial"/>
                <w:sz w:val="19"/>
                <w:szCs w:val="19"/>
                <w:color w:val="auto"/>
              </w:rPr>
              <w:t>FINANCING ACTIVITIES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140"/>
              <w:spacing w:after="0" w:line="214" w:lineRule="exact"/>
              <w:rPr>
                <w:sz w:val="20"/>
                <w:szCs w:val="20"/>
                <w:color w:val="auto"/>
              </w:rPr>
            </w:pPr>
            <w:r>
              <w:rPr>
                <w:rFonts w:ascii="Arial" w:cs="Arial" w:eastAsia="Arial" w:hAnsi="Arial"/>
                <w:sz w:val="19"/>
                <w:szCs w:val="19"/>
                <w:color w:val="auto"/>
              </w:rPr>
              <w:t>Proceeds from borrowings</w:t>
            </w:r>
          </w:p>
        </w:tc>
        <w:tc>
          <w:tcPr>
            <w:tcW w:w="620" w:type="dxa"/>
            <w:vAlign w:val="bottom"/>
          </w:tcPr>
          <w:p>
            <w:pPr>
              <w:jc w:val="right"/>
              <w:spacing w:after="0" w:line="214" w:lineRule="exact"/>
              <w:rPr>
                <w:sz w:val="20"/>
                <w:szCs w:val="20"/>
                <w:color w:val="auto"/>
              </w:rPr>
            </w:pPr>
            <w:r>
              <w:rPr>
                <w:rFonts w:ascii="Arial" w:cs="Arial" w:eastAsia="Arial" w:hAnsi="Arial"/>
                <w:sz w:val="19"/>
                <w:szCs w:val="19"/>
                <w:color w:val="auto"/>
              </w:rPr>
              <w:t>3,690</w:t>
            </w:r>
          </w:p>
        </w:tc>
        <w:tc>
          <w:tcPr>
            <w:tcW w:w="160" w:type="dxa"/>
            <w:vAlign w:val="bottom"/>
          </w:tcPr>
          <w:p>
            <w:pPr>
              <w:spacing w:after="0"/>
              <w:rPr>
                <w:sz w:val="18"/>
                <w:szCs w:val="18"/>
                <w:color w:val="auto"/>
              </w:rPr>
            </w:pPr>
          </w:p>
        </w:tc>
        <w:tc>
          <w:tcPr>
            <w:tcW w:w="620" w:type="dxa"/>
            <w:vAlign w:val="bottom"/>
          </w:tcPr>
          <w:p>
            <w:pPr>
              <w:jc w:val="right"/>
              <w:spacing w:after="0" w:line="214" w:lineRule="exact"/>
              <w:rPr>
                <w:sz w:val="20"/>
                <w:szCs w:val="20"/>
                <w:color w:val="auto"/>
              </w:rPr>
            </w:pPr>
            <w:r>
              <w:rPr>
                <w:rFonts w:ascii="Arial" w:cs="Arial" w:eastAsia="Arial" w:hAnsi="Arial"/>
                <w:sz w:val="19"/>
                <w:szCs w:val="19"/>
                <w:color w:val="auto"/>
              </w:rPr>
              <w:t>200</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10</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3"/>
          </w:tcPr>
          <w:p>
            <w:pPr>
              <w:jc w:val="right"/>
              <w:ind w:right="60"/>
              <w:spacing w:after="0" w:line="214" w:lineRule="exact"/>
              <w:rPr>
                <w:sz w:val="20"/>
                <w:szCs w:val="20"/>
                <w:color w:val="auto"/>
              </w:rPr>
            </w:pPr>
            <w:r>
              <w:rPr>
                <w:rFonts w:ascii="Arial" w:cs="Arial" w:eastAsia="Arial" w:hAnsi="Arial"/>
                <w:sz w:val="19"/>
                <w:szCs w:val="19"/>
                <w:color w:val="auto"/>
              </w:rPr>
              <w:t>3,900</w:t>
            </w:r>
          </w:p>
        </w:tc>
        <w:tc>
          <w:tcPr>
            <w:tcW w:w="0" w:type="dxa"/>
            <w:vAlign w:val="bottom"/>
          </w:tcPr>
          <w:p>
            <w:pPr>
              <w:spacing w:after="0"/>
              <w:rPr>
                <w:sz w:val="1"/>
                <w:szCs w:val="1"/>
                <w:color w:val="auto"/>
              </w:rPr>
            </w:pPr>
          </w:p>
        </w:tc>
      </w:tr>
      <w:tr>
        <w:trPr>
          <w:trHeight w:val="215"/>
        </w:trPr>
        <w:tc>
          <w:tcPr>
            <w:tcW w:w="2920" w:type="dxa"/>
            <w:vAlign w:val="bottom"/>
          </w:tcPr>
          <w:p>
            <w:pPr>
              <w:ind w:left="140"/>
              <w:spacing w:after="0" w:line="214" w:lineRule="exact"/>
              <w:rPr>
                <w:sz w:val="20"/>
                <w:szCs w:val="20"/>
                <w:color w:val="auto"/>
              </w:rPr>
            </w:pPr>
            <w:r>
              <w:rPr>
                <w:rFonts w:ascii="Arial" w:cs="Arial" w:eastAsia="Arial" w:hAnsi="Arial"/>
                <w:sz w:val="19"/>
                <w:szCs w:val="19"/>
                <w:color w:val="auto"/>
              </w:rPr>
              <w:t>Retirements and repayments of</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debt</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(700)</w:t>
            </w:r>
          </w:p>
        </w:tc>
        <w:tc>
          <w:tcPr>
            <w:tcW w:w="80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(1,000)</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(3,750)</w:t>
            </w:r>
          </w:p>
        </w:tc>
        <w:tc>
          <w:tcPr>
            <w:tcW w:w="8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(608)</w:t>
            </w: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(19)</w:t>
            </w:r>
          </w:p>
        </w:tc>
        <w:tc>
          <w:tcPr>
            <w:tcW w:w="860" w:type="dxa"/>
            <w:vAlign w:val="bottom"/>
          </w:tcPr>
          <w:p>
            <w:pPr>
              <w:spacing w:after="0"/>
              <w:rPr>
                <w:sz w:val="18"/>
                <w:szCs w:val="18"/>
                <w:color w:val="auto"/>
              </w:rPr>
            </w:pPr>
          </w:p>
        </w:tc>
        <w:tc>
          <w:tcPr>
            <w:tcW w:w="1060" w:type="dxa"/>
            <w:vAlign w:val="bottom"/>
            <w:gridSpan w:val="3"/>
          </w:tcPr>
          <w:p>
            <w:pPr>
              <w:jc w:val="right"/>
              <w:spacing w:after="0" w:line="214" w:lineRule="exact"/>
              <w:rPr>
                <w:sz w:val="20"/>
                <w:szCs w:val="20"/>
                <w:color w:val="auto"/>
              </w:rPr>
            </w:pPr>
            <w:r>
              <w:rPr>
                <w:rFonts w:ascii="Arial" w:cs="Arial" w:eastAsia="Arial" w:hAnsi="Arial"/>
                <w:sz w:val="19"/>
                <w:szCs w:val="19"/>
                <w:color w:val="auto"/>
              </w:rPr>
              <w:t>(6,077)</w:t>
            </w:r>
          </w:p>
        </w:tc>
        <w:tc>
          <w:tcPr>
            <w:tcW w:w="0" w:type="dxa"/>
            <w:vAlign w:val="bottom"/>
          </w:tcPr>
          <w:p>
            <w:pPr>
              <w:spacing w:after="0"/>
              <w:rPr>
                <w:sz w:val="1"/>
                <w:szCs w:val="1"/>
                <w:color w:val="auto"/>
              </w:rPr>
            </w:pPr>
          </w:p>
        </w:tc>
      </w:tr>
      <w:tr>
        <w:trPr>
          <w:trHeight w:val="242"/>
        </w:trPr>
        <w:tc>
          <w:tcPr>
            <w:tcW w:w="2920" w:type="dxa"/>
            <w:vAlign w:val="bottom"/>
          </w:tcPr>
          <w:p>
            <w:pPr>
              <w:ind w:left="140"/>
              <w:spacing w:after="0"/>
              <w:rPr>
                <w:sz w:val="20"/>
                <w:szCs w:val="20"/>
                <w:color w:val="auto"/>
              </w:rPr>
            </w:pPr>
            <w:r>
              <w:rPr>
                <w:rFonts w:ascii="Arial" w:cs="Arial" w:eastAsia="Arial" w:hAnsi="Arial"/>
                <w:sz w:val="19"/>
                <w:szCs w:val="19"/>
                <w:color w:val="auto"/>
              </w:rPr>
              <w:t>Other</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(16)</w:t>
            </w:r>
          </w:p>
        </w:tc>
        <w:tc>
          <w:tcPr>
            <w:tcW w:w="8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87"/>
        </w:trPr>
        <w:tc>
          <w:tcPr>
            <w:tcW w:w="2920" w:type="dxa"/>
            <w:vAlign w:val="bottom"/>
            <w:vMerge w:val="restart"/>
          </w:tcPr>
          <w:p>
            <w:pPr>
              <w:ind w:left="240"/>
              <w:spacing w:after="0"/>
              <w:rPr>
                <w:sz w:val="20"/>
                <w:szCs w:val="20"/>
                <w:color w:val="auto"/>
              </w:rPr>
            </w:pPr>
            <w:r>
              <w:rPr>
                <w:rFonts w:ascii="Arial" w:cs="Arial" w:eastAsia="Arial" w:hAnsi="Arial"/>
                <w:sz w:val="19"/>
                <w:szCs w:val="19"/>
                <w:color w:val="auto"/>
              </w:rPr>
              <w:t>Net cash provided by (used in)</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financing</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40"/>
              <w:spacing w:after="0" w:line="214" w:lineRule="exact"/>
              <w:rPr>
                <w:sz w:val="20"/>
                <w:szCs w:val="20"/>
                <w:color w:val="auto"/>
              </w:rPr>
            </w:pPr>
            <w:r>
              <w:rPr>
                <w:rFonts w:ascii="Arial" w:cs="Arial" w:eastAsia="Arial" w:hAnsi="Arial"/>
                <w:sz w:val="19"/>
                <w:szCs w:val="19"/>
                <w:color w:val="auto"/>
              </w:rPr>
              <w:t>activities from continuing</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Arial" w:cs="Arial" w:eastAsia="Arial" w:hAnsi="Arial"/>
                <w:sz w:val="19"/>
                <w:szCs w:val="19"/>
                <w:color w:val="auto"/>
              </w:rPr>
              <w:t>operations</w:t>
            </w:r>
          </w:p>
        </w:tc>
        <w:tc>
          <w:tcPr>
            <w:tcW w:w="620" w:type="dxa"/>
            <w:vAlign w:val="bottom"/>
          </w:tcPr>
          <w:p>
            <w:pPr>
              <w:jc w:val="right"/>
              <w:spacing w:after="0"/>
              <w:rPr>
                <w:sz w:val="20"/>
                <w:szCs w:val="20"/>
                <w:color w:val="auto"/>
              </w:rPr>
            </w:pPr>
            <w:r>
              <w:rPr>
                <w:rFonts w:ascii="Arial" w:cs="Arial" w:eastAsia="Arial" w:hAnsi="Arial"/>
                <w:sz w:val="19"/>
                <w:szCs w:val="19"/>
                <w:color w:val="auto"/>
              </w:rPr>
              <w:t>2,990</w:t>
            </w:r>
          </w:p>
        </w:tc>
        <w:tc>
          <w:tcPr>
            <w:tcW w:w="1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(800)</w:t>
            </w:r>
          </w:p>
        </w:tc>
        <w:tc>
          <w:tcPr>
            <w:tcW w:w="780" w:type="dxa"/>
            <w:vAlign w:val="bottom"/>
            <w:gridSpan w:val="2"/>
          </w:tcPr>
          <w:p>
            <w:pPr>
              <w:jc w:val="right"/>
              <w:ind w:right="100"/>
              <w:spacing w:after="0"/>
              <w:rPr>
                <w:sz w:val="20"/>
                <w:szCs w:val="20"/>
                <w:color w:val="auto"/>
              </w:rPr>
            </w:pPr>
            <w:r>
              <w:rPr>
                <w:rFonts w:ascii="Arial" w:cs="Arial" w:eastAsia="Arial" w:hAnsi="Arial"/>
                <w:sz w:val="19"/>
                <w:szCs w:val="19"/>
                <w:color w:val="auto"/>
              </w:rPr>
              <w:t>(3,750)</w:t>
            </w:r>
          </w:p>
        </w:tc>
        <w:tc>
          <w:tcPr>
            <w:tcW w:w="820" w:type="dxa"/>
            <w:vAlign w:val="bottom"/>
            <w:gridSpan w:val="2"/>
          </w:tcPr>
          <w:p>
            <w:pPr>
              <w:jc w:val="right"/>
              <w:ind w:right="100"/>
              <w:spacing w:after="0"/>
              <w:rPr>
                <w:sz w:val="20"/>
                <w:szCs w:val="20"/>
                <w:color w:val="auto"/>
              </w:rPr>
            </w:pPr>
            <w:r>
              <w:rPr>
                <w:rFonts w:ascii="Arial" w:cs="Arial" w:eastAsia="Arial" w:hAnsi="Arial"/>
                <w:sz w:val="19"/>
                <w:szCs w:val="19"/>
                <w:color w:val="auto"/>
              </w:rPr>
              <w:t>(608)</w:t>
            </w: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(25)</w:t>
            </w:r>
          </w:p>
        </w:tc>
        <w:tc>
          <w:tcPr>
            <w:tcW w:w="8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9"/>
                <w:szCs w:val="19"/>
                <w:color w:val="auto"/>
              </w:rPr>
              <w:t>(2,193)</w:t>
            </w:r>
          </w:p>
        </w:tc>
        <w:tc>
          <w:tcPr>
            <w:tcW w:w="0" w:type="dxa"/>
            <w:vAlign w:val="bottom"/>
          </w:tcPr>
          <w:p>
            <w:pPr>
              <w:spacing w:after="0"/>
              <w:rPr>
                <w:sz w:val="1"/>
                <w:szCs w:val="1"/>
                <w:color w:val="auto"/>
              </w:rPr>
            </w:pPr>
          </w:p>
        </w:tc>
      </w:tr>
      <w:tr>
        <w:trPr>
          <w:trHeight w:val="87"/>
        </w:trPr>
        <w:tc>
          <w:tcPr>
            <w:tcW w:w="2920" w:type="dxa"/>
            <w:vAlign w:val="bottom"/>
            <w:vMerge w:val="restart"/>
          </w:tcPr>
          <w:p>
            <w:pPr>
              <w:spacing w:after="0"/>
              <w:rPr>
                <w:sz w:val="20"/>
                <w:szCs w:val="20"/>
                <w:color w:val="auto"/>
              </w:rPr>
            </w:pPr>
            <w:r>
              <w:rPr>
                <w:rFonts w:ascii="Arial" w:cs="Arial" w:eastAsia="Arial" w:hAnsi="Arial"/>
                <w:sz w:val="19"/>
                <w:szCs w:val="19"/>
                <w:color w:val="auto"/>
              </w:rPr>
              <w:t>INVESTING ACTIVITIES</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Net transactions with affiliates</w:t>
            </w:r>
          </w:p>
        </w:tc>
        <w:tc>
          <w:tcPr>
            <w:tcW w:w="78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(3,002)</w:t>
            </w:r>
          </w:p>
        </w:tc>
        <w:tc>
          <w:tcPr>
            <w:tcW w:w="620" w:type="dxa"/>
            <w:vAlign w:val="bottom"/>
          </w:tcPr>
          <w:p>
            <w:pPr>
              <w:jc w:val="right"/>
              <w:spacing w:after="0" w:line="214" w:lineRule="exact"/>
              <w:rPr>
                <w:sz w:val="20"/>
                <w:szCs w:val="20"/>
                <w:color w:val="auto"/>
              </w:rPr>
            </w:pPr>
            <w:r>
              <w:rPr>
                <w:rFonts w:ascii="Arial" w:cs="Arial" w:eastAsia="Arial" w:hAnsi="Arial"/>
                <w:sz w:val="19"/>
                <w:szCs w:val="19"/>
                <w:color w:val="auto"/>
              </w:rPr>
              <w:t>824</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3,813</w:t>
            </w:r>
          </w:p>
        </w:tc>
        <w:tc>
          <w:tcPr>
            <w:tcW w:w="660" w:type="dxa"/>
            <w:vAlign w:val="bottom"/>
          </w:tcPr>
          <w:p>
            <w:pPr>
              <w:jc w:val="right"/>
              <w:spacing w:after="0" w:line="214" w:lineRule="exact"/>
              <w:rPr>
                <w:sz w:val="20"/>
                <w:szCs w:val="20"/>
                <w:color w:val="auto"/>
              </w:rPr>
            </w:pPr>
            <w:r>
              <w:rPr>
                <w:rFonts w:ascii="Arial" w:cs="Arial" w:eastAsia="Arial" w:hAnsi="Arial"/>
                <w:sz w:val="19"/>
                <w:szCs w:val="19"/>
                <w:color w:val="auto"/>
              </w:rPr>
              <w:t>912</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(2,547)</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Acquisitions, net of cash acquired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w w:val="98"/>
              </w:rPr>
              <w:t>Proceeds from sales of (purchases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of)</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short-term investments, net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(9)</w:t>
            </w:r>
          </w:p>
        </w:tc>
        <w:tc>
          <w:tcPr>
            <w:tcW w:w="860" w:type="dxa"/>
            <w:vAlign w:val="bottom"/>
          </w:tcPr>
          <w:p>
            <w:pPr>
              <w:spacing w:after="0"/>
              <w:rPr>
                <w:sz w:val="18"/>
                <w:szCs w:val="18"/>
                <w:color w:val="auto"/>
              </w:rPr>
            </w:pPr>
          </w:p>
        </w:tc>
        <w:tc>
          <w:tcPr>
            <w:tcW w:w="1060" w:type="dxa"/>
            <w:vAlign w:val="bottom"/>
            <w:gridSpan w:val="3"/>
          </w:tcPr>
          <w:p>
            <w:pPr>
              <w:jc w:val="right"/>
              <w:spacing w:after="0" w:line="214" w:lineRule="exact"/>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Proceeds from sales, settlements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and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restructuring of investments and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assets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180"/>
              <w:spacing w:after="0" w:line="214" w:lineRule="exact"/>
              <w:rPr>
                <w:sz w:val="20"/>
                <w:szCs w:val="20"/>
                <w:color w:val="auto"/>
              </w:rPr>
            </w:pPr>
            <w:r>
              <w:rPr>
                <w:rFonts w:ascii="Arial" w:cs="Arial" w:eastAsia="Arial" w:hAnsi="Arial"/>
                <w:sz w:val="19"/>
                <w:szCs w:val="19"/>
                <w:color w:val="auto"/>
              </w:rPr>
              <w:t>held for sale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2,768</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3"/>
          </w:tcPr>
          <w:p>
            <w:pPr>
              <w:jc w:val="right"/>
              <w:ind w:right="60"/>
              <w:spacing w:after="0" w:line="214" w:lineRule="exact"/>
              <w:rPr>
                <w:sz w:val="20"/>
                <w:szCs w:val="20"/>
                <w:color w:val="auto"/>
              </w:rPr>
            </w:pPr>
            <w:r>
              <w:rPr>
                <w:rFonts w:ascii="Arial" w:cs="Arial" w:eastAsia="Arial" w:hAnsi="Arial"/>
                <w:sz w:val="19"/>
                <w:szCs w:val="19"/>
                <w:color w:val="auto"/>
              </w:rPr>
              <w:t>2,768</w:t>
            </w: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Purchases of investments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(72)</w:t>
            </w:r>
          </w:p>
        </w:tc>
        <w:tc>
          <w:tcPr>
            <w:tcW w:w="860" w:type="dxa"/>
            <w:vAlign w:val="bottom"/>
          </w:tcPr>
          <w:p>
            <w:pPr>
              <w:spacing w:after="0"/>
              <w:rPr>
                <w:sz w:val="18"/>
                <w:szCs w:val="18"/>
                <w:color w:val="auto"/>
              </w:rPr>
            </w:pPr>
          </w:p>
        </w:tc>
        <w:tc>
          <w:tcPr>
            <w:tcW w:w="1060" w:type="dxa"/>
            <w:vAlign w:val="bottom"/>
            <w:gridSpan w:val="3"/>
          </w:tcPr>
          <w:p>
            <w:pPr>
              <w:jc w:val="right"/>
              <w:spacing w:after="0" w:line="214" w:lineRule="exact"/>
              <w:rPr>
                <w:sz w:val="20"/>
                <w:szCs w:val="20"/>
                <w:color w:val="auto"/>
              </w:rPr>
            </w:pPr>
            <w:r>
              <w:rPr>
                <w:rFonts w:ascii="Arial" w:cs="Arial" w:eastAsia="Arial" w:hAnsi="Arial"/>
                <w:sz w:val="19"/>
                <w:szCs w:val="19"/>
                <w:color w:val="auto"/>
              </w:rPr>
              <w:t>(72)</w:t>
            </w: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Capital expenditures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(958)</w:t>
            </w:r>
          </w:p>
        </w:tc>
        <w:tc>
          <w:tcPr>
            <w:tcW w:w="860" w:type="dxa"/>
            <w:vAlign w:val="bottom"/>
          </w:tcPr>
          <w:p>
            <w:pPr>
              <w:spacing w:after="0"/>
              <w:rPr>
                <w:sz w:val="18"/>
                <w:szCs w:val="18"/>
                <w:color w:val="auto"/>
              </w:rPr>
            </w:pPr>
          </w:p>
        </w:tc>
        <w:tc>
          <w:tcPr>
            <w:tcW w:w="1060" w:type="dxa"/>
            <w:vAlign w:val="bottom"/>
            <w:gridSpan w:val="3"/>
          </w:tcPr>
          <w:p>
            <w:pPr>
              <w:jc w:val="right"/>
              <w:spacing w:after="0" w:line="214" w:lineRule="exact"/>
              <w:rPr>
                <w:sz w:val="20"/>
                <w:szCs w:val="20"/>
                <w:color w:val="auto"/>
              </w:rPr>
            </w:pPr>
            <w:r>
              <w:rPr>
                <w:rFonts w:ascii="Arial" w:cs="Arial" w:eastAsia="Arial" w:hAnsi="Arial"/>
                <w:sz w:val="19"/>
                <w:szCs w:val="19"/>
                <w:color w:val="auto"/>
              </w:rPr>
              <w:t>(958)</w:t>
            </w: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Additions to intangible and other</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noncurrent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Arial" w:cs="Arial" w:eastAsia="Arial" w:hAnsi="Arial"/>
                <w:sz w:val="19"/>
                <w:szCs w:val="19"/>
                <w:color w:val="auto"/>
              </w:rPr>
              <w:t>assets</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(66)</w:t>
            </w:r>
          </w:p>
        </w:tc>
        <w:tc>
          <w:tcPr>
            <w:tcW w:w="8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9"/>
                <w:szCs w:val="19"/>
                <w:color w:val="auto"/>
              </w:rPr>
              <w:t>(66)</w:t>
            </w:r>
          </w:p>
        </w:tc>
        <w:tc>
          <w:tcPr>
            <w:tcW w:w="0" w:type="dxa"/>
            <w:vAlign w:val="bottom"/>
          </w:tcPr>
          <w:p>
            <w:pPr>
              <w:spacing w:after="0"/>
              <w:rPr>
                <w:sz w:val="1"/>
                <w:szCs w:val="1"/>
                <w:color w:val="auto"/>
              </w:rPr>
            </w:pPr>
          </w:p>
        </w:tc>
      </w:tr>
      <w:tr>
        <w:trPr>
          <w:trHeight w:val="87"/>
        </w:trPr>
        <w:tc>
          <w:tcPr>
            <w:tcW w:w="2920" w:type="dxa"/>
            <w:vAlign w:val="bottom"/>
            <w:vMerge w:val="restart"/>
          </w:tcPr>
          <w:p>
            <w:pPr>
              <w:ind w:left="140"/>
              <w:spacing w:after="0"/>
              <w:rPr>
                <w:sz w:val="20"/>
                <w:szCs w:val="20"/>
                <w:color w:val="auto"/>
              </w:rPr>
            </w:pPr>
            <w:r>
              <w:rPr>
                <w:rFonts w:ascii="Arial" w:cs="Arial" w:eastAsia="Arial" w:hAnsi="Arial"/>
                <w:sz w:val="19"/>
                <w:szCs w:val="19"/>
                <w:color w:val="auto"/>
              </w:rPr>
              <w:t>Net cash provided by (used in)</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investing</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20" w:type="dxa"/>
            <w:vAlign w:val="bottom"/>
          </w:tcPr>
          <w:p>
            <w:pPr>
              <w:ind w:left="240"/>
              <w:spacing w:after="0"/>
              <w:rPr>
                <w:sz w:val="20"/>
                <w:szCs w:val="20"/>
                <w:color w:val="auto"/>
              </w:rPr>
            </w:pPr>
            <w:r>
              <w:rPr>
                <w:rFonts w:ascii="Arial" w:cs="Arial" w:eastAsia="Arial" w:hAnsi="Arial"/>
                <w:sz w:val="19"/>
                <w:szCs w:val="19"/>
                <w:color w:val="auto"/>
              </w:rPr>
              <w:t>activities</w:t>
            </w:r>
          </w:p>
        </w:tc>
        <w:tc>
          <w:tcPr>
            <w:tcW w:w="780" w:type="dxa"/>
            <w:vAlign w:val="bottom"/>
            <w:gridSpan w:val="2"/>
          </w:tcPr>
          <w:p>
            <w:pPr>
              <w:jc w:val="right"/>
              <w:ind w:right="100"/>
              <w:spacing w:after="0"/>
              <w:rPr>
                <w:sz w:val="20"/>
                <w:szCs w:val="20"/>
                <w:color w:val="auto"/>
              </w:rPr>
            </w:pPr>
            <w:r>
              <w:rPr>
                <w:rFonts w:ascii="Arial" w:cs="Arial" w:eastAsia="Arial" w:hAnsi="Arial"/>
                <w:sz w:val="19"/>
                <w:szCs w:val="19"/>
                <w:color w:val="auto"/>
              </w:rPr>
              <w:t>(3,002)</w:t>
            </w:r>
          </w:p>
        </w:tc>
        <w:tc>
          <w:tcPr>
            <w:tcW w:w="620" w:type="dxa"/>
            <w:vAlign w:val="bottom"/>
          </w:tcPr>
          <w:p>
            <w:pPr>
              <w:jc w:val="right"/>
              <w:spacing w:after="0"/>
              <w:rPr>
                <w:sz w:val="20"/>
                <w:szCs w:val="20"/>
                <w:color w:val="auto"/>
              </w:rPr>
            </w:pPr>
            <w:r>
              <w:rPr>
                <w:rFonts w:ascii="Arial" w:cs="Arial" w:eastAsia="Arial" w:hAnsi="Arial"/>
                <w:sz w:val="19"/>
                <w:szCs w:val="19"/>
                <w:color w:val="auto"/>
              </w:rPr>
              <w:t>824</w:t>
            </w:r>
          </w:p>
        </w:tc>
        <w:tc>
          <w:tcPr>
            <w:tcW w:w="1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3,813</w:t>
            </w:r>
          </w:p>
        </w:tc>
        <w:tc>
          <w:tcPr>
            <w:tcW w:w="660" w:type="dxa"/>
            <w:vAlign w:val="bottom"/>
          </w:tcPr>
          <w:p>
            <w:pPr>
              <w:jc w:val="right"/>
              <w:spacing w:after="0"/>
              <w:rPr>
                <w:sz w:val="20"/>
                <w:szCs w:val="20"/>
                <w:color w:val="auto"/>
              </w:rPr>
            </w:pPr>
            <w:r>
              <w:rPr>
                <w:rFonts w:ascii="Arial" w:cs="Arial" w:eastAsia="Arial" w:hAnsi="Arial"/>
                <w:sz w:val="19"/>
                <w:szCs w:val="19"/>
                <w:color w:val="auto"/>
              </w:rPr>
              <w:t>912</w:t>
            </w:r>
          </w:p>
        </w:tc>
        <w:tc>
          <w:tcPr>
            <w:tcW w:w="16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(884)</w:t>
            </w:r>
          </w:p>
        </w:tc>
        <w:tc>
          <w:tcPr>
            <w:tcW w:w="86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9"/>
                <w:szCs w:val="19"/>
                <w:color w:val="auto"/>
              </w:rPr>
              <w:t>1,663</w:t>
            </w:r>
          </w:p>
        </w:tc>
        <w:tc>
          <w:tcPr>
            <w:tcW w:w="0" w:type="dxa"/>
            <w:vAlign w:val="bottom"/>
          </w:tcPr>
          <w:p>
            <w:pPr>
              <w:spacing w:after="0"/>
              <w:rPr>
                <w:sz w:val="1"/>
                <w:szCs w:val="1"/>
                <w:color w:val="auto"/>
              </w:rPr>
            </w:pPr>
          </w:p>
        </w:tc>
      </w:tr>
      <w:tr>
        <w:trPr>
          <w:trHeight w:val="87"/>
        </w:trPr>
        <w:tc>
          <w:tcPr>
            <w:tcW w:w="2920" w:type="dxa"/>
            <w:vAlign w:val="bottom"/>
            <w:vMerge w:val="restart"/>
          </w:tcPr>
          <w:p>
            <w:pPr>
              <w:spacing w:after="0"/>
              <w:rPr>
                <w:sz w:val="20"/>
                <w:szCs w:val="20"/>
                <w:color w:val="auto"/>
              </w:rPr>
            </w:pPr>
            <w:r>
              <w:rPr>
                <w:rFonts w:ascii="Arial" w:cs="Arial" w:eastAsia="Arial" w:hAnsi="Arial"/>
                <w:sz w:val="19"/>
                <w:szCs w:val="19"/>
                <w:color w:val="auto"/>
              </w:rPr>
              <w:t>INCREASE IN CASH AND</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CASH EQUIVALENTS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19"/>
                <w:szCs w:val="19"/>
                <w:color w:val="auto"/>
              </w:rPr>
              <w:t>123</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3"/>
          </w:tcPr>
          <w:p>
            <w:pPr>
              <w:jc w:val="right"/>
              <w:ind w:right="60"/>
              <w:spacing w:after="0" w:line="214" w:lineRule="exact"/>
              <w:rPr>
                <w:sz w:val="20"/>
                <w:szCs w:val="20"/>
                <w:color w:val="auto"/>
              </w:rPr>
            </w:pPr>
            <w:r>
              <w:rPr>
                <w:rFonts w:ascii="Arial" w:cs="Arial" w:eastAsia="Arial" w:hAnsi="Arial"/>
                <w:sz w:val="19"/>
                <w:szCs w:val="19"/>
                <w:color w:val="auto"/>
              </w:rPr>
              <w:t>123</w:t>
            </w: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CASH AND CASH</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line="214" w:lineRule="exact"/>
              <w:rPr>
                <w:sz w:val="20"/>
                <w:szCs w:val="20"/>
                <w:color w:val="auto"/>
              </w:rPr>
            </w:pPr>
            <w:r>
              <w:rPr>
                <w:rFonts w:ascii="Arial" w:cs="Arial" w:eastAsia="Arial" w:hAnsi="Arial"/>
                <w:sz w:val="19"/>
                <w:szCs w:val="19"/>
                <w:color w:val="auto"/>
              </w:rPr>
              <w:t>EQUIVALENTS, beginning of</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Arial" w:cs="Arial" w:eastAsia="Arial" w:hAnsi="Arial"/>
                <w:sz w:val="19"/>
                <w:szCs w:val="19"/>
                <w:color w:val="auto"/>
              </w:rPr>
              <w:t>period</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505</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9"/>
                <w:szCs w:val="19"/>
                <w:color w:val="auto"/>
              </w:rPr>
              <w:t>505</w:t>
            </w:r>
          </w:p>
        </w:tc>
        <w:tc>
          <w:tcPr>
            <w:tcW w:w="0" w:type="dxa"/>
            <w:vAlign w:val="bottom"/>
          </w:tcPr>
          <w:p>
            <w:pPr>
              <w:spacing w:after="0"/>
              <w:rPr>
                <w:sz w:val="1"/>
                <w:szCs w:val="1"/>
                <w:color w:val="auto"/>
              </w:rPr>
            </w:pPr>
          </w:p>
        </w:tc>
      </w:tr>
      <w:tr>
        <w:trPr>
          <w:trHeight w:val="87"/>
        </w:trPr>
        <w:tc>
          <w:tcPr>
            <w:tcW w:w="2920" w:type="dxa"/>
            <w:vAlign w:val="bottom"/>
            <w:vMerge w:val="restart"/>
          </w:tcPr>
          <w:p>
            <w:pPr>
              <w:spacing w:after="0"/>
              <w:rPr>
                <w:sz w:val="20"/>
                <w:szCs w:val="20"/>
                <w:color w:val="auto"/>
              </w:rPr>
            </w:pPr>
            <w:r>
              <w:rPr>
                <w:rFonts w:ascii="Arial" w:cs="Arial" w:eastAsia="Arial" w:hAnsi="Arial"/>
                <w:sz w:val="19"/>
                <w:szCs w:val="19"/>
                <w:color w:val="auto"/>
              </w:rPr>
              <w:t>CASH AND CASH</w:t>
            </w: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9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Arial" w:cs="Arial" w:eastAsia="Arial" w:hAnsi="Arial"/>
                <w:sz w:val="19"/>
                <w:szCs w:val="19"/>
                <w:color w:val="auto"/>
              </w:rPr>
              <w:t>EQUIVALENTS, end of period</w:t>
            </w:r>
          </w:p>
        </w:tc>
        <w:tc>
          <w:tcPr>
            <w:tcW w:w="620" w:type="dxa"/>
            <w:vAlign w:val="bottom"/>
          </w:tcPr>
          <w:p>
            <w:pPr>
              <w:jc w:val="right"/>
              <w:ind w:right="165"/>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620" w:type="dxa"/>
            <w:vAlign w:val="bottom"/>
          </w:tcPr>
          <w:p>
            <w:pPr>
              <w:jc w:val="right"/>
              <w:ind w:right="165"/>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1"/>
                <w:szCs w:val="21"/>
                <w:color w:val="auto"/>
              </w:rPr>
            </w:pPr>
          </w:p>
        </w:tc>
        <w:tc>
          <w:tcPr>
            <w:tcW w:w="62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66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$628</w:t>
            </w:r>
          </w:p>
        </w:tc>
        <w:tc>
          <w:tcPr>
            <w:tcW w:w="180" w:type="dxa"/>
            <w:vAlign w:val="bottom"/>
          </w:tcPr>
          <w:p>
            <w:pPr>
              <w:spacing w:after="0"/>
              <w:rPr>
                <w:sz w:val="21"/>
                <w:szCs w:val="21"/>
                <w:color w:val="auto"/>
              </w:rPr>
            </w:pPr>
          </w:p>
        </w:tc>
        <w:tc>
          <w:tcPr>
            <w:tcW w:w="860" w:type="dxa"/>
            <w:vAlign w:val="bottom"/>
          </w:tcPr>
          <w:p>
            <w:pPr>
              <w:jc w:val="right"/>
              <w:ind w:right="285"/>
              <w:spacing w:after="0"/>
              <w:rPr>
                <w:sz w:val="20"/>
                <w:szCs w:val="20"/>
                <w:color w:val="auto"/>
              </w:rPr>
            </w:pPr>
            <w:r>
              <w:rPr>
                <w:rFonts w:ascii="Arial" w:cs="Arial" w:eastAsia="Arial" w:hAnsi="Arial"/>
                <w:sz w:val="19"/>
                <w:szCs w:val="19"/>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9"/>
                <w:szCs w:val="19"/>
                <w:color w:val="auto"/>
              </w:rPr>
              <w:t>$628</w:t>
            </w:r>
          </w:p>
        </w:tc>
        <w:tc>
          <w:tcPr>
            <w:tcW w:w="0" w:type="dxa"/>
            <w:vAlign w:val="bottom"/>
          </w:tcPr>
          <w:p>
            <w:pPr>
              <w:spacing w:after="0"/>
              <w:rPr>
                <w:sz w:val="1"/>
                <w:szCs w:val="1"/>
                <w:color w:val="auto"/>
              </w:rPr>
            </w:pPr>
          </w:p>
        </w:tc>
      </w:tr>
      <w:tr>
        <w:trPr>
          <w:trHeight w:val="95"/>
        </w:trPr>
        <w:tc>
          <w:tcPr>
            <w:tcW w:w="29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5"/>
        </w:trPr>
        <w:tc>
          <w:tcPr>
            <w:tcW w:w="2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45"/>
              <w:spacing w:after="0"/>
              <w:rPr>
                <w:sz w:val="20"/>
                <w:szCs w:val="20"/>
                <w:color w:val="auto"/>
              </w:rPr>
            </w:pPr>
            <w:r>
              <w:rPr>
                <w:rFonts w:ascii="Arial" w:cs="Arial" w:eastAsia="Arial" w:hAnsi="Arial"/>
                <w:sz w:val="19"/>
                <w:szCs w:val="19"/>
                <w:color w:val="auto"/>
              </w:rPr>
              <w:t>23</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-334010</wp:posOffset>
            </wp:positionV>
            <wp:extent cx="1270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-334010</wp:posOffset>
            </wp:positionV>
            <wp:extent cx="1270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-334010</wp:posOffset>
            </wp:positionV>
            <wp:extent cx="1270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-334010</wp:posOffset>
            </wp:positionV>
            <wp:extent cx="1270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-334010</wp:posOffset>
            </wp:positionV>
            <wp:extent cx="1270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2849880</wp:posOffset>
            </wp:positionH>
            <wp:positionV relativeFrom="paragraph">
              <wp:posOffset>-334010</wp:posOffset>
            </wp:positionV>
            <wp:extent cx="1270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-334010</wp:posOffset>
            </wp:positionV>
            <wp:extent cx="127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-334010</wp:posOffset>
            </wp:positionV>
            <wp:extent cx="1270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-334010</wp:posOffset>
            </wp:positionV>
            <wp:extent cx="1270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-334010</wp:posOffset>
            </wp:positionV>
            <wp:extent cx="1270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-334010</wp:posOffset>
            </wp:positionV>
            <wp:extent cx="1270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-334010</wp:posOffset>
            </wp:positionV>
            <wp:extent cx="1270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-334010</wp:posOffset>
            </wp:positionV>
            <wp:extent cx="1270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-334010</wp:posOffset>
            </wp:positionV>
            <wp:extent cx="1270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116205</wp:posOffset>
            </wp:positionV>
            <wp:extent cx="727773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FORM 10-Q</w:t>
      </w:r>
    </w:p>
    <w:p>
      <w:pPr>
        <w:jc w:val="center"/>
        <w:ind w:right="-79"/>
        <w:spacing w:after="0"/>
        <w:rPr>
          <w:sz w:val="20"/>
          <w:szCs w:val="20"/>
          <w:color w:val="auto"/>
        </w:rPr>
      </w:pPr>
      <w:r>
        <w:rPr>
          <w:rFonts w:ascii="Arial" w:cs="Arial" w:eastAsia="Arial" w:hAnsi="Arial"/>
          <w:sz w:val="19"/>
          <w:szCs w:val="19"/>
          <w:color w:val="auto"/>
        </w:rPr>
        <w:t>QUARTER ENDED MARCH 31, 2004</w:t>
      </w:r>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19"/>
          <w:szCs w:val="19"/>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93" w:lineRule="exact"/>
        <w:rPr>
          <w:sz w:val="20"/>
          <w:szCs w:val="20"/>
          <w:color w:val="auto"/>
        </w:rPr>
      </w:pPr>
    </w:p>
    <w:p>
      <w:pPr>
        <w:ind w:right="240" w:firstLine="378"/>
        <w:spacing w:after="0"/>
        <w:rPr>
          <w:sz w:val="20"/>
          <w:szCs w:val="20"/>
          <w:color w:val="auto"/>
        </w:rPr>
      </w:pPr>
      <w:r>
        <w:rPr>
          <w:rFonts w:ascii="Arial" w:cs="Arial" w:eastAsia="Arial" w:hAnsi="Arial"/>
          <w:sz w:val="19"/>
          <w:szCs w:val="19"/>
          <w:color w:val="auto"/>
        </w:rPr>
        <w:t>We are principally involved in the management and operation of broadband communications networks (our cable segment) and in the management of programming content over cable and satellite television networks (our content segment). During the first quarter of 2004, we received over 94% of our revenue from our cable segment, primarily through monthly subscriptions to our video, high-speed Internet and phone services, as well as from advertising. Subscribers typically pay us monthly, based on rates and related charges that vary according to their chosen level of service and the type of equipment they use. Revenue from our content segment is derived from the sale of advertising time and affiliation agreements with cable and satellite television companies.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9"/>
          <w:szCs w:val="19"/>
          <w:color w:val="auto"/>
        </w:rPr>
        <w:t>Highlights for the first quarter of 2004 included the following:</w:t>
      </w:r>
    </w:p>
    <w:p>
      <w:pPr>
        <w:spacing w:after="0" w:line="187" w:lineRule="exact"/>
        <w:rPr>
          <w:sz w:val="20"/>
          <w:szCs w:val="20"/>
          <w:color w:val="auto"/>
        </w:rPr>
      </w:pPr>
    </w:p>
    <w:p>
      <w:pPr>
        <w:ind w:left="680" w:hanging="405"/>
        <w:spacing w:after="0" w:line="261" w:lineRule="auto"/>
        <w:tabs>
          <w:tab w:leader="none" w:pos="6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Revenue growth of 9.8% in our cable segment compared to the same quarter in 2003, driven by continued growth in our new services, such as digital cable and high-speed Internet;</w:t>
      </w:r>
    </w:p>
    <w:p>
      <w:pPr>
        <w:spacing w:after="0" w:line="168" w:lineRule="exact"/>
        <w:rPr>
          <w:rFonts w:ascii="Arial" w:cs="Arial" w:eastAsia="Arial" w:hAnsi="Arial"/>
          <w:sz w:val="19"/>
          <w:szCs w:val="19"/>
          <w:color w:val="auto"/>
        </w:rPr>
      </w:pPr>
    </w:p>
    <w:p>
      <w:pPr>
        <w:ind w:left="680" w:right="480" w:hanging="405"/>
        <w:spacing w:after="0" w:line="289"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income before depreciation and amortization growth of 21.0% in our cable segment compared to the same quarter in 2003, resulting from our revenue growth and efficiencies achieved through integration of the Broadband operations; and</w:t>
      </w:r>
    </w:p>
    <w:p>
      <w:pPr>
        <w:spacing w:after="0" w:line="145" w:lineRule="exact"/>
        <w:rPr>
          <w:rFonts w:ascii="Arial" w:cs="Arial" w:eastAsia="Arial" w:hAnsi="Arial"/>
          <w:sz w:val="18"/>
          <w:szCs w:val="18"/>
          <w:color w:val="auto"/>
        </w:rPr>
      </w:pPr>
    </w:p>
    <w:p>
      <w:pPr>
        <w:ind w:left="680" w:hanging="405"/>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Refinancing three of our previously existing revolving credit facilities with a new $4.5 billion, five-year revolving bank credit facility.</w:t>
      </w:r>
    </w:p>
    <w:p>
      <w:pPr>
        <w:spacing w:after="0" w:line="200" w:lineRule="exact"/>
        <w:rPr>
          <w:sz w:val="20"/>
          <w:szCs w:val="20"/>
          <w:color w:val="auto"/>
        </w:rPr>
      </w:pPr>
    </w:p>
    <w:p>
      <w:pPr>
        <w:spacing w:after="0" w:line="213" w:lineRule="exact"/>
        <w:rPr>
          <w:sz w:val="20"/>
          <w:szCs w:val="20"/>
          <w:color w:val="auto"/>
        </w:rPr>
      </w:pPr>
    </w:p>
    <w:p>
      <w:pPr>
        <w:ind w:right="720" w:firstLine="378"/>
        <w:spacing w:after="0" w:line="261" w:lineRule="auto"/>
        <w:rPr>
          <w:sz w:val="20"/>
          <w:szCs w:val="20"/>
          <w:color w:val="auto"/>
        </w:rPr>
      </w:pPr>
      <w:r>
        <w:rPr>
          <w:rFonts w:ascii="Arial" w:cs="Arial" w:eastAsia="Arial" w:hAnsi="Arial"/>
          <w:sz w:val="19"/>
          <w:szCs w:val="19"/>
          <w:color w:val="auto"/>
        </w:rPr>
        <w:t>The following provides the details of these highlights and insights into our financial statements, including discussions of our results of operations and our liquidity and capital resources.</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Business Developments</w:t>
      </w:r>
    </w:p>
    <w:p>
      <w:pPr>
        <w:spacing w:after="0" w:line="193" w:lineRule="exact"/>
        <w:rPr>
          <w:sz w:val="20"/>
          <w:szCs w:val="20"/>
          <w:color w:val="auto"/>
        </w:rPr>
      </w:pPr>
    </w:p>
    <w:p>
      <w:pPr>
        <w:ind w:left="380"/>
        <w:spacing w:after="0"/>
        <w:rPr>
          <w:rFonts w:ascii="Arial" w:cs="Arial" w:eastAsia="Arial" w:hAnsi="Arial"/>
          <w:sz w:val="19"/>
          <w:szCs w:val="19"/>
          <w:color w:val="auto"/>
        </w:rPr>
      </w:pPr>
      <w:r>
        <w:rPr>
          <w:rFonts w:ascii="Arial" w:cs="Arial" w:eastAsia="Arial" w:hAnsi="Arial"/>
          <w:sz w:val="19"/>
          <w:szCs w:val="19"/>
          <w:color w:val="auto"/>
        </w:rPr>
        <w:t xml:space="preserve">Refer to </w:t>
      </w:r>
      <w:hyperlink w:anchor="page6">
        <w:r>
          <w:rPr>
            <w:rFonts w:ascii="Arial" w:cs="Arial" w:eastAsia="Arial" w:hAnsi="Arial"/>
            <w:sz w:val="19"/>
            <w:szCs w:val="19"/>
            <w:u w:val="single" w:color="auto"/>
            <w:color w:val="0000EE"/>
          </w:rPr>
          <w:t>Note 4</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to our financial statements included in Item 1 for a discussion of our acquisitions and other significant events.</w:t>
      </w:r>
    </w:p>
    <w:p>
      <w:pPr>
        <w:sectPr>
          <w:pgSz w:w="11900" w:h="16866" w:orient="portrait"/>
          <w:cols w:equalWidth="0" w:num="1">
            <w:col w:w="11340"/>
          </w:cols>
          <w:pgMar w:left="240" w:top="224" w:right="319" w:bottom="0" w:gutter="0" w:footer="0" w:header="0"/>
        </w:sectPr>
      </w:pPr>
    </w:p>
    <w:bookmarkStart w:id="20" w:name="page21"/>
    <w:bookmarkEnd w:id="20"/>
    <w:p>
      <w:pPr>
        <w:ind w:left="380"/>
        <w:spacing w:after="0"/>
        <w:rPr>
          <w:sz w:val="20"/>
          <w:szCs w:val="20"/>
          <w:color w:val="auto"/>
        </w:rPr>
      </w:pPr>
      <w:r>
        <w:rPr>
          <w:rFonts w:ascii="Arial" w:cs="Arial" w:eastAsia="Arial" w:hAnsi="Arial"/>
          <w:sz w:val="19"/>
          <w:szCs w:val="19"/>
          <w:color w:val="auto"/>
        </w:rPr>
        <w:t>On April 28, 2004, we announced the withdrawal of our proposal to merge with The Walt Disney Company.</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Continuing Operations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Revenues</w:t>
      </w:r>
    </w:p>
    <w:p>
      <w:pPr>
        <w:spacing w:after="0" w:line="187" w:lineRule="exact"/>
        <w:rPr>
          <w:sz w:val="20"/>
          <w:szCs w:val="20"/>
          <w:color w:val="auto"/>
        </w:rPr>
      </w:pPr>
    </w:p>
    <w:p>
      <w:pPr>
        <w:ind w:right="40" w:firstLine="382"/>
        <w:spacing w:after="0" w:line="244" w:lineRule="auto"/>
        <w:rPr>
          <w:sz w:val="20"/>
          <w:szCs w:val="20"/>
          <w:color w:val="auto"/>
        </w:rPr>
      </w:pPr>
      <w:r>
        <w:rPr>
          <w:rFonts w:ascii="Arial" w:cs="Arial" w:eastAsia="Arial" w:hAnsi="Arial"/>
          <w:sz w:val="19"/>
          <w:szCs w:val="19"/>
          <w:color w:val="auto"/>
        </w:rPr>
        <w:t>Consolidated revenues for the first quarter of 2004 increased $442 million from the same quarter in 2003. Of this increase, $415 million relates to our cable segment, which is discussed separately below. The remaining increase is primarily the result of our content segment, which achieved combined revenue growth of 21.7% during the first quarter of 2004 compared to the same quarter in 2003. This increase in our content segment was the result of increases in distribution revenue and advertising revenue.</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Operating, selling, general and administrative expenses</w:t>
      </w:r>
    </w:p>
    <w:p>
      <w:pPr>
        <w:spacing w:after="0" w:line="187" w:lineRule="exact"/>
        <w:rPr>
          <w:sz w:val="20"/>
          <w:szCs w:val="20"/>
          <w:color w:val="auto"/>
        </w:rPr>
      </w:pPr>
    </w:p>
    <w:p>
      <w:pPr>
        <w:ind w:right="100" w:firstLine="382"/>
        <w:spacing w:after="0" w:line="248" w:lineRule="auto"/>
        <w:rPr>
          <w:sz w:val="20"/>
          <w:szCs w:val="20"/>
          <w:color w:val="auto"/>
        </w:rPr>
      </w:pPr>
      <w:r>
        <w:rPr>
          <w:rFonts w:ascii="Arial" w:cs="Arial" w:eastAsia="Arial" w:hAnsi="Arial"/>
          <w:sz w:val="19"/>
          <w:szCs w:val="19"/>
          <w:color w:val="auto"/>
        </w:rPr>
        <w:t>Consolidated operating, selling, general and administrative expenses for the first quarter of 2004 increased $137 million from the same quarter in 2003. Of this increase, $117 million relates to our cable segment, which is discussed separately below. The remaining increase is primarily the result of increases in corporate expenses.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Depreciation</w:t>
      </w:r>
    </w:p>
    <w:p>
      <w:pPr>
        <w:spacing w:after="0" w:line="187" w:lineRule="exact"/>
        <w:rPr>
          <w:sz w:val="20"/>
          <w:szCs w:val="20"/>
          <w:color w:val="auto"/>
        </w:rPr>
      </w:pPr>
    </w:p>
    <w:p>
      <w:pPr>
        <w:ind w:right="360" w:firstLine="382"/>
        <w:spacing w:after="0" w:line="320" w:lineRule="auto"/>
        <w:rPr>
          <w:sz w:val="20"/>
          <w:szCs w:val="20"/>
          <w:color w:val="auto"/>
        </w:rPr>
      </w:pPr>
      <w:r>
        <w:rPr>
          <w:rFonts w:ascii="Arial" w:cs="Arial" w:eastAsia="Arial" w:hAnsi="Arial"/>
          <w:sz w:val="17"/>
          <w:szCs w:val="17"/>
          <w:color w:val="auto"/>
        </w:rPr>
        <w:t>Depreciation expense increased $18 million for the first quarter of 2004 compared to the same quarter in 2003 and the increase is primarily attributable to our cable segment. This increase is principally due to our recent capital expenditures as we complete our upgrade program.</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Amortization</w:t>
      </w:r>
    </w:p>
    <w:p>
      <w:pPr>
        <w:spacing w:after="0" w:line="187" w:lineRule="exact"/>
        <w:rPr>
          <w:sz w:val="20"/>
          <w:szCs w:val="20"/>
          <w:color w:val="auto"/>
        </w:rPr>
      </w:pPr>
    </w:p>
    <w:p>
      <w:pPr>
        <w:ind w:firstLine="419"/>
        <w:spacing w:after="0" w:line="244" w:lineRule="auto"/>
        <w:rPr>
          <w:sz w:val="20"/>
          <w:szCs w:val="20"/>
          <w:color w:val="auto"/>
        </w:rPr>
      </w:pPr>
      <w:r>
        <w:rPr>
          <w:rFonts w:ascii="Arial" w:cs="Arial" w:eastAsia="Arial" w:hAnsi="Arial"/>
          <w:sz w:val="19"/>
          <w:szCs w:val="19"/>
          <w:color w:val="auto"/>
        </w:rPr>
        <w:t>Amortization expense decreased $78 million for the first quarter of 2004 compared to the same quarter in 2003 and the decrease is primarily attributable to our cable segment and is principally due to a decrease in the amortization of our franchise related customer relationship intangible assets. In the fourth quarter of 2003, we reduced the value of these intangible assets as a result of obtaining updated valuation reports, which resulted in lower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311150</wp:posOffset>
            </wp:positionV>
            <wp:extent cx="182499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249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27773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FORM 10-Q</w:t>
      </w:r>
    </w:p>
    <w:p>
      <w:pPr>
        <w:jc w:val="center"/>
        <w:ind w:right="-59"/>
        <w:spacing w:after="0"/>
        <w:rPr>
          <w:sz w:val="20"/>
          <w:szCs w:val="20"/>
          <w:color w:val="auto"/>
        </w:rPr>
      </w:pPr>
      <w:r>
        <w:rPr>
          <w:rFonts w:ascii="Arial" w:cs="Arial" w:eastAsia="Arial" w:hAnsi="Arial"/>
          <w:sz w:val="19"/>
          <w:szCs w:val="19"/>
          <w:color w:val="auto"/>
        </w:rPr>
        <w:t>QUARTER ENDED MARCH 31, 2004</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Cable Segment Operating Results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following table presents our cable segment operating results (dollars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60" w:type="dxa"/>
            <w:vAlign w:val="bottom"/>
          </w:tcPr>
          <w:p>
            <w:pPr>
              <w:spacing w:after="0"/>
              <w:rPr>
                <w:sz w:val="19"/>
                <w:szCs w:val="19"/>
                <w:color w:val="auto"/>
              </w:rPr>
            </w:pPr>
          </w:p>
        </w:tc>
        <w:tc>
          <w:tcPr>
            <w:tcW w:w="1860" w:type="dxa"/>
            <w:vAlign w:val="bottom"/>
            <w:gridSpan w:val="4"/>
          </w:tcPr>
          <w:p>
            <w:pPr>
              <w:jc w:val="center"/>
              <w:ind w:right="40"/>
              <w:spacing w:after="0"/>
              <w:rPr>
                <w:sz w:val="20"/>
                <w:szCs w:val="20"/>
                <w:color w:val="auto"/>
              </w:rPr>
            </w:pPr>
            <w:r>
              <w:rPr>
                <w:rFonts w:ascii="Arial" w:cs="Arial" w:eastAsia="Arial" w:hAnsi="Arial"/>
                <w:sz w:val="19"/>
                <w:szCs w:val="19"/>
                <w:color w:val="auto"/>
                <w:w w:val="91"/>
              </w:rPr>
              <w:t>Three Months Ended</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2"/>
        </w:trPr>
        <w:tc>
          <w:tcPr>
            <w:tcW w:w="5260" w:type="dxa"/>
            <w:vAlign w:val="bottom"/>
          </w:tcPr>
          <w:p>
            <w:pPr>
              <w:spacing w:after="0"/>
              <w:rPr>
                <w:sz w:val="21"/>
                <w:szCs w:val="21"/>
                <w:color w:val="auto"/>
              </w:rPr>
            </w:pPr>
          </w:p>
        </w:tc>
        <w:tc>
          <w:tcPr>
            <w:tcW w:w="1860" w:type="dxa"/>
            <w:vAlign w:val="bottom"/>
            <w:gridSpan w:val="4"/>
          </w:tcPr>
          <w:p>
            <w:pPr>
              <w:jc w:val="center"/>
              <w:ind w:right="40"/>
              <w:spacing w:after="0"/>
              <w:rPr>
                <w:sz w:val="20"/>
                <w:szCs w:val="20"/>
                <w:color w:val="auto"/>
              </w:rPr>
            </w:pPr>
            <w:r>
              <w:rPr>
                <w:rFonts w:ascii="Arial" w:cs="Arial" w:eastAsia="Arial" w:hAnsi="Arial"/>
                <w:sz w:val="19"/>
                <w:szCs w:val="19"/>
                <w:color w:val="auto"/>
                <w:w w:val="92"/>
              </w:rPr>
              <w:t>March 31,</w:t>
            </w:r>
          </w:p>
        </w:tc>
        <w:tc>
          <w:tcPr>
            <w:tcW w:w="1900" w:type="dxa"/>
            <w:vAlign w:val="bottom"/>
            <w:gridSpan w:val="4"/>
          </w:tcPr>
          <w:p>
            <w:pPr>
              <w:jc w:val="right"/>
              <w:ind w:right="280"/>
              <w:spacing w:after="0"/>
              <w:rPr>
                <w:sz w:val="20"/>
                <w:szCs w:val="20"/>
                <w:color w:val="auto"/>
              </w:rPr>
            </w:pPr>
            <w:r>
              <w:rPr>
                <w:rFonts w:ascii="Arial" w:cs="Arial" w:eastAsia="Arial" w:hAnsi="Arial"/>
                <w:sz w:val="19"/>
                <w:szCs w:val="19"/>
                <w:color w:val="auto"/>
                <w:w w:val="92"/>
              </w:rPr>
              <w:t>Increase/(Decrease)</w:t>
            </w:r>
          </w:p>
        </w:tc>
      </w:tr>
      <w:tr>
        <w:trPr>
          <w:trHeight w:val="87"/>
        </w:trPr>
        <w:tc>
          <w:tcPr>
            <w:tcW w:w="526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r>
      <w:tr>
        <w:trPr>
          <w:trHeight w:val="310"/>
        </w:trPr>
        <w:tc>
          <w:tcPr>
            <w:tcW w:w="5260" w:type="dxa"/>
            <w:vAlign w:val="bottom"/>
          </w:tcPr>
          <w:p>
            <w:pPr>
              <w:spacing w:after="0"/>
              <w:rPr>
                <w:sz w:val="24"/>
                <w:szCs w:val="24"/>
                <w:color w:val="auto"/>
              </w:rPr>
            </w:pPr>
          </w:p>
        </w:tc>
        <w:tc>
          <w:tcPr>
            <w:tcW w:w="880" w:type="dxa"/>
            <w:vAlign w:val="bottom"/>
          </w:tcPr>
          <w:p>
            <w:pPr>
              <w:jc w:val="right"/>
              <w:ind w:right="145"/>
              <w:spacing w:after="0"/>
              <w:rPr>
                <w:sz w:val="20"/>
                <w:szCs w:val="20"/>
                <w:color w:val="auto"/>
              </w:rPr>
            </w:pPr>
            <w:r>
              <w:rPr>
                <w:rFonts w:ascii="Arial" w:cs="Arial" w:eastAsia="Arial" w:hAnsi="Arial"/>
                <w:sz w:val="19"/>
                <w:szCs w:val="19"/>
                <w:color w:val="auto"/>
              </w:rPr>
              <w:t>2004</w:t>
            </w:r>
          </w:p>
        </w:tc>
        <w:tc>
          <w:tcPr>
            <w:tcW w:w="60" w:type="dxa"/>
            <w:vAlign w:val="bottom"/>
          </w:tcPr>
          <w:p>
            <w:pPr>
              <w:spacing w:after="0"/>
              <w:rPr>
                <w:sz w:val="24"/>
                <w:szCs w:val="24"/>
                <w:color w:val="auto"/>
              </w:rPr>
            </w:pPr>
          </w:p>
        </w:tc>
        <w:tc>
          <w:tcPr>
            <w:tcW w:w="880" w:type="dxa"/>
            <w:vAlign w:val="bottom"/>
          </w:tcPr>
          <w:p>
            <w:pPr>
              <w:jc w:val="right"/>
              <w:ind w:right="165"/>
              <w:spacing w:after="0"/>
              <w:rPr>
                <w:sz w:val="20"/>
                <w:szCs w:val="20"/>
                <w:color w:val="auto"/>
              </w:rPr>
            </w:pPr>
            <w:r>
              <w:rPr>
                <w:rFonts w:ascii="Arial" w:cs="Arial" w:eastAsia="Arial" w:hAnsi="Arial"/>
                <w:sz w:val="19"/>
                <w:szCs w:val="19"/>
                <w:color w:val="auto"/>
              </w:rPr>
              <w:t>2003</w:t>
            </w:r>
          </w:p>
        </w:tc>
        <w:tc>
          <w:tcPr>
            <w:tcW w:w="40" w:type="dxa"/>
            <w:vAlign w:val="bottom"/>
          </w:tcPr>
          <w:p>
            <w:pPr>
              <w:spacing w:after="0"/>
              <w:rPr>
                <w:sz w:val="24"/>
                <w:szCs w:val="24"/>
                <w:color w:val="auto"/>
              </w:rPr>
            </w:pPr>
          </w:p>
        </w:tc>
        <w:tc>
          <w:tcPr>
            <w:tcW w:w="76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4"/>
                <w:szCs w:val="24"/>
                <w:color w:val="auto"/>
              </w:rPr>
            </w:pPr>
          </w:p>
        </w:tc>
        <w:tc>
          <w:tcPr>
            <w:tcW w:w="86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r>
      <w:tr>
        <w:trPr>
          <w:trHeight w:val="87"/>
        </w:trPr>
        <w:tc>
          <w:tcPr>
            <w:tcW w:w="526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r>
      <w:tr>
        <w:trPr>
          <w:trHeight w:val="283"/>
        </w:trPr>
        <w:tc>
          <w:tcPr>
            <w:tcW w:w="5260" w:type="dxa"/>
            <w:vAlign w:val="bottom"/>
          </w:tcPr>
          <w:p>
            <w:pPr>
              <w:spacing w:after="0"/>
              <w:rPr>
                <w:sz w:val="20"/>
                <w:szCs w:val="20"/>
                <w:color w:val="auto"/>
              </w:rPr>
            </w:pPr>
            <w:r>
              <w:rPr>
                <w:rFonts w:ascii="Arial" w:cs="Arial" w:eastAsia="Arial" w:hAnsi="Arial"/>
                <w:sz w:val="19"/>
                <w:szCs w:val="19"/>
                <w:color w:val="auto"/>
              </w:rPr>
              <w:t>Video</w:t>
            </w:r>
          </w:p>
        </w:tc>
        <w:tc>
          <w:tcPr>
            <w:tcW w:w="880" w:type="dxa"/>
            <w:vAlign w:val="bottom"/>
          </w:tcPr>
          <w:p>
            <w:pPr>
              <w:jc w:val="right"/>
              <w:spacing w:after="0"/>
              <w:rPr>
                <w:sz w:val="20"/>
                <w:szCs w:val="20"/>
                <w:color w:val="auto"/>
              </w:rPr>
            </w:pPr>
            <w:r>
              <w:rPr>
                <w:rFonts w:ascii="Arial" w:cs="Arial" w:eastAsia="Arial" w:hAnsi="Arial"/>
                <w:sz w:val="19"/>
                <w:szCs w:val="19"/>
                <w:color w:val="auto"/>
              </w:rPr>
              <w:t>$3,181</w:t>
            </w:r>
          </w:p>
        </w:tc>
        <w:tc>
          <w:tcPr>
            <w:tcW w:w="6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9"/>
                <w:szCs w:val="19"/>
                <w:color w:val="auto"/>
              </w:rPr>
              <w:t>$2,982</w:t>
            </w: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$199</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6.7%</w:t>
            </w:r>
          </w:p>
        </w:tc>
      </w:tr>
      <w:tr>
        <w:trPr>
          <w:trHeight w:val="215"/>
        </w:trPr>
        <w:tc>
          <w:tcPr>
            <w:tcW w:w="5260" w:type="dxa"/>
            <w:vAlign w:val="bottom"/>
          </w:tcPr>
          <w:p>
            <w:pPr>
              <w:spacing w:after="0" w:line="214" w:lineRule="exact"/>
              <w:rPr>
                <w:sz w:val="20"/>
                <w:szCs w:val="20"/>
                <w:color w:val="auto"/>
              </w:rPr>
            </w:pPr>
            <w:r>
              <w:rPr>
                <w:rFonts w:ascii="Arial" w:cs="Arial" w:eastAsia="Arial" w:hAnsi="Arial"/>
                <w:sz w:val="19"/>
                <w:szCs w:val="19"/>
                <w:color w:val="auto"/>
              </w:rPr>
              <w:t>High-speed Internet</w:t>
            </w:r>
          </w:p>
        </w:tc>
        <w:tc>
          <w:tcPr>
            <w:tcW w:w="880" w:type="dxa"/>
            <w:vAlign w:val="bottom"/>
          </w:tcPr>
          <w:p>
            <w:pPr>
              <w:jc w:val="right"/>
              <w:spacing w:after="0" w:line="214" w:lineRule="exact"/>
              <w:rPr>
                <w:sz w:val="20"/>
                <w:szCs w:val="20"/>
                <w:color w:val="auto"/>
              </w:rPr>
            </w:pPr>
            <w:r>
              <w:rPr>
                <w:rFonts w:ascii="Arial" w:cs="Arial" w:eastAsia="Arial" w:hAnsi="Arial"/>
                <w:sz w:val="19"/>
                <w:szCs w:val="19"/>
                <w:color w:val="auto"/>
              </w:rPr>
              <w:t>698</w:t>
            </w:r>
          </w:p>
        </w:tc>
        <w:tc>
          <w:tcPr>
            <w:tcW w:w="60" w:type="dxa"/>
            <w:vAlign w:val="bottom"/>
          </w:tcPr>
          <w:p>
            <w:pPr>
              <w:spacing w:after="0"/>
              <w:rPr>
                <w:sz w:val="18"/>
                <w:szCs w:val="18"/>
                <w:color w:val="auto"/>
              </w:rPr>
            </w:pPr>
          </w:p>
        </w:tc>
        <w:tc>
          <w:tcPr>
            <w:tcW w:w="920" w:type="dxa"/>
            <w:vAlign w:val="bottom"/>
            <w:gridSpan w:val="2"/>
          </w:tcPr>
          <w:p>
            <w:pPr>
              <w:jc w:val="right"/>
              <w:ind w:right="40"/>
              <w:spacing w:after="0" w:line="214" w:lineRule="exact"/>
              <w:rPr>
                <w:sz w:val="20"/>
                <w:szCs w:val="20"/>
                <w:color w:val="auto"/>
              </w:rPr>
            </w:pPr>
            <w:r>
              <w:rPr>
                <w:rFonts w:ascii="Arial" w:cs="Arial" w:eastAsia="Arial" w:hAnsi="Arial"/>
                <w:sz w:val="19"/>
                <w:szCs w:val="19"/>
                <w:color w:val="auto"/>
              </w:rPr>
              <w:t>492</w:t>
            </w:r>
          </w:p>
        </w:tc>
        <w:tc>
          <w:tcPr>
            <w:tcW w:w="88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206</w:t>
            </w:r>
          </w:p>
        </w:tc>
        <w:tc>
          <w:tcPr>
            <w:tcW w:w="102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41.9</w:t>
            </w:r>
          </w:p>
        </w:tc>
      </w:tr>
      <w:tr>
        <w:trPr>
          <w:trHeight w:val="215"/>
        </w:trPr>
        <w:tc>
          <w:tcPr>
            <w:tcW w:w="5260" w:type="dxa"/>
            <w:vAlign w:val="bottom"/>
          </w:tcPr>
          <w:p>
            <w:pPr>
              <w:spacing w:after="0" w:line="214" w:lineRule="exact"/>
              <w:rPr>
                <w:sz w:val="20"/>
                <w:szCs w:val="20"/>
                <w:color w:val="auto"/>
              </w:rPr>
            </w:pPr>
            <w:r>
              <w:rPr>
                <w:rFonts w:ascii="Arial" w:cs="Arial" w:eastAsia="Arial" w:hAnsi="Arial"/>
                <w:sz w:val="19"/>
                <w:szCs w:val="19"/>
                <w:color w:val="auto"/>
              </w:rPr>
              <w:t>Phone</w:t>
            </w:r>
          </w:p>
        </w:tc>
        <w:tc>
          <w:tcPr>
            <w:tcW w:w="880" w:type="dxa"/>
            <w:vAlign w:val="bottom"/>
          </w:tcPr>
          <w:p>
            <w:pPr>
              <w:jc w:val="right"/>
              <w:spacing w:after="0" w:line="214" w:lineRule="exact"/>
              <w:rPr>
                <w:sz w:val="20"/>
                <w:szCs w:val="20"/>
                <w:color w:val="auto"/>
              </w:rPr>
            </w:pPr>
            <w:r>
              <w:rPr>
                <w:rFonts w:ascii="Arial" w:cs="Arial" w:eastAsia="Arial" w:hAnsi="Arial"/>
                <w:sz w:val="19"/>
                <w:szCs w:val="19"/>
                <w:color w:val="auto"/>
              </w:rPr>
              <w:t>178</w:t>
            </w:r>
          </w:p>
        </w:tc>
        <w:tc>
          <w:tcPr>
            <w:tcW w:w="60" w:type="dxa"/>
            <w:vAlign w:val="bottom"/>
          </w:tcPr>
          <w:p>
            <w:pPr>
              <w:spacing w:after="0"/>
              <w:rPr>
                <w:sz w:val="18"/>
                <w:szCs w:val="18"/>
                <w:color w:val="auto"/>
              </w:rPr>
            </w:pPr>
          </w:p>
        </w:tc>
        <w:tc>
          <w:tcPr>
            <w:tcW w:w="920" w:type="dxa"/>
            <w:vAlign w:val="bottom"/>
            <w:gridSpan w:val="2"/>
          </w:tcPr>
          <w:p>
            <w:pPr>
              <w:jc w:val="right"/>
              <w:ind w:right="40"/>
              <w:spacing w:after="0" w:line="214" w:lineRule="exact"/>
              <w:rPr>
                <w:sz w:val="20"/>
                <w:szCs w:val="20"/>
                <w:color w:val="auto"/>
              </w:rPr>
            </w:pPr>
            <w:r>
              <w:rPr>
                <w:rFonts w:ascii="Arial" w:cs="Arial" w:eastAsia="Arial" w:hAnsi="Arial"/>
                <w:sz w:val="19"/>
                <w:szCs w:val="19"/>
                <w:color w:val="auto"/>
              </w:rPr>
              <w:t>224</w:t>
            </w:r>
          </w:p>
        </w:tc>
        <w:tc>
          <w:tcPr>
            <w:tcW w:w="88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(46)</w:t>
            </w:r>
          </w:p>
        </w:tc>
        <w:tc>
          <w:tcPr>
            <w:tcW w:w="1020" w:type="dxa"/>
            <w:vAlign w:val="bottom"/>
            <w:gridSpan w:val="2"/>
          </w:tcPr>
          <w:p>
            <w:pPr>
              <w:jc w:val="right"/>
              <w:ind w:right="100"/>
              <w:spacing w:after="0" w:line="214" w:lineRule="exact"/>
              <w:rPr>
                <w:sz w:val="20"/>
                <w:szCs w:val="20"/>
                <w:color w:val="auto"/>
              </w:rPr>
            </w:pPr>
            <w:r>
              <w:rPr>
                <w:rFonts w:ascii="Arial" w:cs="Arial" w:eastAsia="Arial" w:hAnsi="Arial"/>
                <w:sz w:val="19"/>
                <w:szCs w:val="19"/>
                <w:color w:val="auto"/>
              </w:rPr>
              <w:t>(20.3)</w:t>
            </w:r>
          </w:p>
        </w:tc>
      </w:tr>
      <w:tr>
        <w:trPr>
          <w:trHeight w:val="215"/>
        </w:trPr>
        <w:tc>
          <w:tcPr>
            <w:tcW w:w="5260" w:type="dxa"/>
            <w:vAlign w:val="bottom"/>
          </w:tcPr>
          <w:p>
            <w:pPr>
              <w:spacing w:after="0" w:line="214" w:lineRule="exact"/>
              <w:rPr>
                <w:sz w:val="20"/>
                <w:szCs w:val="20"/>
                <w:color w:val="auto"/>
              </w:rPr>
            </w:pPr>
            <w:r>
              <w:rPr>
                <w:rFonts w:ascii="Arial" w:cs="Arial" w:eastAsia="Arial" w:hAnsi="Arial"/>
                <w:sz w:val="19"/>
                <w:szCs w:val="19"/>
                <w:color w:val="auto"/>
              </w:rPr>
              <w:t>Advertising sales</w:t>
            </w:r>
          </w:p>
        </w:tc>
        <w:tc>
          <w:tcPr>
            <w:tcW w:w="880" w:type="dxa"/>
            <w:vAlign w:val="bottom"/>
          </w:tcPr>
          <w:p>
            <w:pPr>
              <w:jc w:val="right"/>
              <w:spacing w:after="0" w:line="214" w:lineRule="exact"/>
              <w:rPr>
                <w:sz w:val="20"/>
                <w:szCs w:val="20"/>
                <w:color w:val="auto"/>
              </w:rPr>
            </w:pPr>
            <w:r>
              <w:rPr>
                <w:rFonts w:ascii="Arial" w:cs="Arial" w:eastAsia="Arial" w:hAnsi="Arial"/>
                <w:sz w:val="19"/>
                <w:szCs w:val="19"/>
                <w:color w:val="auto"/>
              </w:rPr>
              <w:t>269</w:t>
            </w:r>
          </w:p>
        </w:tc>
        <w:tc>
          <w:tcPr>
            <w:tcW w:w="60" w:type="dxa"/>
            <w:vAlign w:val="bottom"/>
          </w:tcPr>
          <w:p>
            <w:pPr>
              <w:spacing w:after="0"/>
              <w:rPr>
                <w:sz w:val="18"/>
                <w:szCs w:val="18"/>
                <w:color w:val="auto"/>
              </w:rPr>
            </w:pPr>
          </w:p>
        </w:tc>
        <w:tc>
          <w:tcPr>
            <w:tcW w:w="920" w:type="dxa"/>
            <w:vAlign w:val="bottom"/>
            <w:gridSpan w:val="2"/>
          </w:tcPr>
          <w:p>
            <w:pPr>
              <w:jc w:val="right"/>
              <w:ind w:right="40"/>
              <w:spacing w:after="0" w:line="214" w:lineRule="exact"/>
              <w:rPr>
                <w:sz w:val="20"/>
                <w:szCs w:val="20"/>
                <w:color w:val="auto"/>
              </w:rPr>
            </w:pPr>
            <w:r>
              <w:rPr>
                <w:rFonts w:ascii="Arial" w:cs="Arial" w:eastAsia="Arial" w:hAnsi="Arial"/>
                <w:sz w:val="19"/>
                <w:szCs w:val="19"/>
                <w:color w:val="auto"/>
              </w:rPr>
              <w:t>236</w:t>
            </w:r>
          </w:p>
        </w:tc>
        <w:tc>
          <w:tcPr>
            <w:tcW w:w="88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33</w:t>
            </w:r>
          </w:p>
        </w:tc>
        <w:tc>
          <w:tcPr>
            <w:tcW w:w="102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14.0</w:t>
            </w:r>
          </w:p>
        </w:tc>
      </w:tr>
      <w:tr>
        <w:trPr>
          <w:trHeight w:val="215"/>
        </w:trPr>
        <w:tc>
          <w:tcPr>
            <w:tcW w:w="5260" w:type="dxa"/>
            <w:vAlign w:val="bottom"/>
          </w:tcPr>
          <w:p>
            <w:pPr>
              <w:spacing w:after="0" w:line="214" w:lineRule="exact"/>
              <w:rPr>
                <w:sz w:val="20"/>
                <w:szCs w:val="20"/>
                <w:color w:val="auto"/>
              </w:rPr>
            </w:pPr>
            <w:r>
              <w:rPr>
                <w:rFonts w:ascii="Arial" w:cs="Arial" w:eastAsia="Arial" w:hAnsi="Arial"/>
                <w:sz w:val="19"/>
                <w:szCs w:val="19"/>
                <w:color w:val="auto"/>
              </w:rPr>
              <w:t>Other</w:t>
            </w:r>
          </w:p>
        </w:tc>
        <w:tc>
          <w:tcPr>
            <w:tcW w:w="880" w:type="dxa"/>
            <w:vAlign w:val="bottom"/>
          </w:tcPr>
          <w:p>
            <w:pPr>
              <w:jc w:val="right"/>
              <w:spacing w:after="0" w:line="214" w:lineRule="exact"/>
              <w:rPr>
                <w:sz w:val="20"/>
                <w:szCs w:val="20"/>
                <w:color w:val="auto"/>
              </w:rPr>
            </w:pPr>
            <w:r>
              <w:rPr>
                <w:rFonts w:ascii="Arial" w:cs="Arial" w:eastAsia="Arial" w:hAnsi="Arial"/>
                <w:sz w:val="19"/>
                <w:szCs w:val="19"/>
                <w:color w:val="auto"/>
              </w:rPr>
              <w:t>162</w:t>
            </w:r>
          </w:p>
        </w:tc>
        <w:tc>
          <w:tcPr>
            <w:tcW w:w="60" w:type="dxa"/>
            <w:vAlign w:val="bottom"/>
          </w:tcPr>
          <w:p>
            <w:pPr>
              <w:spacing w:after="0"/>
              <w:rPr>
                <w:sz w:val="18"/>
                <w:szCs w:val="18"/>
                <w:color w:val="auto"/>
              </w:rPr>
            </w:pPr>
          </w:p>
        </w:tc>
        <w:tc>
          <w:tcPr>
            <w:tcW w:w="920" w:type="dxa"/>
            <w:vAlign w:val="bottom"/>
            <w:gridSpan w:val="2"/>
          </w:tcPr>
          <w:p>
            <w:pPr>
              <w:jc w:val="right"/>
              <w:ind w:right="40"/>
              <w:spacing w:after="0" w:line="214" w:lineRule="exact"/>
              <w:rPr>
                <w:sz w:val="20"/>
                <w:szCs w:val="20"/>
                <w:color w:val="auto"/>
              </w:rPr>
            </w:pPr>
            <w:r>
              <w:rPr>
                <w:rFonts w:ascii="Arial" w:cs="Arial" w:eastAsia="Arial" w:hAnsi="Arial"/>
                <w:sz w:val="19"/>
                <w:szCs w:val="19"/>
                <w:color w:val="auto"/>
              </w:rPr>
              <w:t>147</w:t>
            </w:r>
          </w:p>
        </w:tc>
        <w:tc>
          <w:tcPr>
            <w:tcW w:w="880" w:type="dxa"/>
            <w:vAlign w:val="bottom"/>
            <w:gridSpan w:val="2"/>
          </w:tcPr>
          <w:p>
            <w:pPr>
              <w:jc w:val="right"/>
              <w:ind w:right="120"/>
              <w:spacing w:after="0" w:line="214" w:lineRule="exact"/>
              <w:rPr>
                <w:sz w:val="20"/>
                <w:szCs w:val="20"/>
                <w:color w:val="auto"/>
              </w:rPr>
            </w:pPr>
            <w:r>
              <w:rPr>
                <w:rFonts w:ascii="Arial" w:cs="Arial" w:eastAsia="Arial" w:hAnsi="Arial"/>
                <w:sz w:val="19"/>
                <w:szCs w:val="19"/>
                <w:color w:val="auto"/>
              </w:rPr>
              <w:t>15</w:t>
            </w:r>
          </w:p>
        </w:tc>
        <w:tc>
          <w:tcPr>
            <w:tcW w:w="1020" w:type="dxa"/>
            <w:vAlign w:val="bottom"/>
            <w:gridSpan w:val="2"/>
          </w:tcPr>
          <w:p>
            <w:pPr>
              <w:jc w:val="right"/>
              <w:ind w:right="160"/>
              <w:spacing w:after="0" w:line="214" w:lineRule="exact"/>
              <w:rPr>
                <w:sz w:val="20"/>
                <w:szCs w:val="20"/>
                <w:color w:val="auto"/>
              </w:rPr>
            </w:pPr>
            <w:r>
              <w:rPr>
                <w:rFonts w:ascii="Arial" w:cs="Arial" w:eastAsia="Arial" w:hAnsi="Arial"/>
                <w:sz w:val="19"/>
                <w:szCs w:val="19"/>
                <w:color w:val="auto"/>
              </w:rPr>
              <w:t>10.2</w:t>
            </w:r>
          </w:p>
        </w:tc>
      </w:tr>
      <w:tr>
        <w:trPr>
          <w:trHeight w:val="242"/>
        </w:trPr>
        <w:tc>
          <w:tcPr>
            <w:tcW w:w="5260" w:type="dxa"/>
            <w:vAlign w:val="bottom"/>
          </w:tcPr>
          <w:p>
            <w:pPr>
              <w:spacing w:after="0"/>
              <w:rPr>
                <w:sz w:val="20"/>
                <w:szCs w:val="20"/>
                <w:color w:val="auto"/>
              </w:rPr>
            </w:pPr>
            <w:r>
              <w:rPr>
                <w:rFonts w:ascii="Arial" w:cs="Arial" w:eastAsia="Arial" w:hAnsi="Arial"/>
                <w:sz w:val="19"/>
                <w:szCs w:val="19"/>
                <w:color w:val="auto"/>
              </w:rPr>
              <w:t>Franchise fees</w:t>
            </w:r>
          </w:p>
        </w:tc>
        <w:tc>
          <w:tcPr>
            <w:tcW w:w="880" w:type="dxa"/>
            <w:vAlign w:val="bottom"/>
          </w:tcPr>
          <w:p>
            <w:pPr>
              <w:jc w:val="right"/>
              <w:spacing w:after="0"/>
              <w:rPr>
                <w:sz w:val="20"/>
                <w:szCs w:val="20"/>
                <w:color w:val="auto"/>
              </w:rPr>
            </w:pPr>
            <w:r>
              <w:rPr>
                <w:rFonts w:ascii="Arial" w:cs="Arial" w:eastAsia="Arial" w:hAnsi="Arial"/>
                <w:sz w:val="19"/>
                <w:szCs w:val="19"/>
                <w:color w:val="auto"/>
              </w:rPr>
              <w:t>159</w:t>
            </w:r>
          </w:p>
        </w:tc>
        <w:tc>
          <w:tcPr>
            <w:tcW w:w="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9"/>
                <w:szCs w:val="19"/>
                <w:color w:val="auto"/>
              </w:rPr>
              <w:t>151</w:t>
            </w: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8</w:t>
            </w: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5.1</w:t>
            </w:r>
          </w:p>
        </w:tc>
      </w:tr>
      <w:tr>
        <w:trPr>
          <w:trHeight w:val="87"/>
        </w:trPr>
        <w:tc>
          <w:tcPr>
            <w:tcW w:w="526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r>
      <w:tr>
        <w:trPr>
          <w:trHeight w:val="283"/>
        </w:trPr>
        <w:tc>
          <w:tcPr>
            <w:tcW w:w="5260" w:type="dxa"/>
            <w:vAlign w:val="bottom"/>
          </w:tcPr>
          <w:p>
            <w:pPr>
              <w:ind w:left="240"/>
              <w:spacing w:after="0"/>
              <w:rPr>
                <w:sz w:val="20"/>
                <w:szCs w:val="20"/>
                <w:color w:val="auto"/>
              </w:rPr>
            </w:pPr>
            <w:r>
              <w:rPr>
                <w:rFonts w:ascii="Arial" w:cs="Arial" w:eastAsia="Arial" w:hAnsi="Arial"/>
                <w:sz w:val="19"/>
                <w:szCs w:val="19"/>
                <w:color w:val="auto"/>
              </w:rPr>
              <w:t>Revenues</w:t>
            </w:r>
          </w:p>
        </w:tc>
        <w:tc>
          <w:tcPr>
            <w:tcW w:w="880" w:type="dxa"/>
            <w:vAlign w:val="bottom"/>
          </w:tcPr>
          <w:p>
            <w:pPr>
              <w:jc w:val="right"/>
              <w:spacing w:after="0"/>
              <w:rPr>
                <w:sz w:val="20"/>
                <w:szCs w:val="20"/>
                <w:color w:val="auto"/>
              </w:rPr>
            </w:pPr>
            <w:r>
              <w:rPr>
                <w:rFonts w:ascii="Arial" w:cs="Arial" w:eastAsia="Arial" w:hAnsi="Arial"/>
                <w:sz w:val="19"/>
                <w:szCs w:val="19"/>
                <w:color w:val="auto"/>
              </w:rPr>
              <w:t>4,647</w:t>
            </w:r>
          </w:p>
        </w:tc>
        <w:tc>
          <w:tcPr>
            <w:tcW w:w="6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9"/>
                <w:szCs w:val="19"/>
                <w:color w:val="auto"/>
              </w:rPr>
              <w:t>4,232</w:t>
            </w: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415</w:t>
            </w: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9.8</w:t>
            </w:r>
          </w:p>
        </w:tc>
      </w:tr>
      <w:tr>
        <w:trPr>
          <w:trHeight w:val="242"/>
        </w:trPr>
        <w:tc>
          <w:tcPr>
            <w:tcW w:w="5260" w:type="dxa"/>
            <w:vAlign w:val="bottom"/>
          </w:tcPr>
          <w:p>
            <w:pPr>
              <w:spacing w:after="0"/>
              <w:rPr>
                <w:sz w:val="20"/>
                <w:szCs w:val="20"/>
                <w:color w:val="auto"/>
              </w:rPr>
            </w:pPr>
            <w:r>
              <w:rPr>
                <w:rFonts w:ascii="Arial" w:cs="Arial" w:eastAsia="Arial" w:hAnsi="Arial"/>
                <w:sz w:val="19"/>
                <w:szCs w:val="19"/>
                <w:color w:val="auto"/>
              </w:rPr>
              <w:t>Other operating, selling, general and administrative expenses</w:t>
            </w:r>
          </w:p>
        </w:tc>
        <w:tc>
          <w:tcPr>
            <w:tcW w:w="880" w:type="dxa"/>
            <w:vAlign w:val="bottom"/>
          </w:tcPr>
          <w:p>
            <w:pPr>
              <w:jc w:val="right"/>
              <w:spacing w:after="0"/>
              <w:rPr>
                <w:sz w:val="20"/>
                <w:szCs w:val="20"/>
                <w:color w:val="auto"/>
              </w:rPr>
            </w:pPr>
            <w:r>
              <w:rPr>
                <w:rFonts w:ascii="Arial" w:cs="Arial" w:eastAsia="Arial" w:hAnsi="Arial"/>
                <w:sz w:val="19"/>
                <w:szCs w:val="19"/>
                <w:color w:val="auto"/>
              </w:rPr>
              <w:t>2,928</w:t>
            </w:r>
          </w:p>
        </w:tc>
        <w:tc>
          <w:tcPr>
            <w:tcW w:w="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9"/>
                <w:szCs w:val="19"/>
                <w:color w:val="auto"/>
              </w:rPr>
              <w:t>2,811</w:t>
            </w: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117</w:t>
            </w: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4.2</w:t>
            </w:r>
          </w:p>
        </w:tc>
      </w:tr>
      <w:tr>
        <w:trPr>
          <w:trHeight w:val="87"/>
        </w:trPr>
        <w:tc>
          <w:tcPr>
            <w:tcW w:w="526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r>
      <w:tr>
        <w:trPr>
          <w:trHeight w:val="310"/>
        </w:trPr>
        <w:tc>
          <w:tcPr>
            <w:tcW w:w="5260" w:type="dxa"/>
            <w:vAlign w:val="bottom"/>
          </w:tcPr>
          <w:p>
            <w:pPr>
              <w:spacing w:after="0"/>
              <w:rPr>
                <w:sz w:val="20"/>
                <w:szCs w:val="20"/>
                <w:color w:val="auto"/>
              </w:rPr>
            </w:pPr>
            <w:r>
              <w:rPr>
                <w:rFonts w:ascii="Arial" w:cs="Arial" w:eastAsia="Arial" w:hAnsi="Arial"/>
                <w:sz w:val="19"/>
                <w:szCs w:val="19"/>
                <w:color w:val="auto"/>
              </w:rPr>
              <w:t>Operating income before depreciation and amortization (a)</w:t>
            </w:r>
          </w:p>
        </w:tc>
        <w:tc>
          <w:tcPr>
            <w:tcW w:w="880" w:type="dxa"/>
            <w:vAlign w:val="bottom"/>
          </w:tcPr>
          <w:p>
            <w:pPr>
              <w:jc w:val="right"/>
              <w:spacing w:after="0"/>
              <w:rPr>
                <w:sz w:val="20"/>
                <w:szCs w:val="20"/>
                <w:color w:val="auto"/>
              </w:rPr>
            </w:pPr>
            <w:r>
              <w:rPr>
                <w:rFonts w:ascii="Arial" w:cs="Arial" w:eastAsia="Arial" w:hAnsi="Arial"/>
                <w:sz w:val="19"/>
                <w:szCs w:val="19"/>
                <w:color w:val="auto"/>
              </w:rPr>
              <w:t>$1,719</w:t>
            </w:r>
          </w:p>
        </w:tc>
        <w:tc>
          <w:tcPr>
            <w:tcW w:w="6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9"/>
                <w:szCs w:val="19"/>
                <w:color w:val="auto"/>
              </w:rPr>
              <w:t>$1,421</w:t>
            </w: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$298</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21.0%</w:t>
            </w:r>
          </w:p>
        </w:tc>
      </w:tr>
      <w:tr>
        <w:trPr>
          <w:trHeight w:val="95"/>
        </w:trPr>
        <w:tc>
          <w:tcPr>
            <w:tcW w:w="52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-13335</wp:posOffset>
            </wp:positionV>
            <wp:extent cx="1270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3342005</wp:posOffset>
            </wp:positionH>
            <wp:positionV relativeFrom="paragraph">
              <wp:posOffset>-13335</wp:posOffset>
            </wp:positionV>
            <wp:extent cx="1270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-13335</wp:posOffset>
            </wp:positionV>
            <wp:extent cx="1270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-13335</wp:posOffset>
            </wp:positionV>
            <wp:extent cx="1270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-13335</wp:posOffset>
            </wp:positionV>
            <wp:extent cx="1270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-13335</wp:posOffset>
            </wp:positionV>
            <wp:extent cx="1270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-13335</wp:posOffset>
            </wp:positionV>
            <wp:extent cx="1270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5083810</wp:posOffset>
            </wp:positionH>
            <wp:positionV relativeFrom="paragraph">
              <wp:posOffset>-13335</wp:posOffset>
            </wp:positionV>
            <wp:extent cx="1270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00" w:firstLine="378"/>
        <w:spacing w:after="0" w:line="248" w:lineRule="auto"/>
        <w:rPr>
          <w:sz w:val="20"/>
          <w:szCs w:val="20"/>
          <w:color w:val="auto"/>
        </w:rPr>
      </w:pPr>
      <w:r>
        <w:rPr>
          <w:rFonts w:ascii="Arial" w:cs="Arial" w:eastAsia="Arial" w:hAnsi="Arial"/>
          <w:sz w:val="19"/>
          <w:szCs w:val="19"/>
          <w:color w:val="auto"/>
        </w:rPr>
        <w:t>The following table presents our subscriber and monthly average revenue statistics on a pro forma basis. The pro forma adjustments reflect the addition of approximately 54,000 subscribers acquired in various small acquisitions between June 2003 and March 2004. The impact of these acquisitions on our segment operating results was not material (subscribers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9"/>
                <w:szCs w:val="19"/>
                <w:color w:val="auto"/>
              </w:rPr>
            </w:pPr>
          </w:p>
        </w:tc>
        <w:tc>
          <w:tcPr>
            <w:tcW w:w="1880" w:type="dxa"/>
            <w:vAlign w:val="bottom"/>
            <w:gridSpan w:val="2"/>
          </w:tcPr>
          <w:p>
            <w:pPr>
              <w:jc w:val="right"/>
              <w:ind w:right="65"/>
              <w:spacing w:after="0"/>
              <w:rPr>
                <w:sz w:val="20"/>
                <w:szCs w:val="20"/>
                <w:color w:val="auto"/>
              </w:rPr>
            </w:pPr>
            <w:r>
              <w:rPr>
                <w:rFonts w:ascii="Arial" w:cs="Arial" w:eastAsia="Arial" w:hAnsi="Arial"/>
                <w:sz w:val="19"/>
                <w:szCs w:val="19"/>
                <w:color w:val="auto"/>
                <w:w w:val="95"/>
              </w:rPr>
              <w:t>Three Months Ended</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2"/>
        </w:trPr>
        <w:tc>
          <w:tcPr>
            <w:tcW w:w="5240" w:type="dxa"/>
            <w:vAlign w:val="bottom"/>
          </w:tcPr>
          <w:p>
            <w:pPr>
              <w:spacing w:after="0"/>
              <w:rPr>
                <w:sz w:val="21"/>
                <w:szCs w:val="21"/>
                <w:color w:val="auto"/>
              </w:rPr>
            </w:pPr>
          </w:p>
        </w:tc>
        <w:tc>
          <w:tcPr>
            <w:tcW w:w="1880" w:type="dxa"/>
            <w:vAlign w:val="bottom"/>
            <w:gridSpan w:val="2"/>
          </w:tcPr>
          <w:p>
            <w:pPr>
              <w:jc w:val="right"/>
              <w:ind w:right="485"/>
              <w:spacing w:after="0"/>
              <w:rPr>
                <w:sz w:val="20"/>
                <w:szCs w:val="20"/>
                <w:color w:val="auto"/>
              </w:rPr>
            </w:pPr>
            <w:r>
              <w:rPr>
                <w:rFonts w:ascii="Arial" w:cs="Arial" w:eastAsia="Arial" w:hAnsi="Arial"/>
                <w:sz w:val="19"/>
                <w:szCs w:val="19"/>
                <w:color w:val="auto"/>
              </w:rPr>
              <w:t>March 31,</w:t>
            </w:r>
          </w:p>
        </w:tc>
        <w:tc>
          <w:tcPr>
            <w:tcW w:w="1900" w:type="dxa"/>
            <w:vAlign w:val="bottom"/>
            <w:gridSpan w:val="4"/>
          </w:tcPr>
          <w:p>
            <w:pPr>
              <w:jc w:val="right"/>
              <w:ind w:right="340"/>
              <w:spacing w:after="0"/>
              <w:rPr>
                <w:sz w:val="20"/>
                <w:szCs w:val="20"/>
                <w:color w:val="auto"/>
              </w:rPr>
            </w:pPr>
            <w:r>
              <w:rPr>
                <w:rFonts w:ascii="Arial" w:cs="Arial" w:eastAsia="Arial" w:hAnsi="Arial"/>
                <w:sz w:val="19"/>
                <w:szCs w:val="19"/>
                <w:color w:val="auto"/>
                <w:w w:val="89"/>
              </w:rPr>
              <w:t>Increase/(Decrease)</w:t>
            </w:r>
          </w:p>
        </w:tc>
      </w:tr>
      <w:tr>
        <w:trPr>
          <w:trHeight w:val="87"/>
        </w:trPr>
        <w:tc>
          <w:tcPr>
            <w:tcW w:w="5240" w:type="dxa"/>
            <w:vAlign w:val="bottom"/>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310"/>
        </w:trPr>
        <w:tc>
          <w:tcPr>
            <w:tcW w:w="5240" w:type="dxa"/>
            <w:vAlign w:val="bottom"/>
          </w:tcPr>
          <w:p>
            <w:pPr>
              <w:spacing w:after="0"/>
              <w:rPr>
                <w:sz w:val="24"/>
                <w:szCs w:val="24"/>
                <w:color w:val="auto"/>
              </w:rPr>
            </w:pPr>
          </w:p>
        </w:tc>
        <w:tc>
          <w:tcPr>
            <w:tcW w:w="1040" w:type="dxa"/>
            <w:vAlign w:val="bottom"/>
          </w:tcPr>
          <w:p>
            <w:pPr>
              <w:jc w:val="right"/>
              <w:ind w:right="305"/>
              <w:spacing w:after="0"/>
              <w:rPr>
                <w:sz w:val="20"/>
                <w:szCs w:val="20"/>
                <w:color w:val="auto"/>
              </w:rPr>
            </w:pPr>
            <w:r>
              <w:rPr>
                <w:rFonts w:ascii="Arial" w:cs="Arial" w:eastAsia="Arial" w:hAnsi="Arial"/>
                <w:sz w:val="19"/>
                <w:szCs w:val="19"/>
                <w:color w:val="auto"/>
              </w:rPr>
              <w:t>2004</w:t>
            </w:r>
          </w:p>
        </w:tc>
        <w:tc>
          <w:tcPr>
            <w:tcW w:w="840" w:type="dxa"/>
            <w:vAlign w:val="bottom"/>
          </w:tcPr>
          <w:p>
            <w:pPr>
              <w:jc w:val="right"/>
              <w:ind w:right="225"/>
              <w:spacing w:after="0"/>
              <w:rPr>
                <w:sz w:val="20"/>
                <w:szCs w:val="20"/>
                <w:color w:val="auto"/>
              </w:rPr>
            </w:pPr>
            <w:r>
              <w:rPr>
                <w:rFonts w:ascii="Arial" w:cs="Arial" w:eastAsia="Arial" w:hAnsi="Arial"/>
                <w:sz w:val="19"/>
                <w:szCs w:val="19"/>
                <w:color w:val="auto"/>
              </w:rPr>
              <w:t>2003</w:t>
            </w:r>
          </w:p>
        </w:tc>
        <w:tc>
          <w:tcPr>
            <w:tcW w:w="880" w:type="dxa"/>
            <w:vAlign w:val="bottom"/>
          </w:tcPr>
          <w:p>
            <w:pPr>
              <w:jc w:val="right"/>
              <w:ind w:right="325"/>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4"/>
                <w:szCs w:val="24"/>
                <w:color w:val="auto"/>
              </w:rPr>
            </w:pPr>
          </w:p>
        </w:tc>
        <w:tc>
          <w:tcPr>
            <w:tcW w:w="700" w:type="dxa"/>
            <w:vAlign w:val="bottom"/>
          </w:tcPr>
          <w:p>
            <w:pPr>
              <w:jc w:val="right"/>
              <w:ind w:right="165"/>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4"/>
                <w:szCs w:val="24"/>
                <w:color w:val="auto"/>
              </w:rPr>
            </w:pPr>
          </w:p>
        </w:tc>
      </w:tr>
      <w:tr>
        <w:trPr>
          <w:trHeight w:val="87"/>
        </w:trPr>
        <w:tc>
          <w:tcPr>
            <w:tcW w:w="5240" w:type="dxa"/>
            <w:vAlign w:val="bottom"/>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283"/>
        </w:trPr>
        <w:tc>
          <w:tcPr>
            <w:tcW w:w="5240" w:type="dxa"/>
            <w:vAlign w:val="bottom"/>
          </w:tcPr>
          <w:p>
            <w:pPr>
              <w:spacing w:after="0"/>
              <w:rPr>
                <w:sz w:val="20"/>
                <w:szCs w:val="20"/>
                <w:color w:val="auto"/>
              </w:rPr>
            </w:pPr>
            <w:r>
              <w:rPr>
                <w:rFonts w:ascii="Arial" w:cs="Arial" w:eastAsia="Arial" w:hAnsi="Arial"/>
                <w:sz w:val="19"/>
                <w:szCs w:val="19"/>
                <w:color w:val="auto"/>
              </w:rPr>
              <w:t>Video subscribers</w:t>
            </w:r>
          </w:p>
        </w:tc>
        <w:tc>
          <w:tcPr>
            <w:tcW w:w="1040" w:type="dxa"/>
            <w:vAlign w:val="bottom"/>
          </w:tcPr>
          <w:p>
            <w:pPr>
              <w:jc w:val="right"/>
              <w:ind w:right="45"/>
              <w:spacing w:after="0"/>
              <w:rPr>
                <w:sz w:val="20"/>
                <w:szCs w:val="20"/>
                <w:color w:val="auto"/>
              </w:rPr>
            </w:pPr>
            <w:r>
              <w:rPr>
                <w:rFonts w:ascii="Arial" w:cs="Arial" w:eastAsia="Arial" w:hAnsi="Arial"/>
                <w:sz w:val="19"/>
                <w:szCs w:val="19"/>
                <w:color w:val="auto"/>
              </w:rPr>
              <w:t>21,517.9</w:t>
            </w:r>
          </w:p>
        </w:tc>
        <w:tc>
          <w:tcPr>
            <w:tcW w:w="840" w:type="dxa"/>
            <w:vAlign w:val="bottom"/>
          </w:tcPr>
          <w:p>
            <w:pPr>
              <w:jc w:val="right"/>
              <w:spacing w:after="0"/>
              <w:rPr>
                <w:sz w:val="20"/>
                <w:szCs w:val="20"/>
                <w:color w:val="auto"/>
              </w:rPr>
            </w:pPr>
            <w:r>
              <w:rPr>
                <w:rFonts w:ascii="Arial" w:cs="Arial" w:eastAsia="Arial" w:hAnsi="Arial"/>
                <w:sz w:val="19"/>
                <w:szCs w:val="19"/>
                <w:color w:val="auto"/>
              </w:rPr>
              <w:t>21,399.4</w:t>
            </w:r>
          </w:p>
        </w:tc>
        <w:tc>
          <w:tcPr>
            <w:tcW w:w="880" w:type="dxa"/>
            <w:vAlign w:val="bottom"/>
          </w:tcPr>
          <w:p>
            <w:pPr>
              <w:jc w:val="right"/>
              <w:spacing w:after="0"/>
              <w:rPr>
                <w:sz w:val="20"/>
                <w:szCs w:val="20"/>
                <w:color w:val="auto"/>
              </w:rPr>
            </w:pPr>
            <w:r>
              <w:rPr>
                <w:rFonts w:ascii="Arial" w:cs="Arial" w:eastAsia="Arial" w:hAnsi="Arial"/>
                <w:sz w:val="19"/>
                <w:szCs w:val="19"/>
                <w:color w:val="auto"/>
              </w:rPr>
              <w:t>118.5</w:t>
            </w:r>
          </w:p>
        </w:tc>
        <w:tc>
          <w:tcPr>
            <w:tcW w:w="1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9"/>
                <w:szCs w:val="19"/>
                <w:color w:val="auto"/>
              </w:rPr>
              <w:t>0.6%</w:t>
            </w:r>
          </w:p>
        </w:tc>
      </w:tr>
      <w:tr>
        <w:trPr>
          <w:trHeight w:val="215"/>
        </w:trPr>
        <w:tc>
          <w:tcPr>
            <w:tcW w:w="5240" w:type="dxa"/>
            <w:vAlign w:val="bottom"/>
          </w:tcPr>
          <w:p>
            <w:pPr>
              <w:spacing w:after="0" w:line="214" w:lineRule="exact"/>
              <w:rPr>
                <w:sz w:val="20"/>
                <w:szCs w:val="20"/>
                <w:color w:val="auto"/>
              </w:rPr>
            </w:pPr>
            <w:r>
              <w:rPr>
                <w:rFonts w:ascii="Arial" w:cs="Arial" w:eastAsia="Arial" w:hAnsi="Arial"/>
                <w:sz w:val="19"/>
                <w:szCs w:val="19"/>
                <w:color w:val="auto"/>
              </w:rPr>
              <w:t>High-speed Internet subscribers</w:t>
            </w:r>
          </w:p>
        </w:tc>
        <w:tc>
          <w:tcPr>
            <w:tcW w:w="1040" w:type="dxa"/>
            <w:vAlign w:val="bottom"/>
          </w:tcPr>
          <w:p>
            <w:pPr>
              <w:jc w:val="right"/>
              <w:ind w:right="45"/>
              <w:spacing w:after="0" w:line="214" w:lineRule="exact"/>
              <w:rPr>
                <w:sz w:val="20"/>
                <w:szCs w:val="20"/>
                <w:color w:val="auto"/>
              </w:rPr>
            </w:pPr>
            <w:r>
              <w:rPr>
                <w:rFonts w:ascii="Arial" w:cs="Arial" w:eastAsia="Arial" w:hAnsi="Arial"/>
                <w:sz w:val="19"/>
                <w:szCs w:val="19"/>
                <w:color w:val="auto"/>
              </w:rPr>
              <w:t>5,677.8</w:t>
            </w:r>
          </w:p>
        </w:tc>
        <w:tc>
          <w:tcPr>
            <w:tcW w:w="840" w:type="dxa"/>
            <w:vAlign w:val="bottom"/>
          </w:tcPr>
          <w:p>
            <w:pPr>
              <w:jc w:val="right"/>
              <w:spacing w:after="0" w:line="214" w:lineRule="exact"/>
              <w:rPr>
                <w:sz w:val="20"/>
                <w:szCs w:val="20"/>
                <w:color w:val="auto"/>
              </w:rPr>
            </w:pPr>
            <w:r>
              <w:rPr>
                <w:rFonts w:ascii="Arial" w:cs="Arial" w:eastAsia="Arial" w:hAnsi="Arial"/>
                <w:sz w:val="19"/>
                <w:szCs w:val="19"/>
                <w:color w:val="auto"/>
              </w:rPr>
              <w:t>4,037.6</w:t>
            </w:r>
          </w:p>
        </w:tc>
        <w:tc>
          <w:tcPr>
            <w:tcW w:w="880" w:type="dxa"/>
            <w:vAlign w:val="bottom"/>
          </w:tcPr>
          <w:p>
            <w:pPr>
              <w:jc w:val="right"/>
              <w:spacing w:after="0" w:line="214" w:lineRule="exact"/>
              <w:rPr>
                <w:sz w:val="20"/>
                <w:szCs w:val="20"/>
                <w:color w:val="auto"/>
              </w:rPr>
            </w:pPr>
            <w:r>
              <w:rPr>
                <w:rFonts w:ascii="Arial" w:cs="Arial" w:eastAsia="Arial" w:hAnsi="Arial"/>
                <w:sz w:val="19"/>
                <w:szCs w:val="19"/>
                <w:color w:val="auto"/>
              </w:rPr>
              <w:t>1,640.2</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40.6%</w:t>
            </w:r>
          </w:p>
        </w:tc>
      </w:tr>
      <w:tr>
        <w:trPr>
          <w:trHeight w:val="215"/>
        </w:trPr>
        <w:tc>
          <w:tcPr>
            <w:tcW w:w="5240" w:type="dxa"/>
            <w:vAlign w:val="bottom"/>
          </w:tcPr>
          <w:p>
            <w:pPr>
              <w:spacing w:after="0" w:line="214" w:lineRule="exact"/>
              <w:rPr>
                <w:sz w:val="20"/>
                <w:szCs w:val="20"/>
                <w:color w:val="auto"/>
              </w:rPr>
            </w:pPr>
            <w:r>
              <w:rPr>
                <w:rFonts w:ascii="Arial" w:cs="Arial" w:eastAsia="Arial" w:hAnsi="Arial"/>
                <w:sz w:val="19"/>
                <w:szCs w:val="19"/>
                <w:color w:val="auto"/>
              </w:rPr>
              <w:t>Phone subscribers</w:t>
            </w:r>
          </w:p>
        </w:tc>
        <w:tc>
          <w:tcPr>
            <w:tcW w:w="1040" w:type="dxa"/>
            <w:vAlign w:val="bottom"/>
          </w:tcPr>
          <w:p>
            <w:pPr>
              <w:jc w:val="right"/>
              <w:ind w:right="45"/>
              <w:spacing w:after="0" w:line="214" w:lineRule="exact"/>
              <w:rPr>
                <w:sz w:val="20"/>
                <w:szCs w:val="20"/>
                <w:color w:val="auto"/>
              </w:rPr>
            </w:pPr>
            <w:r>
              <w:rPr>
                <w:rFonts w:ascii="Arial" w:cs="Arial" w:eastAsia="Arial" w:hAnsi="Arial"/>
                <w:sz w:val="19"/>
                <w:szCs w:val="19"/>
                <w:color w:val="auto"/>
              </w:rPr>
              <w:t>1,247.1</w:t>
            </w:r>
          </w:p>
        </w:tc>
        <w:tc>
          <w:tcPr>
            <w:tcW w:w="840" w:type="dxa"/>
            <w:vAlign w:val="bottom"/>
          </w:tcPr>
          <w:p>
            <w:pPr>
              <w:jc w:val="right"/>
              <w:spacing w:after="0" w:line="214" w:lineRule="exact"/>
              <w:rPr>
                <w:sz w:val="20"/>
                <w:szCs w:val="20"/>
                <w:color w:val="auto"/>
              </w:rPr>
            </w:pPr>
            <w:r>
              <w:rPr>
                <w:rFonts w:ascii="Arial" w:cs="Arial" w:eastAsia="Arial" w:hAnsi="Arial"/>
                <w:sz w:val="19"/>
                <w:szCs w:val="19"/>
                <w:color w:val="auto"/>
              </w:rPr>
              <w:t>1,418.8</w:t>
            </w:r>
          </w:p>
        </w:tc>
        <w:tc>
          <w:tcPr>
            <w:tcW w:w="980" w:type="dxa"/>
            <w:vAlign w:val="bottom"/>
            <w:gridSpan w:val="2"/>
          </w:tcPr>
          <w:p>
            <w:pPr>
              <w:jc w:val="right"/>
              <w:ind w:right="40"/>
              <w:spacing w:after="0" w:line="214" w:lineRule="exact"/>
              <w:rPr>
                <w:sz w:val="20"/>
                <w:szCs w:val="20"/>
                <w:color w:val="auto"/>
              </w:rPr>
            </w:pPr>
            <w:r>
              <w:rPr>
                <w:rFonts w:ascii="Arial" w:cs="Arial" w:eastAsia="Arial" w:hAnsi="Arial"/>
                <w:sz w:val="19"/>
                <w:szCs w:val="19"/>
                <w:color w:val="auto"/>
              </w:rPr>
              <w:t>(171.7)</w:t>
            </w:r>
          </w:p>
        </w:tc>
        <w:tc>
          <w:tcPr>
            <w:tcW w:w="92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(12.1%)</w:t>
            </w:r>
          </w:p>
        </w:tc>
      </w:tr>
      <w:tr>
        <w:trPr>
          <w:trHeight w:val="215"/>
        </w:trPr>
        <w:tc>
          <w:tcPr>
            <w:tcW w:w="5240" w:type="dxa"/>
            <w:vAlign w:val="bottom"/>
          </w:tcPr>
          <w:p>
            <w:pPr>
              <w:spacing w:after="0" w:line="214" w:lineRule="exact"/>
              <w:rPr>
                <w:sz w:val="20"/>
                <w:szCs w:val="20"/>
                <w:color w:val="auto"/>
              </w:rPr>
            </w:pPr>
            <w:r>
              <w:rPr>
                <w:rFonts w:ascii="Arial" w:cs="Arial" w:eastAsia="Arial" w:hAnsi="Arial"/>
                <w:sz w:val="19"/>
                <w:szCs w:val="19"/>
                <w:color w:val="auto"/>
              </w:rPr>
              <w:t>Monthly average revenue per video subscriber</w:t>
            </w:r>
          </w:p>
        </w:tc>
        <w:tc>
          <w:tcPr>
            <w:tcW w:w="1040" w:type="dxa"/>
            <w:vAlign w:val="bottom"/>
          </w:tcPr>
          <w:p>
            <w:pPr>
              <w:jc w:val="right"/>
              <w:ind w:right="45"/>
              <w:spacing w:after="0" w:line="214" w:lineRule="exact"/>
              <w:rPr>
                <w:sz w:val="20"/>
                <w:szCs w:val="20"/>
                <w:color w:val="auto"/>
              </w:rPr>
            </w:pPr>
            <w:r>
              <w:rPr>
                <w:rFonts w:ascii="Arial" w:cs="Arial" w:eastAsia="Arial" w:hAnsi="Arial"/>
                <w:sz w:val="19"/>
                <w:szCs w:val="19"/>
                <w:color w:val="auto"/>
              </w:rPr>
              <w:t>$49.31</w:t>
            </w:r>
          </w:p>
        </w:tc>
        <w:tc>
          <w:tcPr>
            <w:tcW w:w="840" w:type="dxa"/>
            <w:vAlign w:val="bottom"/>
          </w:tcPr>
          <w:p>
            <w:pPr>
              <w:jc w:val="right"/>
              <w:spacing w:after="0" w:line="214" w:lineRule="exact"/>
              <w:rPr>
                <w:sz w:val="20"/>
                <w:szCs w:val="20"/>
                <w:color w:val="auto"/>
              </w:rPr>
            </w:pPr>
            <w:r>
              <w:rPr>
                <w:rFonts w:ascii="Arial" w:cs="Arial" w:eastAsia="Arial" w:hAnsi="Arial"/>
                <w:sz w:val="19"/>
                <w:szCs w:val="19"/>
                <w:color w:val="auto"/>
              </w:rPr>
              <w:t>$46.50</w:t>
            </w:r>
          </w:p>
        </w:tc>
        <w:tc>
          <w:tcPr>
            <w:tcW w:w="880" w:type="dxa"/>
            <w:vAlign w:val="bottom"/>
          </w:tcPr>
          <w:p>
            <w:pPr>
              <w:jc w:val="right"/>
              <w:spacing w:after="0" w:line="214" w:lineRule="exact"/>
              <w:rPr>
                <w:sz w:val="20"/>
                <w:szCs w:val="20"/>
                <w:color w:val="auto"/>
              </w:rPr>
            </w:pPr>
            <w:r>
              <w:rPr>
                <w:rFonts w:ascii="Arial" w:cs="Arial" w:eastAsia="Arial" w:hAnsi="Arial"/>
                <w:sz w:val="19"/>
                <w:szCs w:val="19"/>
                <w:color w:val="auto"/>
              </w:rPr>
              <w:t>$2.81</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6.0%</w:t>
            </w:r>
          </w:p>
        </w:tc>
      </w:tr>
      <w:tr>
        <w:trPr>
          <w:trHeight w:val="215"/>
        </w:trPr>
        <w:tc>
          <w:tcPr>
            <w:tcW w:w="5240" w:type="dxa"/>
            <w:vAlign w:val="bottom"/>
          </w:tcPr>
          <w:p>
            <w:pPr>
              <w:spacing w:after="0" w:line="214" w:lineRule="exact"/>
              <w:rPr>
                <w:sz w:val="20"/>
                <w:szCs w:val="20"/>
                <w:color w:val="auto"/>
              </w:rPr>
            </w:pPr>
            <w:r>
              <w:rPr>
                <w:rFonts w:ascii="Arial" w:cs="Arial" w:eastAsia="Arial" w:hAnsi="Arial"/>
                <w:sz w:val="19"/>
                <w:szCs w:val="19"/>
                <w:color w:val="auto"/>
              </w:rPr>
              <w:t>Monthly average revenue per high-speed Internet subscriber</w:t>
            </w:r>
          </w:p>
        </w:tc>
        <w:tc>
          <w:tcPr>
            <w:tcW w:w="1040" w:type="dxa"/>
            <w:vAlign w:val="bottom"/>
          </w:tcPr>
          <w:p>
            <w:pPr>
              <w:jc w:val="right"/>
              <w:ind w:right="45"/>
              <w:spacing w:after="0" w:line="214" w:lineRule="exact"/>
              <w:rPr>
                <w:sz w:val="20"/>
                <w:szCs w:val="20"/>
                <w:color w:val="auto"/>
              </w:rPr>
            </w:pPr>
            <w:r>
              <w:rPr>
                <w:rFonts w:ascii="Arial" w:cs="Arial" w:eastAsia="Arial" w:hAnsi="Arial"/>
                <w:sz w:val="19"/>
                <w:szCs w:val="19"/>
                <w:color w:val="auto"/>
              </w:rPr>
              <w:t>$42.46</w:t>
            </w:r>
          </w:p>
        </w:tc>
        <w:tc>
          <w:tcPr>
            <w:tcW w:w="840" w:type="dxa"/>
            <w:vAlign w:val="bottom"/>
          </w:tcPr>
          <w:p>
            <w:pPr>
              <w:jc w:val="right"/>
              <w:spacing w:after="0" w:line="214" w:lineRule="exact"/>
              <w:rPr>
                <w:sz w:val="20"/>
                <w:szCs w:val="20"/>
                <w:color w:val="auto"/>
              </w:rPr>
            </w:pPr>
            <w:r>
              <w:rPr>
                <w:rFonts w:ascii="Arial" w:cs="Arial" w:eastAsia="Arial" w:hAnsi="Arial"/>
                <w:sz w:val="19"/>
                <w:szCs w:val="19"/>
                <w:color w:val="auto"/>
              </w:rPr>
              <w:t>$42.82</w:t>
            </w:r>
          </w:p>
        </w:tc>
        <w:tc>
          <w:tcPr>
            <w:tcW w:w="980" w:type="dxa"/>
            <w:vAlign w:val="bottom"/>
            <w:gridSpan w:val="2"/>
          </w:tcPr>
          <w:p>
            <w:pPr>
              <w:jc w:val="right"/>
              <w:ind w:right="40"/>
              <w:spacing w:after="0" w:line="214" w:lineRule="exact"/>
              <w:rPr>
                <w:sz w:val="20"/>
                <w:szCs w:val="20"/>
                <w:color w:val="auto"/>
              </w:rPr>
            </w:pPr>
            <w:r>
              <w:rPr>
                <w:rFonts w:ascii="Arial" w:cs="Arial" w:eastAsia="Arial" w:hAnsi="Arial"/>
                <w:sz w:val="19"/>
                <w:szCs w:val="19"/>
                <w:color w:val="auto"/>
              </w:rPr>
              <w:t>($0.36)</w:t>
            </w:r>
          </w:p>
        </w:tc>
        <w:tc>
          <w:tcPr>
            <w:tcW w:w="92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(0.8%)</w:t>
            </w:r>
          </w:p>
        </w:tc>
      </w:tr>
      <w:tr>
        <w:trPr>
          <w:trHeight w:val="242"/>
        </w:trPr>
        <w:tc>
          <w:tcPr>
            <w:tcW w:w="5240" w:type="dxa"/>
            <w:vAlign w:val="bottom"/>
          </w:tcPr>
          <w:p>
            <w:pPr>
              <w:spacing w:after="0"/>
              <w:rPr>
                <w:sz w:val="20"/>
                <w:szCs w:val="20"/>
                <w:color w:val="auto"/>
              </w:rPr>
            </w:pPr>
            <w:r>
              <w:rPr>
                <w:rFonts w:ascii="Arial" w:cs="Arial" w:eastAsia="Arial" w:hAnsi="Arial"/>
                <w:sz w:val="19"/>
                <w:szCs w:val="19"/>
                <w:color w:val="auto"/>
              </w:rPr>
              <w:t>Monthly average revenue per phone subscriber</w:t>
            </w:r>
          </w:p>
        </w:tc>
        <w:tc>
          <w:tcPr>
            <w:tcW w:w="1040" w:type="dxa"/>
            <w:vAlign w:val="bottom"/>
          </w:tcPr>
          <w:p>
            <w:pPr>
              <w:jc w:val="right"/>
              <w:ind w:right="45"/>
              <w:spacing w:after="0"/>
              <w:rPr>
                <w:sz w:val="20"/>
                <w:szCs w:val="20"/>
                <w:color w:val="auto"/>
              </w:rPr>
            </w:pPr>
            <w:r>
              <w:rPr>
                <w:rFonts w:ascii="Arial" w:cs="Arial" w:eastAsia="Arial" w:hAnsi="Arial"/>
                <w:sz w:val="19"/>
                <w:szCs w:val="19"/>
                <w:color w:val="auto"/>
              </w:rPr>
              <w:t>$47.34</w:t>
            </w:r>
          </w:p>
        </w:tc>
        <w:tc>
          <w:tcPr>
            <w:tcW w:w="840" w:type="dxa"/>
            <w:vAlign w:val="bottom"/>
          </w:tcPr>
          <w:p>
            <w:pPr>
              <w:jc w:val="right"/>
              <w:spacing w:after="0"/>
              <w:rPr>
                <w:sz w:val="20"/>
                <w:szCs w:val="20"/>
                <w:color w:val="auto"/>
              </w:rPr>
            </w:pPr>
            <w:r>
              <w:rPr>
                <w:rFonts w:ascii="Arial" w:cs="Arial" w:eastAsia="Arial" w:hAnsi="Arial"/>
                <w:sz w:val="19"/>
                <w:szCs w:val="19"/>
                <w:color w:val="auto"/>
              </w:rPr>
              <w:t>$52.29</w:t>
            </w:r>
          </w:p>
        </w:tc>
        <w:tc>
          <w:tcPr>
            <w:tcW w:w="980" w:type="dxa"/>
            <w:vAlign w:val="bottom"/>
            <w:gridSpan w:val="2"/>
          </w:tcPr>
          <w:p>
            <w:pPr>
              <w:jc w:val="right"/>
              <w:ind w:right="40"/>
              <w:spacing w:after="0"/>
              <w:rPr>
                <w:sz w:val="20"/>
                <w:szCs w:val="20"/>
                <w:color w:val="auto"/>
              </w:rPr>
            </w:pPr>
            <w:r>
              <w:rPr>
                <w:rFonts w:ascii="Arial" w:cs="Arial" w:eastAsia="Arial" w:hAnsi="Arial"/>
                <w:sz w:val="19"/>
                <w:szCs w:val="19"/>
                <w:color w:val="auto"/>
              </w:rPr>
              <w:t>($4.95)</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(9.5%)</w:t>
            </w:r>
          </w:p>
        </w:tc>
      </w:tr>
    </w:tbl>
    <w:p>
      <w:pPr>
        <w:sectPr>
          <w:pgSz w:w="11900" w:h="16838" w:orient="portrait"/>
          <w:cols w:equalWidth="0" w:num="1">
            <w:col w:w="11360"/>
          </w:cols>
          <w:pgMar w:left="240" w:top="120" w:right="299" w:bottom="0" w:gutter="0" w:footer="0" w:header="0"/>
        </w:sectPr>
      </w:pPr>
    </w:p>
    <w:bookmarkStart w:id="21" w:name="page22"/>
    <w:bookmarkEnd w:id="21"/>
    <w:p>
      <w:pPr>
        <w:ind w:left="680" w:hanging="339"/>
        <w:spacing w:after="0" w:line="268" w:lineRule="auto"/>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Operating income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operating income before depreciation and amortization as the measure of our segment profit or loss, we reconcile it to operating income, the most directly comparable financial measure calculated and presented in accordance with Generally Accepted Accounting Principles (GAAP), in the business segment footnote to our financial statements. This measure should not be considered as a substitute for operating income (loss), net income (loss), net cash provided by operating activities or other measures of performance or liquidity reported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179705</wp:posOffset>
            </wp:positionV>
            <wp:extent cx="182499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249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27773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jc w:val="center"/>
        <w:ind w:right="-59"/>
        <w:spacing w:after="0"/>
        <w:rPr>
          <w:sz w:val="20"/>
          <w:szCs w:val="20"/>
          <w:color w:val="auto"/>
        </w:rPr>
      </w:pPr>
      <w:r>
        <w:rPr>
          <w:rFonts w:ascii="Arial" w:cs="Arial" w:eastAsia="Arial" w:hAnsi="Arial"/>
          <w:sz w:val="19"/>
          <w:szCs w:val="19"/>
          <w:color w:val="auto"/>
        </w:rPr>
        <w:t>QUARTER ENDED MARCH 31, 2004</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9"/>
          <w:szCs w:val="19"/>
          <w:i w:val="1"/>
          <w:iCs w:val="1"/>
          <w:color w:val="auto"/>
        </w:rPr>
        <w:t>Revenues</w:t>
      </w:r>
    </w:p>
    <w:p>
      <w:pPr>
        <w:spacing w:after="0" w:line="187"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Video revenue consists of our basic, expanded basic, premium, pay-per-view, equipment and digital cable services. The increase in video revenue for the interim period from 2003 to 2004 is primarily due to increases in monthly average revenue per subscriber as a result of rate increases in our traditional video service, growth in digital subscribers, and repricing and repackaging of the digital and premium channel services in the Broadband systems. From March 31, 2003 to March 31, 2004, we added approximately 118,500 basic subscribers and 1,056,500 digital subscribers, or a 15.5% increase in digital subscribers. We expect continued growth in our video services revenue.</w:t>
      </w:r>
    </w:p>
    <w:p>
      <w:pPr>
        <w:spacing w:after="0" w:line="147" w:lineRule="exact"/>
        <w:rPr>
          <w:sz w:val="20"/>
          <w:szCs w:val="20"/>
          <w:color w:val="auto"/>
        </w:rPr>
      </w:pPr>
    </w:p>
    <w:p>
      <w:pPr>
        <w:ind w:right="60" w:firstLine="378"/>
        <w:spacing w:after="0" w:line="244" w:lineRule="auto"/>
        <w:rPr>
          <w:sz w:val="20"/>
          <w:szCs w:val="20"/>
          <w:color w:val="auto"/>
        </w:rPr>
      </w:pPr>
      <w:r>
        <w:rPr>
          <w:rFonts w:ascii="Arial" w:cs="Arial" w:eastAsia="Arial" w:hAnsi="Arial"/>
          <w:sz w:val="19"/>
          <w:szCs w:val="19"/>
          <w:color w:val="auto"/>
        </w:rPr>
        <w:t>The increase in high-speed Internet revenue for the interim period from 2003 to 2004 is primarily due to the addition of approximately 1,640,200 high-speed Internet subscribers from March 31, 2003 to March 31, 2004, or a 40.6% increase in high-speed Internet subscribers, offset by a slight decrease in monthly average revenue per subscriber. We expect continued high-speed Internet revenue growth as overall demand for our services continues to increase.</w:t>
      </w:r>
    </w:p>
    <w:p>
      <w:pPr>
        <w:spacing w:after="0" w:line="161" w:lineRule="exact"/>
        <w:rPr>
          <w:sz w:val="20"/>
          <w:szCs w:val="20"/>
          <w:color w:val="auto"/>
        </w:rPr>
      </w:pPr>
    </w:p>
    <w:p>
      <w:pPr>
        <w:ind w:right="200" w:firstLine="378"/>
        <w:spacing w:after="0" w:line="248" w:lineRule="auto"/>
        <w:rPr>
          <w:sz w:val="20"/>
          <w:szCs w:val="20"/>
          <w:color w:val="auto"/>
        </w:rPr>
      </w:pPr>
      <w:r>
        <w:rPr>
          <w:rFonts w:ascii="Arial" w:cs="Arial" w:eastAsia="Arial" w:hAnsi="Arial"/>
          <w:sz w:val="19"/>
          <w:szCs w:val="19"/>
          <w:color w:val="auto"/>
        </w:rPr>
        <w:t>The decrease in phone revenue for the interim period from 2003 to 2004 is primarily as a result of our focus on operating efficiencies to drive profitability in the phone business, rather than focusing on subscriber growth. As a result, from March 31, 2003 to March 31, 2004, our phone subscribers decreased by approximately 171,700 subscribers.</w:t>
      </w:r>
    </w:p>
    <w:p>
      <w:pPr>
        <w:spacing w:after="0" w:line="158" w:lineRule="exact"/>
        <w:rPr>
          <w:sz w:val="20"/>
          <w:szCs w:val="20"/>
          <w:color w:val="auto"/>
        </w:rPr>
      </w:pPr>
    </w:p>
    <w:p>
      <w:pPr>
        <w:ind w:right="100" w:firstLine="378"/>
        <w:spacing w:after="0" w:line="289" w:lineRule="auto"/>
        <w:rPr>
          <w:sz w:val="20"/>
          <w:szCs w:val="20"/>
          <w:color w:val="auto"/>
        </w:rPr>
      </w:pPr>
      <w:r>
        <w:rPr>
          <w:rFonts w:ascii="Arial" w:cs="Arial" w:eastAsia="Arial" w:hAnsi="Arial"/>
          <w:sz w:val="18"/>
          <w:szCs w:val="18"/>
          <w:color w:val="auto"/>
        </w:rPr>
        <w:t>The increase in advertising sales revenue for the interim period from 2003 to 2004 is primarily due to the effects of growth in regional/national advertising as a result of the continuing success of our regional interconnects and a stronger local advertising market.</w:t>
      </w:r>
    </w:p>
    <w:p>
      <w:pPr>
        <w:spacing w:after="0" w:line="122" w:lineRule="exact"/>
        <w:rPr>
          <w:sz w:val="20"/>
          <w:szCs w:val="20"/>
          <w:color w:val="auto"/>
        </w:rPr>
      </w:pPr>
    </w:p>
    <w:p>
      <w:pPr>
        <w:ind w:right="200" w:firstLine="382"/>
        <w:spacing w:after="0" w:line="261" w:lineRule="auto"/>
        <w:rPr>
          <w:sz w:val="20"/>
          <w:szCs w:val="20"/>
          <w:color w:val="auto"/>
        </w:rPr>
      </w:pPr>
      <w:r>
        <w:rPr>
          <w:rFonts w:ascii="Arial" w:cs="Arial" w:eastAsia="Arial" w:hAnsi="Arial"/>
          <w:sz w:val="19"/>
          <w:szCs w:val="19"/>
          <w:color w:val="auto"/>
        </w:rPr>
        <w:t>Other revenue includes installation revenues, guide revenues, commissions from electronic retailing, revenue from our regional programming networks, commercial data revenue and revenue from other product offerings.</w:t>
      </w:r>
    </w:p>
    <w:p>
      <w:pPr>
        <w:spacing w:after="0" w:line="145" w:lineRule="exact"/>
        <w:rPr>
          <w:sz w:val="20"/>
          <w:szCs w:val="20"/>
          <w:color w:val="auto"/>
        </w:rPr>
      </w:pPr>
    </w:p>
    <w:p>
      <w:pPr>
        <w:ind w:right="440" w:firstLine="378"/>
        <w:spacing w:after="0" w:line="261" w:lineRule="auto"/>
        <w:rPr>
          <w:sz w:val="20"/>
          <w:szCs w:val="20"/>
          <w:color w:val="auto"/>
        </w:rPr>
      </w:pPr>
      <w:r>
        <w:rPr>
          <w:rFonts w:ascii="Arial" w:cs="Arial" w:eastAsia="Arial" w:hAnsi="Arial"/>
          <w:sz w:val="19"/>
          <w:szCs w:val="19"/>
          <w:color w:val="auto"/>
        </w:rPr>
        <w:t>The increase in franchise fees collected from our cable subscribers for the interim period from 2003 to 2004 is primarily attributable to the increase in our revenues upon which the fees apply.</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9"/>
          <w:szCs w:val="19"/>
          <w:i w:val="1"/>
          <w:iCs w:val="1"/>
          <w:color w:val="auto"/>
        </w:rPr>
        <w:t>Expenses</w:t>
      </w:r>
    </w:p>
    <w:p>
      <w:pPr>
        <w:spacing w:after="0" w:line="187" w:lineRule="exact"/>
        <w:rPr>
          <w:sz w:val="20"/>
          <w:szCs w:val="20"/>
          <w:color w:val="auto"/>
        </w:rPr>
      </w:pPr>
    </w:p>
    <w:p>
      <w:pPr>
        <w:ind w:right="460" w:firstLine="378"/>
        <w:spacing w:after="0" w:line="262" w:lineRule="auto"/>
        <w:rPr>
          <w:sz w:val="20"/>
          <w:szCs w:val="20"/>
          <w:color w:val="auto"/>
        </w:rPr>
      </w:pPr>
      <w:r>
        <w:rPr>
          <w:rFonts w:ascii="Arial" w:cs="Arial" w:eastAsia="Arial" w:hAnsi="Arial"/>
          <w:sz w:val="18"/>
          <w:szCs w:val="18"/>
          <w:color w:val="auto"/>
        </w:rPr>
        <w:t>Total operating, selling, general and administrative expenses increased for the interim period from 2003 to 2004 primarily as a result of increases in labor and other volume related operating expenses associated with the growth in our high-speed Internet and digital cable services. Offsetting these increases were cost efficiencies generated from the integration of Broadband. Additionally, customer service expenses slightly declined because we no longer outsource Broadband's customer service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Income (Expense) Items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9"/>
          <w:szCs w:val="19"/>
          <w:i w:val="1"/>
          <w:iCs w:val="1"/>
          <w:color w:val="auto"/>
        </w:rPr>
        <w:t>Interest Expense</w:t>
      </w:r>
    </w:p>
    <w:p>
      <w:pPr>
        <w:spacing w:after="0" w:line="187"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The decrease in interest expense for the interim period from 2003 to 2004 is due to our decreased amount of debt outstanding as a result of our debt reduction during 2003. The decrease was offset somewhat by the effects of the write-off of $38 million of unamortized debt issue costs to interest expense in the 2004 interim period in connection with the refinancing of our previously existing revolving credit facilities, as well as to the effects of our adoption of SFAS No. 150, "Accounting for Certain Financial Instruments with Characteristics of both Liabilities and Equity," on July 1, 2003 on a prospective basis. As a result of the adoption of SFAS No. 150, interest expense in the 2004 interim period includes $25 million of dividends on our subsidiary's preferred stock, previously classified as minority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303530</wp:posOffset>
            </wp:positionV>
            <wp:extent cx="182499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249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27773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10-Q</w:t>
      </w:r>
    </w:p>
    <w:p>
      <w:pPr>
        <w:jc w:val="center"/>
        <w:ind w:right="-59"/>
        <w:spacing w:after="0"/>
        <w:rPr>
          <w:sz w:val="20"/>
          <w:szCs w:val="20"/>
          <w:color w:val="auto"/>
        </w:rPr>
      </w:pPr>
      <w:r>
        <w:rPr>
          <w:rFonts w:ascii="Arial" w:cs="Arial" w:eastAsia="Arial" w:hAnsi="Arial"/>
          <w:sz w:val="19"/>
          <w:szCs w:val="19"/>
          <w:color w:val="auto"/>
        </w:rPr>
        <w:t>QUARTER ENDED MARCH 31, 2004</w:t>
      </w:r>
    </w:p>
    <w:p>
      <w:pPr>
        <w:sectPr>
          <w:pgSz w:w="11900" w:h="16838" w:orient="portrait"/>
          <w:cols w:equalWidth="0" w:num="1">
            <w:col w:w="11380"/>
          </w:cols>
          <w:pgMar w:left="240" w:top="120" w:right="279" w:bottom="0" w:gutter="0" w:footer="0" w:header="0"/>
        </w:sectPr>
      </w:pPr>
    </w:p>
    <w:bookmarkStart w:id="22" w:name="page23"/>
    <w:bookmarkEnd w:id="22"/>
    <w:p>
      <w:pPr>
        <w:ind w:left="380"/>
        <w:spacing w:after="0"/>
        <w:rPr>
          <w:sz w:val="20"/>
          <w:szCs w:val="20"/>
          <w:color w:val="auto"/>
        </w:rPr>
      </w:pPr>
      <w:r>
        <w:rPr>
          <w:rFonts w:ascii="Arial" w:cs="Arial" w:eastAsia="Arial" w:hAnsi="Arial"/>
          <w:sz w:val="19"/>
          <w:szCs w:val="19"/>
          <w:i w:val="1"/>
          <w:iCs w:val="1"/>
          <w:color w:val="auto"/>
        </w:rPr>
        <w:t>Investment Loss, Net</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9"/>
          <w:szCs w:val="19"/>
          <w:color w:val="auto"/>
        </w:rPr>
        <w:t>Investment loss, net for the interim periods includes the following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0" w:type="dxa"/>
            <w:vAlign w:val="bottom"/>
          </w:tcPr>
          <w:p>
            <w:pPr>
              <w:spacing w:after="0"/>
              <w:rPr>
                <w:sz w:val="18"/>
                <w:szCs w:val="18"/>
                <w:color w:val="auto"/>
              </w:rPr>
            </w:pPr>
          </w:p>
        </w:tc>
        <w:tc>
          <w:tcPr>
            <w:tcW w:w="2220" w:type="dxa"/>
            <w:vAlign w:val="bottom"/>
            <w:gridSpan w:val="5"/>
          </w:tcPr>
          <w:p>
            <w:pPr>
              <w:jc w:val="center"/>
              <w:spacing w:after="0"/>
              <w:rPr>
                <w:sz w:val="20"/>
                <w:szCs w:val="20"/>
                <w:color w:val="auto"/>
              </w:rPr>
            </w:pPr>
            <w:r>
              <w:rPr>
                <w:rFonts w:ascii="Arial" w:cs="Arial" w:eastAsia="Arial" w:hAnsi="Arial"/>
                <w:sz w:val="19"/>
                <w:szCs w:val="19"/>
                <w:color w:val="auto"/>
                <w:w w:val="91"/>
              </w:rPr>
              <w:t>Three Months Ended March</w:t>
            </w:r>
          </w:p>
        </w:tc>
      </w:tr>
      <w:tr>
        <w:trPr>
          <w:trHeight w:val="215"/>
        </w:trPr>
        <w:tc>
          <w:tcPr>
            <w:tcW w:w="6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20"/>
              <w:spacing w:after="0" w:line="214" w:lineRule="exact"/>
              <w:rPr>
                <w:sz w:val="20"/>
                <w:szCs w:val="20"/>
                <w:color w:val="auto"/>
              </w:rPr>
            </w:pPr>
            <w:r>
              <w:rPr>
                <w:rFonts w:ascii="Arial" w:cs="Arial" w:eastAsia="Arial" w:hAnsi="Arial"/>
                <w:sz w:val="19"/>
                <w:szCs w:val="19"/>
                <w:color w:val="auto"/>
                <w:w w:val="90"/>
              </w:rPr>
              <w:t>31,</w:t>
            </w:r>
          </w:p>
        </w:tc>
        <w:tc>
          <w:tcPr>
            <w:tcW w:w="140" w:type="dxa"/>
            <w:vAlign w:val="bottom"/>
          </w:tcPr>
          <w:p>
            <w:pPr>
              <w:spacing w:after="0"/>
              <w:rPr>
                <w:sz w:val="18"/>
                <w:szCs w:val="18"/>
                <w:color w:val="auto"/>
              </w:rPr>
            </w:pPr>
          </w:p>
        </w:tc>
      </w:tr>
      <w:tr>
        <w:trPr>
          <w:trHeight w:val="242"/>
        </w:trPr>
        <w:tc>
          <w:tcPr>
            <w:tcW w:w="6800" w:type="dxa"/>
            <w:vAlign w:val="bottom"/>
          </w:tcPr>
          <w:p>
            <w:pPr>
              <w:spacing w:after="0"/>
              <w:rPr>
                <w:sz w:val="21"/>
                <w:szCs w:val="21"/>
                <w:color w:val="auto"/>
              </w:rPr>
            </w:pPr>
          </w:p>
        </w:tc>
        <w:tc>
          <w:tcPr>
            <w:tcW w:w="920" w:type="dxa"/>
            <w:vAlign w:val="bottom"/>
          </w:tcPr>
          <w:p>
            <w:pPr>
              <w:jc w:val="right"/>
              <w:ind w:right="185"/>
              <w:spacing w:after="0"/>
              <w:rPr>
                <w:sz w:val="20"/>
                <w:szCs w:val="20"/>
                <w:color w:val="auto"/>
              </w:rPr>
            </w:pPr>
            <w:r>
              <w:rPr>
                <w:rFonts w:ascii="Arial" w:cs="Arial" w:eastAsia="Arial" w:hAnsi="Arial"/>
                <w:sz w:val="19"/>
                <w:szCs w:val="19"/>
                <w:color w:val="auto"/>
              </w:rPr>
              <w:t>2004</w:t>
            </w:r>
          </w:p>
        </w:tc>
        <w:tc>
          <w:tcPr>
            <w:tcW w:w="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9"/>
                <w:szCs w:val="19"/>
                <w:color w:val="auto"/>
              </w:rPr>
              <w:t>2003</w:t>
            </w:r>
          </w:p>
        </w:tc>
        <w:tc>
          <w:tcPr>
            <w:tcW w:w="140" w:type="dxa"/>
            <w:vAlign w:val="bottom"/>
          </w:tcPr>
          <w:p>
            <w:pPr>
              <w:spacing w:after="0"/>
              <w:rPr>
                <w:sz w:val="21"/>
                <w:szCs w:val="21"/>
                <w:color w:val="auto"/>
              </w:rPr>
            </w:pPr>
          </w:p>
        </w:tc>
      </w:tr>
      <w:tr>
        <w:trPr>
          <w:trHeight w:val="87"/>
        </w:trPr>
        <w:tc>
          <w:tcPr>
            <w:tcW w:w="68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r>
      <w:tr>
        <w:trPr>
          <w:trHeight w:val="283"/>
        </w:trPr>
        <w:tc>
          <w:tcPr>
            <w:tcW w:w="6800" w:type="dxa"/>
            <w:vAlign w:val="bottom"/>
          </w:tcPr>
          <w:p>
            <w:pPr>
              <w:spacing w:after="0"/>
              <w:rPr>
                <w:sz w:val="20"/>
                <w:szCs w:val="20"/>
                <w:color w:val="auto"/>
              </w:rPr>
            </w:pPr>
            <w:r>
              <w:rPr>
                <w:rFonts w:ascii="Arial" w:cs="Arial" w:eastAsia="Arial" w:hAnsi="Arial"/>
                <w:sz w:val="19"/>
                <w:szCs w:val="19"/>
                <w:color w:val="auto"/>
              </w:rPr>
              <w:t>Interest and dividend income</w:t>
            </w:r>
          </w:p>
        </w:tc>
        <w:tc>
          <w:tcPr>
            <w:tcW w:w="920" w:type="dxa"/>
            <w:vAlign w:val="bottom"/>
          </w:tcPr>
          <w:p>
            <w:pPr>
              <w:jc w:val="right"/>
              <w:spacing w:after="0"/>
              <w:rPr>
                <w:sz w:val="20"/>
                <w:szCs w:val="20"/>
                <w:color w:val="auto"/>
              </w:rPr>
            </w:pPr>
            <w:r>
              <w:rPr>
                <w:rFonts w:ascii="Arial" w:cs="Arial" w:eastAsia="Arial" w:hAnsi="Arial"/>
                <w:sz w:val="19"/>
                <w:szCs w:val="19"/>
                <w:color w:val="auto"/>
              </w:rPr>
              <w:t>$17</w:t>
            </w:r>
          </w:p>
        </w:tc>
        <w:tc>
          <w:tcPr>
            <w:tcW w:w="8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9"/>
                <w:szCs w:val="19"/>
                <w:color w:val="auto"/>
              </w:rPr>
              <w:t>$34</w:t>
            </w:r>
          </w:p>
        </w:tc>
      </w:tr>
      <w:tr>
        <w:trPr>
          <w:trHeight w:val="215"/>
        </w:trPr>
        <w:tc>
          <w:tcPr>
            <w:tcW w:w="6800" w:type="dxa"/>
            <w:vAlign w:val="bottom"/>
          </w:tcPr>
          <w:p>
            <w:pPr>
              <w:spacing w:after="0" w:line="214" w:lineRule="exact"/>
              <w:rPr>
                <w:sz w:val="20"/>
                <w:szCs w:val="20"/>
                <w:color w:val="auto"/>
              </w:rPr>
            </w:pPr>
            <w:r>
              <w:rPr>
                <w:rFonts w:ascii="Arial" w:cs="Arial" w:eastAsia="Arial" w:hAnsi="Arial"/>
                <w:sz w:val="19"/>
                <w:szCs w:val="19"/>
                <w:color w:val="auto"/>
              </w:rPr>
              <w:t>Gains on sales and exchanges of investments, net</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2</w:t>
            </w:r>
          </w:p>
        </w:tc>
        <w:tc>
          <w:tcPr>
            <w:tcW w:w="80" w:type="dxa"/>
            <w:vAlign w:val="bottom"/>
          </w:tcPr>
          <w:p>
            <w:pPr>
              <w:spacing w:after="0"/>
              <w:rPr>
                <w:sz w:val="18"/>
                <w:szCs w:val="18"/>
                <w:color w:val="auto"/>
              </w:rPr>
            </w:pPr>
          </w:p>
        </w:tc>
        <w:tc>
          <w:tcPr>
            <w:tcW w:w="1220" w:type="dxa"/>
            <w:vAlign w:val="bottom"/>
            <w:gridSpan w:val="3"/>
          </w:tcPr>
          <w:p>
            <w:pPr>
              <w:jc w:val="right"/>
              <w:ind w:right="140"/>
              <w:spacing w:after="0" w:line="214" w:lineRule="exact"/>
              <w:rPr>
                <w:sz w:val="20"/>
                <w:szCs w:val="20"/>
                <w:color w:val="auto"/>
              </w:rPr>
            </w:pPr>
            <w:r>
              <w:rPr>
                <w:rFonts w:ascii="Arial" w:cs="Arial" w:eastAsia="Arial" w:hAnsi="Arial"/>
                <w:sz w:val="19"/>
                <w:szCs w:val="19"/>
                <w:color w:val="auto"/>
              </w:rPr>
              <w:t>22</w:t>
            </w:r>
          </w:p>
        </w:tc>
      </w:tr>
      <w:tr>
        <w:trPr>
          <w:trHeight w:val="215"/>
        </w:trPr>
        <w:tc>
          <w:tcPr>
            <w:tcW w:w="6800" w:type="dxa"/>
            <w:vAlign w:val="bottom"/>
          </w:tcPr>
          <w:p>
            <w:pPr>
              <w:spacing w:after="0" w:line="214" w:lineRule="exact"/>
              <w:rPr>
                <w:sz w:val="20"/>
                <w:szCs w:val="20"/>
                <w:color w:val="auto"/>
              </w:rPr>
            </w:pPr>
            <w:r>
              <w:rPr>
                <w:rFonts w:ascii="Arial" w:cs="Arial" w:eastAsia="Arial" w:hAnsi="Arial"/>
                <w:sz w:val="19"/>
                <w:szCs w:val="19"/>
                <w:color w:val="auto"/>
              </w:rPr>
              <w:t>Investment impairment losses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80"/>
              <w:spacing w:after="0" w:line="214" w:lineRule="exact"/>
              <w:rPr>
                <w:sz w:val="20"/>
                <w:szCs w:val="20"/>
                <w:color w:val="auto"/>
              </w:rPr>
            </w:pPr>
            <w:r>
              <w:rPr>
                <w:rFonts w:ascii="Arial" w:cs="Arial" w:eastAsia="Arial" w:hAnsi="Arial"/>
                <w:sz w:val="19"/>
                <w:szCs w:val="19"/>
                <w:color w:val="auto"/>
              </w:rPr>
              <w:t>(55)</w:t>
            </w:r>
          </w:p>
        </w:tc>
      </w:tr>
      <w:tr>
        <w:trPr>
          <w:trHeight w:val="215"/>
        </w:trPr>
        <w:tc>
          <w:tcPr>
            <w:tcW w:w="6800" w:type="dxa"/>
            <w:vAlign w:val="bottom"/>
          </w:tcPr>
          <w:p>
            <w:pPr>
              <w:spacing w:after="0" w:line="214" w:lineRule="exact"/>
              <w:rPr>
                <w:sz w:val="20"/>
                <w:szCs w:val="20"/>
                <w:color w:val="auto"/>
              </w:rPr>
            </w:pPr>
            <w:r>
              <w:rPr>
                <w:rFonts w:ascii="Arial" w:cs="Arial" w:eastAsia="Arial" w:hAnsi="Arial"/>
                <w:sz w:val="19"/>
                <w:szCs w:val="19"/>
                <w:color w:val="auto"/>
              </w:rPr>
              <w:t>Mark to market adjustments on trading securities</w:t>
            </w:r>
          </w:p>
        </w:tc>
        <w:tc>
          <w:tcPr>
            <w:tcW w:w="1000" w:type="dxa"/>
            <w:vAlign w:val="bottom"/>
            <w:gridSpan w:val="2"/>
          </w:tcPr>
          <w:p>
            <w:pPr>
              <w:jc w:val="right"/>
              <w:ind w:right="20"/>
              <w:spacing w:after="0" w:line="214" w:lineRule="exact"/>
              <w:rPr>
                <w:sz w:val="20"/>
                <w:szCs w:val="20"/>
                <w:color w:val="auto"/>
              </w:rPr>
            </w:pPr>
            <w:r>
              <w:rPr>
                <w:rFonts w:ascii="Arial" w:cs="Arial" w:eastAsia="Arial" w:hAnsi="Arial"/>
                <w:sz w:val="19"/>
                <w:szCs w:val="19"/>
                <w:color w:val="auto"/>
              </w:rPr>
              <w:t>(174)</w:t>
            </w:r>
          </w:p>
        </w:tc>
        <w:tc>
          <w:tcPr>
            <w:tcW w:w="1220" w:type="dxa"/>
            <w:vAlign w:val="bottom"/>
            <w:gridSpan w:val="3"/>
          </w:tcPr>
          <w:p>
            <w:pPr>
              <w:jc w:val="right"/>
              <w:ind w:right="80"/>
              <w:spacing w:after="0" w:line="214" w:lineRule="exact"/>
              <w:rPr>
                <w:sz w:val="20"/>
                <w:szCs w:val="20"/>
                <w:color w:val="auto"/>
              </w:rPr>
            </w:pPr>
            <w:r>
              <w:rPr>
                <w:rFonts w:ascii="Arial" w:cs="Arial" w:eastAsia="Arial" w:hAnsi="Arial"/>
                <w:sz w:val="19"/>
                <w:szCs w:val="19"/>
                <w:color w:val="auto"/>
              </w:rPr>
              <w:t>(15)</w:t>
            </w:r>
          </w:p>
        </w:tc>
      </w:tr>
      <w:tr>
        <w:trPr>
          <w:trHeight w:val="215"/>
        </w:trPr>
        <w:tc>
          <w:tcPr>
            <w:tcW w:w="6800" w:type="dxa"/>
            <w:vAlign w:val="bottom"/>
          </w:tcPr>
          <w:p>
            <w:pPr>
              <w:spacing w:after="0" w:line="214" w:lineRule="exact"/>
              <w:rPr>
                <w:sz w:val="20"/>
                <w:szCs w:val="20"/>
                <w:color w:val="auto"/>
              </w:rPr>
            </w:pPr>
            <w:r>
              <w:rPr>
                <w:rFonts w:ascii="Arial" w:cs="Arial" w:eastAsia="Arial" w:hAnsi="Arial"/>
                <w:sz w:val="19"/>
                <w:szCs w:val="19"/>
                <w:color w:val="auto"/>
              </w:rPr>
              <w:t>Mark to market adjustments on derivatives related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6800" w:type="dxa"/>
            <w:vAlign w:val="bottom"/>
          </w:tcPr>
          <w:p>
            <w:pPr>
              <w:ind w:left="240"/>
              <w:spacing w:after="0" w:line="214" w:lineRule="exact"/>
              <w:rPr>
                <w:sz w:val="20"/>
                <w:szCs w:val="20"/>
                <w:color w:val="auto"/>
              </w:rPr>
            </w:pPr>
            <w:r>
              <w:rPr>
                <w:rFonts w:ascii="Arial" w:cs="Arial" w:eastAsia="Arial" w:hAnsi="Arial"/>
                <w:sz w:val="19"/>
                <w:szCs w:val="19"/>
                <w:color w:val="auto"/>
              </w:rPr>
              <w:t>to trading securities</w:t>
            </w:r>
          </w:p>
        </w:tc>
        <w:tc>
          <w:tcPr>
            <w:tcW w:w="920" w:type="dxa"/>
            <w:vAlign w:val="bottom"/>
          </w:tcPr>
          <w:p>
            <w:pPr>
              <w:jc w:val="right"/>
              <w:spacing w:after="0" w:line="214" w:lineRule="exact"/>
              <w:rPr>
                <w:sz w:val="20"/>
                <w:szCs w:val="20"/>
                <w:color w:val="auto"/>
              </w:rPr>
            </w:pPr>
            <w:r>
              <w:rPr>
                <w:rFonts w:ascii="Arial" w:cs="Arial" w:eastAsia="Arial" w:hAnsi="Arial"/>
                <w:sz w:val="19"/>
                <w:szCs w:val="19"/>
                <w:color w:val="auto"/>
              </w:rPr>
              <w:t>55</w:t>
            </w:r>
          </w:p>
        </w:tc>
        <w:tc>
          <w:tcPr>
            <w:tcW w:w="80" w:type="dxa"/>
            <w:vAlign w:val="bottom"/>
          </w:tcPr>
          <w:p>
            <w:pPr>
              <w:spacing w:after="0"/>
              <w:rPr>
                <w:sz w:val="18"/>
                <w:szCs w:val="18"/>
                <w:color w:val="auto"/>
              </w:rPr>
            </w:pPr>
          </w:p>
        </w:tc>
        <w:tc>
          <w:tcPr>
            <w:tcW w:w="1220" w:type="dxa"/>
            <w:vAlign w:val="bottom"/>
            <w:gridSpan w:val="3"/>
          </w:tcPr>
          <w:p>
            <w:pPr>
              <w:jc w:val="right"/>
              <w:ind w:right="80"/>
              <w:spacing w:after="0" w:line="214" w:lineRule="exact"/>
              <w:rPr>
                <w:sz w:val="20"/>
                <w:szCs w:val="20"/>
                <w:color w:val="auto"/>
              </w:rPr>
            </w:pPr>
            <w:r>
              <w:rPr>
                <w:rFonts w:ascii="Arial" w:cs="Arial" w:eastAsia="Arial" w:hAnsi="Arial"/>
                <w:sz w:val="19"/>
                <w:szCs w:val="19"/>
                <w:color w:val="auto"/>
              </w:rPr>
              <w:t>(10)</w:t>
            </w:r>
          </w:p>
        </w:tc>
      </w:tr>
      <w:tr>
        <w:trPr>
          <w:trHeight w:val="242"/>
        </w:trPr>
        <w:tc>
          <w:tcPr>
            <w:tcW w:w="6800" w:type="dxa"/>
            <w:vAlign w:val="bottom"/>
          </w:tcPr>
          <w:p>
            <w:pPr>
              <w:spacing w:after="0"/>
              <w:rPr>
                <w:sz w:val="20"/>
                <w:szCs w:val="20"/>
                <w:color w:val="auto"/>
              </w:rPr>
            </w:pPr>
            <w:r>
              <w:rPr>
                <w:rFonts w:ascii="Arial" w:cs="Arial" w:eastAsia="Arial" w:hAnsi="Arial"/>
                <w:sz w:val="19"/>
                <w:szCs w:val="19"/>
                <w:color w:val="auto"/>
              </w:rPr>
              <w:t>Mark to market adjustments on derivatives and hedged items</w:t>
            </w:r>
          </w:p>
        </w:tc>
        <w:tc>
          <w:tcPr>
            <w:tcW w:w="920" w:type="dxa"/>
            <w:vAlign w:val="bottom"/>
          </w:tcPr>
          <w:p>
            <w:pPr>
              <w:jc w:val="right"/>
              <w:spacing w:after="0"/>
              <w:rPr>
                <w:sz w:val="20"/>
                <w:szCs w:val="20"/>
                <w:color w:val="auto"/>
              </w:rPr>
            </w:pPr>
            <w:r>
              <w:rPr>
                <w:rFonts w:ascii="Arial" w:cs="Arial" w:eastAsia="Arial" w:hAnsi="Arial"/>
                <w:sz w:val="19"/>
                <w:szCs w:val="19"/>
                <w:color w:val="auto"/>
              </w:rPr>
              <w:t>91</w:t>
            </w:r>
          </w:p>
        </w:tc>
        <w:tc>
          <w:tcPr>
            <w:tcW w:w="80" w:type="dxa"/>
            <w:vAlign w:val="bottom"/>
          </w:tcPr>
          <w:p>
            <w:pPr>
              <w:spacing w:after="0"/>
              <w:rPr>
                <w:sz w:val="21"/>
                <w:szCs w:val="21"/>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9"/>
                <w:szCs w:val="19"/>
                <w:color w:val="auto"/>
              </w:rPr>
              <w:t>(199)</w:t>
            </w:r>
          </w:p>
        </w:tc>
      </w:tr>
      <w:tr>
        <w:trPr>
          <w:trHeight w:val="87"/>
        </w:trPr>
        <w:tc>
          <w:tcPr>
            <w:tcW w:w="68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r>
      <w:tr>
        <w:trPr>
          <w:trHeight w:val="310"/>
        </w:trPr>
        <w:tc>
          <w:tcPr>
            <w:tcW w:w="6800" w:type="dxa"/>
            <w:vAlign w:val="bottom"/>
          </w:tcPr>
          <w:p>
            <w:pPr>
              <w:ind w:left="240"/>
              <w:spacing w:after="0"/>
              <w:rPr>
                <w:sz w:val="20"/>
                <w:szCs w:val="20"/>
                <w:color w:val="auto"/>
              </w:rPr>
            </w:pPr>
            <w:r>
              <w:rPr>
                <w:rFonts w:ascii="Arial" w:cs="Arial" w:eastAsia="Arial" w:hAnsi="Arial"/>
                <w:sz w:val="19"/>
                <w:szCs w:val="19"/>
                <w:color w:val="auto"/>
              </w:rPr>
              <w:t>Investment loss, net</w:t>
            </w:r>
          </w:p>
        </w:tc>
        <w:tc>
          <w:tcPr>
            <w:tcW w:w="1000" w:type="dxa"/>
            <w:vAlign w:val="bottom"/>
            <w:gridSpan w:val="2"/>
          </w:tcPr>
          <w:p>
            <w:pPr>
              <w:jc w:val="right"/>
              <w:ind w:right="20"/>
              <w:spacing w:after="0"/>
              <w:rPr>
                <w:sz w:val="20"/>
                <w:szCs w:val="20"/>
                <w:color w:val="auto"/>
              </w:rPr>
            </w:pPr>
            <w:r>
              <w:rPr>
                <w:rFonts w:ascii="Arial" w:cs="Arial" w:eastAsia="Arial" w:hAnsi="Arial"/>
                <w:sz w:val="19"/>
                <w:szCs w:val="19"/>
                <w:color w:val="auto"/>
              </w:rPr>
              <w:t>($9)</w:t>
            </w:r>
          </w:p>
        </w:tc>
        <w:tc>
          <w:tcPr>
            <w:tcW w:w="1220" w:type="dxa"/>
            <w:vAlign w:val="bottom"/>
            <w:gridSpan w:val="3"/>
          </w:tcPr>
          <w:p>
            <w:pPr>
              <w:jc w:val="right"/>
              <w:ind w:right="80"/>
              <w:spacing w:after="0"/>
              <w:rPr>
                <w:sz w:val="20"/>
                <w:szCs w:val="20"/>
                <w:color w:val="auto"/>
              </w:rPr>
            </w:pPr>
            <w:r>
              <w:rPr>
                <w:rFonts w:ascii="Arial" w:cs="Arial" w:eastAsia="Arial" w:hAnsi="Arial"/>
                <w:sz w:val="19"/>
                <w:szCs w:val="19"/>
                <w:color w:val="auto"/>
              </w:rPr>
              <w:t>($223)</w:t>
            </w:r>
          </w:p>
        </w:tc>
      </w:tr>
      <w:tr>
        <w:trPr>
          <w:trHeight w:val="95"/>
        </w:trPr>
        <w:tc>
          <w:tcPr>
            <w:tcW w:w="68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4886960</wp:posOffset>
            </wp:positionH>
            <wp:positionV relativeFrom="paragraph">
              <wp:posOffset>-13335</wp:posOffset>
            </wp:positionV>
            <wp:extent cx="1270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-13335</wp:posOffset>
            </wp:positionV>
            <wp:extent cx="1270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-13335</wp:posOffset>
            </wp:positionV>
            <wp:extent cx="1270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-13335</wp:posOffset>
            </wp:positionV>
            <wp:extent cx="1270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We have entered into derivative financial instruments that we account for at fair value and which economically hedge the market price fluctuations in the common stock of certain of our investments accounted for as trading securities. Investment loss, net includes the fair value adjustments related to our trading securities and derivative financial instruments. The change in the fair value of our investments accounted for as trading securities, with the exception in 2004 of the mark to market adjustments on approximately 116 million shares of our Liberty common shares discussed below, was substantially offset by the changes in the fair value of the related derivatives.</w:t>
      </w:r>
    </w:p>
    <w:p>
      <w:pPr>
        <w:spacing w:after="0" w:line="147" w:lineRule="exact"/>
        <w:rPr>
          <w:sz w:val="20"/>
          <w:szCs w:val="20"/>
          <w:color w:val="auto"/>
        </w:rPr>
      </w:pPr>
    </w:p>
    <w:p>
      <w:pPr>
        <w:jc w:val="both"/>
        <w:ind w:right="100" w:firstLine="378"/>
        <w:spacing w:after="0" w:line="261" w:lineRule="auto"/>
        <w:rPr>
          <w:sz w:val="20"/>
          <w:szCs w:val="20"/>
          <w:color w:val="auto"/>
        </w:rPr>
      </w:pPr>
      <w:r>
        <w:rPr>
          <w:rFonts w:ascii="Arial" w:cs="Arial" w:eastAsia="Arial" w:hAnsi="Arial"/>
          <w:sz w:val="19"/>
          <w:szCs w:val="19"/>
          <w:color w:val="auto"/>
        </w:rPr>
        <w:t>We are exposed to changes in the fair value of approximately 116 million shares of Liberty common stock we hold and account for as a trading security because we have not entered into a corresponding derivative to hedge this market exposure.</w:t>
      </w:r>
    </w:p>
    <w:p>
      <w:pPr>
        <w:spacing w:after="0" w:line="145" w:lineRule="exact"/>
        <w:rPr>
          <w:sz w:val="20"/>
          <w:szCs w:val="20"/>
          <w:color w:val="auto"/>
        </w:rPr>
      </w:pPr>
    </w:p>
    <w:p>
      <w:pPr>
        <w:jc w:val="both"/>
        <w:ind w:right="80" w:firstLine="378"/>
        <w:spacing w:after="0" w:line="248" w:lineRule="auto"/>
        <w:rPr>
          <w:sz w:val="20"/>
          <w:szCs w:val="20"/>
          <w:color w:val="auto"/>
        </w:rPr>
      </w:pPr>
      <w:r>
        <w:rPr>
          <w:rFonts w:ascii="Arial" w:cs="Arial" w:eastAsia="Arial" w:hAnsi="Arial"/>
          <w:sz w:val="19"/>
          <w:szCs w:val="19"/>
          <w:color w:val="auto"/>
        </w:rPr>
        <w:t>We are also exposed to changes in the fair value of the derivative component of the Comcast exchangeable notes we have outstanding since the underlying 30.9 million shares of Comcast Class A Special common stock we hold in treasury are carried at our historical cost and are not adjusted for changes in fair value.</w:t>
      </w:r>
    </w:p>
    <w:p>
      <w:pPr>
        <w:spacing w:after="0" w:line="158" w:lineRule="exact"/>
        <w:rPr>
          <w:sz w:val="20"/>
          <w:szCs w:val="20"/>
          <w:color w:val="auto"/>
        </w:rPr>
      </w:pPr>
    </w:p>
    <w:p>
      <w:pPr>
        <w:ind w:right="240" w:firstLine="371"/>
        <w:spacing w:after="0" w:line="248" w:lineRule="auto"/>
        <w:rPr>
          <w:sz w:val="20"/>
          <w:szCs w:val="20"/>
          <w:color w:val="auto"/>
        </w:rPr>
      </w:pPr>
      <w:r>
        <w:rPr>
          <w:rFonts w:ascii="Arial" w:cs="Arial" w:eastAsia="Arial" w:hAnsi="Arial"/>
          <w:sz w:val="19"/>
          <w:szCs w:val="19"/>
          <w:color w:val="auto"/>
        </w:rPr>
        <w:t>Accordingly, our investment income (loss) is affected by fluctuations in the fair value of both the Liberty common stock and the derivative component of the Comcast exchangeable notes. Investment loss, net for the first quarter of 2004 includes a loss of $29 million, net related to these financial instruments compared to a loss of $197 million in the same quarter of 2003.</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9"/>
          <w:szCs w:val="19"/>
          <w:i w:val="1"/>
          <w:iCs w:val="1"/>
          <w:color w:val="auto"/>
        </w:rPr>
        <w:t>Income Tax (Expense) Benefit</w:t>
      </w:r>
    </w:p>
    <w:p>
      <w:pPr>
        <w:spacing w:after="0" w:line="187" w:lineRule="exact"/>
        <w:rPr>
          <w:sz w:val="20"/>
          <w:szCs w:val="20"/>
          <w:color w:val="auto"/>
        </w:rPr>
      </w:pPr>
    </w:p>
    <w:p>
      <w:pPr>
        <w:ind w:right="440" w:firstLine="378"/>
        <w:spacing w:after="0" w:line="261" w:lineRule="auto"/>
        <w:rPr>
          <w:sz w:val="20"/>
          <w:szCs w:val="20"/>
          <w:color w:val="auto"/>
        </w:rPr>
      </w:pPr>
      <w:r>
        <w:rPr>
          <w:rFonts w:ascii="Arial" w:cs="Arial" w:eastAsia="Arial" w:hAnsi="Arial"/>
          <w:sz w:val="19"/>
          <w:szCs w:val="19"/>
          <w:color w:val="auto"/>
        </w:rPr>
        <w:t>The change in income tax (expense) benefit for the interim period from 2003 to 2004 is primarily the result of the effects of changes in our income (loss) before taxes and minority interest.</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9"/>
          <w:szCs w:val="19"/>
          <w:i w:val="1"/>
          <w:iCs w:val="1"/>
          <w:color w:val="auto"/>
        </w:rPr>
        <w:t>Minority Interest</w:t>
      </w:r>
    </w:p>
    <w:p>
      <w:pPr>
        <w:spacing w:after="0" w:line="187" w:lineRule="exact"/>
        <w:rPr>
          <w:sz w:val="20"/>
          <w:szCs w:val="20"/>
          <w:color w:val="auto"/>
        </w:rPr>
      </w:pPr>
    </w:p>
    <w:p>
      <w:pPr>
        <w:ind w:right="240" w:firstLine="426"/>
        <w:spacing w:after="0" w:line="289" w:lineRule="auto"/>
        <w:rPr>
          <w:sz w:val="20"/>
          <w:szCs w:val="20"/>
          <w:color w:val="auto"/>
        </w:rPr>
      </w:pPr>
      <w:r>
        <w:rPr>
          <w:rFonts w:ascii="Arial" w:cs="Arial" w:eastAsia="Arial" w:hAnsi="Arial"/>
          <w:sz w:val="18"/>
          <w:szCs w:val="18"/>
          <w:color w:val="auto"/>
        </w:rPr>
        <w:t>The change in minority interest for the interim period from 2003 to 2004 is attributable to the effects of our adoption of SFAS No. 150, upon which we now record our subsidiary preferred dividends, previously included within minority interest expense, to interest expense.</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We believe that our operations are not materially affected by inflation.</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193" w:lineRule="exact"/>
        <w:rPr>
          <w:sz w:val="20"/>
          <w:szCs w:val="20"/>
          <w:color w:val="auto"/>
        </w:rPr>
      </w:pPr>
    </w:p>
    <w:p>
      <w:pPr>
        <w:ind w:firstLine="378"/>
        <w:spacing w:after="0" w:line="248" w:lineRule="auto"/>
        <w:rPr>
          <w:sz w:val="20"/>
          <w:szCs w:val="20"/>
          <w:color w:val="auto"/>
        </w:rPr>
      </w:pPr>
      <w:r>
        <w:rPr>
          <w:rFonts w:ascii="Arial" w:cs="Arial" w:eastAsia="Arial" w:hAnsi="Arial"/>
          <w:sz w:val="19"/>
          <w:szCs w:val="19"/>
          <w:color w:val="auto"/>
        </w:rPr>
        <w:t>We believe that we will be able to meet our current and long-term liquidity and capital requirements, including fixed charges, through our cash flows from operating activities, existing cash, cash equivalents and investments, through available borrowings under our existing credit facilities, and through our ability to obtain future external financing.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27773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FORM 10-Q</w:t>
      </w:r>
    </w:p>
    <w:p>
      <w:pPr>
        <w:jc w:val="center"/>
        <w:ind w:right="-19"/>
        <w:spacing w:after="0"/>
        <w:rPr>
          <w:sz w:val="20"/>
          <w:szCs w:val="20"/>
          <w:color w:val="auto"/>
        </w:rPr>
      </w:pPr>
      <w:r>
        <w:rPr>
          <w:rFonts w:ascii="Arial" w:cs="Arial" w:eastAsia="Arial" w:hAnsi="Arial"/>
          <w:sz w:val="19"/>
          <w:szCs w:val="19"/>
          <w:color w:val="auto"/>
        </w:rPr>
        <w:t>QUARTER ENDED MARCH 31, 2004</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187" w:lineRule="exact"/>
        <w:rPr>
          <w:sz w:val="20"/>
          <w:szCs w:val="20"/>
          <w:color w:val="auto"/>
        </w:rPr>
      </w:pPr>
    </w:p>
    <w:p>
      <w:pPr>
        <w:ind w:right="80" w:firstLine="378"/>
        <w:spacing w:after="0" w:line="261" w:lineRule="auto"/>
        <w:rPr>
          <w:sz w:val="20"/>
          <w:szCs w:val="20"/>
          <w:color w:val="auto"/>
        </w:rPr>
      </w:pPr>
      <w:r>
        <w:rPr>
          <w:rFonts w:ascii="Arial" w:cs="Arial" w:eastAsia="Arial" w:hAnsi="Arial"/>
          <w:sz w:val="19"/>
          <w:szCs w:val="19"/>
          <w:color w:val="auto"/>
        </w:rPr>
        <w:t>We have traditionally maintained significant levels of cash and cash equivalents to meet our short-term liquidity requirements. As of March 31, 2004, our cash and cash equivalents were $875 million, substantially all of which is unrestricted.</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Investments</w:t>
      </w:r>
    </w:p>
    <w:p>
      <w:pPr>
        <w:spacing w:after="0" w:line="187" w:lineRule="exact"/>
        <w:rPr>
          <w:sz w:val="20"/>
          <w:szCs w:val="20"/>
          <w:color w:val="auto"/>
        </w:rPr>
      </w:pPr>
    </w:p>
    <w:p>
      <w:pPr>
        <w:ind w:right="320" w:firstLine="378"/>
        <w:spacing w:after="0" w:line="261" w:lineRule="auto"/>
        <w:rPr>
          <w:sz w:val="20"/>
          <w:szCs w:val="20"/>
          <w:color w:val="auto"/>
        </w:rPr>
      </w:pPr>
      <w:r>
        <w:rPr>
          <w:rFonts w:ascii="Arial" w:cs="Arial" w:eastAsia="Arial" w:hAnsi="Arial"/>
          <w:sz w:val="19"/>
          <w:szCs w:val="19"/>
          <w:color w:val="auto"/>
        </w:rPr>
        <w:t>We consider investments that we determine to be non-strategic, highly-valued, or both, to be a source of liquidity. As of March 31, 2004, we consider our investments in the following to be potential sources of liquidity:</w:t>
      </w:r>
    </w:p>
    <w:p>
      <w:pPr>
        <w:spacing w:after="0" w:line="145" w:lineRule="exact"/>
        <w:rPr>
          <w:sz w:val="20"/>
          <w:szCs w:val="20"/>
          <w:color w:val="auto"/>
        </w:rPr>
      </w:pPr>
    </w:p>
    <w:p>
      <w:pPr>
        <w:ind w:left="680" w:hanging="339"/>
        <w:spacing w:after="0"/>
        <w:tabs>
          <w:tab w:leader="none" w:pos="6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$1.5 billion in Time Warner Inc. common equivalent preferred stock,</w:t>
      </w:r>
    </w:p>
    <w:p>
      <w:pPr>
        <w:spacing w:after="0" w:line="12" w:lineRule="exact"/>
        <w:rPr>
          <w:rFonts w:ascii="Arial" w:cs="Arial" w:eastAsia="Arial" w:hAnsi="Arial"/>
          <w:sz w:val="19"/>
          <w:szCs w:val="19"/>
          <w:color w:val="auto"/>
        </w:rPr>
      </w:pPr>
    </w:p>
    <w:p>
      <w:pPr>
        <w:ind w:left="680" w:hanging="339"/>
        <w:spacing w:after="0" w:line="235" w:lineRule="auto"/>
        <w:tabs>
          <w:tab w:leader="none" w:pos="6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$1.3 billion in Liberty common stock,</w:t>
      </w:r>
    </w:p>
    <w:p>
      <w:pPr>
        <w:ind w:left="680" w:hanging="339"/>
        <w:spacing w:after="0" w:line="235" w:lineRule="auto"/>
        <w:tabs>
          <w:tab w:leader="none" w:pos="6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21% interest in Time Warner Cable Inc., and</w:t>
      </w:r>
    </w:p>
    <w:p>
      <w:pPr>
        <w:ind w:left="680" w:hanging="339"/>
        <w:spacing w:after="0"/>
        <w:tabs>
          <w:tab w:leader="none" w:pos="6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interests in certain cable television partnerships.</w:t>
      </w:r>
    </w:p>
    <w:p>
      <w:pPr>
        <w:sectPr>
          <w:pgSz w:w="11900" w:h="16838" w:orient="portrait"/>
          <w:cols w:equalWidth="0" w:num="1">
            <w:col w:w="11400"/>
          </w:cols>
          <w:pgMar w:left="240" w:top="120" w:right="259" w:bottom="0" w:gutter="0" w:footer="0" w:header="0"/>
        </w:sectPr>
      </w:pPr>
    </w:p>
    <w:p>
      <w:pPr>
        <w:spacing w:after="0" w:line="38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do not have any significant contractual funding commitments with respect to any of our investments.</w:t>
      </w:r>
    </w:p>
    <w:p>
      <w:pPr>
        <w:sectPr>
          <w:pgSz w:w="11900" w:h="16838" w:orient="portrait"/>
          <w:cols w:equalWidth="0" w:num="1">
            <w:col w:w="11400"/>
          </w:cols>
          <w:pgMar w:left="240" w:top="120" w:right="259" w:bottom="0" w:gutter="0" w:footer="0" w:header="0"/>
          <w:type w:val="continuous"/>
        </w:sectPr>
      </w:pPr>
    </w:p>
    <w:bookmarkStart w:id="23" w:name="page24"/>
    <w:bookmarkEnd w:id="23"/>
    <w:p>
      <w:pPr>
        <w:ind w:left="380"/>
        <w:spacing w:after="0"/>
        <w:rPr>
          <w:rFonts w:ascii="Arial" w:cs="Arial" w:eastAsia="Arial" w:hAnsi="Arial"/>
          <w:sz w:val="19"/>
          <w:szCs w:val="19"/>
          <w:color w:val="auto"/>
        </w:rPr>
      </w:pPr>
      <w:r>
        <w:rPr>
          <w:rFonts w:ascii="Arial" w:cs="Arial" w:eastAsia="Arial" w:hAnsi="Arial"/>
          <w:sz w:val="19"/>
          <w:szCs w:val="19"/>
          <w:color w:val="auto"/>
        </w:rPr>
        <w:t xml:space="preserve">Refer to </w:t>
      </w:r>
      <w:hyperlink w:anchor="page7">
        <w:r>
          <w:rPr>
            <w:rFonts w:ascii="Arial" w:cs="Arial" w:eastAsia="Arial" w:hAnsi="Arial"/>
            <w:sz w:val="19"/>
            <w:szCs w:val="19"/>
            <w:u w:val="single" w:color="auto"/>
            <w:color w:val="0000EE"/>
          </w:rPr>
          <w:t>Note 5</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to our financial statements included in Item 1 for a discussion of our investments.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Available Borrowings Under Credit Facilities</w:t>
      </w:r>
    </w:p>
    <w:p>
      <w:pPr>
        <w:spacing w:after="0" w:line="187" w:lineRule="exact"/>
        <w:rPr>
          <w:sz w:val="20"/>
          <w:szCs w:val="20"/>
          <w:color w:val="auto"/>
        </w:rPr>
      </w:pPr>
    </w:p>
    <w:p>
      <w:pPr>
        <w:ind w:firstLine="378"/>
        <w:spacing w:after="0" w:line="244" w:lineRule="auto"/>
        <w:rPr>
          <w:rFonts w:ascii="Arial" w:cs="Arial" w:eastAsia="Arial" w:hAnsi="Arial"/>
          <w:sz w:val="19"/>
          <w:szCs w:val="19"/>
          <w:color w:val="auto"/>
        </w:rPr>
      </w:pPr>
      <w:r>
        <w:rPr>
          <w:rFonts w:ascii="Arial" w:cs="Arial" w:eastAsia="Arial" w:hAnsi="Arial"/>
          <w:sz w:val="19"/>
          <w:szCs w:val="19"/>
          <w:color w:val="auto"/>
        </w:rPr>
        <w:t xml:space="preserve">We have traditionally maintained significant availability under our lines of credit to meet our short-term liquidity requirements. On January 8, 2004, we refinanced three of our existing revolving credit facilities with a new $4.5 billion, five-year revolving bank credit facility due January 2009. As of March 31, 2004, amounts available under our lines of credit totaled $4.382 billion. Refer to </w:t>
      </w:r>
      <w:hyperlink w:anchor="page8">
        <w:r>
          <w:rPr>
            <w:rFonts w:ascii="Arial" w:cs="Arial" w:eastAsia="Arial" w:hAnsi="Arial"/>
            <w:sz w:val="19"/>
            <w:szCs w:val="19"/>
            <w:u w:val="single" w:color="auto"/>
            <w:color w:val="0000EE"/>
          </w:rPr>
          <w:t>Note 6</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to our consolidated financial statements included in Item 1 for further discussion about our new credit facility.</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Financing</w:t>
      </w:r>
    </w:p>
    <w:p>
      <w:pPr>
        <w:spacing w:after="0" w:line="187" w:lineRule="exact"/>
        <w:rPr>
          <w:sz w:val="20"/>
          <w:szCs w:val="20"/>
          <w:color w:val="auto"/>
        </w:rPr>
      </w:pPr>
    </w:p>
    <w:p>
      <w:pPr>
        <w:ind w:right="180" w:firstLine="371"/>
        <w:spacing w:after="0" w:line="244" w:lineRule="auto"/>
        <w:rPr>
          <w:sz w:val="20"/>
          <w:szCs w:val="20"/>
          <w:color w:val="auto"/>
        </w:rPr>
      </w:pPr>
      <w:r>
        <w:rPr>
          <w:rFonts w:ascii="Arial" w:cs="Arial" w:eastAsia="Arial" w:hAnsi="Arial"/>
          <w:sz w:val="19"/>
          <w:szCs w:val="19"/>
          <w:color w:val="auto"/>
        </w:rPr>
        <w:t>As of March 31, 2004 and December 31, 2003, our debt, including capital lease obligations, was $26.626 billion and $26.996 billion, respectively. The $370 million decrease from December 31, 2003 to March 31, 2004 results principally from the effects of our net debt repayments during the first quarter of 2004. Included in our debt as of March 31, 2004 and December 31, 2003 was current portion of long-term debt of $3.386 billion and $3.161 billion, respectively.</w:t>
      </w:r>
    </w:p>
    <w:p>
      <w:pPr>
        <w:spacing w:after="0" w:line="161" w:lineRule="exact"/>
        <w:rPr>
          <w:sz w:val="20"/>
          <w:szCs w:val="20"/>
          <w:color w:val="auto"/>
        </w:rPr>
      </w:pPr>
    </w:p>
    <w:p>
      <w:pPr>
        <w:ind w:right="320" w:firstLine="382"/>
        <w:spacing w:after="0" w:line="261" w:lineRule="auto"/>
        <w:rPr>
          <w:sz w:val="20"/>
          <w:szCs w:val="20"/>
          <w:color w:val="auto"/>
        </w:rPr>
      </w:pPr>
      <w:r>
        <w:rPr>
          <w:rFonts w:ascii="Arial" w:cs="Arial" w:eastAsia="Arial" w:hAnsi="Arial"/>
          <w:sz w:val="19"/>
          <w:szCs w:val="19"/>
          <w:color w:val="auto"/>
        </w:rPr>
        <w:t>Excluding the effects of interest rate risk management instruments, 7.7% and 8.2% of our total debt as of March 31, 2004 and December 31, 2003, respectively, was at variable rates.</w:t>
      </w:r>
    </w:p>
    <w:p>
      <w:pPr>
        <w:spacing w:after="0" w:line="145" w:lineRule="exact"/>
        <w:rPr>
          <w:sz w:val="20"/>
          <w:szCs w:val="20"/>
          <w:color w:val="auto"/>
        </w:rPr>
      </w:pPr>
    </w:p>
    <w:p>
      <w:pPr>
        <w:ind w:right="200" w:firstLine="378"/>
        <w:spacing w:after="0" w:line="261" w:lineRule="auto"/>
        <w:rPr>
          <w:sz w:val="20"/>
          <w:szCs w:val="20"/>
          <w:color w:val="auto"/>
        </w:rPr>
      </w:pPr>
      <w:r>
        <w:rPr>
          <w:rFonts w:ascii="Arial" w:cs="Arial" w:eastAsia="Arial" w:hAnsi="Arial"/>
          <w:sz w:val="19"/>
          <w:szCs w:val="19"/>
          <w:color w:val="auto"/>
        </w:rPr>
        <w:t>We have made, and may from time to time in the future depending on certain factors such as market conditions, make optional repayments on our debt obligations, which may include open market repurchases of our outstanding public notes and debentures.</w:t>
      </w:r>
    </w:p>
    <w:p>
      <w:pPr>
        <w:spacing w:after="0" w:line="145" w:lineRule="exact"/>
        <w:rPr>
          <w:sz w:val="20"/>
          <w:szCs w:val="20"/>
          <w:color w:val="auto"/>
        </w:rPr>
      </w:pPr>
    </w:p>
    <w:p>
      <w:pPr>
        <w:ind w:left="380"/>
        <w:spacing w:after="0"/>
        <w:rPr>
          <w:rFonts w:ascii="Arial" w:cs="Arial" w:eastAsia="Arial" w:hAnsi="Arial"/>
          <w:sz w:val="19"/>
          <w:szCs w:val="19"/>
          <w:color w:val="auto"/>
        </w:rPr>
      </w:pPr>
      <w:r>
        <w:rPr>
          <w:rFonts w:ascii="Arial" w:cs="Arial" w:eastAsia="Arial" w:hAnsi="Arial"/>
          <w:sz w:val="19"/>
          <w:szCs w:val="19"/>
          <w:color w:val="auto"/>
        </w:rPr>
        <w:t xml:space="preserve">Refer to </w:t>
      </w:r>
      <w:hyperlink w:anchor="page8">
        <w:r>
          <w:rPr>
            <w:rFonts w:ascii="Arial" w:cs="Arial" w:eastAsia="Arial" w:hAnsi="Arial"/>
            <w:sz w:val="19"/>
            <w:szCs w:val="19"/>
            <w:u w:val="single" w:color="auto"/>
            <w:color w:val="0000EE"/>
          </w:rPr>
          <w:t>Note 6</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to our financial statements included in Item 1 for a discussion of our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327660</wp:posOffset>
            </wp:positionV>
            <wp:extent cx="182499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249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Statement of Cash Flows</w:t>
      </w:r>
    </w:p>
    <w:p>
      <w:pPr>
        <w:spacing w:after="0" w:line="193" w:lineRule="exact"/>
        <w:rPr>
          <w:sz w:val="20"/>
          <w:szCs w:val="20"/>
          <w:color w:val="auto"/>
        </w:rPr>
      </w:pPr>
    </w:p>
    <w:p>
      <w:pPr>
        <w:ind w:right="240" w:firstLine="382"/>
        <w:spacing w:after="0" w:line="261" w:lineRule="auto"/>
        <w:rPr>
          <w:sz w:val="20"/>
          <w:szCs w:val="20"/>
          <w:color w:val="auto"/>
        </w:rPr>
      </w:pPr>
      <w:r>
        <w:rPr>
          <w:rFonts w:ascii="Arial" w:cs="Arial" w:eastAsia="Arial" w:hAnsi="Arial"/>
          <w:sz w:val="19"/>
          <w:szCs w:val="19"/>
          <w:color w:val="auto"/>
        </w:rPr>
        <w:t>Cash and cash equivalents decreased $675 million as of March 31, 2004 from December 31, 2003. The decrease in cash and cash equivalents resulted from cash flows from operating, financing and investing activities, as explained below.</w:t>
      </w:r>
    </w:p>
    <w:p>
      <w:pPr>
        <w:spacing w:after="0" w:line="145" w:lineRule="exact"/>
        <w:rPr>
          <w:sz w:val="20"/>
          <w:szCs w:val="20"/>
          <w:color w:val="auto"/>
        </w:rPr>
      </w:pPr>
    </w:p>
    <w:p>
      <w:pPr>
        <w:jc w:val="both"/>
        <w:ind w:right="20" w:firstLine="382"/>
        <w:spacing w:after="0" w:line="269" w:lineRule="auto"/>
        <w:rPr>
          <w:sz w:val="20"/>
          <w:szCs w:val="20"/>
          <w:color w:val="auto"/>
        </w:rPr>
      </w:pPr>
      <w:r>
        <w:rPr>
          <w:rFonts w:ascii="Arial" w:cs="Arial" w:eastAsia="Arial" w:hAnsi="Arial"/>
          <w:sz w:val="18"/>
          <w:szCs w:val="18"/>
          <w:color w:val="auto"/>
        </w:rPr>
        <w:t>Net cash provided by operating activities from continuing operations amounted to $774 million for the three months ended March 31, 2004, due principally to our operating income before depreciation and amortization (see “Results of Continuing Operations”), the effects of interest and income tax payments, and changes in operating assets and liabilities as a result of the timing of receipts and disbursements.</w:t>
      </w:r>
    </w:p>
    <w:p>
      <w:pPr>
        <w:spacing w:after="0" w:line="139" w:lineRule="exact"/>
        <w:rPr>
          <w:sz w:val="20"/>
          <w:szCs w:val="20"/>
          <w:color w:val="auto"/>
        </w:rPr>
      </w:pPr>
    </w:p>
    <w:p>
      <w:pPr>
        <w:ind w:right="440" w:firstLine="382"/>
        <w:spacing w:after="0" w:line="261" w:lineRule="auto"/>
        <w:rPr>
          <w:sz w:val="20"/>
          <w:szCs w:val="20"/>
          <w:color w:val="auto"/>
        </w:rPr>
      </w:pPr>
      <w:r>
        <w:rPr>
          <w:rFonts w:ascii="Arial" w:cs="Arial" w:eastAsia="Arial" w:hAnsi="Arial"/>
          <w:sz w:val="19"/>
          <w:szCs w:val="19"/>
          <w:color w:val="auto"/>
        </w:rPr>
        <w:t>Net cash used in financing activities from continuing operations was $251 million for the three months ended March 31, 2004 and consists primarily of repayments of debt.</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9"/>
          <w:szCs w:val="19"/>
          <w:color w:val="auto"/>
        </w:rPr>
        <w:t>During the three months ended March 31, 2004, we repaid $273 million of our debt, consisting principally of:</w:t>
      </w:r>
    </w:p>
    <w:p>
      <w:pPr>
        <w:spacing w:after="0" w:line="187" w:lineRule="exact"/>
        <w:rPr>
          <w:sz w:val="20"/>
          <w:szCs w:val="20"/>
          <w:color w:val="auto"/>
        </w:rPr>
      </w:pPr>
    </w:p>
    <w:p>
      <w:pPr>
        <w:ind w:left="680" w:hanging="339"/>
        <w:spacing w:after="0"/>
        <w:tabs>
          <w:tab w:leader="none" w:pos="6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$260 million of our senior and medium term notes and</w:t>
      </w:r>
    </w:p>
    <w:p>
      <w:pPr>
        <w:spacing w:after="0" w:line="12" w:lineRule="exact"/>
        <w:rPr>
          <w:rFonts w:ascii="Arial" w:cs="Arial" w:eastAsia="Arial" w:hAnsi="Arial"/>
          <w:sz w:val="19"/>
          <w:szCs w:val="19"/>
          <w:color w:val="auto"/>
        </w:rPr>
      </w:pPr>
    </w:p>
    <w:p>
      <w:pPr>
        <w:ind w:left="680" w:hanging="339"/>
        <w:spacing w:after="0"/>
        <w:tabs>
          <w:tab w:leader="none" w:pos="6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$13 million of capital leases and other.</w:t>
      </w:r>
    </w:p>
    <w:p>
      <w:pPr>
        <w:spacing w:after="0" w:line="386" w:lineRule="exact"/>
        <w:rPr>
          <w:sz w:val="20"/>
          <w:szCs w:val="20"/>
          <w:color w:val="auto"/>
        </w:rPr>
      </w:pPr>
    </w:p>
    <w:p>
      <w:pPr>
        <w:jc w:val="both"/>
        <w:ind w:right="380" w:firstLine="382"/>
        <w:spacing w:after="0" w:line="248" w:lineRule="auto"/>
        <w:rPr>
          <w:sz w:val="20"/>
          <w:szCs w:val="20"/>
          <w:color w:val="auto"/>
        </w:rPr>
      </w:pPr>
      <w:r>
        <w:rPr>
          <w:rFonts w:ascii="Arial" w:cs="Arial" w:eastAsia="Arial" w:hAnsi="Arial"/>
          <w:sz w:val="19"/>
          <w:szCs w:val="19"/>
          <w:color w:val="auto"/>
        </w:rPr>
        <w:t>Net cash used in investing activities from continuing operations was $1.198 billion for the three months ended March 31, 2004. During this period, net cash used in investing activities from continuing operations includes capital expenditures of $828 million and additions to intangible assets of $305 million.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27773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FORM 10-Q</w:t>
      </w:r>
    </w:p>
    <w:p>
      <w:pPr>
        <w:jc w:val="center"/>
        <w:ind w:right="-19"/>
        <w:spacing w:after="0"/>
        <w:rPr>
          <w:sz w:val="20"/>
          <w:szCs w:val="20"/>
          <w:color w:val="auto"/>
        </w:rPr>
      </w:pPr>
      <w:r>
        <w:rPr>
          <w:rFonts w:ascii="Arial" w:cs="Arial" w:eastAsia="Arial" w:hAnsi="Arial"/>
          <w:sz w:val="19"/>
          <w:szCs w:val="19"/>
          <w:color w:val="auto"/>
        </w:rPr>
        <w:t>QUARTER ENDED MARCH 31, 2004</w:t>
      </w:r>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19"/>
          <w:szCs w:val="19"/>
          <w:color w:val="auto"/>
        </w:rPr>
        <w:t>ITEM 3.</w:t>
      </w:r>
      <w:r>
        <w:rPr>
          <w:sz w:val="20"/>
          <w:szCs w:val="20"/>
          <w:color w:val="auto"/>
        </w:rPr>
        <w:tab/>
      </w:r>
      <w:r>
        <w:rPr>
          <w:rFonts w:ascii="Arial" w:cs="Arial" w:eastAsia="Arial" w:hAnsi="Arial"/>
          <w:sz w:val="18"/>
          <w:szCs w:val="18"/>
          <w:color w:val="auto"/>
        </w:rPr>
        <w:t>QUANTITATIVE AND QUALITATIVE DISCLOSURES ABOUT MARKET RISK</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significant changes to the information required under this Item from what was disclosed in our 2003 Form 10-K.</w:t>
      </w: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9"/>
          <w:szCs w:val="19"/>
          <w:color w:val="auto"/>
        </w:rPr>
        <w:t>ITEM 4.</w:t>
      </w:r>
      <w:r>
        <w:rPr>
          <w:sz w:val="20"/>
          <w:szCs w:val="20"/>
          <w:color w:val="auto"/>
        </w:rPr>
        <w:tab/>
      </w:r>
      <w:r>
        <w:rPr>
          <w:rFonts w:ascii="Arial" w:cs="Arial" w:eastAsia="Arial" w:hAnsi="Arial"/>
          <w:sz w:val="18"/>
          <w:szCs w:val="18"/>
          <w:color w:val="auto"/>
        </w:rPr>
        <w:t>CONTROLS AND PROCEDURES</w:t>
      </w:r>
    </w:p>
    <w:p>
      <w:pPr>
        <w:spacing w:after="0" w:line="211"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Our chief executive officer and our co-chief financial officers, after evaluating the effectiveness of our 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adequate and designed to ensure that material information relating to us and our consolidated subsidiaries would be made known to them by others within those entities.</w:t>
      </w:r>
    </w:p>
    <w:p>
      <w:pPr>
        <w:spacing w:after="0" w:line="171" w:lineRule="exact"/>
        <w:rPr>
          <w:sz w:val="20"/>
          <w:szCs w:val="20"/>
          <w:color w:val="auto"/>
        </w:rPr>
      </w:pPr>
    </w:p>
    <w:p>
      <w:pPr>
        <w:ind w:left="460" w:right="140"/>
        <w:spacing w:after="0" w:line="269" w:lineRule="auto"/>
        <w:rPr>
          <w:sz w:val="20"/>
          <w:szCs w:val="20"/>
          <w:color w:val="auto"/>
        </w:rPr>
      </w:pPr>
      <w:r>
        <w:rPr>
          <w:rFonts w:ascii="Arial" w:cs="Arial" w:eastAsia="Arial" w:hAnsi="Arial"/>
          <w:sz w:val="18"/>
          <w:szCs w:val="18"/>
          <w:color w:val="auto"/>
        </w:rPr>
        <w:t>Changes in internal control over financial reporting. 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163" w:lineRule="exact"/>
        <w:rPr>
          <w:sz w:val="20"/>
          <w:szCs w:val="20"/>
          <w:color w:val="auto"/>
        </w:rPr>
      </w:pPr>
    </w:p>
    <w:p>
      <w:pPr>
        <w:spacing w:after="0"/>
        <w:tabs>
          <w:tab w:leader="none" w:pos="900" w:val="left"/>
        </w:tabs>
        <w:rPr>
          <w:sz w:val="20"/>
          <w:szCs w:val="20"/>
          <w:color w:val="auto"/>
        </w:rPr>
      </w:pPr>
      <w:r>
        <w:rPr>
          <w:rFonts w:ascii="Arial" w:cs="Arial" w:eastAsia="Arial" w:hAnsi="Arial"/>
          <w:sz w:val="19"/>
          <w:szCs w:val="19"/>
          <w:u w:val="single" w:color="auto"/>
          <w:color w:val="auto"/>
        </w:rPr>
        <w:t>PART II.</w:t>
      </w:r>
      <w:r>
        <w:rPr>
          <w:sz w:val="20"/>
          <w:szCs w:val="20"/>
          <w:color w:val="auto"/>
        </w:rPr>
        <w:tab/>
      </w:r>
      <w:r>
        <w:rPr>
          <w:rFonts w:ascii="Arial" w:cs="Arial" w:eastAsia="Arial" w:hAnsi="Arial"/>
          <w:sz w:val="18"/>
          <w:szCs w:val="18"/>
          <w:u w:val="single" w:color="auto"/>
          <w:color w:val="auto"/>
        </w:rPr>
        <w:t>OTHER INFORMATION</w:t>
      </w:r>
    </w:p>
    <w:p>
      <w:pPr>
        <w:spacing w:after="0" w:line="211" w:lineRule="exact"/>
        <w:rPr>
          <w:sz w:val="20"/>
          <w:szCs w:val="20"/>
          <w:color w:val="auto"/>
        </w:rPr>
      </w:pPr>
    </w:p>
    <w:p>
      <w:pPr>
        <w:spacing w:after="0"/>
        <w:tabs>
          <w:tab w:leader="none" w:pos="900" w:val="left"/>
        </w:tabs>
        <w:rPr>
          <w:sz w:val="20"/>
          <w:szCs w:val="20"/>
          <w:color w:val="auto"/>
        </w:rPr>
      </w:pPr>
      <w:r>
        <w:rPr>
          <w:rFonts w:ascii="Arial" w:cs="Arial" w:eastAsia="Arial" w:hAnsi="Arial"/>
          <w:sz w:val="19"/>
          <w:szCs w:val="19"/>
          <w:color w:val="auto"/>
        </w:rPr>
        <w:t>ITEM 1.</w:t>
      </w:r>
      <w:r>
        <w:rPr>
          <w:sz w:val="20"/>
          <w:szCs w:val="20"/>
          <w:color w:val="auto"/>
        </w:rPr>
        <w:tab/>
      </w:r>
      <w:r>
        <w:rPr>
          <w:rFonts w:ascii="Arial" w:cs="Arial" w:eastAsia="Arial" w:hAnsi="Arial"/>
          <w:sz w:val="18"/>
          <w:szCs w:val="18"/>
          <w:color w:val="auto"/>
        </w:rPr>
        <w:t>LEGAL PROCEEDINGS</w:t>
      </w:r>
    </w:p>
    <w:p>
      <w:pPr>
        <w:sectPr>
          <w:pgSz w:w="11900" w:h="16838" w:orient="portrait"/>
          <w:cols w:equalWidth="0" w:num="1">
            <w:col w:w="11400"/>
          </w:cols>
          <w:pgMar w:left="240" w:top="120" w:right="259" w:bottom="287" w:gutter="0" w:footer="0" w:header="0"/>
        </w:sectPr>
      </w:pPr>
    </w:p>
    <w:bookmarkStart w:id="24" w:name="page25"/>
    <w:bookmarkEnd w:id="24"/>
    <w:p>
      <w:pPr>
        <w:spacing w:after="0" w:line="68" w:lineRule="exact"/>
        <w:rPr>
          <w:sz w:val="20"/>
          <w:szCs w:val="20"/>
          <w:color w:val="auto"/>
        </w:rPr>
      </w:pPr>
    </w:p>
    <w:p>
      <w:pPr>
        <w:ind w:right="440" w:firstLine="382"/>
        <w:spacing w:after="0" w:line="262" w:lineRule="auto"/>
        <w:rPr>
          <w:rFonts w:ascii="Arial" w:cs="Arial" w:eastAsia="Arial" w:hAnsi="Arial"/>
          <w:sz w:val="19"/>
          <w:szCs w:val="19"/>
          <w:color w:val="auto"/>
        </w:rPr>
      </w:pPr>
      <w:r>
        <w:rPr>
          <w:rFonts w:ascii="Arial" w:cs="Arial" w:eastAsia="Arial" w:hAnsi="Arial"/>
          <w:sz w:val="19"/>
          <w:szCs w:val="19"/>
          <w:color w:val="auto"/>
        </w:rPr>
        <w:t xml:space="preserve">Refer to </w:t>
      </w:r>
      <w:hyperlink w:anchor="page11">
        <w:r>
          <w:rPr>
            <w:rFonts w:ascii="Arial" w:cs="Arial" w:eastAsia="Arial" w:hAnsi="Arial"/>
            <w:sz w:val="19"/>
            <w:szCs w:val="19"/>
            <w:u w:val="single" w:color="auto"/>
            <w:color w:val="0000EE"/>
          </w:rPr>
          <w:t>Note 9</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to our condensed financial statements included in Item 1 of this Quarterly Report on Form 10-Q for a discussion of recent developments related to our legal proceedings.</w:t>
      </w:r>
    </w:p>
    <w:p>
      <w:pPr>
        <w:spacing w:after="0" w:line="144" w:lineRule="exact"/>
        <w:rPr>
          <w:sz w:val="20"/>
          <w:szCs w:val="20"/>
          <w:color w:val="auto"/>
        </w:rPr>
      </w:pPr>
    </w:p>
    <w:p>
      <w:pPr>
        <w:spacing w:after="0"/>
        <w:tabs>
          <w:tab w:leader="none" w:pos="900" w:val="left"/>
        </w:tabs>
        <w:rPr>
          <w:sz w:val="20"/>
          <w:szCs w:val="20"/>
          <w:color w:val="auto"/>
        </w:rPr>
      </w:pPr>
      <w:r>
        <w:rPr>
          <w:rFonts w:ascii="Arial" w:cs="Arial" w:eastAsia="Arial" w:hAnsi="Arial"/>
          <w:sz w:val="19"/>
          <w:szCs w:val="19"/>
          <w:color w:val="auto"/>
        </w:rPr>
        <w:t>ITEM 2.</w:t>
      </w:r>
      <w:r>
        <w:rPr>
          <w:sz w:val="20"/>
          <w:szCs w:val="20"/>
          <w:color w:val="auto"/>
        </w:rPr>
        <w:tab/>
      </w:r>
      <w:r>
        <w:rPr>
          <w:rFonts w:ascii="Arial" w:cs="Arial" w:eastAsia="Arial" w:hAnsi="Arial"/>
          <w:sz w:val="17"/>
          <w:szCs w:val="17"/>
          <w:color w:val="auto"/>
        </w:rPr>
        <w:t>CHANGES IN SECURITIES, USE OF PROCEEDS AND ISSUER PURCHASES OF EQUITY SECURITIES</w:t>
      </w:r>
    </w:p>
    <w:p>
      <w:pPr>
        <w:spacing w:after="0" w:line="200" w:lineRule="exact"/>
        <w:rPr>
          <w:sz w:val="20"/>
          <w:szCs w:val="20"/>
          <w:color w:val="auto"/>
        </w:rPr>
      </w:pPr>
    </w:p>
    <w:p>
      <w:pPr>
        <w:spacing w:after="0" w:line="202" w:lineRule="exact"/>
        <w:rPr>
          <w:sz w:val="20"/>
          <w:szCs w:val="20"/>
          <w:color w:val="auto"/>
        </w:rPr>
      </w:pPr>
    </w:p>
    <w:p>
      <w:pPr>
        <w:ind w:right="180" w:firstLine="371"/>
        <w:spacing w:after="0" w:line="261" w:lineRule="auto"/>
        <w:rPr>
          <w:sz w:val="20"/>
          <w:szCs w:val="20"/>
          <w:color w:val="auto"/>
        </w:rPr>
      </w:pPr>
      <w:r>
        <w:rPr>
          <w:rFonts w:ascii="Arial" w:cs="Arial" w:eastAsia="Arial" w:hAnsi="Arial"/>
          <w:sz w:val="19"/>
          <w:szCs w:val="19"/>
          <w:color w:val="auto"/>
        </w:rPr>
        <w:t>A summary of our repurchases during the quarter under the $1 billion repurchase program authorized by our Board of Directors in December 2003,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80" w:type="dxa"/>
            <w:vAlign w:val="bottom"/>
            <w:gridSpan w:val="12"/>
          </w:tcPr>
          <w:p>
            <w:pPr>
              <w:ind w:left="240"/>
              <w:spacing w:after="0"/>
              <w:rPr>
                <w:sz w:val="20"/>
                <w:szCs w:val="20"/>
                <w:color w:val="auto"/>
              </w:rPr>
            </w:pPr>
            <w:r>
              <w:rPr>
                <w:rFonts w:ascii="Arial" w:cs="Arial" w:eastAsia="Arial" w:hAnsi="Arial"/>
                <w:sz w:val="19"/>
                <w:szCs w:val="19"/>
                <w:color w:val="auto"/>
              </w:rPr>
              <w:t>PURCHASES OF EQUITY SECURITIES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78"/>
        </w:trPr>
        <w:tc>
          <w:tcPr>
            <w:tcW w:w="5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3"/>
          </w:tcPr>
          <w:p>
            <w:pPr>
              <w:jc w:val="center"/>
              <w:spacing w:after="0"/>
              <w:rPr>
                <w:sz w:val="20"/>
                <w:szCs w:val="20"/>
                <w:color w:val="auto"/>
              </w:rPr>
            </w:pPr>
            <w:r>
              <w:rPr>
                <w:rFonts w:ascii="Arial" w:cs="Arial" w:eastAsia="Arial" w:hAnsi="Arial"/>
                <w:sz w:val="19"/>
                <w:szCs w:val="19"/>
                <w:color w:val="auto"/>
                <w:w w:val="93"/>
              </w:rPr>
              <w:t>Total Number of</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5"/>
        </w:trPr>
        <w:tc>
          <w:tcPr>
            <w:tcW w:w="5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3"/>
          </w:tcPr>
          <w:p>
            <w:pPr>
              <w:jc w:val="center"/>
              <w:spacing w:after="0" w:line="214" w:lineRule="exact"/>
              <w:rPr>
                <w:sz w:val="20"/>
                <w:szCs w:val="20"/>
                <w:color w:val="auto"/>
              </w:rPr>
            </w:pPr>
            <w:r>
              <w:rPr>
                <w:rFonts w:ascii="Arial" w:cs="Arial" w:eastAsia="Arial" w:hAnsi="Arial"/>
                <w:sz w:val="19"/>
                <w:szCs w:val="19"/>
                <w:color w:val="auto"/>
                <w:w w:val="86"/>
              </w:rPr>
              <w:t>Shares</w:t>
            </w:r>
          </w:p>
        </w:tc>
        <w:tc>
          <w:tcPr>
            <w:tcW w:w="1860" w:type="dxa"/>
            <w:vAlign w:val="bottom"/>
            <w:gridSpan w:val="4"/>
          </w:tcPr>
          <w:p>
            <w:pPr>
              <w:jc w:val="center"/>
              <w:spacing w:after="0" w:line="214" w:lineRule="exact"/>
              <w:rPr>
                <w:sz w:val="20"/>
                <w:szCs w:val="20"/>
                <w:color w:val="auto"/>
              </w:rPr>
            </w:pPr>
            <w:r>
              <w:rPr>
                <w:rFonts w:ascii="Arial" w:cs="Arial" w:eastAsia="Arial" w:hAnsi="Arial"/>
                <w:sz w:val="19"/>
                <w:szCs w:val="19"/>
                <w:color w:val="auto"/>
                <w:w w:val="94"/>
              </w:rPr>
              <w:t>Maximum Dollar Value</w:t>
            </w:r>
          </w:p>
        </w:tc>
      </w:tr>
      <w:tr>
        <w:trPr>
          <w:trHeight w:val="215"/>
        </w:trPr>
        <w:tc>
          <w:tcPr>
            <w:tcW w:w="5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20" w:type="dxa"/>
            <w:vAlign w:val="bottom"/>
            <w:gridSpan w:val="6"/>
          </w:tcPr>
          <w:p>
            <w:pPr>
              <w:jc w:val="center"/>
              <w:ind w:right="60"/>
              <w:spacing w:after="0" w:line="214" w:lineRule="exact"/>
              <w:rPr>
                <w:sz w:val="20"/>
                <w:szCs w:val="20"/>
                <w:color w:val="auto"/>
              </w:rPr>
            </w:pPr>
            <w:r>
              <w:rPr>
                <w:rFonts w:ascii="Arial" w:cs="Arial" w:eastAsia="Arial" w:hAnsi="Arial"/>
                <w:sz w:val="19"/>
                <w:szCs w:val="19"/>
                <w:color w:val="auto"/>
                <w:w w:val="92"/>
              </w:rPr>
              <w:t>Total Number of</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3"/>
          </w:tcPr>
          <w:p>
            <w:pPr>
              <w:jc w:val="center"/>
              <w:spacing w:after="0" w:line="214" w:lineRule="exact"/>
              <w:rPr>
                <w:sz w:val="20"/>
                <w:szCs w:val="20"/>
                <w:color w:val="auto"/>
              </w:rPr>
            </w:pPr>
            <w:r>
              <w:rPr>
                <w:rFonts w:ascii="Arial" w:cs="Arial" w:eastAsia="Arial" w:hAnsi="Arial"/>
                <w:sz w:val="19"/>
                <w:szCs w:val="19"/>
                <w:color w:val="auto"/>
                <w:w w:val="87"/>
              </w:rPr>
              <w:t>Purchased as Part of</w:t>
            </w:r>
          </w:p>
        </w:tc>
        <w:tc>
          <w:tcPr>
            <w:tcW w:w="1860" w:type="dxa"/>
            <w:vAlign w:val="bottom"/>
            <w:gridSpan w:val="4"/>
          </w:tcPr>
          <w:p>
            <w:pPr>
              <w:jc w:val="center"/>
              <w:spacing w:after="0" w:line="214" w:lineRule="exact"/>
              <w:rPr>
                <w:sz w:val="20"/>
                <w:szCs w:val="20"/>
                <w:color w:val="auto"/>
              </w:rPr>
            </w:pPr>
            <w:r>
              <w:rPr>
                <w:rFonts w:ascii="Arial" w:cs="Arial" w:eastAsia="Arial" w:hAnsi="Arial"/>
                <w:sz w:val="19"/>
                <w:szCs w:val="19"/>
                <w:color w:val="auto"/>
                <w:w w:val="89"/>
              </w:rPr>
              <w:t>Shares that May Yet</w:t>
            </w:r>
          </w:p>
        </w:tc>
      </w:tr>
      <w:tr>
        <w:trPr>
          <w:trHeight w:val="198"/>
        </w:trPr>
        <w:tc>
          <w:tcPr>
            <w:tcW w:w="5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9"/>
                <w:szCs w:val="19"/>
                <w:color w:val="auto"/>
                <w:w w:val="86"/>
              </w:rPr>
              <w:t>Shares</w:t>
            </w:r>
          </w:p>
        </w:tc>
        <w:tc>
          <w:tcPr>
            <w:tcW w:w="400" w:type="dxa"/>
            <w:vAlign w:val="bottom"/>
            <w:gridSpan w:val="3"/>
          </w:tcPr>
          <w:p>
            <w:pPr>
              <w:spacing w:after="0"/>
              <w:rPr>
                <w:sz w:val="17"/>
                <w:szCs w:val="17"/>
                <w:color w:val="auto"/>
              </w:rPr>
            </w:pPr>
          </w:p>
        </w:tc>
        <w:tc>
          <w:tcPr>
            <w:tcW w:w="1240" w:type="dxa"/>
            <w:vAlign w:val="bottom"/>
            <w:gridSpan w:val="4"/>
          </w:tcPr>
          <w:p>
            <w:pPr>
              <w:jc w:val="center"/>
              <w:spacing w:after="0" w:line="198" w:lineRule="exact"/>
              <w:rPr>
                <w:sz w:val="20"/>
                <w:szCs w:val="20"/>
                <w:color w:val="auto"/>
              </w:rPr>
            </w:pPr>
            <w:r>
              <w:rPr>
                <w:rFonts w:ascii="Arial" w:cs="Arial" w:eastAsia="Arial" w:hAnsi="Arial"/>
                <w:sz w:val="19"/>
                <w:szCs w:val="19"/>
                <w:color w:val="auto"/>
                <w:w w:val="88"/>
              </w:rPr>
              <w:t>Average Price</w:t>
            </w:r>
          </w:p>
        </w:tc>
        <w:tc>
          <w:tcPr>
            <w:tcW w:w="20" w:type="dxa"/>
            <w:vAlign w:val="bottom"/>
          </w:tcPr>
          <w:p>
            <w:pPr>
              <w:spacing w:after="0"/>
              <w:rPr>
                <w:sz w:val="17"/>
                <w:szCs w:val="17"/>
                <w:color w:val="auto"/>
              </w:rPr>
            </w:pPr>
          </w:p>
        </w:tc>
        <w:tc>
          <w:tcPr>
            <w:tcW w:w="1600" w:type="dxa"/>
            <w:vAlign w:val="bottom"/>
            <w:gridSpan w:val="3"/>
          </w:tcPr>
          <w:p>
            <w:pPr>
              <w:jc w:val="center"/>
              <w:spacing w:after="0" w:line="198" w:lineRule="exact"/>
              <w:rPr>
                <w:sz w:val="20"/>
                <w:szCs w:val="20"/>
                <w:color w:val="auto"/>
              </w:rPr>
            </w:pPr>
            <w:r>
              <w:rPr>
                <w:rFonts w:ascii="Arial" w:cs="Arial" w:eastAsia="Arial" w:hAnsi="Arial"/>
                <w:sz w:val="19"/>
                <w:szCs w:val="19"/>
                <w:color w:val="auto"/>
                <w:w w:val="97"/>
              </w:rPr>
              <w:t>Publicly</w:t>
            </w:r>
          </w:p>
        </w:tc>
        <w:tc>
          <w:tcPr>
            <w:tcW w:w="240" w:type="dxa"/>
            <w:vAlign w:val="bottom"/>
          </w:tcPr>
          <w:p>
            <w:pPr>
              <w:spacing w:after="0"/>
              <w:rPr>
                <w:sz w:val="17"/>
                <w:szCs w:val="17"/>
                <w:color w:val="auto"/>
              </w:rPr>
            </w:pPr>
          </w:p>
        </w:tc>
        <w:tc>
          <w:tcPr>
            <w:tcW w:w="1620" w:type="dxa"/>
            <w:vAlign w:val="bottom"/>
            <w:gridSpan w:val="3"/>
          </w:tcPr>
          <w:p>
            <w:pPr>
              <w:jc w:val="center"/>
              <w:ind w:right="180"/>
              <w:spacing w:after="0" w:line="198" w:lineRule="exact"/>
              <w:rPr>
                <w:sz w:val="20"/>
                <w:szCs w:val="20"/>
                <w:color w:val="auto"/>
              </w:rPr>
            </w:pPr>
            <w:r>
              <w:rPr>
                <w:rFonts w:ascii="Arial" w:cs="Arial" w:eastAsia="Arial" w:hAnsi="Arial"/>
                <w:sz w:val="19"/>
                <w:szCs w:val="19"/>
                <w:color w:val="auto"/>
                <w:w w:val="87"/>
              </w:rPr>
              <w:t>Be Purchased</w:t>
            </w:r>
          </w:p>
        </w:tc>
      </w:tr>
      <w:tr>
        <w:trPr>
          <w:trHeight w:val="195"/>
        </w:trPr>
        <w:tc>
          <w:tcPr>
            <w:tcW w:w="500" w:type="dxa"/>
            <w:vAlign w:val="bottom"/>
          </w:tcPr>
          <w:p>
            <w:pPr>
              <w:spacing w:after="0" w:line="194" w:lineRule="exact"/>
              <w:rPr>
                <w:sz w:val="20"/>
                <w:szCs w:val="20"/>
                <w:color w:val="auto"/>
              </w:rPr>
            </w:pPr>
            <w:r>
              <w:rPr>
                <w:rFonts w:ascii="Arial" w:cs="Arial" w:eastAsia="Arial" w:hAnsi="Arial"/>
                <w:sz w:val="19"/>
                <w:szCs w:val="19"/>
                <w:color w:val="auto"/>
                <w:w w:val="87"/>
              </w:rPr>
              <w:t>Period</w:t>
            </w:r>
          </w:p>
        </w:tc>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4"/>
          </w:tcPr>
          <w:p>
            <w:pPr>
              <w:jc w:val="center"/>
              <w:spacing w:after="0" w:line="194" w:lineRule="exact"/>
              <w:rPr>
                <w:sz w:val="20"/>
                <w:szCs w:val="20"/>
                <w:color w:val="auto"/>
              </w:rPr>
            </w:pPr>
            <w:r>
              <w:rPr>
                <w:rFonts w:ascii="Arial" w:cs="Arial" w:eastAsia="Arial" w:hAnsi="Arial"/>
                <w:sz w:val="19"/>
                <w:szCs w:val="19"/>
                <w:color w:val="auto"/>
                <w:w w:val="88"/>
              </w:rPr>
              <w:t>Purchased</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3"/>
          </w:tcPr>
          <w:p>
            <w:pPr>
              <w:jc w:val="center"/>
              <w:ind w:right="260"/>
              <w:spacing w:after="0" w:line="194" w:lineRule="exact"/>
              <w:rPr>
                <w:sz w:val="20"/>
                <w:szCs w:val="20"/>
                <w:color w:val="auto"/>
              </w:rPr>
            </w:pPr>
            <w:r>
              <w:rPr>
                <w:rFonts w:ascii="Arial" w:cs="Arial" w:eastAsia="Arial" w:hAnsi="Arial"/>
                <w:sz w:val="19"/>
                <w:szCs w:val="19"/>
                <w:color w:val="auto"/>
                <w:w w:val="86"/>
              </w:rPr>
              <w:t>per Share</w:t>
            </w:r>
          </w:p>
        </w:tc>
        <w:tc>
          <w:tcPr>
            <w:tcW w:w="1620" w:type="dxa"/>
            <w:vAlign w:val="bottom"/>
            <w:gridSpan w:val="4"/>
          </w:tcPr>
          <w:p>
            <w:pPr>
              <w:jc w:val="center"/>
              <w:spacing w:after="0" w:line="194" w:lineRule="exact"/>
              <w:rPr>
                <w:sz w:val="20"/>
                <w:szCs w:val="20"/>
                <w:color w:val="auto"/>
              </w:rPr>
            </w:pPr>
            <w:r>
              <w:rPr>
                <w:rFonts w:ascii="Arial" w:cs="Arial" w:eastAsia="Arial" w:hAnsi="Arial"/>
                <w:sz w:val="19"/>
                <w:szCs w:val="19"/>
                <w:color w:val="auto"/>
                <w:w w:val="90"/>
              </w:rPr>
              <w:t>Announced Program</w:t>
            </w:r>
          </w:p>
        </w:tc>
        <w:tc>
          <w:tcPr>
            <w:tcW w:w="1860" w:type="dxa"/>
            <w:vAlign w:val="bottom"/>
            <w:gridSpan w:val="4"/>
          </w:tcPr>
          <w:p>
            <w:pPr>
              <w:jc w:val="center"/>
              <w:spacing w:after="0" w:line="194" w:lineRule="exact"/>
              <w:rPr>
                <w:sz w:val="20"/>
                <w:szCs w:val="20"/>
                <w:color w:val="auto"/>
              </w:rPr>
            </w:pPr>
            <w:r>
              <w:rPr>
                <w:rFonts w:ascii="Arial" w:cs="Arial" w:eastAsia="Arial" w:hAnsi="Arial"/>
                <w:sz w:val="19"/>
                <w:szCs w:val="19"/>
                <w:color w:val="auto"/>
                <w:w w:val="90"/>
              </w:rPr>
              <w:t>Under the Program</w:t>
            </w:r>
          </w:p>
        </w:tc>
      </w:tr>
      <w:tr>
        <w:trPr>
          <w:trHeight w:val="20"/>
        </w:trPr>
        <w:tc>
          <w:tcPr>
            <w:tcW w:w="5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11"/>
        </w:trPr>
        <w:tc>
          <w:tcPr>
            <w:tcW w:w="3440" w:type="dxa"/>
            <w:vAlign w:val="bottom"/>
            <w:gridSpan w:val="2"/>
          </w:tcPr>
          <w:p>
            <w:pPr>
              <w:spacing w:after="0" w:line="212" w:lineRule="exact"/>
              <w:rPr>
                <w:sz w:val="20"/>
                <w:szCs w:val="20"/>
                <w:color w:val="auto"/>
              </w:rPr>
            </w:pPr>
            <w:r>
              <w:rPr>
                <w:rFonts w:ascii="Arial" w:cs="Arial" w:eastAsia="Arial" w:hAnsi="Arial"/>
                <w:sz w:val="19"/>
                <w:szCs w:val="19"/>
                <w:color w:val="auto"/>
              </w:rPr>
              <w:t>January 1-31, 2004</w:t>
            </w:r>
          </w:p>
        </w:tc>
        <w:tc>
          <w:tcPr>
            <w:tcW w:w="940" w:type="dxa"/>
            <w:vAlign w:val="bottom"/>
            <w:gridSpan w:val="4"/>
          </w:tcPr>
          <w:p>
            <w:pPr>
              <w:jc w:val="right"/>
              <w:spacing w:after="0" w:line="212" w:lineRule="exact"/>
              <w:rPr>
                <w:sz w:val="20"/>
                <w:szCs w:val="20"/>
                <w:color w:val="auto"/>
              </w:rPr>
            </w:pPr>
            <w:r>
              <w:rPr>
                <w:rFonts w:ascii="Arial" w:cs="Arial" w:eastAsia="Arial" w:hAnsi="Arial"/>
                <w:sz w:val="19"/>
                <w:szCs w:val="19"/>
                <w:color w:val="auto"/>
              </w:rPr>
              <w:t>839,118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center"/>
              <w:ind w:left="125"/>
              <w:spacing w:after="0" w:line="212" w:lineRule="exact"/>
              <w:rPr>
                <w:sz w:val="20"/>
                <w:szCs w:val="20"/>
                <w:color w:val="auto"/>
              </w:rPr>
            </w:pPr>
            <w:r>
              <w:rPr>
                <w:rFonts w:ascii="Arial" w:cs="Arial" w:eastAsia="Arial" w:hAnsi="Arial"/>
                <w:sz w:val="19"/>
                <w:szCs w:val="19"/>
                <w:color w:val="auto"/>
                <w:w w:val="89"/>
              </w:rPr>
              <w:t>$32.78</w:t>
            </w:r>
          </w:p>
        </w:tc>
        <w:tc>
          <w:tcPr>
            <w:tcW w:w="260" w:type="dxa"/>
            <w:vAlign w:val="bottom"/>
          </w:tcPr>
          <w:p>
            <w:pPr>
              <w:spacing w:after="0"/>
              <w:rPr>
                <w:sz w:val="18"/>
                <w:szCs w:val="18"/>
                <w:color w:val="auto"/>
              </w:rPr>
            </w:pPr>
          </w:p>
        </w:tc>
        <w:tc>
          <w:tcPr>
            <w:tcW w:w="1600" w:type="dxa"/>
            <w:vAlign w:val="bottom"/>
            <w:gridSpan w:val="3"/>
          </w:tcPr>
          <w:p>
            <w:pPr>
              <w:jc w:val="right"/>
              <w:ind w:right="360"/>
              <w:spacing w:after="0" w:line="212" w:lineRule="exact"/>
              <w:rPr>
                <w:sz w:val="20"/>
                <w:szCs w:val="20"/>
                <w:color w:val="auto"/>
              </w:rPr>
            </w:pPr>
            <w:r>
              <w:rPr>
                <w:rFonts w:ascii="Arial" w:cs="Arial" w:eastAsia="Arial" w:hAnsi="Arial"/>
                <w:sz w:val="19"/>
                <w:szCs w:val="19"/>
                <w:color w:val="auto"/>
              </w:rPr>
              <w:t>730,500</w:t>
            </w:r>
          </w:p>
        </w:tc>
        <w:tc>
          <w:tcPr>
            <w:tcW w:w="20" w:type="dxa"/>
            <w:vAlign w:val="bottom"/>
          </w:tcPr>
          <w:p>
            <w:pPr>
              <w:spacing w:after="0"/>
              <w:rPr>
                <w:sz w:val="18"/>
                <w:szCs w:val="18"/>
                <w:color w:val="auto"/>
              </w:rPr>
            </w:pPr>
          </w:p>
        </w:tc>
        <w:tc>
          <w:tcPr>
            <w:tcW w:w="1860" w:type="dxa"/>
            <w:vAlign w:val="bottom"/>
            <w:gridSpan w:val="4"/>
          </w:tcPr>
          <w:p>
            <w:pPr>
              <w:jc w:val="right"/>
              <w:ind w:right="140"/>
              <w:spacing w:after="0" w:line="212" w:lineRule="exact"/>
              <w:rPr>
                <w:sz w:val="20"/>
                <w:szCs w:val="20"/>
                <w:color w:val="auto"/>
              </w:rPr>
            </w:pPr>
            <w:r>
              <w:rPr>
                <w:rFonts w:ascii="Arial" w:cs="Arial" w:eastAsia="Arial" w:hAnsi="Arial"/>
                <w:sz w:val="19"/>
                <w:szCs w:val="19"/>
                <w:color w:val="auto"/>
              </w:rPr>
              <w:t>$950,030,527</w:t>
            </w:r>
          </w:p>
        </w:tc>
      </w:tr>
      <w:tr>
        <w:trPr>
          <w:trHeight w:val="215"/>
        </w:trPr>
        <w:tc>
          <w:tcPr>
            <w:tcW w:w="3440" w:type="dxa"/>
            <w:vAlign w:val="bottom"/>
            <w:gridSpan w:val="2"/>
          </w:tcPr>
          <w:p>
            <w:pPr>
              <w:spacing w:after="0" w:line="214" w:lineRule="exact"/>
              <w:rPr>
                <w:sz w:val="20"/>
                <w:szCs w:val="20"/>
                <w:color w:val="auto"/>
              </w:rPr>
            </w:pPr>
            <w:r>
              <w:rPr>
                <w:rFonts w:ascii="Arial" w:cs="Arial" w:eastAsia="Arial" w:hAnsi="Arial"/>
                <w:sz w:val="19"/>
                <w:szCs w:val="19"/>
                <w:color w:val="auto"/>
              </w:rPr>
              <w:t>February 1-29, 2004</w:t>
            </w:r>
          </w:p>
        </w:tc>
        <w:tc>
          <w:tcPr>
            <w:tcW w:w="940" w:type="dxa"/>
            <w:vAlign w:val="bottom"/>
            <w:gridSpan w:val="4"/>
          </w:tcPr>
          <w:p>
            <w:pPr>
              <w:jc w:val="right"/>
              <w:spacing w:after="0" w:line="214" w:lineRule="exact"/>
              <w:rPr>
                <w:sz w:val="20"/>
                <w:szCs w:val="20"/>
                <w:color w:val="auto"/>
              </w:rPr>
            </w:pPr>
            <w:r>
              <w:rPr>
                <w:rFonts w:ascii="Arial" w:cs="Arial" w:eastAsia="Arial" w:hAnsi="Arial"/>
                <w:sz w:val="19"/>
                <w:szCs w:val="19"/>
                <w:color w:val="auto"/>
              </w:rPr>
              <w:t>1,850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center"/>
              <w:ind w:left="125"/>
              <w:spacing w:after="0" w:line="214" w:lineRule="exact"/>
              <w:rPr>
                <w:sz w:val="20"/>
                <w:szCs w:val="20"/>
                <w:color w:val="auto"/>
              </w:rPr>
            </w:pPr>
            <w:r>
              <w:rPr>
                <w:rFonts w:ascii="Arial" w:cs="Arial" w:eastAsia="Arial" w:hAnsi="Arial"/>
                <w:sz w:val="19"/>
                <w:szCs w:val="19"/>
                <w:color w:val="auto"/>
                <w:w w:val="89"/>
              </w:rPr>
              <w:t>$29.80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gridSpan w:val="4"/>
          </w:tcPr>
          <w:p>
            <w:pPr>
              <w:jc w:val="right"/>
              <w:ind w:right="140"/>
              <w:spacing w:after="0" w:line="214" w:lineRule="exact"/>
              <w:rPr>
                <w:sz w:val="20"/>
                <w:szCs w:val="20"/>
                <w:color w:val="auto"/>
              </w:rPr>
            </w:pPr>
            <w:r>
              <w:rPr>
                <w:rFonts w:ascii="Arial" w:cs="Arial" w:eastAsia="Arial" w:hAnsi="Arial"/>
                <w:sz w:val="19"/>
                <w:szCs w:val="19"/>
                <w:color w:val="auto"/>
              </w:rPr>
              <w:t>$950,030,527</w:t>
            </w:r>
          </w:p>
        </w:tc>
      </w:tr>
      <w:tr>
        <w:trPr>
          <w:trHeight w:val="242"/>
        </w:trPr>
        <w:tc>
          <w:tcPr>
            <w:tcW w:w="3440" w:type="dxa"/>
            <w:vAlign w:val="bottom"/>
            <w:gridSpan w:val="2"/>
          </w:tcPr>
          <w:p>
            <w:pPr>
              <w:spacing w:after="0"/>
              <w:rPr>
                <w:sz w:val="20"/>
                <w:szCs w:val="20"/>
                <w:color w:val="auto"/>
              </w:rPr>
            </w:pPr>
            <w:r>
              <w:rPr>
                <w:rFonts w:ascii="Arial" w:cs="Arial" w:eastAsia="Arial" w:hAnsi="Arial"/>
                <w:sz w:val="19"/>
                <w:szCs w:val="19"/>
                <w:color w:val="auto"/>
              </w:rPr>
              <w:t>March 1-31, 2004</w:t>
            </w:r>
          </w:p>
        </w:tc>
        <w:tc>
          <w:tcPr>
            <w:tcW w:w="940" w:type="dxa"/>
            <w:vAlign w:val="bottom"/>
            <w:gridSpan w:val="4"/>
          </w:tcPr>
          <w:p>
            <w:pPr>
              <w:jc w:val="right"/>
              <w:spacing w:after="0"/>
              <w:rPr>
                <w:sz w:val="20"/>
                <w:szCs w:val="20"/>
                <w:color w:val="auto"/>
              </w:rPr>
            </w:pPr>
            <w:r>
              <w:rPr>
                <w:rFonts w:ascii="Arial" w:cs="Arial" w:eastAsia="Arial" w:hAnsi="Arial"/>
                <w:sz w:val="19"/>
                <w:szCs w:val="19"/>
                <w:color w:val="auto"/>
              </w:rPr>
              <w:t>4,244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center"/>
              <w:ind w:left="125"/>
              <w:spacing w:after="0"/>
              <w:rPr>
                <w:sz w:val="20"/>
                <w:szCs w:val="20"/>
                <w:color w:val="auto"/>
              </w:rPr>
            </w:pPr>
            <w:r>
              <w:rPr>
                <w:rFonts w:ascii="Arial" w:cs="Arial" w:eastAsia="Arial" w:hAnsi="Arial"/>
                <w:sz w:val="19"/>
                <w:szCs w:val="19"/>
                <w:color w:val="auto"/>
                <w:w w:val="89"/>
              </w:rPr>
              <w:t>$28.16</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4"/>
          </w:tcPr>
          <w:p>
            <w:pPr>
              <w:jc w:val="right"/>
              <w:ind w:right="140"/>
              <w:spacing w:after="0"/>
              <w:rPr>
                <w:sz w:val="20"/>
                <w:szCs w:val="20"/>
                <w:color w:val="auto"/>
              </w:rPr>
            </w:pPr>
            <w:r>
              <w:rPr>
                <w:rFonts w:ascii="Arial" w:cs="Arial" w:eastAsia="Arial" w:hAnsi="Arial"/>
                <w:sz w:val="19"/>
                <w:szCs w:val="19"/>
                <w:color w:val="auto"/>
              </w:rPr>
              <w:t>$950,030,527</w:t>
            </w:r>
          </w:p>
        </w:tc>
      </w:tr>
      <w:tr>
        <w:trPr>
          <w:trHeight w:val="87"/>
        </w:trPr>
        <w:tc>
          <w:tcPr>
            <w:tcW w:w="500" w:type="dxa"/>
            <w:vAlign w:val="bottom"/>
          </w:tcPr>
          <w:p>
            <w:pPr>
              <w:spacing w:after="0"/>
              <w:rPr>
                <w:sz w:val="7"/>
                <w:szCs w:val="7"/>
                <w:color w:val="auto"/>
              </w:rPr>
            </w:pPr>
          </w:p>
        </w:tc>
        <w:tc>
          <w:tcPr>
            <w:tcW w:w="294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r>
      <w:tr>
        <w:trPr>
          <w:trHeight w:val="310"/>
        </w:trPr>
        <w:tc>
          <w:tcPr>
            <w:tcW w:w="3440" w:type="dxa"/>
            <w:vAlign w:val="bottom"/>
            <w:gridSpan w:val="2"/>
          </w:tcPr>
          <w:p>
            <w:pPr>
              <w:spacing w:after="0"/>
              <w:rPr>
                <w:sz w:val="20"/>
                <w:szCs w:val="20"/>
                <w:color w:val="auto"/>
              </w:rPr>
            </w:pPr>
            <w:r>
              <w:rPr>
                <w:rFonts w:ascii="Arial" w:cs="Arial" w:eastAsia="Arial" w:hAnsi="Arial"/>
                <w:sz w:val="19"/>
                <w:szCs w:val="19"/>
                <w:color w:val="auto"/>
              </w:rPr>
              <w:t>Total</w:t>
            </w:r>
          </w:p>
        </w:tc>
        <w:tc>
          <w:tcPr>
            <w:tcW w:w="940" w:type="dxa"/>
            <w:vAlign w:val="bottom"/>
            <w:gridSpan w:val="4"/>
          </w:tcPr>
          <w:p>
            <w:pPr>
              <w:jc w:val="right"/>
              <w:spacing w:after="0"/>
              <w:rPr>
                <w:sz w:val="20"/>
                <w:szCs w:val="20"/>
                <w:color w:val="auto"/>
              </w:rPr>
            </w:pPr>
            <w:r>
              <w:rPr>
                <w:rFonts w:ascii="Arial" w:cs="Arial" w:eastAsia="Arial" w:hAnsi="Arial"/>
                <w:sz w:val="19"/>
                <w:szCs w:val="19"/>
                <w:color w:val="auto"/>
              </w:rPr>
              <w:t>845,212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jc w:val="center"/>
              <w:ind w:left="125"/>
              <w:spacing w:after="0"/>
              <w:rPr>
                <w:sz w:val="20"/>
                <w:szCs w:val="20"/>
                <w:color w:val="auto"/>
              </w:rPr>
            </w:pPr>
            <w:r>
              <w:rPr>
                <w:rFonts w:ascii="Arial" w:cs="Arial" w:eastAsia="Arial" w:hAnsi="Arial"/>
                <w:sz w:val="19"/>
                <w:szCs w:val="19"/>
                <w:color w:val="auto"/>
                <w:w w:val="89"/>
              </w:rPr>
              <w:t>$32.75</w:t>
            </w:r>
          </w:p>
        </w:tc>
        <w:tc>
          <w:tcPr>
            <w:tcW w:w="260" w:type="dxa"/>
            <w:vAlign w:val="bottom"/>
          </w:tcPr>
          <w:p>
            <w:pPr>
              <w:spacing w:after="0"/>
              <w:rPr>
                <w:sz w:val="24"/>
                <w:szCs w:val="24"/>
                <w:color w:val="auto"/>
              </w:rPr>
            </w:pPr>
          </w:p>
        </w:tc>
        <w:tc>
          <w:tcPr>
            <w:tcW w:w="1600" w:type="dxa"/>
            <w:vAlign w:val="bottom"/>
            <w:gridSpan w:val="3"/>
          </w:tcPr>
          <w:p>
            <w:pPr>
              <w:jc w:val="right"/>
              <w:ind w:right="360"/>
              <w:spacing w:after="0"/>
              <w:rPr>
                <w:sz w:val="20"/>
                <w:szCs w:val="20"/>
                <w:color w:val="auto"/>
              </w:rPr>
            </w:pPr>
            <w:r>
              <w:rPr>
                <w:rFonts w:ascii="Arial" w:cs="Arial" w:eastAsia="Arial" w:hAnsi="Arial"/>
                <w:sz w:val="19"/>
                <w:szCs w:val="19"/>
                <w:color w:val="auto"/>
              </w:rPr>
              <w:t>730,500</w:t>
            </w:r>
          </w:p>
        </w:tc>
        <w:tc>
          <w:tcPr>
            <w:tcW w:w="20" w:type="dxa"/>
            <w:vAlign w:val="bottom"/>
          </w:tcPr>
          <w:p>
            <w:pPr>
              <w:spacing w:after="0"/>
              <w:rPr>
                <w:sz w:val="24"/>
                <w:szCs w:val="24"/>
                <w:color w:val="auto"/>
              </w:rPr>
            </w:pPr>
          </w:p>
        </w:tc>
        <w:tc>
          <w:tcPr>
            <w:tcW w:w="1860" w:type="dxa"/>
            <w:vAlign w:val="bottom"/>
            <w:gridSpan w:val="4"/>
          </w:tcPr>
          <w:p>
            <w:pPr>
              <w:jc w:val="right"/>
              <w:ind w:right="140"/>
              <w:spacing w:after="0"/>
              <w:rPr>
                <w:sz w:val="20"/>
                <w:szCs w:val="20"/>
                <w:color w:val="auto"/>
              </w:rPr>
            </w:pPr>
            <w:r>
              <w:rPr>
                <w:rFonts w:ascii="Arial" w:cs="Arial" w:eastAsia="Arial" w:hAnsi="Arial"/>
                <w:sz w:val="19"/>
                <w:szCs w:val="19"/>
                <w:color w:val="auto"/>
              </w:rPr>
              <w:t>$950,030,527</w:t>
            </w:r>
          </w:p>
        </w:tc>
      </w:tr>
      <w:tr>
        <w:trPr>
          <w:trHeight w:val="95"/>
        </w:trPr>
        <w:tc>
          <w:tcPr>
            <w:tcW w:w="5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-13335</wp:posOffset>
            </wp:positionV>
            <wp:extent cx="1270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-13335</wp:posOffset>
            </wp:positionV>
            <wp:extent cx="1270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-13335</wp:posOffset>
            </wp:positionV>
            <wp:extent cx="1270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-13335</wp:posOffset>
            </wp:positionV>
            <wp:extent cx="1270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-13335</wp:posOffset>
            </wp:positionV>
            <wp:extent cx="1270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-13335</wp:posOffset>
            </wp:positionV>
            <wp:extent cx="1270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-13335</wp:posOffset>
            </wp:positionV>
            <wp:extent cx="1270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-13335</wp:posOffset>
            </wp:positionV>
            <wp:extent cx="1270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40" w:firstLine="378"/>
        <w:spacing w:after="0" w:line="261" w:lineRule="auto"/>
        <w:rPr>
          <w:sz w:val="20"/>
          <w:szCs w:val="20"/>
          <w:color w:val="auto"/>
        </w:rPr>
      </w:pPr>
      <w:r>
        <w:rPr>
          <w:rFonts w:ascii="Arial" w:cs="Arial" w:eastAsia="Arial" w:hAnsi="Arial"/>
          <w:sz w:val="19"/>
          <w:szCs w:val="19"/>
          <w:color w:val="auto"/>
        </w:rPr>
        <w:t>The total number of shares purchased includes approximately 115,000 shares received in the administration of employee equity compensation plans.</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27773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FORM 10-Q</w:t>
      </w:r>
    </w:p>
    <w:p>
      <w:pPr>
        <w:jc w:val="center"/>
        <w:ind w:right="-99"/>
        <w:spacing w:after="0"/>
        <w:rPr>
          <w:sz w:val="20"/>
          <w:szCs w:val="20"/>
          <w:color w:val="auto"/>
        </w:rPr>
      </w:pPr>
      <w:r>
        <w:rPr>
          <w:rFonts w:ascii="Arial" w:cs="Arial" w:eastAsia="Arial" w:hAnsi="Arial"/>
          <w:sz w:val="19"/>
          <w:szCs w:val="19"/>
          <w:color w:val="auto"/>
        </w:rPr>
        <w:t>QUARTER ENDED MARCH 31, 2004</w:t>
      </w:r>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19"/>
          <w:szCs w:val="19"/>
          <w:color w:val="auto"/>
        </w:rPr>
        <w:t>ITEM 6.</w:t>
      </w:r>
      <w:r>
        <w:rPr>
          <w:sz w:val="20"/>
          <w:szCs w:val="20"/>
          <w:color w:val="auto"/>
        </w:rPr>
        <w:tab/>
      </w:r>
      <w:r>
        <w:rPr>
          <w:rFonts w:ascii="Arial" w:cs="Arial" w:eastAsia="Arial" w:hAnsi="Arial"/>
          <w:sz w:val="18"/>
          <w:szCs w:val="18"/>
          <w:color w:val="auto"/>
        </w:rPr>
        <w:t>EXHIBITS AND REPORTS ON FORM 8-K</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9"/>
          <w:szCs w:val="19"/>
          <w:color w:val="auto"/>
        </w:rPr>
        <w:t>(a); Exhibits required to be filed by Item 601 of Regulation S-K:</w:t>
      </w:r>
    </w:p>
    <w:p>
      <w:pPr>
        <w:spacing w:after="0" w:line="211" w:lineRule="exact"/>
        <w:rPr>
          <w:sz w:val="20"/>
          <w:szCs w:val="20"/>
          <w:color w:val="auto"/>
        </w:rPr>
      </w:pPr>
    </w:p>
    <w:p>
      <w:pPr>
        <w:ind w:left="1380" w:right="140" w:hanging="345"/>
        <w:spacing w:after="0" w:line="244" w:lineRule="auto"/>
        <w:rPr>
          <w:sz w:val="20"/>
          <w:szCs w:val="20"/>
          <w:color w:val="auto"/>
        </w:rPr>
      </w:pPr>
      <w:r>
        <w:rPr>
          <w:rFonts w:ascii="Arial" w:cs="Arial" w:eastAsia="Arial" w:hAnsi="Arial"/>
          <w:sz w:val="19"/>
          <w:szCs w:val="19"/>
          <w:color w:val="auto"/>
        </w:rPr>
        <w:t>4.1 Credit Agreement dated as of January 8, 2004 among Comcast Corporation, Comcast Cable Communications Holdings, Inc., the Financial Institutions Party Thereto, JP Morgan Chase Bank, as Administrative Agent, and Issuing Lender, Citibank, N.A., as Syndication Agent, and Bank of America, N.A., Barclays Bank PLC and Deutsche Bank Securities, Inc., as Co-Documentation Agents.</w:t>
      </w:r>
    </w:p>
    <w:p>
      <w:pPr>
        <w:spacing w:after="0" w:line="18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10.1Insurance Premium Termination Agreement between Comcast Corporation and Ralph J. Roberts, effective January 30, 2004.</w:t>
      </w:r>
    </w:p>
    <w:p>
      <w:pPr>
        <w:spacing w:after="0" w:line="234"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10.2Employment Agreement between Comcast Corporation and Stephen B. Burke, effective January 1, 2004.</w:t>
      </w:r>
    </w:p>
    <w:p>
      <w:pPr>
        <w:spacing w:after="0" w:line="211" w:lineRule="exact"/>
        <w:rPr>
          <w:sz w:val="20"/>
          <w:szCs w:val="20"/>
          <w:color w:val="auto"/>
        </w:rPr>
      </w:pPr>
    </w:p>
    <w:p>
      <w:pPr>
        <w:ind w:left="1380" w:right="200" w:hanging="347"/>
        <w:spacing w:after="0" w:line="261" w:lineRule="auto"/>
        <w:tabs>
          <w:tab w:leader="none" w:pos="1380" w:val="left"/>
        </w:tabs>
        <w:numPr>
          <w:ilvl w:val="2"/>
          <w:numId w:val="19"/>
        </w:numPr>
        <w:rPr>
          <w:rFonts w:ascii="Arial" w:cs="Arial" w:eastAsia="Arial" w:hAnsi="Arial"/>
          <w:sz w:val="19"/>
          <w:szCs w:val="19"/>
          <w:color w:val="auto"/>
        </w:rPr>
      </w:pPr>
      <w:r>
        <w:rPr>
          <w:rFonts w:ascii="Arial" w:cs="Arial" w:eastAsia="Arial" w:hAnsi="Arial"/>
          <w:sz w:val="19"/>
          <w:szCs w:val="19"/>
          <w:color w:val="auto"/>
        </w:rPr>
        <w:t>Certifications of Chief Executive Officer and Co-Chief Financial Officers pursuant to Section 302 of the Sarbanes-Oxley Act of 2002.</w:t>
      </w:r>
    </w:p>
    <w:p>
      <w:pPr>
        <w:spacing w:after="0" w:line="168" w:lineRule="exact"/>
        <w:rPr>
          <w:rFonts w:ascii="Arial" w:cs="Arial" w:eastAsia="Arial" w:hAnsi="Arial"/>
          <w:sz w:val="19"/>
          <w:szCs w:val="19"/>
          <w:color w:val="auto"/>
        </w:rPr>
      </w:pPr>
    </w:p>
    <w:p>
      <w:pPr>
        <w:ind w:left="1380" w:right="200" w:hanging="347"/>
        <w:spacing w:after="0" w:line="261" w:lineRule="auto"/>
        <w:tabs>
          <w:tab w:leader="none" w:pos="1380" w:val="left"/>
        </w:tabs>
        <w:numPr>
          <w:ilvl w:val="2"/>
          <w:numId w:val="19"/>
        </w:numPr>
        <w:rPr>
          <w:rFonts w:ascii="Arial" w:cs="Arial" w:eastAsia="Arial" w:hAnsi="Arial"/>
          <w:sz w:val="19"/>
          <w:szCs w:val="19"/>
          <w:color w:val="auto"/>
        </w:rPr>
      </w:pPr>
      <w:r>
        <w:rPr>
          <w:rFonts w:ascii="Arial" w:cs="Arial" w:eastAsia="Arial" w:hAnsi="Arial"/>
          <w:sz w:val="19"/>
          <w:szCs w:val="19"/>
          <w:color w:val="auto"/>
        </w:rPr>
        <w:t>Certifications of Chief Executive Officer and Co-Chief Financial Officers pursuant to Section 906 of the Sarbanes-Oxley Act of 2002.</w:t>
      </w:r>
    </w:p>
    <w:p>
      <w:pPr>
        <w:spacing w:after="0" w:line="168" w:lineRule="exact"/>
        <w:rPr>
          <w:rFonts w:ascii="Arial" w:cs="Arial" w:eastAsia="Arial" w:hAnsi="Arial"/>
          <w:sz w:val="19"/>
          <w:szCs w:val="19"/>
          <w:color w:val="auto"/>
        </w:rPr>
      </w:pPr>
    </w:p>
    <w:p>
      <w:pPr>
        <w:ind w:left="680" w:hanging="339"/>
        <w:spacing w:after="0"/>
        <w:tabs>
          <w:tab w:leader="none" w:pos="6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Reports on Form 8-K:</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ind w:right="200" w:firstLine="711"/>
        <w:spacing w:after="0" w:line="261" w:lineRule="auto"/>
        <w:tabs>
          <w:tab w:leader="none" w:pos="940" w:val="left"/>
        </w:tabs>
        <w:numPr>
          <w:ilvl w:val="1"/>
          <w:numId w:val="20"/>
        </w:numPr>
        <w:rPr>
          <w:rFonts w:ascii="Arial" w:cs="Arial" w:eastAsia="Arial" w:hAnsi="Arial"/>
          <w:sz w:val="19"/>
          <w:szCs w:val="19"/>
          <w:color w:val="auto"/>
        </w:rPr>
      </w:pPr>
      <w:r>
        <w:rPr>
          <w:rFonts w:ascii="Arial" w:cs="Arial" w:eastAsia="Arial" w:hAnsi="Arial"/>
          <w:sz w:val="19"/>
          <w:szCs w:val="19"/>
          <w:color w:val="auto"/>
        </w:rPr>
        <w:t>We filed a Current Report on Form 8-K under Items 5 and 7(c) on February 11, 2004 announcing our proposal to merge with the Walt Disney Company.</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27773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COMCAST CORPORATION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FORM 10-Q</w:t>
      </w:r>
    </w:p>
    <w:p>
      <w:pPr>
        <w:jc w:val="center"/>
        <w:ind w:right="-99"/>
        <w:spacing w:after="0"/>
        <w:rPr>
          <w:sz w:val="20"/>
          <w:szCs w:val="20"/>
          <w:color w:val="auto"/>
        </w:rPr>
      </w:pPr>
      <w:r>
        <w:rPr>
          <w:rFonts w:ascii="Arial" w:cs="Arial" w:eastAsia="Arial" w:hAnsi="Arial"/>
          <w:sz w:val="19"/>
          <w:szCs w:val="19"/>
          <w:color w:val="auto"/>
        </w:rPr>
        <w:t>QUARTER ENDED MARCH 31, 2004</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SIGNATURES</w:t>
      </w:r>
    </w:p>
    <w:p>
      <w:pPr>
        <w:spacing w:after="0" w:line="187" w:lineRule="exact"/>
        <w:rPr>
          <w:sz w:val="20"/>
          <w:szCs w:val="20"/>
          <w:color w:val="auto"/>
        </w:rPr>
      </w:pPr>
    </w:p>
    <w:p>
      <w:pPr>
        <w:ind w:firstLine="382"/>
        <w:spacing w:after="0" w:line="261"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70485</wp:posOffset>
            </wp:positionV>
            <wp:extent cx="291592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915920" cy="7620"/>
                    </a:xfrm>
                    <a:prstGeom prst="rect">
                      <a:avLst/>
                    </a:prstGeom>
                    <a:noFill/>
                  </pic:spPr>
                </pic:pic>
              </a:graphicData>
            </a:graphic>
          </wp:anchor>
        </w:drawing>
      </w:r>
    </w:p>
    <w:p>
      <w:pPr>
        <w:spacing w:after="0" w:line="394"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70485</wp:posOffset>
            </wp:positionV>
            <wp:extent cx="291592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15920" cy="7620"/>
                    </a:xfrm>
                    <a:prstGeom prst="rect">
                      <a:avLst/>
                    </a:prstGeom>
                    <a:noFill/>
                  </pic:spPr>
                </pic:pic>
              </a:graphicData>
            </a:graphic>
          </wp:anchor>
        </w:drawing>
      </w:r>
    </w:p>
    <w:p>
      <w:pPr>
        <w:spacing w:after="0" w:line="179"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Lawrence J. Salva</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Senior Vice President and Controller</w:t>
      </w:r>
    </w:p>
    <w:p>
      <w:pPr>
        <w:ind w:left="5500"/>
        <w:spacing w:after="0"/>
        <w:rPr>
          <w:sz w:val="20"/>
          <w:szCs w:val="20"/>
          <w:color w:val="auto"/>
        </w:rPr>
      </w:pPr>
      <w:r>
        <w:rPr>
          <w:rFonts w:ascii="Arial" w:cs="Arial" w:eastAsia="Arial" w:hAnsi="Arial"/>
          <w:sz w:val="19"/>
          <w:szCs w:val="19"/>
          <w:color w:val="auto"/>
        </w:rPr>
        <w:t>(Principal Accounting Officer)</w:t>
      </w:r>
    </w:p>
    <w:p>
      <w:pPr>
        <w:sectPr>
          <w:pgSz w:w="11900" w:h="16906" w:orient="portrait"/>
          <w:cols w:equalWidth="0" w:num="1">
            <w:col w:w="11340"/>
          </w:cols>
          <w:pgMar w:left="240" w:top="120" w:right="319" w:bottom="0" w:gutter="0" w:footer="0" w:header="0"/>
        </w:sectPr>
      </w:pPr>
    </w:p>
    <w:bookmarkStart w:id="25" w:name="page26"/>
    <w:bookmarkEnd w:id="25"/>
    <w:p>
      <w:pPr>
        <w:spacing w:after="0"/>
        <w:rPr>
          <w:sz w:val="20"/>
          <w:szCs w:val="20"/>
          <w:color w:val="auto"/>
        </w:rPr>
      </w:pPr>
      <w:r>
        <w:rPr>
          <w:rFonts w:ascii="Arial" w:cs="Arial" w:eastAsia="Arial" w:hAnsi="Arial"/>
          <w:sz w:val="19"/>
          <w:szCs w:val="19"/>
          <w:color w:val="auto"/>
        </w:rPr>
        <w:t>Date: May 5,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4419"/>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0219"/>
          </w:cols>
          <w:pgMar w:left="240" w:top="741" w:right="1440" w:bottom="1440" w:gutter="0" w:footer="0" w:header="0"/>
        </w:sectPr>
      </w:pPr>
    </w:p>
    <w:bookmarkStart w:id="26" w:name="page27"/>
    <w:bookmarkEnd w:id="26"/>
    <w:p>
      <w:pPr>
        <w:ind w:left="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CREDIT AGREEMENT</w:t>
      </w:r>
    </w:p>
    <w:p>
      <w:pPr>
        <w:spacing w:after="0" w:line="177"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6"/>
          <w:szCs w:val="16"/>
          <w:color w:val="auto"/>
        </w:rPr>
        <w:t>among</w:t>
      </w:r>
    </w:p>
    <w:p>
      <w:pPr>
        <w:spacing w:after="0" w:line="177"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6"/>
          <w:szCs w:val="16"/>
          <w:color w:val="auto"/>
        </w:rPr>
        <w:t>COMCAST CORPORATION</w:t>
      </w:r>
    </w:p>
    <w:p>
      <w:pPr>
        <w:spacing w:after="0" w:line="177"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6"/>
          <w:szCs w:val="16"/>
          <w:color w:val="auto"/>
        </w:rPr>
        <w:t>COMCAST CABLE COMMUNICATIONS HOLDINGS, INC.</w:t>
      </w:r>
    </w:p>
    <w:p>
      <w:pPr>
        <w:spacing w:after="0" w:line="177"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6"/>
          <w:szCs w:val="16"/>
          <w:color w:val="auto"/>
        </w:rPr>
        <w:t>The Financial Institutions Party Hereto</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JPMorgan Chase Bank,</w:t>
      </w:r>
    </w:p>
    <w:p>
      <w:pPr>
        <w:ind w:left="2700"/>
        <w:spacing w:after="0" w:line="236" w:lineRule="auto"/>
        <w:rPr>
          <w:sz w:val="20"/>
          <w:szCs w:val="20"/>
          <w:color w:val="auto"/>
        </w:rPr>
      </w:pPr>
      <w:r>
        <w:rPr>
          <w:rFonts w:ascii="Courier New" w:cs="Courier New" w:eastAsia="Courier New" w:hAnsi="Courier New"/>
          <w:sz w:val="16"/>
          <w:szCs w:val="16"/>
          <w:color w:val="auto"/>
        </w:rPr>
        <w:t>as Administrative Agent</w:t>
      </w:r>
    </w:p>
    <w:p>
      <w:pPr>
        <w:ind w:left="3620"/>
        <w:spacing w:after="0" w:line="237" w:lineRule="auto"/>
        <w:rPr>
          <w:sz w:val="20"/>
          <w:szCs w:val="20"/>
          <w:color w:val="auto"/>
        </w:rPr>
      </w:pPr>
      <w:r>
        <w:rPr>
          <w:rFonts w:ascii="Courier New" w:cs="Courier New" w:eastAsia="Courier New" w:hAnsi="Courier New"/>
          <w:sz w:val="16"/>
          <w:szCs w:val="16"/>
          <w:color w:val="auto"/>
        </w:rPr>
        <w:t>and</w:t>
      </w:r>
    </w:p>
    <w:p>
      <w:pPr>
        <w:ind w:left="3060"/>
        <w:spacing w:after="0" w:line="237" w:lineRule="auto"/>
        <w:rPr>
          <w:sz w:val="20"/>
          <w:szCs w:val="20"/>
          <w:color w:val="auto"/>
        </w:rPr>
      </w:pPr>
      <w:r>
        <w:rPr>
          <w:rFonts w:ascii="Courier New" w:cs="Courier New" w:eastAsia="Courier New" w:hAnsi="Courier New"/>
          <w:sz w:val="16"/>
          <w:szCs w:val="16"/>
          <w:color w:val="auto"/>
        </w:rPr>
        <w:t>Issuing Lender</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CITIBANK, N.A.,</w:t>
      </w:r>
    </w:p>
    <w:p>
      <w:pPr>
        <w:ind w:left="2780"/>
        <w:spacing w:after="0" w:line="236" w:lineRule="auto"/>
        <w:rPr>
          <w:sz w:val="20"/>
          <w:szCs w:val="20"/>
          <w:color w:val="auto"/>
        </w:rPr>
      </w:pPr>
      <w:r>
        <w:rPr>
          <w:rFonts w:ascii="Courier New" w:cs="Courier New" w:eastAsia="Courier New" w:hAnsi="Courier New"/>
          <w:sz w:val="16"/>
          <w:szCs w:val="16"/>
          <w:color w:val="auto"/>
        </w:rPr>
        <w:t>as Syndication Agent</w:t>
      </w:r>
    </w:p>
    <w:p>
      <w:pPr>
        <w:spacing w:after="0" w:line="177"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6"/>
          <w:szCs w:val="16"/>
          <w:color w:val="auto"/>
        </w:rPr>
        <w:t>Bank of America, N.A.,</w:t>
      </w:r>
    </w:p>
    <w:p>
      <w:pPr>
        <w:jc w:val="center"/>
        <w:ind w:right="3240"/>
        <w:spacing w:after="0" w:line="236" w:lineRule="auto"/>
        <w:rPr>
          <w:sz w:val="20"/>
          <w:szCs w:val="20"/>
          <w:color w:val="auto"/>
        </w:rPr>
      </w:pPr>
      <w:r>
        <w:rPr>
          <w:rFonts w:ascii="Courier New" w:cs="Courier New" w:eastAsia="Courier New" w:hAnsi="Courier New"/>
          <w:sz w:val="16"/>
          <w:szCs w:val="16"/>
          <w:color w:val="auto"/>
        </w:rPr>
        <w:t>Barclays Bank plc</w:t>
      </w:r>
    </w:p>
    <w:p>
      <w:pPr>
        <w:jc w:val="center"/>
        <w:ind w:right="3240"/>
        <w:spacing w:after="0" w:line="237" w:lineRule="auto"/>
        <w:rPr>
          <w:sz w:val="20"/>
          <w:szCs w:val="20"/>
          <w:color w:val="auto"/>
        </w:rPr>
      </w:pPr>
      <w:r>
        <w:rPr>
          <w:rFonts w:ascii="Courier New" w:cs="Courier New" w:eastAsia="Courier New" w:hAnsi="Courier New"/>
          <w:sz w:val="16"/>
          <w:szCs w:val="16"/>
          <w:color w:val="auto"/>
        </w:rPr>
        <w:t>and</w:t>
      </w:r>
    </w:p>
    <w:p>
      <w:pPr>
        <w:jc w:val="center"/>
        <w:ind w:right="3340"/>
        <w:spacing w:after="0" w:line="237" w:lineRule="auto"/>
        <w:rPr>
          <w:sz w:val="20"/>
          <w:szCs w:val="20"/>
          <w:color w:val="auto"/>
        </w:rPr>
      </w:pPr>
      <w:r>
        <w:rPr>
          <w:rFonts w:ascii="Courier New" w:cs="Courier New" w:eastAsia="Courier New" w:hAnsi="Courier New"/>
          <w:sz w:val="16"/>
          <w:szCs w:val="16"/>
          <w:color w:val="auto"/>
        </w:rPr>
        <w:t>DEUTSCHE BANK SECURITIES INC.,</w:t>
      </w:r>
    </w:p>
    <w:p>
      <w:pPr>
        <w:jc w:val="center"/>
        <w:ind w:right="3340"/>
        <w:spacing w:after="0" w:line="237" w:lineRule="auto"/>
        <w:rPr>
          <w:sz w:val="20"/>
          <w:szCs w:val="20"/>
          <w:color w:val="auto"/>
        </w:rPr>
      </w:pPr>
      <w:r>
        <w:rPr>
          <w:rFonts w:ascii="Courier New" w:cs="Courier New" w:eastAsia="Courier New" w:hAnsi="Courier New"/>
          <w:sz w:val="16"/>
          <w:szCs w:val="16"/>
          <w:color w:val="auto"/>
        </w:rPr>
        <w:t>as Co-Documentation Agents</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Dated as of January 8, 2004</w:t>
      </w:r>
    </w:p>
    <w:p>
      <w:pPr>
        <w:spacing w:after="0" w:line="35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355"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6"/>
          <w:szCs w:val="16"/>
          <w:color w:val="auto"/>
        </w:rPr>
        <w:t>J.P. MORGAN SECURITIES INC.</w:t>
      </w:r>
    </w:p>
    <w:p>
      <w:pPr>
        <w:jc w:val="center"/>
        <w:ind w:right="3240"/>
        <w:spacing w:after="0" w:line="236" w:lineRule="auto"/>
        <w:rPr>
          <w:sz w:val="20"/>
          <w:szCs w:val="20"/>
          <w:color w:val="auto"/>
        </w:rPr>
      </w:pPr>
      <w:r>
        <w:rPr>
          <w:rFonts w:ascii="Courier New" w:cs="Courier New" w:eastAsia="Courier New" w:hAnsi="Courier New"/>
          <w:sz w:val="16"/>
          <w:szCs w:val="16"/>
          <w:color w:val="auto"/>
        </w:rPr>
        <w:t>and</w:t>
      </w:r>
    </w:p>
    <w:p>
      <w:pPr>
        <w:jc w:val="center"/>
        <w:ind w:right="3340"/>
        <w:spacing w:after="0" w:line="237" w:lineRule="auto"/>
        <w:rPr>
          <w:sz w:val="20"/>
          <w:szCs w:val="20"/>
          <w:color w:val="auto"/>
        </w:rPr>
      </w:pPr>
      <w:r>
        <w:rPr>
          <w:rFonts w:ascii="Courier New" w:cs="Courier New" w:eastAsia="Courier New" w:hAnsi="Courier New"/>
          <w:sz w:val="16"/>
          <w:szCs w:val="16"/>
          <w:color w:val="auto"/>
        </w:rPr>
        <w:t>CITIGROUP GLOBAL MARKETS INC.,</w:t>
      </w:r>
    </w:p>
    <w:p>
      <w:pPr>
        <w:jc w:val="center"/>
        <w:ind w:right="3340"/>
        <w:spacing w:after="0" w:line="237" w:lineRule="auto"/>
        <w:rPr>
          <w:sz w:val="20"/>
          <w:szCs w:val="20"/>
          <w:color w:val="auto"/>
        </w:rPr>
      </w:pPr>
      <w:r>
        <w:rPr>
          <w:rFonts w:ascii="Courier New" w:cs="Courier New" w:eastAsia="Courier New" w:hAnsi="Courier New"/>
          <w:sz w:val="16"/>
          <w:szCs w:val="16"/>
          <w:color w:val="auto"/>
        </w:rPr>
        <w:t>as</w:t>
      </w:r>
    </w:p>
    <w:p>
      <w:pPr>
        <w:jc w:val="center"/>
        <w:ind w:right="3340"/>
        <w:spacing w:after="0" w:line="237" w:lineRule="auto"/>
        <w:rPr>
          <w:sz w:val="20"/>
          <w:szCs w:val="20"/>
          <w:color w:val="auto"/>
        </w:rPr>
      </w:pPr>
      <w:r>
        <w:rPr>
          <w:rFonts w:ascii="Courier New" w:cs="Courier New" w:eastAsia="Courier New" w:hAnsi="Courier New"/>
          <w:sz w:val="16"/>
          <w:szCs w:val="16"/>
          <w:color w:val="auto"/>
        </w:rPr>
        <w:t>Joint Lead Arrangers and Joint Bookrunners</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BANC OF AMERICA SECURITIES LLC,</w:t>
      </w:r>
    </w:p>
    <w:p>
      <w:pPr>
        <w:ind w:left="2980"/>
        <w:spacing w:after="0" w:line="236" w:lineRule="auto"/>
        <w:rPr>
          <w:sz w:val="20"/>
          <w:szCs w:val="20"/>
          <w:color w:val="auto"/>
        </w:rPr>
      </w:pPr>
      <w:r>
        <w:rPr>
          <w:rFonts w:ascii="Courier New" w:cs="Courier New" w:eastAsia="Courier New" w:hAnsi="Courier New"/>
          <w:sz w:val="16"/>
          <w:szCs w:val="16"/>
          <w:color w:val="auto"/>
        </w:rPr>
        <w:t>BARCLAYS BANK PLC</w:t>
      </w:r>
    </w:p>
    <w:p>
      <w:pPr>
        <w:ind w:left="3620"/>
        <w:spacing w:after="0" w:line="237" w:lineRule="auto"/>
        <w:rPr>
          <w:sz w:val="20"/>
          <w:szCs w:val="20"/>
          <w:color w:val="auto"/>
        </w:rPr>
      </w:pPr>
      <w:r>
        <w:rPr>
          <w:rFonts w:ascii="Courier New" w:cs="Courier New" w:eastAsia="Courier New" w:hAnsi="Courier New"/>
          <w:sz w:val="16"/>
          <w:szCs w:val="16"/>
          <w:color w:val="auto"/>
        </w:rPr>
        <w:t>and</w:t>
      </w:r>
    </w:p>
    <w:p>
      <w:pPr>
        <w:ind w:left="2320"/>
        <w:spacing w:after="0" w:line="237" w:lineRule="auto"/>
        <w:rPr>
          <w:sz w:val="20"/>
          <w:szCs w:val="20"/>
          <w:color w:val="auto"/>
        </w:rPr>
      </w:pPr>
      <w:r>
        <w:rPr>
          <w:rFonts w:ascii="Courier New" w:cs="Courier New" w:eastAsia="Courier New" w:hAnsi="Courier New"/>
          <w:sz w:val="16"/>
          <w:szCs w:val="16"/>
          <w:color w:val="auto"/>
        </w:rPr>
        <w:t>DEUTSCHE BANK SECURITIES INC.,</w:t>
      </w:r>
    </w:p>
    <w:p>
      <w:pPr>
        <w:ind w:left="3060"/>
        <w:spacing w:after="0" w:line="237" w:lineRule="auto"/>
        <w:rPr>
          <w:sz w:val="20"/>
          <w:szCs w:val="20"/>
          <w:color w:val="auto"/>
        </w:rPr>
      </w:pPr>
      <w:r>
        <w:rPr>
          <w:rFonts w:ascii="Courier New" w:cs="Courier New" w:eastAsia="Courier New" w:hAnsi="Courier New"/>
          <w:sz w:val="16"/>
          <w:szCs w:val="16"/>
          <w:color w:val="auto"/>
        </w:rPr>
        <w:t>as Co-Arrangers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TABLE OF CONTENTS</w:t>
      </w:r>
    </w:p>
    <w:p>
      <w:pPr>
        <w:spacing w:after="0" w:line="17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355" w:lineRule="exact"/>
        <w:rPr>
          <w:sz w:val="20"/>
          <w:szCs w:val="20"/>
          <w:color w:val="auto"/>
        </w:rPr>
      </w:pPr>
    </w:p>
    <w:p>
      <w:pPr>
        <w:spacing w:after="0"/>
        <w:tabs>
          <w:tab w:leader="dot" w:pos="10580" w:val="left"/>
        </w:tabs>
        <w:rPr>
          <w:sz w:val="20"/>
          <w:szCs w:val="20"/>
          <w:color w:val="auto"/>
        </w:rPr>
      </w:pPr>
      <w:r>
        <w:rPr>
          <w:rFonts w:ascii="Courier New" w:cs="Courier New" w:eastAsia="Courier New" w:hAnsi="Courier New"/>
          <w:sz w:val="16"/>
          <w:szCs w:val="16"/>
          <w:color w:val="auto"/>
        </w:rPr>
        <w:t>SECTION 1 DEFINITIONS AND ACCOUNTING TERMS</w:t>
      </w:r>
      <w:r>
        <w:rPr>
          <w:sz w:val="20"/>
          <w:szCs w:val="20"/>
          <w:color w:val="auto"/>
        </w:rPr>
        <w:tab/>
      </w:r>
      <w:r>
        <w:rPr>
          <w:rFonts w:ascii="Courier New" w:cs="Courier New" w:eastAsia="Courier New" w:hAnsi="Courier New"/>
          <w:sz w:val="16"/>
          <w:szCs w:val="16"/>
          <w:color w:val="auto"/>
        </w:rPr>
        <w:t>1</w:t>
      </w:r>
    </w:p>
    <w:p>
      <w:pPr>
        <w:spacing w:after="0" w:line="177" w:lineRule="exact"/>
        <w:rPr>
          <w:sz w:val="20"/>
          <w:szCs w:val="20"/>
          <w:color w:val="auto"/>
        </w:rPr>
      </w:pPr>
    </w:p>
    <w:p>
      <w:pPr>
        <w:ind w:left="280"/>
        <w:spacing w:after="0"/>
        <w:tabs>
          <w:tab w:leader="none" w:pos="1380" w:val="left"/>
          <w:tab w:leader="dot" w:pos="1058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Defined Terms</w:t>
      </w:r>
      <w:r>
        <w:rPr>
          <w:sz w:val="20"/>
          <w:szCs w:val="20"/>
          <w:color w:val="auto"/>
        </w:rPr>
        <w:tab/>
      </w:r>
      <w:r>
        <w:rPr>
          <w:rFonts w:ascii="Courier New" w:cs="Courier New" w:eastAsia="Courier New" w:hAnsi="Courier New"/>
          <w:sz w:val="16"/>
          <w:szCs w:val="16"/>
          <w:color w:val="auto"/>
        </w:rPr>
        <w:t>1</w:t>
      </w:r>
    </w:p>
    <w:p>
      <w:pPr>
        <w:ind w:left="280"/>
        <w:spacing w:after="0" w:line="236"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Use of Certain Terms</w:t>
      </w:r>
      <w:r>
        <w:rPr>
          <w:sz w:val="20"/>
          <w:szCs w:val="20"/>
          <w:color w:val="auto"/>
        </w:rPr>
        <w:tab/>
      </w:r>
      <w:r>
        <w:rPr>
          <w:rFonts w:ascii="Courier New" w:cs="Courier New" w:eastAsia="Courier New" w:hAnsi="Courier New"/>
          <w:sz w:val="16"/>
          <w:szCs w:val="16"/>
          <w:color w:val="auto"/>
        </w:rPr>
        <w:t>16</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Accounting Terms</w:t>
      </w:r>
      <w:r>
        <w:rPr>
          <w:sz w:val="20"/>
          <w:szCs w:val="20"/>
          <w:color w:val="auto"/>
        </w:rPr>
        <w:tab/>
      </w:r>
      <w:r>
        <w:rPr>
          <w:rFonts w:ascii="Courier New" w:cs="Courier New" w:eastAsia="Courier New" w:hAnsi="Courier New"/>
          <w:sz w:val="16"/>
          <w:szCs w:val="16"/>
          <w:color w:val="auto"/>
        </w:rPr>
        <w:t>17</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Rounding</w:t>
      </w:r>
      <w:r>
        <w:rPr>
          <w:sz w:val="20"/>
          <w:szCs w:val="20"/>
          <w:color w:val="auto"/>
        </w:rPr>
        <w:tab/>
      </w:r>
      <w:r>
        <w:rPr>
          <w:rFonts w:ascii="Courier New" w:cs="Courier New" w:eastAsia="Courier New" w:hAnsi="Courier New"/>
          <w:sz w:val="16"/>
          <w:szCs w:val="16"/>
          <w:color w:val="auto"/>
        </w:rPr>
        <w:t>17</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Exhibits and Schedules</w:t>
      </w:r>
      <w:r>
        <w:rPr>
          <w:sz w:val="20"/>
          <w:szCs w:val="20"/>
          <w:color w:val="auto"/>
        </w:rPr>
        <w:tab/>
      </w:r>
      <w:r>
        <w:rPr>
          <w:rFonts w:ascii="Courier New" w:cs="Courier New" w:eastAsia="Courier New" w:hAnsi="Courier New"/>
          <w:sz w:val="16"/>
          <w:szCs w:val="16"/>
          <w:color w:val="auto"/>
        </w:rPr>
        <w:t>17</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References to Agreements and Laws</w:t>
      </w:r>
      <w:r>
        <w:rPr>
          <w:sz w:val="20"/>
          <w:szCs w:val="20"/>
          <w:color w:val="auto"/>
        </w:rPr>
        <w:tab/>
      </w:r>
      <w:r>
        <w:rPr>
          <w:rFonts w:ascii="Courier New" w:cs="Courier New" w:eastAsia="Courier New" w:hAnsi="Courier New"/>
          <w:sz w:val="16"/>
          <w:szCs w:val="16"/>
          <w:color w:val="auto"/>
        </w:rPr>
        <w:t>17</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Pro Forma Calculations</w:t>
      </w:r>
      <w:r>
        <w:rPr>
          <w:sz w:val="20"/>
          <w:szCs w:val="20"/>
          <w:color w:val="auto"/>
        </w:rPr>
        <w:tab/>
      </w:r>
      <w:r>
        <w:rPr>
          <w:rFonts w:ascii="Courier New" w:cs="Courier New" w:eastAsia="Courier New" w:hAnsi="Courier New"/>
          <w:sz w:val="16"/>
          <w:szCs w:val="16"/>
          <w:color w:val="auto"/>
        </w:rPr>
        <w:t>17</w:t>
      </w:r>
    </w:p>
    <w:p>
      <w:pPr>
        <w:spacing w:after="0" w:line="177" w:lineRule="exact"/>
        <w:rPr>
          <w:sz w:val="20"/>
          <w:szCs w:val="20"/>
          <w:color w:val="auto"/>
        </w:rPr>
      </w:pPr>
    </w:p>
    <w:p>
      <w:pPr>
        <w:spacing w:after="0"/>
        <w:tabs>
          <w:tab w:leader="dot" w:pos="10480" w:val="left"/>
        </w:tabs>
        <w:rPr>
          <w:sz w:val="20"/>
          <w:szCs w:val="20"/>
          <w:color w:val="auto"/>
        </w:rPr>
      </w:pPr>
      <w:r>
        <w:rPr>
          <w:rFonts w:ascii="Courier New" w:cs="Courier New" w:eastAsia="Courier New" w:hAnsi="Courier New"/>
          <w:sz w:val="16"/>
          <w:szCs w:val="16"/>
          <w:color w:val="auto"/>
        </w:rPr>
        <w:t>SECTION 2 THE COMMITMENTS AND EXTENSIONS OF CREDIT</w:t>
      </w:r>
      <w:r>
        <w:rPr>
          <w:sz w:val="20"/>
          <w:szCs w:val="20"/>
          <w:color w:val="auto"/>
        </w:rPr>
        <w:tab/>
      </w:r>
      <w:r>
        <w:rPr>
          <w:rFonts w:ascii="Courier New" w:cs="Courier New" w:eastAsia="Courier New" w:hAnsi="Courier New"/>
          <w:sz w:val="16"/>
          <w:szCs w:val="16"/>
          <w:color w:val="auto"/>
        </w:rPr>
        <w:t>18</w:t>
      </w:r>
    </w:p>
    <w:p>
      <w:pPr>
        <w:spacing w:after="0" w:line="177" w:lineRule="exact"/>
        <w:rPr>
          <w:sz w:val="20"/>
          <w:szCs w:val="20"/>
          <w:color w:val="auto"/>
        </w:rPr>
      </w:pPr>
    </w:p>
    <w:p>
      <w:pPr>
        <w:ind w:left="280"/>
        <w:spacing w:after="0"/>
        <w:tabs>
          <w:tab w:leader="none" w:pos="1380" w:val="left"/>
          <w:tab w:leader="dot" w:pos="10480" w:val="left"/>
        </w:tabs>
        <w:rPr>
          <w:sz w:val="20"/>
          <w:szCs w:val="20"/>
          <w:color w:val="auto"/>
        </w:rPr>
      </w:pPr>
      <w:r>
        <w:rPr>
          <w:rFonts w:ascii="Courier New" w:cs="Courier New" w:eastAsia="Courier New" w:hAnsi="Courier New"/>
          <w:sz w:val="16"/>
          <w:szCs w:val="16"/>
          <w:color w:val="auto"/>
        </w:rPr>
        <w:t>2.01</w:t>
      </w:r>
      <w:r>
        <w:rPr>
          <w:sz w:val="20"/>
          <w:szCs w:val="20"/>
          <w:color w:val="auto"/>
        </w:rPr>
        <w:tab/>
      </w:r>
      <w:r>
        <w:rPr>
          <w:rFonts w:ascii="Courier New" w:cs="Courier New" w:eastAsia="Courier New" w:hAnsi="Courier New"/>
          <w:sz w:val="16"/>
          <w:szCs w:val="16"/>
          <w:color w:val="auto"/>
        </w:rPr>
        <w:t>Amount and Terms of Revolving Commitments</w:t>
      </w:r>
      <w:r>
        <w:rPr>
          <w:sz w:val="20"/>
          <w:szCs w:val="20"/>
          <w:color w:val="auto"/>
        </w:rPr>
        <w:tab/>
      </w:r>
      <w:r>
        <w:rPr>
          <w:rFonts w:ascii="Courier New" w:cs="Courier New" w:eastAsia="Courier New" w:hAnsi="Courier New"/>
          <w:sz w:val="16"/>
          <w:szCs w:val="16"/>
          <w:color w:val="auto"/>
        </w:rPr>
        <w:t>18</w:t>
      </w:r>
    </w:p>
    <w:p>
      <w:pPr>
        <w:ind w:left="280"/>
        <w:spacing w:after="0" w:line="236"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2.02</w:t>
      </w:r>
      <w:r>
        <w:rPr>
          <w:sz w:val="20"/>
          <w:szCs w:val="20"/>
          <w:color w:val="auto"/>
        </w:rPr>
        <w:tab/>
      </w:r>
      <w:r>
        <w:rPr>
          <w:rFonts w:ascii="Courier New" w:cs="Courier New" w:eastAsia="Courier New" w:hAnsi="Courier New"/>
          <w:sz w:val="16"/>
          <w:szCs w:val="16"/>
          <w:color w:val="auto"/>
        </w:rPr>
        <w:t>Procedure for Revolving Loan Borrowings</w:t>
      </w:r>
      <w:r>
        <w:rPr>
          <w:sz w:val="20"/>
          <w:szCs w:val="20"/>
          <w:color w:val="auto"/>
        </w:rPr>
        <w:tab/>
      </w:r>
      <w:r>
        <w:rPr>
          <w:rFonts w:ascii="Courier New" w:cs="Courier New" w:eastAsia="Courier New" w:hAnsi="Courier New"/>
          <w:sz w:val="16"/>
          <w:szCs w:val="16"/>
          <w:color w:val="auto"/>
        </w:rPr>
        <w:t>19</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2.03</w:t>
      </w:r>
      <w:r>
        <w:rPr>
          <w:sz w:val="20"/>
          <w:szCs w:val="20"/>
          <w:color w:val="auto"/>
        </w:rPr>
        <w:tab/>
      </w:r>
      <w:r>
        <w:rPr>
          <w:rFonts w:ascii="Courier New" w:cs="Courier New" w:eastAsia="Courier New" w:hAnsi="Courier New"/>
          <w:sz w:val="16"/>
          <w:szCs w:val="16"/>
          <w:color w:val="auto"/>
        </w:rPr>
        <w:t>Letters of Credit</w:t>
      </w:r>
      <w:r>
        <w:rPr>
          <w:sz w:val="20"/>
          <w:szCs w:val="20"/>
          <w:color w:val="auto"/>
        </w:rPr>
        <w:tab/>
      </w:r>
      <w:r>
        <w:rPr>
          <w:rFonts w:ascii="Courier New" w:cs="Courier New" w:eastAsia="Courier New" w:hAnsi="Courier New"/>
          <w:sz w:val="16"/>
          <w:szCs w:val="16"/>
          <w:color w:val="auto"/>
        </w:rPr>
        <w:t>19</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2.04</w:t>
      </w:r>
      <w:r>
        <w:rPr>
          <w:sz w:val="20"/>
          <w:szCs w:val="20"/>
          <w:color w:val="auto"/>
        </w:rPr>
        <w:tab/>
      </w:r>
      <w:r>
        <w:rPr>
          <w:rFonts w:ascii="Courier New" w:cs="Courier New" w:eastAsia="Courier New" w:hAnsi="Courier New"/>
          <w:sz w:val="16"/>
          <w:szCs w:val="16"/>
          <w:color w:val="auto"/>
        </w:rPr>
        <w:t>Competitive Bid Procedure</w:t>
      </w:r>
      <w:r>
        <w:rPr>
          <w:sz w:val="20"/>
          <w:szCs w:val="20"/>
          <w:color w:val="auto"/>
        </w:rPr>
        <w:tab/>
      </w:r>
      <w:r>
        <w:rPr>
          <w:rFonts w:ascii="Courier New" w:cs="Courier New" w:eastAsia="Courier New" w:hAnsi="Courier New"/>
          <w:sz w:val="16"/>
          <w:szCs w:val="16"/>
          <w:color w:val="auto"/>
        </w:rPr>
        <w:t>23</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2.05</w:t>
      </w:r>
      <w:r>
        <w:rPr>
          <w:sz w:val="20"/>
          <w:szCs w:val="20"/>
          <w:color w:val="auto"/>
        </w:rPr>
        <w:tab/>
      </w:r>
      <w:r>
        <w:rPr>
          <w:rFonts w:ascii="Courier New" w:cs="Courier New" w:eastAsia="Courier New" w:hAnsi="Courier New"/>
          <w:sz w:val="16"/>
          <w:szCs w:val="16"/>
          <w:color w:val="auto"/>
        </w:rPr>
        <w:t>Reduction or Termination of Revolving Commitments</w:t>
      </w:r>
      <w:r>
        <w:rPr>
          <w:sz w:val="20"/>
          <w:szCs w:val="20"/>
          <w:color w:val="auto"/>
        </w:rPr>
        <w:tab/>
      </w:r>
      <w:r>
        <w:rPr>
          <w:rFonts w:ascii="Courier New" w:cs="Courier New" w:eastAsia="Courier New" w:hAnsi="Courier New"/>
          <w:sz w:val="16"/>
          <w:szCs w:val="16"/>
          <w:color w:val="auto"/>
        </w:rPr>
        <w:t>25</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2.06</w:t>
      </w:r>
      <w:r>
        <w:rPr>
          <w:sz w:val="20"/>
          <w:szCs w:val="20"/>
          <w:color w:val="auto"/>
        </w:rPr>
        <w:tab/>
      </w:r>
      <w:r>
        <w:rPr>
          <w:rFonts w:ascii="Courier New" w:cs="Courier New" w:eastAsia="Courier New" w:hAnsi="Courier New"/>
          <w:sz w:val="16"/>
          <w:szCs w:val="16"/>
          <w:color w:val="auto"/>
        </w:rPr>
        <w:t>[RESERVED]</w:t>
      </w:r>
      <w:r>
        <w:rPr>
          <w:sz w:val="20"/>
          <w:szCs w:val="20"/>
          <w:color w:val="auto"/>
        </w:rPr>
        <w:tab/>
      </w:r>
      <w:r>
        <w:rPr>
          <w:rFonts w:ascii="Courier New" w:cs="Courier New" w:eastAsia="Courier New" w:hAnsi="Courier New"/>
          <w:sz w:val="16"/>
          <w:szCs w:val="16"/>
          <w:color w:val="auto"/>
        </w:rPr>
        <w:t>25</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2.07</w:t>
      </w:r>
      <w:r>
        <w:rPr>
          <w:sz w:val="20"/>
          <w:szCs w:val="20"/>
          <w:color w:val="auto"/>
        </w:rPr>
        <w:tab/>
      </w:r>
      <w:r>
        <w:rPr>
          <w:rFonts w:ascii="Courier New" w:cs="Courier New" w:eastAsia="Courier New" w:hAnsi="Courier New"/>
          <w:sz w:val="16"/>
          <w:szCs w:val="16"/>
          <w:color w:val="auto"/>
        </w:rPr>
        <w:t>[RESERVED]</w:t>
      </w:r>
      <w:r>
        <w:rPr>
          <w:sz w:val="20"/>
          <w:szCs w:val="20"/>
          <w:color w:val="auto"/>
        </w:rPr>
        <w:tab/>
      </w:r>
      <w:r>
        <w:rPr>
          <w:rFonts w:ascii="Courier New" w:cs="Courier New" w:eastAsia="Courier New" w:hAnsi="Courier New"/>
          <w:sz w:val="16"/>
          <w:szCs w:val="16"/>
          <w:color w:val="auto"/>
        </w:rPr>
        <w:t>25</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2.08</w:t>
      </w:r>
      <w:r>
        <w:rPr>
          <w:sz w:val="20"/>
          <w:szCs w:val="20"/>
          <w:color w:val="auto"/>
        </w:rPr>
        <w:tab/>
      </w:r>
      <w:r>
        <w:rPr>
          <w:rFonts w:ascii="Courier New" w:cs="Courier New" w:eastAsia="Courier New" w:hAnsi="Courier New"/>
          <w:sz w:val="16"/>
          <w:szCs w:val="16"/>
          <w:color w:val="auto"/>
        </w:rPr>
        <w:t>[RESERVED]</w:t>
      </w:r>
      <w:r>
        <w:rPr>
          <w:sz w:val="20"/>
          <w:szCs w:val="20"/>
          <w:color w:val="auto"/>
        </w:rPr>
        <w:tab/>
      </w:r>
      <w:r>
        <w:rPr>
          <w:rFonts w:ascii="Courier New" w:cs="Courier New" w:eastAsia="Courier New" w:hAnsi="Courier New"/>
          <w:sz w:val="16"/>
          <w:szCs w:val="16"/>
          <w:color w:val="auto"/>
        </w:rPr>
        <w:t>25</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2.09</w:t>
      </w:r>
      <w:r>
        <w:rPr>
          <w:sz w:val="20"/>
          <w:szCs w:val="20"/>
          <w:color w:val="auto"/>
        </w:rPr>
        <w:tab/>
      </w:r>
      <w:r>
        <w:rPr>
          <w:rFonts w:ascii="Courier New" w:cs="Courier New" w:eastAsia="Courier New" w:hAnsi="Courier New"/>
          <w:sz w:val="16"/>
          <w:szCs w:val="16"/>
          <w:color w:val="auto"/>
        </w:rPr>
        <w:t>Prepayments</w:t>
      </w:r>
      <w:r>
        <w:rPr>
          <w:sz w:val="20"/>
          <w:szCs w:val="20"/>
          <w:color w:val="auto"/>
        </w:rPr>
        <w:tab/>
      </w:r>
      <w:r>
        <w:rPr>
          <w:rFonts w:ascii="Courier New" w:cs="Courier New" w:eastAsia="Courier New" w:hAnsi="Courier New"/>
          <w:sz w:val="16"/>
          <w:szCs w:val="16"/>
          <w:color w:val="auto"/>
        </w:rPr>
        <w:t>25</w:t>
      </w:r>
    </w:p>
    <w:p>
      <w:pPr>
        <w:ind w:left="280"/>
        <w:spacing w:after="0" w:line="236"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2.10</w:t>
      </w:r>
      <w:r>
        <w:rPr>
          <w:sz w:val="20"/>
          <w:szCs w:val="20"/>
          <w:color w:val="auto"/>
        </w:rPr>
        <w:tab/>
      </w:r>
      <w:r>
        <w:rPr>
          <w:rFonts w:ascii="Courier New" w:cs="Courier New" w:eastAsia="Courier New" w:hAnsi="Courier New"/>
          <w:sz w:val="16"/>
          <w:szCs w:val="16"/>
          <w:color w:val="auto"/>
        </w:rPr>
        <w:t>Documentation of Loans</w:t>
      </w:r>
      <w:r>
        <w:rPr>
          <w:sz w:val="20"/>
          <w:szCs w:val="20"/>
          <w:color w:val="auto"/>
        </w:rPr>
        <w:tab/>
      </w:r>
      <w:r>
        <w:rPr>
          <w:rFonts w:ascii="Courier New" w:cs="Courier New" w:eastAsia="Courier New" w:hAnsi="Courier New"/>
          <w:sz w:val="16"/>
          <w:szCs w:val="16"/>
          <w:color w:val="auto"/>
        </w:rPr>
        <w:t>26</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6"/>
          <w:szCs w:val="16"/>
          <w:color w:val="auto"/>
        </w:rPr>
        <w:t>Continuation and Conversion Option</w:t>
      </w:r>
      <w:r>
        <w:rPr>
          <w:sz w:val="20"/>
          <w:szCs w:val="20"/>
          <w:color w:val="auto"/>
        </w:rPr>
        <w:tab/>
      </w:r>
      <w:r>
        <w:rPr>
          <w:rFonts w:ascii="Courier New" w:cs="Courier New" w:eastAsia="Courier New" w:hAnsi="Courier New"/>
          <w:sz w:val="16"/>
          <w:szCs w:val="16"/>
          <w:color w:val="auto"/>
        </w:rPr>
        <w:t>27</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2.12</w:t>
      </w:r>
      <w:r>
        <w:rPr>
          <w:sz w:val="20"/>
          <w:szCs w:val="20"/>
          <w:color w:val="auto"/>
        </w:rPr>
        <w:tab/>
      </w:r>
      <w:r>
        <w:rPr>
          <w:rFonts w:ascii="Courier New" w:cs="Courier New" w:eastAsia="Courier New" w:hAnsi="Courier New"/>
          <w:sz w:val="16"/>
          <w:szCs w:val="16"/>
          <w:color w:val="auto"/>
        </w:rPr>
        <w:t>Interest</w:t>
      </w:r>
      <w:r>
        <w:rPr>
          <w:sz w:val="20"/>
          <w:szCs w:val="20"/>
          <w:color w:val="auto"/>
        </w:rPr>
        <w:tab/>
      </w:r>
      <w:r>
        <w:rPr>
          <w:rFonts w:ascii="Courier New" w:cs="Courier New" w:eastAsia="Courier New" w:hAnsi="Courier New"/>
          <w:sz w:val="16"/>
          <w:szCs w:val="16"/>
          <w:color w:val="auto"/>
        </w:rPr>
        <w:t>27</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2.13</w:t>
      </w:r>
      <w:r>
        <w:rPr>
          <w:sz w:val="20"/>
          <w:szCs w:val="20"/>
          <w:color w:val="auto"/>
        </w:rPr>
        <w:tab/>
      </w:r>
      <w:r>
        <w:rPr>
          <w:rFonts w:ascii="Courier New" w:cs="Courier New" w:eastAsia="Courier New" w:hAnsi="Courier New"/>
          <w:sz w:val="16"/>
          <w:szCs w:val="16"/>
          <w:color w:val="auto"/>
        </w:rPr>
        <w:t>Fees</w:t>
      </w:r>
      <w:r>
        <w:rPr>
          <w:sz w:val="20"/>
          <w:szCs w:val="20"/>
          <w:color w:val="auto"/>
        </w:rPr>
        <w:tab/>
      </w:r>
      <w:r>
        <w:rPr>
          <w:rFonts w:ascii="Courier New" w:cs="Courier New" w:eastAsia="Courier New" w:hAnsi="Courier New"/>
          <w:sz w:val="16"/>
          <w:szCs w:val="16"/>
          <w:color w:val="auto"/>
        </w:rPr>
        <w:t>28</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2.14</w:t>
      </w:r>
      <w:r>
        <w:rPr>
          <w:sz w:val="20"/>
          <w:szCs w:val="20"/>
          <w:color w:val="auto"/>
        </w:rPr>
        <w:tab/>
      </w:r>
      <w:r>
        <w:rPr>
          <w:rFonts w:ascii="Courier New" w:cs="Courier New" w:eastAsia="Courier New" w:hAnsi="Courier New"/>
          <w:sz w:val="16"/>
          <w:szCs w:val="16"/>
          <w:color w:val="auto"/>
        </w:rPr>
        <w:t>Computation of Interest and Fees</w:t>
      </w:r>
      <w:r>
        <w:rPr>
          <w:sz w:val="20"/>
          <w:szCs w:val="20"/>
          <w:color w:val="auto"/>
        </w:rPr>
        <w:tab/>
      </w:r>
      <w:r>
        <w:rPr>
          <w:rFonts w:ascii="Courier New" w:cs="Courier New" w:eastAsia="Courier New" w:hAnsi="Courier New"/>
          <w:sz w:val="16"/>
          <w:szCs w:val="16"/>
          <w:color w:val="auto"/>
        </w:rPr>
        <w:t>28</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2.15</w:t>
      </w:r>
      <w:r>
        <w:rPr>
          <w:sz w:val="20"/>
          <w:szCs w:val="20"/>
          <w:color w:val="auto"/>
        </w:rPr>
        <w:tab/>
      </w:r>
      <w:r>
        <w:rPr>
          <w:rFonts w:ascii="Courier New" w:cs="Courier New" w:eastAsia="Courier New" w:hAnsi="Courier New"/>
          <w:sz w:val="16"/>
          <w:szCs w:val="16"/>
          <w:color w:val="auto"/>
        </w:rPr>
        <w:t>Making Payments</w:t>
      </w:r>
      <w:r>
        <w:rPr>
          <w:sz w:val="20"/>
          <w:szCs w:val="20"/>
          <w:color w:val="auto"/>
        </w:rPr>
        <w:tab/>
      </w:r>
      <w:r>
        <w:rPr>
          <w:rFonts w:ascii="Courier New" w:cs="Courier New" w:eastAsia="Courier New" w:hAnsi="Courier New"/>
          <w:sz w:val="16"/>
          <w:szCs w:val="16"/>
          <w:color w:val="auto"/>
        </w:rPr>
        <w:t>28</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2.16</w:t>
      </w:r>
      <w:r>
        <w:rPr>
          <w:sz w:val="20"/>
          <w:szCs w:val="20"/>
          <w:color w:val="auto"/>
        </w:rPr>
        <w:tab/>
      </w:r>
      <w:r>
        <w:rPr>
          <w:rFonts w:ascii="Courier New" w:cs="Courier New" w:eastAsia="Courier New" w:hAnsi="Courier New"/>
          <w:sz w:val="16"/>
          <w:szCs w:val="16"/>
          <w:color w:val="auto"/>
        </w:rPr>
        <w:t>Funding Sources</w:t>
      </w:r>
      <w:r>
        <w:rPr>
          <w:sz w:val="20"/>
          <w:szCs w:val="20"/>
          <w:color w:val="auto"/>
        </w:rPr>
        <w:tab/>
      </w:r>
      <w:r>
        <w:rPr>
          <w:rFonts w:ascii="Courier New" w:cs="Courier New" w:eastAsia="Courier New" w:hAnsi="Courier New"/>
          <w:sz w:val="16"/>
          <w:szCs w:val="16"/>
          <w:color w:val="auto"/>
        </w:rPr>
        <w:t>30</w:t>
      </w:r>
    </w:p>
    <w:p>
      <w:pPr>
        <w:spacing w:after="0" w:line="177" w:lineRule="exact"/>
        <w:rPr>
          <w:sz w:val="20"/>
          <w:szCs w:val="20"/>
          <w:color w:val="auto"/>
        </w:rPr>
      </w:pPr>
    </w:p>
    <w:p>
      <w:pPr>
        <w:spacing w:after="0"/>
        <w:tabs>
          <w:tab w:leader="dot" w:pos="10480" w:val="left"/>
        </w:tabs>
        <w:rPr>
          <w:sz w:val="20"/>
          <w:szCs w:val="20"/>
          <w:color w:val="auto"/>
        </w:rPr>
      </w:pPr>
      <w:r>
        <w:rPr>
          <w:rFonts w:ascii="Courier New" w:cs="Courier New" w:eastAsia="Courier New" w:hAnsi="Courier New"/>
          <w:sz w:val="16"/>
          <w:szCs w:val="16"/>
          <w:color w:val="auto"/>
        </w:rPr>
        <w:t>SECTION 3 TAXES, YIELD PROTECTION AND ILLEGALITY</w:t>
      </w:r>
      <w:r>
        <w:rPr>
          <w:sz w:val="20"/>
          <w:szCs w:val="20"/>
          <w:color w:val="auto"/>
        </w:rPr>
        <w:tab/>
      </w:r>
      <w:r>
        <w:rPr>
          <w:rFonts w:ascii="Courier New" w:cs="Courier New" w:eastAsia="Courier New" w:hAnsi="Courier New"/>
          <w:sz w:val="16"/>
          <w:szCs w:val="16"/>
          <w:color w:val="auto"/>
        </w:rPr>
        <w:t>30</w:t>
      </w:r>
    </w:p>
    <w:p>
      <w:pPr>
        <w:sectPr>
          <w:pgSz w:w="11900" w:h="16838" w:orient="portrait"/>
          <w:cols w:equalWidth="0" w:num="1">
            <w:col w:w="10780"/>
          </w:cols>
          <w:pgMar w:left="240" w:top="135" w:right="879" w:bottom="0" w:gutter="0" w:footer="0" w:header="0"/>
        </w:sectPr>
      </w:pPr>
    </w:p>
    <w:bookmarkStart w:id="27" w:name="page28"/>
    <w:bookmarkEnd w:id="27"/>
    <w:p>
      <w:pPr>
        <w:spacing w:after="0"/>
        <w:tabs>
          <w:tab w:leader="none" w:pos="1100" w:val="left"/>
          <w:tab w:leader="dot" w:pos="10200" w:val="left"/>
        </w:tabs>
        <w:rPr>
          <w:sz w:val="20"/>
          <w:szCs w:val="20"/>
          <w:color w:val="auto"/>
        </w:rPr>
      </w:pPr>
      <w:r>
        <w:rPr>
          <w:rFonts w:ascii="Courier New" w:cs="Courier New" w:eastAsia="Courier New" w:hAnsi="Courier New"/>
          <w:sz w:val="16"/>
          <w:szCs w:val="16"/>
          <w:color w:val="auto"/>
        </w:rPr>
        <w:t>3.01</w:t>
      </w:r>
      <w:r>
        <w:rPr>
          <w:sz w:val="20"/>
          <w:szCs w:val="20"/>
          <w:color w:val="auto"/>
        </w:rPr>
        <w:tab/>
      </w:r>
      <w:r>
        <w:rPr>
          <w:rFonts w:ascii="Courier New" w:cs="Courier New" w:eastAsia="Courier New" w:hAnsi="Courier New"/>
          <w:sz w:val="16"/>
          <w:szCs w:val="16"/>
          <w:color w:val="auto"/>
        </w:rPr>
        <w:t>Taxes</w:t>
      </w:r>
      <w:r>
        <w:rPr>
          <w:sz w:val="20"/>
          <w:szCs w:val="20"/>
          <w:color w:val="auto"/>
        </w:rPr>
        <w:tab/>
      </w:r>
      <w:r>
        <w:rPr>
          <w:rFonts w:ascii="Courier New" w:cs="Courier New" w:eastAsia="Courier New" w:hAnsi="Courier New"/>
          <w:sz w:val="16"/>
          <w:szCs w:val="16"/>
          <w:color w:val="auto"/>
        </w:rPr>
        <w:t>30</w:t>
      </w:r>
    </w:p>
    <w:p>
      <w:pPr>
        <w:spacing w:after="0" w:line="236"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3.02</w:t>
      </w:r>
      <w:r>
        <w:rPr>
          <w:sz w:val="20"/>
          <w:szCs w:val="20"/>
          <w:color w:val="auto"/>
        </w:rPr>
        <w:tab/>
      </w:r>
      <w:r>
        <w:rPr>
          <w:rFonts w:ascii="Courier New" w:cs="Courier New" w:eastAsia="Courier New" w:hAnsi="Courier New"/>
          <w:sz w:val="16"/>
          <w:szCs w:val="16"/>
          <w:color w:val="auto"/>
        </w:rPr>
        <w:t>Illegality</w:t>
      </w:r>
      <w:r>
        <w:rPr>
          <w:sz w:val="20"/>
          <w:szCs w:val="20"/>
          <w:color w:val="auto"/>
        </w:rPr>
        <w:tab/>
      </w:r>
      <w:r>
        <w:rPr>
          <w:rFonts w:ascii="Courier New" w:cs="Courier New" w:eastAsia="Courier New" w:hAnsi="Courier New"/>
          <w:sz w:val="16"/>
          <w:szCs w:val="16"/>
          <w:color w:val="auto"/>
        </w:rPr>
        <w:t>31</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3.03</w:t>
      </w:r>
      <w:r>
        <w:rPr>
          <w:sz w:val="20"/>
          <w:szCs w:val="20"/>
          <w:color w:val="auto"/>
        </w:rPr>
        <w:tab/>
      </w:r>
      <w:r>
        <w:rPr>
          <w:rFonts w:ascii="Courier New" w:cs="Courier New" w:eastAsia="Courier New" w:hAnsi="Courier New"/>
          <w:sz w:val="16"/>
          <w:szCs w:val="16"/>
          <w:color w:val="auto"/>
        </w:rPr>
        <w:t>Inability to Determine Eurodollar Rates</w:t>
      </w:r>
      <w:r>
        <w:rPr>
          <w:sz w:val="20"/>
          <w:szCs w:val="20"/>
          <w:color w:val="auto"/>
        </w:rPr>
        <w:tab/>
      </w:r>
      <w:r>
        <w:rPr>
          <w:rFonts w:ascii="Courier New" w:cs="Courier New" w:eastAsia="Courier New" w:hAnsi="Courier New"/>
          <w:sz w:val="16"/>
          <w:szCs w:val="16"/>
          <w:color w:val="auto"/>
        </w:rPr>
        <w:t>31</w:t>
      </w:r>
    </w:p>
    <w:p>
      <w:pPr>
        <w:spacing w:after="0" w:line="35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420"/>
          </w:cols>
          <w:pgMar w:left="520" w:top="135" w:right="959" w:bottom="1440" w:gutter="0" w:footer="0" w:header="0"/>
        </w:sectPr>
      </w:pPr>
    </w:p>
    <w:bookmarkStart w:id="28" w:name="page29"/>
    <w:bookmarkEnd w:id="28"/>
    <w:p>
      <w:pPr>
        <w:ind w:left="280"/>
        <w:spacing w:after="0"/>
        <w:tabs>
          <w:tab w:leader="none" w:pos="1380" w:val="left"/>
          <w:tab w:leader="dot" w:pos="10480" w:val="left"/>
        </w:tabs>
        <w:rPr>
          <w:sz w:val="20"/>
          <w:szCs w:val="20"/>
          <w:color w:val="auto"/>
        </w:rPr>
      </w:pPr>
      <w:r>
        <w:rPr>
          <w:rFonts w:ascii="Courier New" w:cs="Courier New" w:eastAsia="Courier New" w:hAnsi="Courier New"/>
          <w:sz w:val="16"/>
          <w:szCs w:val="16"/>
          <w:color w:val="auto"/>
        </w:rPr>
        <w:t>3.04</w:t>
      </w:r>
      <w:r>
        <w:rPr>
          <w:sz w:val="20"/>
          <w:szCs w:val="20"/>
          <w:color w:val="auto"/>
        </w:rPr>
        <w:tab/>
      </w:r>
      <w:r>
        <w:rPr>
          <w:rFonts w:ascii="Courier New" w:cs="Courier New" w:eastAsia="Courier New" w:hAnsi="Courier New"/>
          <w:sz w:val="16"/>
          <w:szCs w:val="16"/>
          <w:color w:val="auto"/>
        </w:rPr>
        <w:t>Increased Cost and Reduced Return; Capital Adequacy</w:t>
      </w:r>
      <w:r>
        <w:rPr>
          <w:sz w:val="20"/>
          <w:szCs w:val="20"/>
          <w:color w:val="auto"/>
        </w:rPr>
        <w:tab/>
      </w:r>
      <w:r>
        <w:rPr>
          <w:rFonts w:ascii="Courier New" w:cs="Courier New" w:eastAsia="Courier New" w:hAnsi="Courier New"/>
          <w:sz w:val="16"/>
          <w:szCs w:val="16"/>
          <w:color w:val="auto"/>
        </w:rPr>
        <w:t>31</w:t>
      </w:r>
    </w:p>
    <w:p>
      <w:pPr>
        <w:ind w:left="280"/>
        <w:spacing w:after="0" w:line="236"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3.05</w:t>
      </w:r>
      <w:r>
        <w:rPr>
          <w:sz w:val="20"/>
          <w:szCs w:val="20"/>
          <w:color w:val="auto"/>
        </w:rPr>
        <w:tab/>
      </w:r>
      <w:r>
        <w:rPr>
          <w:rFonts w:ascii="Courier New" w:cs="Courier New" w:eastAsia="Courier New" w:hAnsi="Courier New"/>
          <w:sz w:val="16"/>
          <w:szCs w:val="16"/>
          <w:color w:val="auto"/>
        </w:rPr>
        <w:t>Breakfunding Costs</w:t>
      </w:r>
      <w:r>
        <w:rPr>
          <w:sz w:val="20"/>
          <w:szCs w:val="20"/>
          <w:color w:val="auto"/>
        </w:rPr>
        <w:tab/>
      </w:r>
      <w:r>
        <w:rPr>
          <w:rFonts w:ascii="Courier New" w:cs="Courier New" w:eastAsia="Courier New" w:hAnsi="Courier New"/>
          <w:sz w:val="16"/>
          <w:szCs w:val="16"/>
          <w:color w:val="auto"/>
        </w:rPr>
        <w:t>32</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3.06</w:t>
      </w:r>
      <w:r>
        <w:rPr>
          <w:sz w:val="20"/>
          <w:szCs w:val="20"/>
          <w:color w:val="auto"/>
        </w:rPr>
        <w:tab/>
      </w:r>
      <w:r>
        <w:rPr>
          <w:rFonts w:ascii="Courier New" w:cs="Courier New" w:eastAsia="Courier New" w:hAnsi="Courier New"/>
          <w:sz w:val="16"/>
          <w:szCs w:val="16"/>
          <w:color w:val="auto"/>
        </w:rPr>
        <w:t>Matters Applicable to all Requests for Compensation</w:t>
      </w:r>
      <w:r>
        <w:rPr>
          <w:sz w:val="20"/>
          <w:szCs w:val="20"/>
          <w:color w:val="auto"/>
        </w:rPr>
        <w:tab/>
      </w:r>
      <w:r>
        <w:rPr>
          <w:rFonts w:ascii="Courier New" w:cs="Courier New" w:eastAsia="Courier New" w:hAnsi="Courier New"/>
          <w:sz w:val="16"/>
          <w:szCs w:val="16"/>
          <w:color w:val="auto"/>
        </w:rPr>
        <w:t>33</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3.07</w:t>
      </w:r>
      <w:r>
        <w:rPr>
          <w:sz w:val="20"/>
          <w:szCs w:val="20"/>
          <w:color w:val="auto"/>
        </w:rPr>
        <w:tab/>
      </w:r>
      <w:r>
        <w:rPr>
          <w:rFonts w:ascii="Courier New" w:cs="Courier New" w:eastAsia="Courier New" w:hAnsi="Courier New"/>
          <w:sz w:val="16"/>
          <w:szCs w:val="16"/>
          <w:color w:val="auto"/>
        </w:rPr>
        <w:t>Survival</w:t>
      </w:r>
      <w:r>
        <w:rPr>
          <w:sz w:val="20"/>
          <w:szCs w:val="20"/>
          <w:color w:val="auto"/>
        </w:rPr>
        <w:tab/>
      </w:r>
      <w:r>
        <w:rPr>
          <w:rFonts w:ascii="Courier New" w:cs="Courier New" w:eastAsia="Courier New" w:hAnsi="Courier New"/>
          <w:sz w:val="16"/>
          <w:szCs w:val="16"/>
          <w:color w:val="auto"/>
        </w:rPr>
        <w:t>33</w:t>
      </w:r>
    </w:p>
    <w:p>
      <w:pPr>
        <w:spacing w:after="0" w:line="177" w:lineRule="exact"/>
        <w:rPr>
          <w:sz w:val="20"/>
          <w:szCs w:val="20"/>
          <w:color w:val="auto"/>
        </w:rPr>
      </w:pPr>
    </w:p>
    <w:p>
      <w:pPr>
        <w:spacing w:after="0"/>
        <w:tabs>
          <w:tab w:leader="dot" w:pos="10480" w:val="left"/>
        </w:tabs>
        <w:rPr>
          <w:sz w:val="20"/>
          <w:szCs w:val="20"/>
          <w:color w:val="auto"/>
        </w:rPr>
      </w:pPr>
      <w:r>
        <w:rPr>
          <w:rFonts w:ascii="Courier New" w:cs="Courier New" w:eastAsia="Courier New" w:hAnsi="Courier New"/>
          <w:sz w:val="16"/>
          <w:szCs w:val="16"/>
          <w:color w:val="auto"/>
        </w:rPr>
        <w:t>SECTION 4 CONDITIONS PRECEDENT TO EXTENSIONS OF CREDIT</w:t>
      </w:r>
      <w:r>
        <w:rPr>
          <w:sz w:val="20"/>
          <w:szCs w:val="20"/>
          <w:color w:val="auto"/>
        </w:rPr>
        <w:tab/>
      </w:r>
      <w:r>
        <w:rPr>
          <w:rFonts w:ascii="Courier New" w:cs="Courier New" w:eastAsia="Courier New" w:hAnsi="Courier New"/>
          <w:sz w:val="16"/>
          <w:szCs w:val="16"/>
          <w:color w:val="auto"/>
        </w:rPr>
        <w:t>33</w:t>
      </w:r>
    </w:p>
    <w:p>
      <w:pPr>
        <w:spacing w:after="0" w:line="177" w:lineRule="exact"/>
        <w:rPr>
          <w:sz w:val="20"/>
          <w:szCs w:val="20"/>
          <w:color w:val="auto"/>
        </w:rPr>
      </w:pPr>
    </w:p>
    <w:p>
      <w:pPr>
        <w:ind w:left="280"/>
        <w:spacing w:after="0"/>
        <w:tabs>
          <w:tab w:leader="none" w:pos="1380" w:val="left"/>
          <w:tab w:leader="dot" w:pos="10480" w:val="left"/>
        </w:tabs>
        <w:rPr>
          <w:sz w:val="20"/>
          <w:szCs w:val="20"/>
          <w:color w:val="auto"/>
        </w:rPr>
      </w:pPr>
      <w:r>
        <w:rPr>
          <w:rFonts w:ascii="Courier New" w:cs="Courier New" w:eastAsia="Courier New" w:hAnsi="Courier New"/>
          <w:sz w:val="16"/>
          <w:szCs w:val="16"/>
          <w:color w:val="auto"/>
        </w:rPr>
        <w:t>4.01</w:t>
      </w:r>
      <w:r>
        <w:rPr>
          <w:sz w:val="20"/>
          <w:szCs w:val="20"/>
          <w:color w:val="auto"/>
        </w:rPr>
        <w:tab/>
      </w:r>
      <w:r>
        <w:rPr>
          <w:rFonts w:ascii="Courier New" w:cs="Courier New" w:eastAsia="Courier New" w:hAnsi="Courier New"/>
          <w:sz w:val="16"/>
          <w:szCs w:val="16"/>
          <w:color w:val="auto"/>
        </w:rPr>
        <w:t>Conditions Precedent to Effective Date</w:t>
      </w:r>
      <w:r>
        <w:rPr>
          <w:sz w:val="20"/>
          <w:szCs w:val="20"/>
          <w:color w:val="auto"/>
        </w:rPr>
        <w:tab/>
      </w:r>
      <w:r>
        <w:rPr>
          <w:rFonts w:ascii="Courier New" w:cs="Courier New" w:eastAsia="Courier New" w:hAnsi="Courier New"/>
          <w:sz w:val="16"/>
          <w:szCs w:val="16"/>
          <w:color w:val="auto"/>
        </w:rPr>
        <w:t>33</w:t>
      </w:r>
    </w:p>
    <w:p>
      <w:pPr>
        <w:ind w:left="280"/>
        <w:spacing w:after="0" w:line="236"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4.02</w:t>
      </w:r>
      <w:r>
        <w:rPr>
          <w:sz w:val="20"/>
          <w:szCs w:val="20"/>
          <w:color w:val="auto"/>
        </w:rPr>
        <w:tab/>
      </w:r>
      <w:r>
        <w:rPr>
          <w:rFonts w:ascii="Courier New" w:cs="Courier New" w:eastAsia="Courier New" w:hAnsi="Courier New"/>
          <w:sz w:val="16"/>
          <w:szCs w:val="16"/>
          <w:color w:val="auto"/>
        </w:rPr>
        <w:t>Conditions to all Extensions of Credit</w:t>
      </w:r>
      <w:r>
        <w:rPr>
          <w:sz w:val="20"/>
          <w:szCs w:val="20"/>
          <w:color w:val="auto"/>
        </w:rPr>
        <w:tab/>
      </w:r>
      <w:r>
        <w:rPr>
          <w:rFonts w:ascii="Courier New" w:cs="Courier New" w:eastAsia="Courier New" w:hAnsi="Courier New"/>
          <w:sz w:val="16"/>
          <w:szCs w:val="16"/>
          <w:color w:val="auto"/>
        </w:rPr>
        <w:t>34</w:t>
      </w:r>
    </w:p>
    <w:p>
      <w:pPr>
        <w:spacing w:after="0" w:line="177" w:lineRule="exact"/>
        <w:rPr>
          <w:sz w:val="20"/>
          <w:szCs w:val="20"/>
          <w:color w:val="auto"/>
        </w:rPr>
      </w:pPr>
    </w:p>
    <w:p>
      <w:pPr>
        <w:spacing w:after="0"/>
        <w:tabs>
          <w:tab w:leader="dot" w:pos="10480" w:val="left"/>
        </w:tabs>
        <w:rPr>
          <w:sz w:val="20"/>
          <w:szCs w:val="20"/>
          <w:color w:val="auto"/>
        </w:rPr>
      </w:pPr>
      <w:r>
        <w:rPr>
          <w:rFonts w:ascii="Courier New" w:cs="Courier New" w:eastAsia="Courier New" w:hAnsi="Courier New"/>
          <w:sz w:val="16"/>
          <w:szCs w:val="16"/>
          <w:color w:val="auto"/>
        </w:rPr>
        <w:t>SECTION 5 REPRESENTATIONS AND WARRANTIES</w:t>
      </w:r>
      <w:r>
        <w:rPr>
          <w:sz w:val="20"/>
          <w:szCs w:val="20"/>
          <w:color w:val="auto"/>
        </w:rPr>
        <w:tab/>
      </w:r>
      <w:r>
        <w:rPr>
          <w:rFonts w:ascii="Courier New" w:cs="Courier New" w:eastAsia="Courier New" w:hAnsi="Courier New"/>
          <w:sz w:val="16"/>
          <w:szCs w:val="16"/>
          <w:color w:val="auto"/>
        </w:rPr>
        <w:t>35</w:t>
      </w:r>
    </w:p>
    <w:p>
      <w:pPr>
        <w:spacing w:after="0" w:line="177" w:lineRule="exact"/>
        <w:rPr>
          <w:sz w:val="20"/>
          <w:szCs w:val="20"/>
          <w:color w:val="auto"/>
        </w:rPr>
      </w:pPr>
    </w:p>
    <w:p>
      <w:pPr>
        <w:ind w:left="280"/>
        <w:spacing w:after="0"/>
        <w:tabs>
          <w:tab w:leader="none" w:pos="1380" w:val="left"/>
          <w:tab w:leader="dot" w:pos="10480" w:val="left"/>
        </w:tabs>
        <w:rPr>
          <w:sz w:val="20"/>
          <w:szCs w:val="20"/>
          <w:color w:val="auto"/>
        </w:rPr>
      </w:pPr>
      <w:r>
        <w:rPr>
          <w:rFonts w:ascii="Courier New" w:cs="Courier New" w:eastAsia="Courier New" w:hAnsi="Courier New"/>
          <w:sz w:val="16"/>
          <w:szCs w:val="16"/>
          <w:color w:val="auto"/>
        </w:rPr>
        <w:t>5.01</w:t>
      </w:r>
      <w:r>
        <w:rPr>
          <w:sz w:val="20"/>
          <w:szCs w:val="20"/>
          <w:color w:val="auto"/>
        </w:rPr>
        <w:tab/>
      </w:r>
      <w:r>
        <w:rPr>
          <w:rFonts w:ascii="Courier New" w:cs="Courier New" w:eastAsia="Courier New" w:hAnsi="Courier New"/>
          <w:sz w:val="16"/>
          <w:szCs w:val="16"/>
          <w:color w:val="auto"/>
        </w:rPr>
        <w:t>Existence and Qualification; Power; Compliance with Laws</w:t>
      </w:r>
      <w:r>
        <w:rPr>
          <w:sz w:val="20"/>
          <w:szCs w:val="20"/>
          <w:color w:val="auto"/>
        </w:rPr>
        <w:tab/>
      </w:r>
      <w:r>
        <w:rPr>
          <w:rFonts w:ascii="Courier New" w:cs="Courier New" w:eastAsia="Courier New" w:hAnsi="Courier New"/>
          <w:sz w:val="16"/>
          <w:szCs w:val="16"/>
          <w:color w:val="auto"/>
        </w:rPr>
        <w:t>35</w:t>
      </w:r>
    </w:p>
    <w:p>
      <w:pPr>
        <w:ind w:left="280"/>
        <w:spacing w:after="0" w:line="236"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5.02</w:t>
      </w:r>
      <w:r>
        <w:rPr>
          <w:sz w:val="20"/>
          <w:szCs w:val="20"/>
          <w:color w:val="auto"/>
        </w:rPr>
        <w:tab/>
      </w:r>
      <w:r>
        <w:rPr>
          <w:rFonts w:ascii="Courier New" w:cs="Courier New" w:eastAsia="Courier New" w:hAnsi="Courier New"/>
          <w:sz w:val="16"/>
          <w:szCs w:val="16"/>
          <w:color w:val="auto"/>
        </w:rPr>
        <w:t>Power; Authorization; Enforceable Obligations</w:t>
      </w:r>
      <w:r>
        <w:rPr>
          <w:sz w:val="20"/>
          <w:szCs w:val="20"/>
          <w:color w:val="auto"/>
        </w:rPr>
        <w:tab/>
      </w:r>
      <w:r>
        <w:rPr>
          <w:rFonts w:ascii="Courier New" w:cs="Courier New" w:eastAsia="Courier New" w:hAnsi="Courier New"/>
          <w:sz w:val="16"/>
          <w:szCs w:val="16"/>
          <w:color w:val="auto"/>
        </w:rPr>
        <w:t>35</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5.03</w:t>
      </w:r>
      <w:r>
        <w:rPr>
          <w:sz w:val="20"/>
          <w:szCs w:val="20"/>
          <w:color w:val="auto"/>
        </w:rPr>
        <w:tab/>
      </w:r>
      <w:r>
        <w:rPr>
          <w:rFonts w:ascii="Courier New" w:cs="Courier New" w:eastAsia="Courier New" w:hAnsi="Courier New"/>
          <w:sz w:val="16"/>
          <w:szCs w:val="16"/>
          <w:color w:val="auto"/>
        </w:rPr>
        <w:t>No Legal Bar</w:t>
      </w:r>
      <w:r>
        <w:rPr>
          <w:sz w:val="20"/>
          <w:szCs w:val="20"/>
          <w:color w:val="auto"/>
        </w:rPr>
        <w:tab/>
      </w:r>
      <w:r>
        <w:rPr>
          <w:rFonts w:ascii="Courier New" w:cs="Courier New" w:eastAsia="Courier New" w:hAnsi="Courier New"/>
          <w:sz w:val="16"/>
          <w:szCs w:val="16"/>
          <w:color w:val="auto"/>
        </w:rPr>
        <w:t>36</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5.04</w:t>
      </w:r>
      <w:r>
        <w:rPr>
          <w:sz w:val="20"/>
          <w:szCs w:val="20"/>
          <w:color w:val="auto"/>
        </w:rPr>
        <w:tab/>
      </w:r>
      <w:r>
        <w:rPr>
          <w:rFonts w:ascii="Courier New" w:cs="Courier New" w:eastAsia="Courier New" w:hAnsi="Courier New"/>
          <w:sz w:val="16"/>
          <w:szCs w:val="16"/>
          <w:color w:val="auto"/>
        </w:rPr>
        <w:t>Financial Statements; No Material Adverse Effect</w:t>
      </w:r>
      <w:r>
        <w:rPr>
          <w:sz w:val="20"/>
          <w:szCs w:val="20"/>
          <w:color w:val="auto"/>
        </w:rPr>
        <w:tab/>
      </w:r>
      <w:r>
        <w:rPr>
          <w:rFonts w:ascii="Courier New" w:cs="Courier New" w:eastAsia="Courier New" w:hAnsi="Courier New"/>
          <w:sz w:val="16"/>
          <w:szCs w:val="16"/>
          <w:color w:val="auto"/>
        </w:rPr>
        <w:t>36</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5.05</w:t>
      </w:r>
      <w:r>
        <w:rPr>
          <w:sz w:val="20"/>
          <w:szCs w:val="20"/>
          <w:color w:val="auto"/>
        </w:rPr>
        <w:tab/>
      </w:r>
      <w:r>
        <w:rPr>
          <w:rFonts w:ascii="Courier New" w:cs="Courier New" w:eastAsia="Courier New" w:hAnsi="Courier New"/>
          <w:sz w:val="16"/>
          <w:szCs w:val="16"/>
          <w:color w:val="auto"/>
        </w:rPr>
        <w:t>Litigation</w:t>
      </w:r>
      <w:r>
        <w:rPr>
          <w:sz w:val="20"/>
          <w:szCs w:val="20"/>
          <w:color w:val="auto"/>
        </w:rPr>
        <w:tab/>
      </w:r>
      <w:r>
        <w:rPr>
          <w:rFonts w:ascii="Courier New" w:cs="Courier New" w:eastAsia="Courier New" w:hAnsi="Courier New"/>
          <w:sz w:val="16"/>
          <w:szCs w:val="16"/>
          <w:color w:val="auto"/>
        </w:rPr>
        <w:t>36</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5.06</w:t>
      </w:r>
      <w:r>
        <w:rPr>
          <w:sz w:val="20"/>
          <w:szCs w:val="20"/>
          <w:color w:val="auto"/>
        </w:rPr>
        <w:tab/>
      </w:r>
      <w:r>
        <w:rPr>
          <w:rFonts w:ascii="Courier New" w:cs="Courier New" w:eastAsia="Courier New" w:hAnsi="Courier New"/>
          <w:sz w:val="16"/>
          <w:szCs w:val="16"/>
          <w:color w:val="auto"/>
        </w:rPr>
        <w:t>No Default</w:t>
      </w:r>
      <w:r>
        <w:rPr>
          <w:sz w:val="20"/>
          <w:szCs w:val="20"/>
          <w:color w:val="auto"/>
        </w:rPr>
        <w:tab/>
      </w:r>
      <w:r>
        <w:rPr>
          <w:rFonts w:ascii="Courier New" w:cs="Courier New" w:eastAsia="Courier New" w:hAnsi="Courier New"/>
          <w:sz w:val="16"/>
          <w:szCs w:val="16"/>
          <w:color w:val="auto"/>
        </w:rPr>
        <w:t>36</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5.07</w:t>
      </w:r>
      <w:r>
        <w:rPr>
          <w:sz w:val="20"/>
          <w:szCs w:val="20"/>
          <w:color w:val="auto"/>
        </w:rPr>
        <w:tab/>
      </w:r>
      <w:r>
        <w:rPr>
          <w:rFonts w:ascii="Courier New" w:cs="Courier New" w:eastAsia="Courier New" w:hAnsi="Courier New"/>
          <w:sz w:val="16"/>
          <w:szCs w:val="16"/>
          <w:color w:val="auto"/>
        </w:rPr>
        <w:t>Authorizations</w:t>
      </w:r>
      <w:r>
        <w:rPr>
          <w:sz w:val="20"/>
          <w:szCs w:val="20"/>
          <w:color w:val="auto"/>
        </w:rPr>
        <w:tab/>
      </w:r>
      <w:r>
        <w:rPr>
          <w:rFonts w:ascii="Courier New" w:cs="Courier New" w:eastAsia="Courier New" w:hAnsi="Courier New"/>
          <w:sz w:val="16"/>
          <w:szCs w:val="16"/>
          <w:color w:val="auto"/>
        </w:rPr>
        <w:t>36</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5.08</w:t>
      </w:r>
      <w:r>
        <w:rPr>
          <w:sz w:val="20"/>
          <w:szCs w:val="20"/>
          <w:color w:val="auto"/>
        </w:rPr>
        <w:tab/>
      </w:r>
      <w:r>
        <w:rPr>
          <w:rFonts w:ascii="Courier New" w:cs="Courier New" w:eastAsia="Courier New" w:hAnsi="Courier New"/>
          <w:sz w:val="16"/>
          <w:szCs w:val="16"/>
          <w:color w:val="auto"/>
        </w:rPr>
        <w:t>Taxes</w:t>
      </w:r>
      <w:r>
        <w:rPr>
          <w:sz w:val="20"/>
          <w:szCs w:val="20"/>
          <w:color w:val="auto"/>
        </w:rPr>
        <w:tab/>
      </w:r>
      <w:r>
        <w:rPr>
          <w:rFonts w:ascii="Courier New" w:cs="Courier New" w:eastAsia="Courier New" w:hAnsi="Courier New"/>
          <w:sz w:val="16"/>
          <w:szCs w:val="16"/>
          <w:color w:val="auto"/>
        </w:rPr>
        <w:t>36</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5.09</w:t>
      </w:r>
      <w:r>
        <w:rPr>
          <w:sz w:val="20"/>
          <w:szCs w:val="20"/>
          <w:color w:val="auto"/>
        </w:rPr>
        <w:tab/>
      </w:r>
      <w:r>
        <w:rPr>
          <w:rFonts w:ascii="Courier New" w:cs="Courier New" w:eastAsia="Courier New" w:hAnsi="Courier New"/>
          <w:sz w:val="16"/>
          <w:szCs w:val="16"/>
          <w:color w:val="auto"/>
        </w:rPr>
        <w:t>Margin Regulations; Investment Company Act; Public Utility Holding Company Act</w:t>
      </w:r>
      <w:r>
        <w:rPr>
          <w:sz w:val="20"/>
          <w:szCs w:val="20"/>
          <w:color w:val="auto"/>
        </w:rPr>
        <w:tab/>
      </w:r>
      <w:r>
        <w:rPr>
          <w:rFonts w:ascii="Courier New" w:cs="Courier New" w:eastAsia="Courier New" w:hAnsi="Courier New"/>
          <w:sz w:val="16"/>
          <w:szCs w:val="16"/>
          <w:color w:val="auto"/>
        </w:rPr>
        <w:t>37</w:t>
      </w:r>
    </w:p>
    <w:p>
      <w:pPr>
        <w:ind w:left="280"/>
        <w:spacing w:after="0" w:line="236"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5.10</w:t>
      </w:r>
      <w:r>
        <w:rPr>
          <w:sz w:val="20"/>
          <w:szCs w:val="20"/>
          <w:color w:val="auto"/>
        </w:rPr>
        <w:tab/>
      </w:r>
      <w:r>
        <w:rPr>
          <w:rFonts w:ascii="Courier New" w:cs="Courier New" w:eastAsia="Courier New" w:hAnsi="Courier New"/>
          <w:sz w:val="16"/>
          <w:szCs w:val="16"/>
          <w:color w:val="auto"/>
        </w:rPr>
        <w:t>ERISA Compliance</w:t>
      </w:r>
      <w:r>
        <w:rPr>
          <w:sz w:val="20"/>
          <w:szCs w:val="20"/>
          <w:color w:val="auto"/>
        </w:rPr>
        <w:tab/>
      </w:r>
      <w:r>
        <w:rPr>
          <w:rFonts w:ascii="Courier New" w:cs="Courier New" w:eastAsia="Courier New" w:hAnsi="Courier New"/>
          <w:sz w:val="16"/>
          <w:szCs w:val="16"/>
          <w:color w:val="auto"/>
        </w:rPr>
        <w:t>37</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5.11</w:t>
      </w:r>
      <w:r>
        <w:rPr>
          <w:sz w:val="20"/>
          <w:szCs w:val="20"/>
          <w:color w:val="auto"/>
        </w:rPr>
        <w:tab/>
      </w:r>
      <w:r>
        <w:rPr>
          <w:rFonts w:ascii="Courier New" w:cs="Courier New" w:eastAsia="Courier New" w:hAnsi="Courier New"/>
          <w:sz w:val="16"/>
          <w:szCs w:val="16"/>
          <w:color w:val="auto"/>
        </w:rPr>
        <w:t>Assets; Liens</w:t>
      </w:r>
      <w:r>
        <w:rPr>
          <w:sz w:val="20"/>
          <w:szCs w:val="20"/>
          <w:color w:val="auto"/>
        </w:rPr>
        <w:tab/>
      </w:r>
      <w:r>
        <w:rPr>
          <w:rFonts w:ascii="Courier New" w:cs="Courier New" w:eastAsia="Courier New" w:hAnsi="Courier New"/>
          <w:sz w:val="16"/>
          <w:szCs w:val="16"/>
          <w:color w:val="auto"/>
        </w:rPr>
        <w:t>37</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5.12</w:t>
      </w:r>
      <w:r>
        <w:rPr>
          <w:sz w:val="20"/>
          <w:szCs w:val="20"/>
          <w:color w:val="auto"/>
        </w:rPr>
        <w:tab/>
      </w:r>
      <w:r>
        <w:rPr>
          <w:rFonts w:ascii="Courier New" w:cs="Courier New" w:eastAsia="Courier New" w:hAnsi="Courier New"/>
          <w:sz w:val="16"/>
          <w:szCs w:val="16"/>
          <w:color w:val="auto"/>
        </w:rPr>
        <w:t>Environmental Compliance</w:t>
      </w:r>
      <w:r>
        <w:rPr>
          <w:sz w:val="20"/>
          <w:szCs w:val="20"/>
          <w:color w:val="auto"/>
        </w:rPr>
        <w:tab/>
      </w:r>
      <w:r>
        <w:rPr>
          <w:rFonts w:ascii="Courier New" w:cs="Courier New" w:eastAsia="Courier New" w:hAnsi="Courier New"/>
          <w:sz w:val="16"/>
          <w:szCs w:val="16"/>
          <w:color w:val="auto"/>
        </w:rPr>
        <w:t>37</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5.13</w:t>
      </w:r>
      <w:r>
        <w:rPr>
          <w:sz w:val="20"/>
          <w:szCs w:val="20"/>
          <w:color w:val="auto"/>
        </w:rPr>
        <w:tab/>
      </w: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37</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5.14</w:t>
      </w:r>
      <w:r>
        <w:rPr>
          <w:sz w:val="20"/>
          <w:szCs w:val="20"/>
          <w:color w:val="auto"/>
        </w:rPr>
        <w:tab/>
      </w:r>
      <w:r>
        <w:rPr>
          <w:rFonts w:ascii="Courier New" w:cs="Courier New" w:eastAsia="Courier New" w:hAnsi="Courier New"/>
          <w:sz w:val="16"/>
          <w:szCs w:val="16"/>
          <w:color w:val="auto"/>
        </w:rPr>
        <w:t>Disclosure</w:t>
      </w:r>
      <w:r>
        <w:rPr>
          <w:sz w:val="20"/>
          <w:szCs w:val="20"/>
          <w:color w:val="auto"/>
        </w:rPr>
        <w:tab/>
      </w:r>
      <w:r>
        <w:rPr>
          <w:rFonts w:ascii="Courier New" w:cs="Courier New" w:eastAsia="Courier New" w:hAnsi="Courier New"/>
          <w:sz w:val="16"/>
          <w:szCs w:val="16"/>
          <w:color w:val="auto"/>
        </w:rPr>
        <w:t>38</w:t>
      </w:r>
    </w:p>
    <w:p>
      <w:pPr>
        <w:spacing w:after="0" w:line="177" w:lineRule="exact"/>
        <w:rPr>
          <w:sz w:val="20"/>
          <w:szCs w:val="20"/>
          <w:color w:val="auto"/>
        </w:rPr>
      </w:pPr>
    </w:p>
    <w:p>
      <w:pPr>
        <w:spacing w:after="0"/>
        <w:tabs>
          <w:tab w:leader="dot" w:pos="10480" w:val="left"/>
        </w:tabs>
        <w:rPr>
          <w:sz w:val="20"/>
          <w:szCs w:val="20"/>
          <w:color w:val="auto"/>
        </w:rPr>
      </w:pPr>
      <w:r>
        <w:rPr>
          <w:rFonts w:ascii="Courier New" w:cs="Courier New" w:eastAsia="Courier New" w:hAnsi="Courier New"/>
          <w:sz w:val="16"/>
          <w:szCs w:val="16"/>
          <w:color w:val="auto"/>
        </w:rPr>
        <w:t>SECTION 6 AFFIRMATIVE COVENANTS</w:t>
      </w:r>
      <w:r>
        <w:rPr>
          <w:sz w:val="20"/>
          <w:szCs w:val="20"/>
          <w:color w:val="auto"/>
        </w:rPr>
        <w:tab/>
      </w:r>
      <w:r>
        <w:rPr>
          <w:rFonts w:ascii="Courier New" w:cs="Courier New" w:eastAsia="Courier New" w:hAnsi="Courier New"/>
          <w:sz w:val="16"/>
          <w:szCs w:val="16"/>
          <w:color w:val="auto"/>
        </w:rPr>
        <w:t>38</w:t>
      </w:r>
    </w:p>
    <w:p>
      <w:pPr>
        <w:spacing w:after="0" w:line="177" w:lineRule="exact"/>
        <w:rPr>
          <w:sz w:val="20"/>
          <w:szCs w:val="20"/>
          <w:color w:val="auto"/>
        </w:rPr>
      </w:pPr>
    </w:p>
    <w:p>
      <w:pPr>
        <w:ind w:left="280"/>
        <w:spacing w:after="0"/>
        <w:tabs>
          <w:tab w:leader="none" w:pos="1380" w:val="left"/>
          <w:tab w:leader="dot" w:pos="10480" w:val="left"/>
        </w:tabs>
        <w:rPr>
          <w:sz w:val="20"/>
          <w:szCs w:val="20"/>
          <w:color w:val="auto"/>
        </w:rPr>
      </w:pPr>
      <w:r>
        <w:rPr>
          <w:rFonts w:ascii="Courier New" w:cs="Courier New" w:eastAsia="Courier New" w:hAnsi="Courier New"/>
          <w:sz w:val="16"/>
          <w:szCs w:val="16"/>
          <w:color w:val="auto"/>
        </w:rPr>
        <w:t>6.01</w:t>
      </w:r>
      <w:r>
        <w:rPr>
          <w:sz w:val="20"/>
          <w:szCs w:val="20"/>
          <w:color w:val="auto"/>
        </w:rPr>
        <w:tab/>
      </w:r>
      <w:r>
        <w:rPr>
          <w:rFonts w:ascii="Courier New" w:cs="Courier New" w:eastAsia="Courier New" w:hAnsi="Courier New"/>
          <w:sz w:val="16"/>
          <w:szCs w:val="16"/>
          <w:color w:val="auto"/>
        </w:rPr>
        <w:t>Financial Statements</w:t>
      </w:r>
      <w:r>
        <w:rPr>
          <w:sz w:val="20"/>
          <w:szCs w:val="20"/>
          <w:color w:val="auto"/>
        </w:rPr>
        <w:tab/>
      </w:r>
      <w:r>
        <w:rPr>
          <w:rFonts w:ascii="Courier New" w:cs="Courier New" w:eastAsia="Courier New" w:hAnsi="Courier New"/>
          <w:sz w:val="16"/>
          <w:szCs w:val="16"/>
          <w:color w:val="auto"/>
        </w:rPr>
        <w:t>38</w:t>
      </w:r>
    </w:p>
    <w:p>
      <w:pPr>
        <w:ind w:left="280"/>
        <w:spacing w:after="0" w:line="236"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6.02</w:t>
      </w:r>
      <w:r>
        <w:rPr>
          <w:sz w:val="20"/>
          <w:szCs w:val="20"/>
          <w:color w:val="auto"/>
        </w:rPr>
        <w:tab/>
      </w:r>
      <w:r>
        <w:rPr>
          <w:rFonts w:ascii="Courier New" w:cs="Courier New" w:eastAsia="Courier New" w:hAnsi="Courier New"/>
          <w:sz w:val="16"/>
          <w:szCs w:val="16"/>
          <w:color w:val="auto"/>
        </w:rPr>
        <w:t>Certificates, Notices and Other Information</w:t>
      </w:r>
      <w:r>
        <w:rPr>
          <w:sz w:val="20"/>
          <w:szCs w:val="20"/>
          <w:color w:val="auto"/>
        </w:rPr>
        <w:tab/>
      </w:r>
      <w:r>
        <w:rPr>
          <w:rFonts w:ascii="Courier New" w:cs="Courier New" w:eastAsia="Courier New" w:hAnsi="Courier New"/>
          <w:sz w:val="16"/>
          <w:szCs w:val="16"/>
          <w:color w:val="auto"/>
        </w:rPr>
        <w:t>39</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6.03</w:t>
      </w:r>
      <w:r>
        <w:rPr>
          <w:sz w:val="20"/>
          <w:szCs w:val="20"/>
          <w:color w:val="auto"/>
        </w:rPr>
        <w:tab/>
      </w:r>
      <w:r>
        <w:rPr>
          <w:rFonts w:ascii="Courier New" w:cs="Courier New" w:eastAsia="Courier New" w:hAnsi="Courier New"/>
          <w:sz w:val="16"/>
          <w:szCs w:val="16"/>
          <w:color w:val="auto"/>
        </w:rPr>
        <w:t>Payment of Taxes</w:t>
      </w:r>
      <w:r>
        <w:rPr>
          <w:sz w:val="20"/>
          <w:szCs w:val="20"/>
          <w:color w:val="auto"/>
        </w:rPr>
        <w:tab/>
      </w:r>
      <w:r>
        <w:rPr>
          <w:rFonts w:ascii="Courier New" w:cs="Courier New" w:eastAsia="Courier New" w:hAnsi="Courier New"/>
          <w:sz w:val="16"/>
          <w:szCs w:val="16"/>
          <w:color w:val="auto"/>
        </w:rPr>
        <w:t>39</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6.04</w:t>
      </w:r>
      <w:r>
        <w:rPr>
          <w:sz w:val="20"/>
          <w:szCs w:val="20"/>
          <w:color w:val="auto"/>
        </w:rPr>
        <w:tab/>
      </w:r>
      <w:r>
        <w:rPr>
          <w:rFonts w:ascii="Courier New" w:cs="Courier New" w:eastAsia="Courier New" w:hAnsi="Courier New"/>
          <w:sz w:val="16"/>
          <w:szCs w:val="16"/>
          <w:color w:val="auto"/>
        </w:rPr>
        <w:t>Preservation of Existence</w:t>
      </w:r>
      <w:r>
        <w:rPr>
          <w:sz w:val="20"/>
          <w:szCs w:val="20"/>
          <w:color w:val="auto"/>
        </w:rPr>
        <w:tab/>
      </w:r>
      <w:r>
        <w:rPr>
          <w:rFonts w:ascii="Courier New" w:cs="Courier New" w:eastAsia="Courier New" w:hAnsi="Courier New"/>
          <w:sz w:val="16"/>
          <w:szCs w:val="16"/>
          <w:color w:val="auto"/>
        </w:rPr>
        <w:t>39</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6.05</w:t>
      </w:r>
      <w:r>
        <w:rPr>
          <w:sz w:val="20"/>
          <w:szCs w:val="20"/>
          <w:color w:val="auto"/>
        </w:rPr>
        <w:tab/>
      </w:r>
      <w:r>
        <w:rPr>
          <w:rFonts w:ascii="Courier New" w:cs="Courier New" w:eastAsia="Courier New" w:hAnsi="Courier New"/>
          <w:sz w:val="16"/>
          <w:szCs w:val="16"/>
          <w:color w:val="auto"/>
        </w:rPr>
        <w:t>Maintenance of Properties</w:t>
      </w:r>
      <w:r>
        <w:rPr>
          <w:sz w:val="20"/>
          <w:szCs w:val="20"/>
          <w:color w:val="auto"/>
        </w:rPr>
        <w:tab/>
      </w:r>
      <w:r>
        <w:rPr>
          <w:rFonts w:ascii="Courier New" w:cs="Courier New" w:eastAsia="Courier New" w:hAnsi="Courier New"/>
          <w:sz w:val="16"/>
          <w:szCs w:val="16"/>
          <w:color w:val="auto"/>
        </w:rPr>
        <w:t>39</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6.06</w:t>
      </w:r>
      <w:r>
        <w:rPr>
          <w:sz w:val="20"/>
          <w:szCs w:val="20"/>
          <w:color w:val="auto"/>
        </w:rPr>
        <w:tab/>
      </w:r>
      <w:r>
        <w:rPr>
          <w:rFonts w:ascii="Courier New" w:cs="Courier New" w:eastAsia="Courier New" w:hAnsi="Courier New"/>
          <w:sz w:val="16"/>
          <w:szCs w:val="16"/>
          <w:color w:val="auto"/>
        </w:rPr>
        <w:t>Maintenance of Insurance</w:t>
      </w:r>
      <w:r>
        <w:rPr>
          <w:sz w:val="20"/>
          <w:szCs w:val="20"/>
          <w:color w:val="auto"/>
        </w:rPr>
        <w:tab/>
      </w:r>
      <w:r>
        <w:rPr>
          <w:rFonts w:ascii="Courier New" w:cs="Courier New" w:eastAsia="Courier New" w:hAnsi="Courier New"/>
          <w:sz w:val="16"/>
          <w:szCs w:val="16"/>
          <w:color w:val="auto"/>
        </w:rPr>
        <w:t>39</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6.07</w:t>
      </w:r>
      <w:r>
        <w:rPr>
          <w:sz w:val="20"/>
          <w:szCs w:val="20"/>
          <w:color w:val="auto"/>
        </w:rPr>
        <w:tab/>
      </w:r>
      <w:r>
        <w:rPr>
          <w:rFonts w:ascii="Courier New" w:cs="Courier New" w:eastAsia="Courier New" w:hAnsi="Courier New"/>
          <w:sz w:val="16"/>
          <w:szCs w:val="16"/>
          <w:color w:val="auto"/>
        </w:rPr>
        <w:t>Compliance With Laws</w:t>
      </w:r>
      <w:r>
        <w:rPr>
          <w:sz w:val="20"/>
          <w:szCs w:val="20"/>
          <w:color w:val="auto"/>
        </w:rPr>
        <w:tab/>
      </w:r>
      <w:r>
        <w:rPr>
          <w:rFonts w:ascii="Courier New" w:cs="Courier New" w:eastAsia="Courier New" w:hAnsi="Courier New"/>
          <w:sz w:val="16"/>
          <w:szCs w:val="16"/>
          <w:color w:val="auto"/>
        </w:rPr>
        <w:t>40</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6.08</w:t>
      </w:r>
      <w:r>
        <w:rPr>
          <w:sz w:val="20"/>
          <w:szCs w:val="20"/>
          <w:color w:val="auto"/>
        </w:rPr>
        <w:tab/>
      </w:r>
      <w:r>
        <w:rPr>
          <w:rFonts w:ascii="Courier New" w:cs="Courier New" w:eastAsia="Courier New" w:hAnsi="Courier New"/>
          <w:sz w:val="16"/>
          <w:szCs w:val="16"/>
          <w:color w:val="auto"/>
        </w:rPr>
        <w:t>Inspection Rights</w:t>
      </w:r>
      <w:r>
        <w:rPr>
          <w:sz w:val="20"/>
          <w:szCs w:val="20"/>
          <w:color w:val="auto"/>
        </w:rPr>
        <w:tab/>
      </w:r>
      <w:r>
        <w:rPr>
          <w:rFonts w:ascii="Courier New" w:cs="Courier New" w:eastAsia="Courier New" w:hAnsi="Courier New"/>
          <w:sz w:val="16"/>
          <w:szCs w:val="16"/>
          <w:color w:val="auto"/>
        </w:rPr>
        <w:t>40</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700"/>
          </w:cols>
          <w:pgMar w:left="240" w:top="1006" w:right="959" w:bottom="1440" w:gutter="0" w:footer="0" w:header="0"/>
        </w:sectPr>
      </w:pPr>
    </w:p>
    <w:bookmarkStart w:id="29" w:name="page30"/>
    <w:bookmarkEnd w:id="29"/>
    <w:p>
      <w:pPr>
        <w:ind w:left="280"/>
        <w:spacing w:after="0"/>
        <w:tabs>
          <w:tab w:leader="none" w:pos="1380" w:val="left"/>
          <w:tab w:leader="dot" w:pos="10480" w:val="left"/>
        </w:tabs>
        <w:rPr>
          <w:sz w:val="20"/>
          <w:szCs w:val="20"/>
          <w:color w:val="auto"/>
        </w:rPr>
      </w:pPr>
      <w:r>
        <w:rPr>
          <w:rFonts w:ascii="Courier New" w:cs="Courier New" w:eastAsia="Courier New" w:hAnsi="Courier New"/>
          <w:sz w:val="16"/>
          <w:szCs w:val="16"/>
          <w:color w:val="auto"/>
        </w:rPr>
        <w:t>6.09</w:t>
      </w:r>
      <w:r>
        <w:rPr>
          <w:sz w:val="20"/>
          <w:szCs w:val="20"/>
          <w:color w:val="auto"/>
        </w:rPr>
        <w:tab/>
      </w:r>
      <w:r>
        <w:rPr>
          <w:rFonts w:ascii="Courier New" w:cs="Courier New" w:eastAsia="Courier New" w:hAnsi="Courier New"/>
          <w:sz w:val="16"/>
          <w:szCs w:val="16"/>
          <w:color w:val="auto"/>
        </w:rPr>
        <w:t>Keeping of Records and Books of Account</w:t>
      </w:r>
      <w:r>
        <w:rPr>
          <w:sz w:val="20"/>
          <w:szCs w:val="20"/>
          <w:color w:val="auto"/>
        </w:rPr>
        <w:tab/>
      </w:r>
      <w:r>
        <w:rPr>
          <w:rFonts w:ascii="Courier New" w:cs="Courier New" w:eastAsia="Courier New" w:hAnsi="Courier New"/>
          <w:sz w:val="16"/>
          <w:szCs w:val="16"/>
          <w:color w:val="auto"/>
        </w:rPr>
        <w:t>40</w:t>
      </w:r>
    </w:p>
    <w:p>
      <w:pPr>
        <w:ind w:left="280"/>
        <w:spacing w:after="0" w:line="236"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6.10</w:t>
      </w:r>
      <w:r>
        <w:rPr>
          <w:sz w:val="20"/>
          <w:szCs w:val="20"/>
          <w:color w:val="auto"/>
        </w:rPr>
        <w:tab/>
      </w:r>
      <w:r>
        <w:rPr>
          <w:rFonts w:ascii="Courier New" w:cs="Courier New" w:eastAsia="Courier New" w:hAnsi="Courier New"/>
          <w:sz w:val="16"/>
          <w:szCs w:val="16"/>
          <w:color w:val="auto"/>
        </w:rPr>
        <w:t>Compliance with ERISA</w:t>
      </w:r>
      <w:r>
        <w:rPr>
          <w:sz w:val="20"/>
          <w:szCs w:val="20"/>
          <w:color w:val="auto"/>
        </w:rPr>
        <w:tab/>
      </w:r>
      <w:r>
        <w:rPr>
          <w:rFonts w:ascii="Courier New" w:cs="Courier New" w:eastAsia="Courier New" w:hAnsi="Courier New"/>
          <w:sz w:val="16"/>
          <w:szCs w:val="16"/>
          <w:color w:val="auto"/>
        </w:rPr>
        <w:t>40</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6.11</w:t>
      </w:r>
      <w:r>
        <w:rPr>
          <w:sz w:val="20"/>
          <w:szCs w:val="20"/>
          <w:color w:val="auto"/>
        </w:rPr>
        <w:tab/>
      </w:r>
      <w:r>
        <w:rPr>
          <w:rFonts w:ascii="Courier New" w:cs="Courier New" w:eastAsia="Courier New" w:hAnsi="Courier New"/>
          <w:sz w:val="16"/>
          <w:szCs w:val="16"/>
          <w:color w:val="auto"/>
        </w:rPr>
        <w:t>Compliance With Agreements</w:t>
      </w:r>
      <w:r>
        <w:rPr>
          <w:sz w:val="20"/>
          <w:szCs w:val="20"/>
          <w:color w:val="auto"/>
        </w:rPr>
        <w:tab/>
      </w:r>
      <w:r>
        <w:rPr>
          <w:rFonts w:ascii="Courier New" w:cs="Courier New" w:eastAsia="Courier New" w:hAnsi="Courier New"/>
          <w:sz w:val="16"/>
          <w:szCs w:val="16"/>
          <w:color w:val="auto"/>
        </w:rPr>
        <w:t>40</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6.12</w:t>
      </w:r>
      <w:r>
        <w:rPr>
          <w:sz w:val="20"/>
          <w:szCs w:val="20"/>
          <w:color w:val="auto"/>
        </w:rPr>
        <w:tab/>
      </w: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40</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6.13</w:t>
      </w:r>
      <w:r>
        <w:rPr>
          <w:sz w:val="20"/>
          <w:szCs w:val="20"/>
          <w:color w:val="auto"/>
        </w:rPr>
        <w:tab/>
      </w:r>
      <w:r>
        <w:rPr>
          <w:rFonts w:ascii="Courier New" w:cs="Courier New" w:eastAsia="Courier New" w:hAnsi="Courier New"/>
          <w:sz w:val="16"/>
          <w:szCs w:val="16"/>
          <w:color w:val="auto"/>
        </w:rPr>
        <w:t>Designation of Unrestricted Subsidiaries</w:t>
      </w:r>
      <w:r>
        <w:rPr>
          <w:sz w:val="20"/>
          <w:szCs w:val="20"/>
          <w:color w:val="auto"/>
        </w:rPr>
        <w:tab/>
      </w:r>
      <w:r>
        <w:rPr>
          <w:rFonts w:ascii="Courier New" w:cs="Courier New" w:eastAsia="Courier New" w:hAnsi="Courier New"/>
          <w:sz w:val="16"/>
          <w:szCs w:val="16"/>
          <w:color w:val="auto"/>
        </w:rPr>
        <w:t>40</w:t>
      </w:r>
    </w:p>
    <w:p>
      <w:pPr>
        <w:spacing w:after="0" w:line="177" w:lineRule="exact"/>
        <w:rPr>
          <w:sz w:val="20"/>
          <w:szCs w:val="20"/>
          <w:color w:val="auto"/>
        </w:rPr>
      </w:pPr>
    </w:p>
    <w:p>
      <w:pPr>
        <w:spacing w:after="0"/>
        <w:tabs>
          <w:tab w:leader="dot" w:pos="10480" w:val="left"/>
        </w:tabs>
        <w:rPr>
          <w:sz w:val="20"/>
          <w:szCs w:val="20"/>
          <w:color w:val="auto"/>
        </w:rPr>
      </w:pPr>
      <w:r>
        <w:rPr>
          <w:rFonts w:ascii="Courier New" w:cs="Courier New" w:eastAsia="Courier New" w:hAnsi="Courier New"/>
          <w:sz w:val="16"/>
          <w:szCs w:val="16"/>
          <w:color w:val="auto"/>
        </w:rPr>
        <w:t>SECTION 7 NEGATIVE COVENANTS</w:t>
      </w:r>
      <w:r>
        <w:rPr>
          <w:sz w:val="20"/>
          <w:szCs w:val="20"/>
          <w:color w:val="auto"/>
        </w:rPr>
        <w:tab/>
      </w:r>
      <w:r>
        <w:rPr>
          <w:rFonts w:ascii="Courier New" w:cs="Courier New" w:eastAsia="Courier New" w:hAnsi="Courier New"/>
          <w:sz w:val="16"/>
          <w:szCs w:val="16"/>
          <w:color w:val="auto"/>
        </w:rPr>
        <w:t>41</w:t>
      </w:r>
    </w:p>
    <w:p>
      <w:pPr>
        <w:spacing w:after="0" w:line="177" w:lineRule="exact"/>
        <w:rPr>
          <w:sz w:val="20"/>
          <w:szCs w:val="20"/>
          <w:color w:val="auto"/>
        </w:rPr>
      </w:pPr>
    </w:p>
    <w:p>
      <w:pPr>
        <w:ind w:left="280"/>
        <w:spacing w:after="0"/>
        <w:tabs>
          <w:tab w:leader="none" w:pos="1380" w:val="left"/>
          <w:tab w:leader="dot" w:pos="10480" w:val="left"/>
        </w:tabs>
        <w:rPr>
          <w:sz w:val="20"/>
          <w:szCs w:val="20"/>
          <w:color w:val="auto"/>
        </w:rPr>
      </w:pPr>
      <w:r>
        <w:rPr>
          <w:rFonts w:ascii="Courier New" w:cs="Courier New" w:eastAsia="Courier New" w:hAnsi="Courier New"/>
          <w:sz w:val="16"/>
          <w:szCs w:val="16"/>
          <w:color w:val="auto"/>
        </w:rPr>
        <w:t>7.01</w:t>
      </w:r>
      <w:r>
        <w:rPr>
          <w:sz w:val="20"/>
          <w:szCs w:val="20"/>
          <w:color w:val="auto"/>
        </w:rPr>
        <w:tab/>
      </w:r>
      <w:r>
        <w:rPr>
          <w:rFonts w:ascii="Courier New" w:cs="Courier New" w:eastAsia="Courier New" w:hAnsi="Courier New"/>
          <w:sz w:val="16"/>
          <w:szCs w:val="16"/>
          <w:color w:val="auto"/>
        </w:rPr>
        <w:t>Liens</w:t>
      </w:r>
      <w:r>
        <w:rPr>
          <w:sz w:val="20"/>
          <w:szCs w:val="20"/>
          <w:color w:val="auto"/>
        </w:rPr>
        <w:tab/>
      </w:r>
      <w:r>
        <w:rPr>
          <w:rFonts w:ascii="Courier New" w:cs="Courier New" w:eastAsia="Courier New" w:hAnsi="Courier New"/>
          <w:sz w:val="16"/>
          <w:szCs w:val="16"/>
          <w:color w:val="auto"/>
        </w:rPr>
        <w:t>41</w:t>
      </w:r>
    </w:p>
    <w:p>
      <w:pPr>
        <w:ind w:left="280"/>
        <w:spacing w:after="0" w:line="236"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7.02</w:t>
      </w:r>
      <w:r>
        <w:rPr>
          <w:sz w:val="20"/>
          <w:szCs w:val="20"/>
          <w:color w:val="auto"/>
        </w:rPr>
        <w:tab/>
      </w:r>
      <w:r>
        <w:rPr>
          <w:rFonts w:ascii="Courier New" w:cs="Courier New" w:eastAsia="Courier New" w:hAnsi="Courier New"/>
          <w:sz w:val="16"/>
          <w:szCs w:val="16"/>
          <w:color w:val="auto"/>
        </w:rPr>
        <w:t>Subsidiary Indebtedness</w:t>
      </w:r>
      <w:r>
        <w:rPr>
          <w:sz w:val="20"/>
          <w:szCs w:val="20"/>
          <w:color w:val="auto"/>
        </w:rPr>
        <w:tab/>
      </w:r>
      <w:r>
        <w:rPr>
          <w:rFonts w:ascii="Courier New" w:cs="Courier New" w:eastAsia="Courier New" w:hAnsi="Courier New"/>
          <w:sz w:val="16"/>
          <w:szCs w:val="16"/>
          <w:color w:val="auto"/>
        </w:rPr>
        <w:t>42</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7.03</w:t>
      </w:r>
      <w:r>
        <w:rPr>
          <w:sz w:val="20"/>
          <w:szCs w:val="20"/>
          <w:color w:val="auto"/>
        </w:rPr>
        <w:tab/>
      </w:r>
      <w:r>
        <w:rPr>
          <w:rFonts w:ascii="Courier New" w:cs="Courier New" w:eastAsia="Courier New" w:hAnsi="Courier New"/>
          <w:sz w:val="16"/>
          <w:szCs w:val="16"/>
          <w:color w:val="auto"/>
        </w:rPr>
        <w:t>Fundamental Changes</w:t>
      </w:r>
      <w:r>
        <w:rPr>
          <w:sz w:val="20"/>
          <w:szCs w:val="20"/>
          <w:color w:val="auto"/>
        </w:rPr>
        <w:tab/>
      </w:r>
      <w:r>
        <w:rPr>
          <w:rFonts w:ascii="Courier New" w:cs="Courier New" w:eastAsia="Courier New" w:hAnsi="Courier New"/>
          <w:sz w:val="16"/>
          <w:szCs w:val="16"/>
          <w:color w:val="auto"/>
        </w:rPr>
        <w:t>42</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7.04</w:t>
      </w:r>
      <w:r>
        <w:rPr>
          <w:sz w:val="20"/>
          <w:szCs w:val="20"/>
          <w:color w:val="auto"/>
        </w:rPr>
        <w:tab/>
      </w:r>
      <w:r>
        <w:rPr>
          <w:rFonts w:ascii="Courier New" w:cs="Courier New" w:eastAsia="Courier New" w:hAnsi="Courier New"/>
          <w:sz w:val="16"/>
          <w:szCs w:val="16"/>
          <w:color w:val="auto"/>
        </w:rPr>
        <w:t>ERISA</w:t>
      </w:r>
      <w:r>
        <w:rPr>
          <w:sz w:val="20"/>
          <w:szCs w:val="20"/>
          <w:color w:val="auto"/>
        </w:rPr>
        <w:tab/>
      </w:r>
      <w:r>
        <w:rPr>
          <w:rFonts w:ascii="Courier New" w:cs="Courier New" w:eastAsia="Courier New" w:hAnsi="Courier New"/>
          <w:sz w:val="16"/>
          <w:szCs w:val="16"/>
          <w:color w:val="auto"/>
        </w:rPr>
        <w:t>43</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7.05</w:t>
      </w:r>
      <w:r>
        <w:rPr>
          <w:sz w:val="20"/>
          <w:szCs w:val="20"/>
          <w:color w:val="auto"/>
        </w:rPr>
        <w:tab/>
      </w:r>
      <w:r>
        <w:rPr>
          <w:rFonts w:ascii="Courier New" w:cs="Courier New" w:eastAsia="Courier New" w:hAnsi="Courier New"/>
          <w:sz w:val="16"/>
          <w:szCs w:val="16"/>
          <w:color w:val="auto"/>
        </w:rPr>
        <w:t>Limitations on Upstreaming</w:t>
      </w:r>
      <w:r>
        <w:rPr>
          <w:sz w:val="20"/>
          <w:szCs w:val="20"/>
          <w:color w:val="auto"/>
        </w:rPr>
        <w:tab/>
      </w:r>
      <w:r>
        <w:rPr>
          <w:rFonts w:ascii="Courier New" w:cs="Courier New" w:eastAsia="Courier New" w:hAnsi="Courier New"/>
          <w:sz w:val="16"/>
          <w:szCs w:val="16"/>
          <w:color w:val="auto"/>
        </w:rPr>
        <w:t>43</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7.06</w:t>
      </w:r>
      <w:r>
        <w:rPr>
          <w:sz w:val="20"/>
          <w:szCs w:val="20"/>
          <w:color w:val="auto"/>
        </w:rPr>
        <w:tab/>
      </w:r>
      <w:r>
        <w:rPr>
          <w:rFonts w:ascii="Courier New" w:cs="Courier New" w:eastAsia="Courier New" w:hAnsi="Courier New"/>
          <w:sz w:val="16"/>
          <w:szCs w:val="16"/>
          <w:color w:val="auto"/>
        </w:rPr>
        <w:t>Margin Regulations</w:t>
      </w:r>
      <w:r>
        <w:rPr>
          <w:sz w:val="20"/>
          <w:szCs w:val="20"/>
          <w:color w:val="auto"/>
        </w:rPr>
        <w:tab/>
      </w:r>
      <w:r>
        <w:rPr>
          <w:rFonts w:ascii="Courier New" w:cs="Courier New" w:eastAsia="Courier New" w:hAnsi="Courier New"/>
          <w:sz w:val="16"/>
          <w:szCs w:val="16"/>
          <w:color w:val="auto"/>
        </w:rPr>
        <w:t>43</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7.07</w:t>
      </w:r>
      <w:r>
        <w:rPr>
          <w:sz w:val="20"/>
          <w:szCs w:val="20"/>
          <w:color w:val="auto"/>
        </w:rPr>
        <w:tab/>
      </w:r>
      <w:r>
        <w:rPr>
          <w:rFonts w:ascii="Courier New" w:cs="Courier New" w:eastAsia="Courier New" w:hAnsi="Courier New"/>
          <w:sz w:val="16"/>
          <w:szCs w:val="16"/>
          <w:color w:val="auto"/>
        </w:rPr>
        <w:t>Financial Covenants</w:t>
      </w:r>
      <w:r>
        <w:rPr>
          <w:sz w:val="20"/>
          <w:szCs w:val="20"/>
          <w:color w:val="auto"/>
        </w:rPr>
        <w:tab/>
      </w:r>
      <w:r>
        <w:rPr>
          <w:rFonts w:ascii="Courier New" w:cs="Courier New" w:eastAsia="Courier New" w:hAnsi="Courier New"/>
          <w:sz w:val="16"/>
          <w:szCs w:val="16"/>
          <w:color w:val="auto"/>
        </w:rPr>
        <w:t>43</w:t>
      </w:r>
    </w:p>
    <w:p>
      <w:pPr>
        <w:spacing w:after="0" w:line="177" w:lineRule="exact"/>
        <w:rPr>
          <w:sz w:val="20"/>
          <w:szCs w:val="20"/>
          <w:color w:val="auto"/>
        </w:rPr>
      </w:pPr>
    </w:p>
    <w:p>
      <w:pPr>
        <w:spacing w:after="0"/>
        <w:tabs>
          <w:tab w:leader="dot" w:pos="10480" w:val="left"/>
        </w:tabs>
        <w:rPr>
          <w:sz w:val="20"/>
          <w:szCs w:val="20"/>
          <w:color w:val="auto"/>
        </w:rPr>
      </w:pPr>
      <w:r>
        <w:rPr>
          <w:rFonts w:ascii="Courier New" w:cs="Courier New" w:eastAsia="Courier New" w:hAnsi="Courier New"/>
          <w:sz w:val="16"/>
          <w:szCs w:val="16"/>
          <w:color w:val="auto"/>
        </w:rPr>
        <w:t>SECTION 8 EVENTS OF DEFAULT AND REMEDIES</w:t>
      </w:r>
      <w:r>
        <w:rPr>
          <w:sz w:val="20"/>
          <w:szCs w:val="20"/>
          <w:color w:val="auto"/>
        </w:rPr>
        <w:tab/>
      </w:r>
      <w:r>
        <w:rPr>
          <w:rFonts w:ascii="Courier New" w:cs="Courier New" w:eastAsia="Courier New" w:hAnsi="Courier New"/>
          <w:sz w:val="16"/>
          <w:szCs w:val="16"/>
          <w:color w:val="auto"/>
        </w:rPr>
        <w:t>44</w:t>
      </w:r>
    </w:p>
    <w:p>
      <w:pPr>
        <w:spacing w:after="0" w:line="177" w:lineRule="exact"/>
        <w:rPr>
          <w:sz w:val="20"/>
          <w:szCs w:val="20"/>
          <w:color w:val="auto"/>
        </w:rPr>
      </w:pPr>
    </w:p>
    <w:p>
      <w:pPr>
        <w:ind w:left="280"/>
        <w:spacing w:after="0"/>
        <w:tabs>
          <w:tab w:leader="none" w:pos="1380" w:val="left"/>
          <w:tab w:leader="dot" w:pos="10480" w:val="left"/>
        </w:tabs>
        <w:rPr>
          <w:sz w:val="20"/>
          <w:szCs w:val="20"/>
          <w:color w:val="auto"/>
        </w:rPr>
      </w:pPr>
      <w:r>
        <w:rPr>
          <w:rFonts w:ascii="Courier New" w:cs="Courier New" w:eastAsia="Courier New" w:hAnsi="Courier New"/>
          <w:sz w:val="16"/>
          <w:szCs w:val="16"/>
          <w:color w:val="auto"/>
        </w:rPr>
        <w:t>8.01</w:t>
      </w:r>
      <w:r>
        <w:rPr>
          <w:sz w:val="20"/>
          <w:szCs w:val="20"/>
          <w:color w:val="auto"/>
        </w:rPr>
        <w:tab/>
      </w: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6"/>
          <w:szCs w:val="16"/>
          <w:color w:val="auto"/>
        </w:rPr>
        <w:t>44</w:t>
      </w:r>
    </w:p>
    <w:p>
      <w:pPr>
        <w:ind w:left="280"/>
        <w:spacing w:after="0" w:line="236"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8.02</w:t>
      </w:r>
      <w:r>
        <w:rPr>
          <w:sz w:val="20"/>
          <w:szCs w:val="20"/>
          <w:color w:val="auto"/>
        </w:rPr>
        <w:tab/>
      </w:r>
      <w:r>
        <w:rPr>
          <w:rFonts w:ascii="Courier New" w:cs="Courier New" w:eastAsia="Courier New" w:hAnsi="Courier New"/>
          <w:sz w:val="16"/>
          <w:szCs w:val="16"/>
          <w:color w:val="auto"/>
        </w:rPr>
        <w:t>Remedies Upon Event of Default</w:t>
      </w:r>
      <w:r>
        <w:rPr>
          <w:sz w:val="20"/>
          <w:szCs w:val="20"/>
          <w:color w:val="auto"/>
        </w:rPr>
        <w:tab/>
      </w:r>
      <w:r>
        <w:rPr>
          <w:rFonts w:ascii="Courier New" w:cs="Courier New" w:eastAsia="Courier New" w:hAnsi="Courier New"/>
          <w:sz w:val="16"/>
          <w:szCs w:val="16"/>
          <w:color w:val="auto"/>
        </w:rPr>
        <w:t>45</w:t>
      </w:r>
    </w:p>
    <w:p>
      <w:pPr>
        <w:spacing w:after="0" w:line="177" w:lineRule="exact"/>
        <w:rPr>
          <w:sz w:val="20"/>
          <w:szCs w:val="20"/>
          <w:color w:val="auto"/>
        </w:rPr>
      </w:pPr>
    </w:p>
    <w:p>
      <w:pPr>
        <w:spacing w:after="0"/>
        <w:tabs>
          <w:tab w:leader="dot" w:pos="10480" w:val="left"/>
        </w:tabs>
        <w:rPr>
          <w:sz w:val="20"/>
          <w:szCs w:val="20"/>
          <w:color w:val="auto"/>
        </w:rPr>
      </w:pPr>
      <w:r>
        <w:rPr>
          <w:rFonts w:ascii="Courier New" w:cs="Courier New" w:eastAsia="Courier New" w:hAnsi="Courier New"/>
          <w:sz w:val="16"/>
          <w:szCs w:val="16"/>
          <w:color w:val="auto"/>
        </w:rPr>
        <w:t>SECTION 9 THE AGENTS</w:t>
      </w:r>
      <w:r>
        <w:rPr>
          <w:sz w:val="20"/>
          <w:szCs w:val="20"/>
          <w:color w:val="auto"/>
        </w:rPr>
        <w:tab/>
      </w:r>
      <w:r>
        <w:rPr>
          <w:rFonts w:ascii="Courier New" w:cs="Courier New" w:eastAsia="Courier New" w:hAnsi="Courier New"/>
          <w:sz w:val="16"/>
          <w:szCs w:val="16"/>
          <w:color w:val="auto"/>
        </w:rPr>
        <w:t>46</w:t>
      </w:r>
    </w:p>
    <w:p>
      <w:pPr>
        <w:spacing w:after="0" w:line="177" w:lineRule="exact"/>
        <w:rPr>
          <w:sz w:val="20"/>
          <w:szCs w:val="20"/>
          <w:color w:val="auto"/>
        </w:rPr>
      </w:pPr>
    </w:p>
    <w:p>
      <w:pPr>
        <w:ind w:left="280"/>
        <w:spacing w:after="0"/>
        <w:tabs>
          <w:tab w:leader="none" w:pos="1380" w:val="left"/>
          <w:tab w:leader="dot" w:pos="10480" w:val="left"/>
        </w:tabs>
        <w:rPr>
          <w:sz w:val="20"/>
          <w:szCs w:val="20"/>
          <w:color w:val="auto"/>
        </w:rPr>
      </w:pPr>
      <w:r>
        <w:rPr>
          <w:rFonts w:ascii="Courier New" w:cs="Courier New" w:eastAsia="Courier New" w:hAnsi="Courier New"/>
          <w:sz w:val="16"/>
          <w:szCs w:val="16"/>
          <w:color w:val="auto"/>
        </w:rPr>
        <w:t>9.01</w:t>
      </w:r>
      <w:r>
        <w:rPr>
          <w:sz w:val="20"/>
          <w:szCs w:val="20"/>
          <w:color w:val="auto"/>
        </w:rPr>
        <w:tab/>
      </w:r>
      <w:r>
        <w:rPr>
          <w:rFonts w:ascii="Courier New" w:cs="Courier New" w:eastAsia="Courier New" w:hAnsi="Courier New"/>
          <w:sz w:val="16"/>
          <w:szCs w:val="16"/>
          <w:color w:val="auto"/>
        </w:rPr>
        <w:t>Appointment</w:t>
      </w:r>
      <w:r>
        <w:rPr>
          <w:sz w:val="20"/>
          <w:szCs w:val="20"/>
          <w:color w:val="auto"/>
        </w:rPr>
        <w:tab/>
      </w:r>
      <w:r>
        <w:rPr>
          <w:rFonts w:ascii="Courier New" w:cs="Courier New" w:eastAsia="Courier New" w:hAnsi="Courier New"/>
          <w:sz w:val="16"/>
          <w:szCs w:val="16"/>
          <w:color w:val="auto"/>
        </w:rPr>
        <w:t>46</w:t>
      </w:r>
    </w:p>
    <w:p>
      <w:pPr>
        <w:ind w:left="280"/>
        <w:spacing w:after="0" w:line="236"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9.02</w:t>
      </w:r>
      <w:r>
        <w:rPr>
          <w:sz w:val="20"/>
          <w:szCs w:val="20"/>
          <w:color w:val="auto"/>
        </w:rPr>
        <w:tab/>
      </w:r>
      <w:r>
        <w:rPr>
          <w:rFonts w:ascii="Courier New" w:cs="Courier New" w:eastAsia="Courier New" w:hAnsi="Courier New"/>
          <w:sz w:val="16"/>
          <w:szCs w:val="16"/>
          <w:color w:val="auto"/>
        </w:rPr>
        <w:t>Delegation of Duties</w:t>
      </w:r>
      <w:r>
        <w:rPr>
          <w:sz w:val="20"/>
          <w:szCs w:val="20"/>
          <w:color w:val="auto"/>
        </w:rPr>
        <w:tab/>
      </w:r>
      <w:r>
        <w:rPr>
          <w:rFonts w:ascii="Courier New" w:cs="Courier New" w:eastAsia="Courier New" w:hAnsi="Courier New"/>
          <w:sz w:val="16"/>
          <w:szCs w:val="16"/>
          <w:color w:val="auto"/>
        </w:rPr>
        <w:t>46</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9.03</w:t>
      </w:r>
      <w:r>
        <w:rPr>
          <w:sz w:val="20"/>
          <w:szCs w:val="20"/>
          <w:color w:val="auto"/>
        </w:rPr>
        <w:tab/>
      </w:r>
      <w:r>
        <w:rPr>
          <w:rFonts w:ascii="Courier New" w:cs="Courier New" w:eastAsia="Courier New" w:hAnsi="Courier New"/>
          <w:sz w:val="16"/>
          <w:szCs w:val="16"/>
          <w:color w:val="auto"/>
        </w:rPr>
        <w:t>Exculpatory Provisions</w:t>
      </w:r>
      <w:r>
        <w:rPr>
          <w:sz w:val="20"/>
          <w:szCs w:val="20"/>
          <w:color w:val="auto"/>
        </w:rPr>
        <w:tab/>
      </w:r>
      <w:r>
        <w:rPr>
          <w:rFonts w:ascii="Courier New" w:cs="Courier New" w:eastAsia="Courier New" w:hAnsi="Courier New"/>
          <w:sz w:val="16"/>
          <w:szCs w:val="16"/>
          <w:color w:val="auto"/>
        </w:rPr>
        <w:t>46</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9.04</w:t>
      </w:r>
      <w:r>
        <w:rPr>
          <w:sz w:val="20"/>
          <w:szCs w:val="20"/>
          <w:color w:val="auto"/>
        </w:rPr>
        <w:tab/>
      </w:r>
      <w:r>
        <w:rPr>
          <w:rFonts w:ascii="Courier New" w:cs="Courier New" w:eastAsia="Courier New" w:hAnsi="Courier New"/>
          <w:sz w:val="16"/>
          <w:szCs w:val="16"/>
          <w:color w:val="auto"/>
        </w:rPr>
        <w:t>Reliance by Administrative Agent</w:t>
      </w:r>
      <w:r>
        <w:rPr>
          <w:sz w:val="20"/>
          <w:szCs w:val="20"/>
          <w:color w:val="auto"/>
        </w:rPr>
        <w:tab/>
      </w:r>
      <w:r>
        <w:rPr>
          <w:rFonts w:ascii="Courier New" w:cs="Courier New" w:eastAsia="Courier New" w:hAnsi="Courier New"/>
          <w:sz w:val="16"/>
          <w:szCs w:val="16"/>
          <w:color w:val="auto"/>
        </w:rPr>
        <w:t>47</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9.05</w:t>
      </w:r>
      <w:r>
        <w:rPr>
          <w:sz w:val="20"/>
          <w:szCs w:val="20"/>
          <w:color w:val="auto"/>
        </w:rPr>
        <w:tab/>
      </w:r>
      <w:r>
        <w:rPr>
          <w:rFonts w:ascii="Courier New" w:cs="Courier New" w:eastAsia="Courier New" w:hAnsi="Courier New"/>
          <w:sz w:val="16"/>
          <w:szCs w:val="16"/>
          <w:color w:val="auto"/>
        </w:rPr>
        <w:t>Notice of Default</w:t>
      </w:r>
      <w:r>
        <w:rPr>
          <w:sz w:val="20"/>
          <w:szCs w:val="20"/>
          <w:color w:val="auto"/>
        </w:rPr>
        <w:tab/>
      </w:r>
      <w:r>
        <w:rPr>
          <w:rFonts w:ascii="Courier New" w:cs="Courier New" w:eastAsia="Courier New" w:hAnsi="Courier New"/>
          <w:sz w:val="16"/>
          <w:szCs w:val="16"/>
          <w:color w:val="auto"/>
        </w:rPr>
        <w:t>47</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9.06</w:t>
      </w:r>
      <w:r>
        <w:rPr>
          <w:sz w:val="20"/>
          <w:szCs w:val="20"/>
          <w:color w:val="auto"/>
        </w:rPr>
        <w:tab/>
      </w:r>
      <w:r>
        <w:rPr>
          <w:rFonts w:ascii="Courier New" w:cs="Courier New" w:eastAsia="Courier New" w:hAnsi="Courier New"/>
          <w:sz w:val="16"/>
          <w:szCs w:val="16"/>
          <w:color w:val="auto"/>
        </w:rPr>
        <w:t>Non-Reliance on Agents and Other Lenders</w:t>
      </w:r>
      <w:r>
        <w:rPr>
          <w:sz w:val="20"/>
          <w:szCs w:val="20"/>
          <w:color w:val="auto"/>
        </w:rPr>
        <w:tab/>
      </w:r>
      <w:r>
        <w:rPr>
          <w:rFonts w:ascii="Courier New" w:cs="Courier New" w:eastAsia="Courier New" w:hAnsi="Courier New"/>
          <w:sz w:val="16"/>
          <w:szCs w:val="16"/>
          <w:color w:val="auto"/>
        </w:rPr>
        <w:t>47</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9.07</w:t>
      </w:r>
      <w:r>
        <w:rPr>
          <w:sz w:val="20"/>
          <w:szCs w:val="20"/>
          <w:color w:val="auto"/>
        </w:rPr>
        <w:tab/>
      </w: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6"/>
          <w:szCs w:val="16"/>
          <w:color w:val="auto"/>
        </w:rPr>
        <w:t>48</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9.08</w:t>
      </w:r>
      <w:r>
        <w:rPr>
          <w:sz w:val="20"/>
          <w:szCs w:val="20"/>
          <w:color w:val="auto"/>
        </w:rPr>
        <w:tab/>
      </w:r>
      <w:r>
        <w:rPr>
          <w:rFonts w:ascii="Courier New" w:cs="Courier New" w:eastAsia="Courier New" w:hAnsi="Courier New"/>
          <w:sz w:val="16"/>
          <w:szCs w:val="16"/>
          <w:color w:val="auto"/>
        </w:rPr>
        <w:t>Agent in Its Individual Capacity</w:t>
      </w:r>
      <w:r>
        <w:rPr>
          <w:sz w:val="20"/>
          <w:szCs w:val="20"/>
          <w:color w:val="auto"/>
        </w:rPr>
        <w:tab/>
      </w:r>
      <w:r>
        <w:rPr>
          <w:rFonts w:ascii="Courier New" w:cs="Courier New" w:eastAsia="Courier New" w:hAnsi="Courier New"/>
          <w:sz w:val="16"/>
          <w:szCs w:val="16"/>
          <w:color w:val="auto"/>
        </w:rPr>
        <w:t>48</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9.09</w:t>
      </w:r>
      <w:r>
        <w:rPr>
          <w:sz w:val="20"/>
          <w:szCs w:val="20"/>
          <w:color w:val="auto"/>
        </w:rPr>
        <w:tab/>
      </w:r>
      <w:r>
        <w:rPr>
          <w:rFonts w:ascii="Courier New" w:cs="Courier New" w:eastAsia="Courier New" w:hAnsi="Courier New"/>
          <w:sz w:val="16"/>
          <w:szCs w:val="16"/>
          <w:color w:val="auto"/>
        </w:rPr>
        <w:t>Successor Administrative Agent</w:t>
      </w:r>
      <w:r>
        <w:rPr>
          <w:sz w:val="20"/>
          <w:szCs w:val="20"/>
          <w:color w:val="auto"/>
        </w:rPr>
        <w:tab/>
      </w:r>
      <w:r>
        <w:rPr>
          <w:rFonts w:ascii="Courier New" w:cs="Courier New" w:eastAsia="Courier New" w:hAnsi="Courier New"/>
          <w:sz w:val="16"/>
          <w:szCs w:val="16"/>
          <w:color w:val="auto"/>
        </w:rPr>
        <w:t>48</w:t>
      </w:r>
    </w:p>
    <w:p>
      <w:pPr>
        <w:ind w:left="280"/>
        <w:spacing w:after="0" w:line="236"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9.10</w:t>
      </w:r>
      <w:r>
        <w:rPr>
          <w:sz w:val="20"/>
          <w:szCs w:val="20"/>
          <w:color w:val="auto"/>
        </w:rPr>
        <w:tab/>
      </w:r>
      <w:r>
        <w:rPr>
          <w:rFonts w:ascii="Courier New" w:cs="Courier New" w:eastAsia="Courier New" w:hAnsi="Courier New"/>
          <w:sz w:val="16"/>
          <w:szCs w:val="16"/>
          <w:color w:val="auto"/>
        </w:rPr>
        <w:t>Co-Documentation Agents and Syndication Agent</w:t>
      </w:r>
      <w:r>
        <w:rPr>
          <w:sz w:val="20"/>
          <w:szCs w:val="20"/>
          <w:color w:val="auto"/>
        </w:rPr>
        <w:tab/>
      </w:r>
      <w:r>
        <w:rPr>
          <w:rFonts w:ascii="Courier New" w:cs="Courier New" w:eastAsia="Courier New" w:hAnsi="Courier New"/>
          <w:sz w:val="16"/>
          <w:szCs w:val="16"/>
          <w:color w:val="auto"/>
        </w:rPr>
        <w:t>49</w:t>
      </w:r>
    </w:p>
    <w:p>
      <w:pPr>
        <w:spacing w:after="0" w:line="177" w:lineRule="exact"/>
        <w:rPr>
          <w:sz w:val="20"/>
          <w:szCs w:val="20"/>
          <w:color w:val="auto"/>
        </w:rPr>
      </w:pPr>
    </w:p>
    <w:p>
      <w:pPr>
        <w:spacing w:after="0"/>
        <w:tabs>
          <w:tab w:leader="dot" w:pos="10480" w:val="left"/>
        </w:tabs>
        <w:rPr>
          <w:sz w:val="20"/>
          <w:szCs w:val="20"/>
          <w:color w:val="auto"/>
        </w:rPr>
      </w:pPr>
      <w:r>
        <w:rPr>
          <w:rFonts w:ascii="Courier New" w:cs="Courier New" w:eastAsia="Courier New" w:hAnsi="Courier New"/>
          <w:sz w:val="16"/>
          <w:szCs w:val="16"/>
          <w:color w:val="auto"/>
        </w:rPr>
        <w:t>SECTION 10 MISCELLANEOUS</w:t>
      </w:r>
      <w:r>
        <w:rPr>
          <w:sz w:val="20"/>
          <w:szCs w:val="20"/>
          <w:color w:val="auto"/>
        </w:rPr>
        <w:tab/>
      </w:r>
      <w:r>
        <w:rPr>
          <w:rFonts w:ascii="Courier New" w:cs="Courier New" w:eastAsia="Courier New" w:hAnsi="Courier New"/>
          <w:sz w:val="16"/>
          <w:szCs w:val="16"/>
          <w:color w:val="auto"/>
        </w:rPr>
        <w:t>49</w:t>
      </w:r>
    </w:p>
    <w:p>
      <w:pPr>
        <w:spacing w:after="0" w:line="177" w:lineRule="exact"/>
        <w:rPr>
          <w:sz w:val="20"/>
          <w:szCs w:val="20"/>
          <w:color w:val="auto"/>
        </w:rPr>
      </w:pPr>
    </w:p>
    <w:p>
      <w:pPr>
        <w:ind w:left="280"/>
        <w:spacing w:after="0"/>
        <w:tabs>
          <w:tab w:leader="none" w:pos="1380" w:val="left"/>
          <w:tab w:leader="dot" w:pos="10480" w:val="left"/>
        </w:tabs>
        <w:rPr>
          <w:sz w:val="20"/>
          <w:szCs w:val="20"/>
          <w:color w:val="auto"/>
        </w:rPr>
      </w:pPr>
      <w:r>
        <w:rPr>
          <w:rFonts w:ascii="Courier New" w:cs="Courier New" w:eastAsia="Courier New" w:hAnsi="Courier New"/>
          <w:sz w:val="16"/>
          <w:szCs w:val="16"/>
          <w:color w:val="auto"/>
        </w:rPr>
        <w:t>10.01</w:t>
      </w:r>
      <w:r>
        <w:rPr>
          <w:sz w:val="20"/>
          <w:szCs w:val="20"/>
          <w:color w:val="auto"/>
        </w:rPr>
        <w:tab/>
      </w:r>
      <w:r>
        <w:rPr>
          <w:rFonts w:ascii="Courier New" w:cs="Courier New" w:eastAsia="Courier New" w:hAnsi="Courier New"/>
          <w:sz w:val="16"/>
          <w:szCs w:val="16"/>
          <w:color w:val="auto"/>
        </w:rPr>
        <w:t>Amendments; Consents</w:t>
      </w:r>
      <w:r>
        <w:rPr>
          <w:sz w:val="20"/>
          <w:szCs w:val="20"/>
          <w:color w:val="auto"/>
        </w:rPr>
        <w:tab/>
      </w:r>
      <w:r>
        <w:rPr>
          <w:rFonts w:ascii="Courier New" w:cs="Courier New" w:eastAsia="Courier New" w:hAnsi="Courier New"/>
          <w:sz w:val="16"/>
          <w:szCs w:val="16"/>
          <w:color w:val="auto"/>
        </w:rPr>
        <w:t>49</w:t>
      </w:r>
    </w:p>
    <w:p>
      <w:pPr>
        <w:ind w:left="280"/>
        <w:spacing w:after="0" w:line="236"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10.02</w:t>
      </w:r>
      <w:r>
        <w:rPr>
          <w:sz w:val="20"/>
          <w:szCs w:val="20"/>
          <w:color w:val="auto"/>
        </w:rPr>
        <w:tab/>
      </w:r>
      <w:r>
        <w:rPr>
          <w:rFonts w:ascii="Courier New" w:cs="Courier New" w:eastAsia="Courier New" w:hAnsi="Courier New"/>
          <w:sz w:val="16"/>
          <w:szCs w:val="16"/>
          <w:color w:val="auto"/>
        </w:rPr>
        <w:t>Requisite Notice; Effectiveness of Signatures and Electronic Mail</w:t>
      </w:r>
      <w:r>
        <w:rPr>
          <w:sz w:val="20"/>
          <w:szCs w:val="20"/>
          <w:color w:val="auto"/>
        </w:rPr>
        <w:tab/>
      </w:r>
      <w:r>
        <w:rPr>
          <w:rFonts w:ascii="Courier New" w:cs="Courier New" w:eastAsia="Courier New" w:hAnsi="Courier New"/>
          <w:sz w:val="16"/>
          <w:szCs w:val="16"/>
          <w:color w:val="auto"/>
        </w:rPr>
        <w:t>50</w:t>
      </w:r>
    </w:p>
    <w:p>
      <w:pPr>
        <w:ind w:left="280"/>
        <w:spacing w:after="0" w:line="237" w:lineRule="auto"/>
        <w:tabs>
          <w:tab w:leader="none" w:pos="1380" w:val="left"/>
          <w:tab w:leader="dot" w:pos="10480" w:val="left"/>
        </w:tabs>
        <w:rPr>
          <w:sz w:val="20"/>
          <w:szCs w:val="20"/>
          <w:color w:val="auto"/>
        </w:rPr>
      </w:pPr>
      <w:r>
        <w:rPr>
          <w:rFonts w:ascii="Courier New" w:cs="Courier New" w:eastAsia="Courier New" w:hAnsi="Courier New"/>
          <w:sz w:val="16"/>
          <w:szCs w:val="16"/>
          <w:color w:val="auto"/>
        </w:rPr>
        <w:t>10.03</w:t>
      </w:r>
      <w:r>
        <w:rPr>
          <w:sz w:val="20"/>
          <w:szCs w:val="20"/>
          <w:color w:val="auto"/>
        </w:rPr>
        <w:tab/>
      </w:r>
      <w:r>
        <w:rPr>
          <w:rFonts w:ascii="Courier New" w:cs="Courier New" w:eastAsia="Courier New" w:hAnsi="Courier New"/>
          <w:sz w:val="16"/>
          <w:szCs w:val="16"/>
          <w:color w:val="auto"/>
        </w:rPr>
        <w:t>Attorney Costs, Expenses and Taxes</w:t>
      </w:r>
      <w:r>
        <w:rPr>
          <w:sz w:val="20"/>
          <w:szCs w:val="20"/>
          <w:color w:val="auto"/>
        </w:rPr>
        <w:tab/>
      </w:r>
      <w:r>
        <w:rPr>
          <w:rFonts w:ascii="Courier New" w:cs="Courier New" w:eastAsia="Courier New" w:hAnsi="Courier New"/>
          <w:sz w:val="16"/>
          <w:szCs w:val="16"/>
          <w:color w:val="auto"/>
        </w:rPr>
        <w:t>51</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700"/>
          </w:cols>
          <w:pgMar w:left="240" w:top="648" w:right="959" w:bottom="1440" w:gutter="0" w:footer="0" w:header="0"/>
        </w:sectPr>
      </w:pPr>
    </w:p>
    <w:bookmarkStart w:id="30" w:name="page31"/>
    <w:bookmarkEnd w:id="30"/>
    <w:p>
      <w:pPr>
        <w:spacing w:after="0"/>
        <w:tabs>
          <w:tab w:leader="none" w:pos="1100" w:val="left"/>
          <w:tab w:leader="dot" w:pos="10200" w:val="left"/>
        </w:tabs>
        <w:rPr>
          <w:sz w:val="20"/>
          <w:szCs w:val="20"/>
          <w:color w:val="auto"/>
        </w:rPr>
      </w:pPr>
      <w:r>
        <w:rPr>
          <w:rFonts w:ascii="Courier New" w:cs="Courier New" w:eastAsia="Courier New" w:hAnsi="Courier New"/>
          <w:sz w:val="16"/>
          <w:szCs w:val="16"/>
          <w:color w:val="auto"/>
        </w:rPr>
        <w:t>10.04</w:t>
      </w:r>
      <w:r>
        <w:rPr>
          <w:sz w:val="20"/>
          <w:szCs w:val="20"/>
          <w:color w:val="auto"/>
        </w:rPr>
        <w:tab/>
      </w:r>
      <w:r>
        <w:rPr>
          <w:rFonts w:ascii="Courier New" w:cs="Courier New" w:eastAsia="Courier New" w:hAnsi="Courier New"/>
          <w:sz w:val="16"/>
          <w:szCs w:val="16"/>
          <w:color w:val="auto"/>
        </w:rPr>
        <w:t>Binding Effect; Assignment</w:t>
      </w:r>
      <w:r>
        <w:rPr>
          <w:sz w:val="20"/>
          <w:szCs w:val="20"/>
          <w:color w:val="auto"/>
        </w:rPr>
        <w:tab/>
      </w:r>
      <w:r>
        <w:rPr>
          <w:rFonts w:ascii="Courier New" w:cs="Courier New" w:eastAsia="Courier New" w:hAnsi="Courier New"/>
          <w:sz w:val="16"/>
          <w:szCs w:val="16"/>
          <w:color w:val="auto"/>
        </w:rPr>
        <w:t>51</w:t>
      </w:r>
    </w:p>
    <w:p>
      <w:pPr>
        <w:spacing w:after="0" w:line="236"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10.05</w:t>
      </w:r>
      <w:r>
        <w:rPr>
          <w:sz w:val="20"/>
          <w:szCs w:val="20"/>
          <w:color w:val="auto"/>
        </w:rPr>
        <w:tab/>
      </w:r>
      <w:r>
        <w:rPr>
          <w:rFonts w:ascii="Courier New" w:cs="Courier New" w:eastAsia="Courier New" w:hAnsi="Courier New"/>
          <w:sz w:val="16"/>
          <w:szCs w:val="16"/>
          <w:color w:val="auto"/>
        </w:rPr>
        <w:t>Set-off</w:t>
      </w:r>
      <w:r>
        <w:rPr>
          <w:sz w:val="20"/>
          <w:szCs w:val="20"/>
          <w:color w:val="auto"/>
        </w:rPr>
        <w:tab/>
      </w:r>
      <w:r>
        <w:rPr>
          <w:rFonts w:ascii="Courier New" w:cs="Courier New" w:eastAsia="Courier New" w:hAnsi="Courier New"/>
          <w:sz w:val="16"/>
          <w:szCs w:val="16"/>
          <w:color w:val="auto"/>
        </w:rPr>
        <w:t>53</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10.06</w:t>
      </w:r>
      <w:r>
        <w:rPr>
          <w:sz w:val="20"/>
          <w:szCs w:val="20"/>
          <w:color w:val="auto"/>
        </w:rPr>
        <w:tab/>
      </w:r>
      <w:r>
        <w:rPr>
          <w:rFonts w:ascii="Courier New" w:cs="Courier New" w:eastAsia="Courier New" w:hAnsi="Courier New"/>
          <w:sz w:val="16"/>
          <w:szCs w:val="16"/>
          <w:color w:val="auto"/>
        </w:rPr>
        <w:t>Sharing of Payments</w:t>
      </w:r>
      <w:r>
        <w:rPr>
          <w:sz w:val="20"/>
          <w:szCs w:val="20"/>
          <w:color w:val="auto"/>
        </w:rPr>
        <w:tab/>
      </w:r>
      <w:r>
        <w:rPr>
          <w:rFonts w:ascii="Courier New" w:cs="Courier New" w:eastAsia="Courier New" w:hAnsi="Courier New"/>
          <w:sz w:val="16"/>
          <w:szCs w:val="16"/>
          <w:color w:val="auto"/>
        </w:rPr>
        <w:t>53</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10.07</w:t>
      </w:r>
      <w:r>
        <w:rPr>
          <w:sz w:val="20"/>
          <w:szCs w:val="20"/>
          <w:color w:val="auto"/>
        </w:rPr>
        <w:tab/>
      </w:r>
      <w:r>
        <w:rPr>
          <w:rFonts w:ascii="Courier New" w:cs="Courier New" w:eastAsia="Courier New" w:hAnsi="Courier New"/>
          <w:sz w:val="16"/>
          <w:szCs w:val="16"/>
          <w:color w:val="auto"/>
        </w:rPr>
        <w:t>No Waiver; Cumulative Remedies</w:t>
      </w:r>
      <w:r>
        <w:rPr>
          <w:sz w:val="20"/>
          <w:szCs w:val="20"/>
          <w:color w:val="auto"/>
        </w:rPr>
        <w:tab/>
      </w:r>
      <w:r>
        <w:rPr>
          <w:rFonts w:ascii="Courier New" w:cs="Courier New" w:eastAsia="Courier New" w:hAnsi="Courier New"/>
          <w:sz w:val="16"/>
          <w:szCs w:val="16"/>
          <w:color w:val="auto"/>
        </w:rPr>
        <w:t>54</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10.08</w:t>
      </w:r>
      <w:r>
        <w:rPr>
          <w:sz w:val="20"/>
          <w:szCs w:val="20"/>
          <w:color w:val="auto"/>
        </w:rPr>
        <w:tab/>
      </w:r>
      <w:r>
        <w:rPr>
          <w:rFonts w:ascii="Courier New" w:cs="Courier New" w:eastAsia="Courier New" w:hAnsi="Courier New"/>
          <w:sz w:val="16"/>
          <w:szCs w:val="16"/>
          <w:color w:val="auto"/>
        </w:rPr>
        <w:t>Usury</w:t>
      </w:r>
      <w:r>
        <w:rPr>
          <w:sz w:val="20"/>
          <w:szCs w:val="20"/>
          <w:color w:val="auto"/>
        </w:rPr>
        <w:tab/>
      </w:r>
      <w:r>
        <w:rPr>
          <w:rFonts w:ascii="Courier New" w:cs="Courier New" w:eastAsia="Courier New" w:hAnsi="Courier New"/>
          <w:sz w:val="16"/>
          <w:szCs w:val="16"/>
          <w:color w:val="auto"/>
        </w:rPr>
        <w:t>54</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10.09</w:t>
      </w:r>
      <w:r>
        <w:rPr>
          <w:sz w:val="20"/>
          <w:szCs w:val="20"/>
          <w:color w:val="auto"/>
        </w:rPr>
        <w:tab/>
      </w:r>
      <w:r>
        <w:rPr>
          <w:rFonts w:ascii="Courier New" w:cs="Courier New" w:eastAsia="Courier New" w:hAnsi="Courier New"/>
          <w:sz w:val="16"/>
          <w:szCs w:val="16"/>
          <w:color w:val="auto"/>
        </w:rPr>
        <w:t>Counterparts</w:t>
      </w:r>
      <w:r>
        <w:rPr>
          <w:sz w:val="20"/>
          <w:szCs w:val="20"/>
          <w:color w:val="auto"/>
        </w:rPr>
        <w:tab/>
      </w:r>
      <w:r>
        <w:rPr>
          <w:rFonts w:ascii="Courier New" w:cs="Courier New" w:eastAsia="Courier New" w:hAnsi="Courier New"/>
          <w:sz w:val="16"/>
          <w:szCs w:val="16"/>
          <w:color w:val="auto"/>
        </w:rPr>
        <w:t>54</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10.10</w:t>
      </w:r>
      <w:r>
        <w:rPr>
          <w:sz w:val="20"/>
          <w:szCs w:val="20"/>
          <w:color w:val="auto"/>
        </w:rPr>
        <w:tab/>
      </w:r>
      <w:r>
        <w:rPr>
          <w:rFonts w:ascii="Courier New" w:cs="Courier New" w:eastAsia="Courier New" w:hAnsi="Courier New"/>
          <w:sz w:val="16"/>
          <w:szCs w:val="16"/>
          <w:color w:val="auto"/>
        </w:rPr>
        <w:t>Integration</w:t>
      </w:r>
      <w:r>
        <w:rPr>
          <w:sz w:val="20"/>
          <w:szCs w:val="20"/>
          <w:color w:val="auto"/>
        </w:rPr>
        <w:tab/>
      </w:r>
      <w:r>
        <w:rPr>
          <w:rFonts w:ascii="Courier New" w:cs="Courier New" w:eastAsia="Courier New" w:hAnsi="Courier New"/>
          <w:sz w:val="16"/>
          <w:szCs w:val="16"/>
          <w:color w:val="auto"/>
        </w:rPr>
        <w:t>54</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Nature of Lenders' Obligations</w:t>
      </w:r>
      <w:r>
        <w:rPr>
          <w:sz w:val="20"/>
          <w:szCs w:val="20"/>
          <w:color w:val="auto"/>
        </w:rPr>
        <w:tab/>
      </w:r>
      <w:r>
        <w:rPr>
          <w:rFonts w:ascii="Courier New" w:cs="Courier New" w:eastAsia="Courier New" w:hAnsi="Courier New"/>
          <w:sz w:val="16"/>
          <w:szCs w:val="16"/>
          <w:color w:val="auto"/>
        </w:rPr>
        <w:t>55</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10.12</w:t>
      </w:r>
      <w:r>
        <w:rPr>
          <w:sz w:val="20"/>
          <w:szCs w:val="20"/>
          <w:color w:val="auto"/>
        </w:rPr>
        <w:tab/>
      </w:r>
      <w:r>
        <w:rPr>
          <w:rFonts w:ascii="Courier New" w:cs="Courier New" w:eastAsia="Courier New" w:hAnsi="Courier New"/>
          <w:sz w:val="16"/>
          <w:szCs w:val="16"/>
          <w:color w:val="auto"/>
        </w:rPr>
        <w:t>Survival of Representations and Warranties</w:t>
      </w:r>
      <w:r>
        <w:rPr>
          <w:sz w:val="20"/>
          <w:szCs w:val="20"/>
          <w:color w:val="auto"/>
        </w:rPr>
        <w:tab/>
      </w:r>
      <w:r>
        <w:rPr>
          <w:rFonts w:ascii="Courier New" w:cs="Courier New" w:eastAsia="Courier New" w:hAnsi="Courier New"/>
          <w:sz w:val="16"/>
          <w:szCs w:val="16"/>
          <w:color w:val="auto"/>
        </w:rPr>
        <w:t>55</w:t>
      </w:r>
    </w:p>
    <w:p>
      <w:pPr>
        <w:spacing w:after="0" w:line="236"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10.13</w:t>
      </w:r>
      <w:r>
        <w:rPr>
          <w:sz w:val="20"/>
          <w:szCs w:val="20"/>
          <w:color w:val="auto"/>
        </w:rPr>
        <w:tab/>
      </w:r>
      <w:r>
        <w:rPr>
          <w:rFonts w:ascii="Courier New" w:cs="Courier New" w:eastAsia="Courier New" w:hAnsi="Courier New"/>
          <w:sz w:val="16"/>
          <w:szCs w:val="16"/>
          <w:color w:val="auto"/>
        </w:rPr>
        <w:t>Indemnity by Co-Borrowers</w:t>
      </w:r>
      <w:r>
        <w:rPr>
          <w:sz w:val="20"/>
          <w:szCs w:val="20"/>
          <w:color w:val="auto"/>
        </w:rPr>
        <w:tab/>
      </w:r>
      <w:r>
        <w:rPr>
          <w:rFonts w:ascii="Courier New" w:cs="Courier New" w:eastAsia="Courier New" w:hAnsi="Courier New"/>
          <w:sz w:val="16"/>
          <w:szCs w:val="16"/>
          <w:color w:val="auto"/>
        </w:rPr>
        <w:t>55</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10.14</w:t>
      </w:r>
      <w:r>
        <w:rPr>
          <w:sz w:val="20"/>
          <w:szCs w:val="20"/>
          <w:color w:val="auto"/>
        </w:rPr>
        <w:tab/>
      </w:r>
      <w:r>
        <w:rPr>
          <w:rFonts w:ascii="Courier New" w:cs="Courier New" w:eastAsia="Courier New" w:hAnsi="Courier New"/>
          <w:sz w:val="16"/>
          <w:szCs w:val="16"/>
          <w:color w:val="auto"/>
        </w:rPr>
        <w:t>Nonliability of Lenders</w:t>
      </w:r>
      <w:r>
        <w:rPr>
          <w:sz w:val="20"/>
          <w:szCs w:val="20"/>
          <w:color w:val="auto"/>
        </w:rPr>
        <w:tab/>
      </w:r>
      <w:r>
        <w:rPr>
          <w:rFonts w:ascii="Courier New" w:cs="Courier New" w:eastAsia="Courier New" w:hAnsi="Courier New"/>
          <w:sz w:val="16"/>
          <w:szCs w:val="16"/>
          <w:color w:val="auto"/>
        </w:rPr>
        <w:t>55</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10.15</w:t>
      </w:r>
      <w:r>
        <w:rPr>
          <w:sz w:val="20"/>
          <w:szCs w:val="20"/>
          <w:color w:val="auto"/>
        </w:rPr>
        <w:tab/>
      </w:r>
      <w:r>
        <w:rPr>
          <w:rFonts w:ascii="Courier New" w:cs="Courier New" w:eastAsia="Courier New" w:hAnsi="Courier New"/>
          <w:sz w:val="16"/>
          <w:szCs w:val="16"/>
          <w:color w:val="auto"/>
        </w:rPr>
        <w:t>No Third Parties Benefitted</w:t>
      </w:r>
      <w:r>
        <w:rPr>
          <w:sz w:val="20"/>
          <w:szCs w:val="20"/>
          <w:color w:val="auto"/>
        </w:rPr>
        <w:tab/>
      </w:r>
      <w:r>
        <w:rPr>
          <w:rFonts w:ascii="Courier New" w:cs="Courier New" w:eastAsia="Courier New" w:hAnsi="Courier New"/>
          <w:sz w:val="16"/>
          <w:szCs w:val="16"/>
          <w:color w:val="auto"/>
        </w:rPr>
        <w:t>56</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10.16</w:t>
      </w:r>
      <w:r>
        <w:rPr>
          <w:sz w:val="20"/>
          <w:szCs w:val="20"/>
          <w:color w:val="auto"/>
        </w:rPr>
        <w:tab/>
      </w:r>
      <w:r>
        <w:rPr>
          <w:rFonts w:ascii="Courier New" w:cs="Courier New" w:eastAsia="Courier New" w:hAnsi="Courier New"/>
          <w:sz w:val="16"/>
          <w:szCs w:val="16"/>
          <w:color w:val="auto"/>
        </w:rPr>
        <w:t>Severability</w:t>
      </w:r>
      <w:r>
        <w:rPr>
          <w:sz w:val="20"/>
          <w:szCs w:val="20"/>
          <w:color w:val="auto"/>
        </w:rPr>
        <w:tab/>
      </w:r>
      <w:r>
        <w:rPr>
          <w:rFonts w:ascii="Courier New" w:cs="Courier New" w:eastAsia="Courier New" w:hAnsi="Courier New"/>
          <w:sz w:val="16"/>
          <w:szCs w:val="16"/>
          <w:color w:val="auto"/>
        </w:rPr>
        <w:t>56</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10.17</w:t>
      </w:r>
      <w:r>
        <w:rPr>
          <w:sz w:val="20"/>
          <w:szCs w:val="20"/>
          <w:color w:val="auto"/>
        </w:rPr>
        <w:tab/>
      </w:r>
      <w:r>
        <w:rPr>
          <w:rFonts w:ascii="Courier New" w:cs="Courier New" w:eastAsia="Courier New" w:hAnsi="Courier New"/>
          <w:sz w:val="16"/>
          <w:szCs w:val="16"/>
          <w:color w:val="auto"/>
        </w:rPr>
        <w:t>Confidentiality</w:t>
      </w:r>
      <w:r>
        <w:rPr>
          <w:sz w:val="20"/>
          <w:szCs w:val="20"/>
          <w:color w:val="auto"/>
        </w:rPr>
        <w:tab/>
      </w:r>
      <w:r>
        <w:rPr>
          <w:rFonts w:ascii="Courier New" w:cs="Courier New" w:eastAsia="Courier New" w:hAnsi="Courier New"/>
          <w:sz w:val="16"/>
          <w:szCs w:val="16"/>
          <w:color w:val="auto"/>
        </w:rPr>
        <w:t>56</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10.18</w:t>
      </w:r>
      <w:r>
        <w:rPr>
          <w:sz w:val="20"/>
          <w:szCs w:val="20"/>
          <w:color w:val="auto"/>
        </w:rPr>
        <w:tab/>
      </w:r>
      <w:r>
        <w:rPr>
          <w:rFonts w:ascii="Courier New" w:cs="Courier New" w:eastAsia="Courier New" w:hAnsi="Courier New"/>
          <w:sz w:val="16"/>
          <w:szCs w:val="16"/>
          <w:color w:val="auto"/>
        </w:rPr>
        <w:t>Headings</w:t>
      </w:r>
      <w:r>
        <w:rPr>
          <w:sz w:val="20"/>
          <w:szCs w:val="20"/>
          <w:color w:val="auto"/>
        </w:rPr>
        <w:tab/>
      </w:r>
      <w:r>
        <w:rPr>
          <w:rFonts w:ascii="Courier New" w:cs="Courier New" w:eastAsia="Courier New" w:hAnsi="Courier New"/>
          <w:sz w:val="16"/>
          <w:szCs w:val="16"/>
          <w:color w:val="auto"/>
        </w:rPr>
        <w:t>57</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10.19</w:t>
      </w:r>
      <w:r>
        <w:rPr>
          <w:sz w:val="20"/>
          <w:szCs w:val="20"/>
          <w:color w:val="auto"/>
        </w:rPr>
        <w:tab/>
      </w:r>
      <w:r>
        <w:rPr>
          <w:rFonts w:ascii="Courier New" w:cs="Courier New" w:eastAsia="Courier New" w:hAnsi="Courier New"/>
          <w:sz w:val="16"/>
          <w:szCs w:val="16"/>
          <w:color w:val="auto"/>
        </w:rPr>
        <w:t>Time of the Essence</w:t>
      </w:r>
      <w:r>
        <w:rPr>
          <w:sz w:val="20"/>
          <w:szCs w:val="20"/>
          <w:color w:val="auto"/>
        </w:rPr>
        <w:tab/>
      </w:r>
      <w:r>
        <w:rPr>
          <w:rFonts w:ascii="Courier New" w:cs="Courier New" w:eastAsia="Courier New" w:hAnsi="Courier New"/>
          <w:sz w:val="16"/>
          <w:szCs w:val="16"/>
          <w:color w:val="auto"/>
        </w:rPr>
        <w:t>57</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10.20</w:t>
      </w:r>
      <w:r>
        <w:rPr>
          <w:sz w:val="20"/>
          <w:szCs w:val="20"/>
          <w:color w:val="auto"/>
        </w:rPr>
        <w:tab/>
      </w:r>
      <w:r>
        <w:rPr>
          <w:rFonts w:ascii="Courier New" w:cs="Courier New" w:eastAsia="Courier New" w:hAnsi="Courier New"/>
          <w:sz w:val="16"/>
          <w:szCs w:val="16"/>
          <w:color w:val="auto"/>
        </w:rPr>
        <w:t>Foreign Lenders</w:t>
      </w:r>
      <w:r>
        <w:rPr>
          <w:sz w:val="20"/>
          <w:szCs w:val="20"/>
          <w:color w:val="auto"/>
        </w:rPr>
        <w:tab/>
      </w:r>
      <w:r>
        <w:rPr>
          <w:rFonts w:ascii="Courier New" w:cs="Courier New" w:eastAsia="Courier New" w:hAnsi="Courier New"/>
          <w:sz w:val="16"/>
          <w:szCs w:val="16"/>
          <w:color w:val="auto"/>
        </w:rPr>
        <w:t>57</w:t>
      </w:r>
    </w:p>
    <w:p>
      <w:pPr>
        <w:spacing w:after="0" w:line="236"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10.21</w:t>
      </w:r>
      <w:r>
        <w:rPr>
          <w:sz w:val="20"/>
          <w:szCs w:val="20"/>
          <w:color w:val="auto"/>
        </w:rPr>
        <w:tab/>
      </w:r>
      <w:r>
        <w:rPr>
          <w:rFonts w:ascii="Courier New" w:cs="Courier New" w:eastAsia="Courier New" w:hAnsi="Courier New"/>
          <w:sz w:val="16"/>
          <w:szCs w:val="16"/>
          <w:color w:val="auto"/>
        </w:rPr>
        <w:t>Removal and Replacement of Lenders</w:t>
      </w:r>
      <w:r>
        <w:rPr>
          <w:sz w:val="20"/>
          <w:szCs w:val="20"/>
          <w:color w:val="auto"/>
        </w:rPr>
        <w:tab/>
      </w:r>
      <w:r>
        <w:rPr>
          <w:rFonts w:ascii="Courier New" w:cs="Courier New" w:eastAsia="Courier New" w:hAnsi="Courier New"/>
          <w:sz w:val="16"/>
          <w:szCs w:val="16"/>
          <w:color w:val="auto"/>
        </w:rPr>
        <w:t>58</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10.22</w:t>
      </w:r>
      <w:r>
        <w:rPr>
          <w:sz w:val="20"/>
          <w:szCs w:val="20"/>
          <w:color w:val="auto"/>
        </w:rPr>
        <w:tab/>
      </w:r>
      <w:r>
        <w:rPr>
          <w:rFonts w:ascii="Courier New" w:cs="Courier New" w:eastAsia="Courier New" w:hAnsi="Courier New"/>
          <w:sz w:val="16"/>
          <w:szCs w:val="16"/>
          <w:color w:val="auto"/>
        </w:rPr>
        <w:t>Governing Law; Submission to Jurisdiction; Waivers</w:t>
      </w:r>
      <w:r>
        <w:rPr>
          <w:sz w:val="20"/>
          <w:szCs w:val="20"/>
          <w:color w:val="auto"/>
        </w:rPr>
        <w:tab/>
      </w:r>
      <w:r>
        <w:rPr>
          <w:rFonts w:ascii="Courier New" w:cs="Courier New" w:eastAsia="Courier New" w:hAnsi="Courier New"/>
          <w:sz w:val="16"/>
          <w:szCs w:val="16"/>
          <w:color w:val="auto"/>
        </w:rPr>
        <w:t>58</w:t>
      </w:r>
    </w:p>
    <w:p>
      <w:pPr>
        <w:spacing w:after="0" w:line="237" w:lineRule="auto"/>
        <w:tabs>
          <w:tab w:leader="none" w:pos="1100" w:val="left"/>
          <w:tab w:leader="dot" w:pos="10200" w:val="left"/>
        </w:tabs>
        <w:rPr>
          <w:sz w:val="20"/>
          <w:szCs w:val="20"/>
          <w:color w:val="auto"/>
        </w:rPr>
      </w:pPr>
      <w:r>
        <w:rPr>
          <w:rFonts w:ascii="Courier New" w:cs="Courier New" w:eastAsia="Courier New" w:hAnsi="Courier New"/>
          <w:sz w:val="16"/>
          <w:szCs w:val="16"/>
          <w:color w:val="auto"/>
        </w:rPr>
        <w:t>10.23</w:t>
      </w:r>
      <w:r>
        <w:rPr>
          <w:sz w:val="20"/>
          <w:szCs w:val="20"/>
          <w:color w:val="auto"/>
        </w:rPr>
        <w:tab/>
      </w:r>
      <w:r>
        <w:rPr>
          <w:rFonts w:ascii="Courier New" w:cs="Courier New" w:eastAsia="Courier New" w:hAnsi="Courier New"/>
          <w:sz w:val="16"/>
          <w:szCs w:val="16"/>
          <w:color w:val="auto"/>
        </w:rPr>
        <w:t>Waiver of Right to Trial by Jury</w:t>
      </w:r>
      <w:r>
        <w:rPr>
          <w:sz w:val="20"/>
          <w:szCs w:val="20"/>
          <w:color w:val="auto"/>
        </w:rPr>
        <w:tab/>
      </w:r>
      <w:r>
        <w:rPr>
          <w:rFonts w:ascii="Courier New" w:cs="Courier New" w:eastAsia="Courier New" w:hAnsi="Courier New"/>
          <w:sz w:val="16"/>
          <w:szCs w:val="16"/>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420"/>
          </w:cols>
          <w:pgMar w:left="520" w:top="827" w:right="959" w:bottom="1440" w:gutter="0" w:footer="0" w:header="0"/>
        </w:sectPr>
      </w:pPr>
    </w:p>
    <w:bookmarkStart w:id="31" w:name="page32"/>
    <w:bookmarkEnd w:id="31"/>
    <w:p>
      <w:pPr>
        <w:ind w:left="5"/>
        <w:spacing w:after="0"/>
        <w:rPr>
          <w:sz w:val="20"/>
          <w:szCs w:val="20"/>
          <w:color w:val="auto"/>
        </w:rPr>
      </w:pPr>
      <w:r>
        <w:rPr>
          <w:rFonts w:ascii="Courier New" w:cs="Courier New" w:eastAsia="Courier New" w:hAnsi="Courier New"/>
          <w:sz w:val="16"/>
          <w:szCs w:val="16"/>
          <w:color w:val="auto"/>
        </w:rPr>
        <w:t>EXHIBITS</w:t>
      </w:r>
    </w:p>
    <w:p>
      <w:pPr>
        <w:spacing w:after="0" w:line="177" w:lineRule="exact"/>
        <w:rPr>
          <w:sz w:val="20"/>
          <w:szCs w:val="20"/>
          <w:color w:val="auto"/>
        </w:rPr>
      </w:pPr>
    </w:p>
    <w:p>
      <w:pPr>
        <w:ind w:left="845" w:hanging="845"/>
        <w:spacing w:after="0"/>
        <w:tabs>
          <w:tab w:leader="none" w:pos="84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Guarantee Agreement</w:t>
      </w:r>
    </w:p>
    <w:p>
      <w:pPr>
        <w:spacing w:after="0" w:line="4" w:lineRule="exact"/>
        <w:rPr>
          <w:sz w:val="20"/>
          <w:szCs w:val="20"/>
          <w:color w:val="auto"/>
        </w:rPr>
      </w:pPr>
    </w:p>
    <w:p>
      <w:pPr>
        <w:ind w:left="845" w:hanging="845"/>
        <w:spacing w:after="0"/>
        <w:tabs>
          <w:tab w:leader="none" w:pos="845"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Request for Extension of Credit</w:t>
      </w:r>
    </w:p>
    <w:p>
      <w:pPr>
        <w:spacing w:after="0" w:line="16"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C</w:t>
      </w:r>
      <w:r>
        <w:rPr>
          <w:rFonts w:ascii="Courier New" w:cs="Courier New" w:eastAsia="Courier New" w:hAnsi="Courier New"/>
          <w:sz w:val="14"/>
          <w:szCs w:val="14"/>
          <w:color w:val="auto"/>
        </w:rPr>
        <w:t>Form of Compliance Certificate</w:t>
      </w: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D</w:t>
      </w:r>
      <w:r>
        <w:rPr>
          <w:rFonts w:ascii="Courier New" w:cs="Courier New" w:eastAsia="Courier New" w:hAnsi="Courier New"/>
          <w:sz w:val="14"/>
          <w:szCs w:val="14"/>
          <w:color w:val="auto"/>
        </w:rPr>
        <w:t>Form of Assignment and Acceptance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SCHEDULES</w:t>
      </w:r>
    </w:p>
    <w:p>
      <w:pPr>
        <w:spacing w:after="0" w:line="177" w:lineRule="exact"/>
        <w:rPr>
          <w:sz w:val="20"/>
          <w:szCs w:val="20"/>
          <w:color w:val="auto"/>
        </w:rPr>
      </w:pPr>
    </w:p>
    <w:p>
      <w:pPr>
        <w:ind w:left="845" w:hanging="845"/>
        <w:spacing w:after="0"/>
        <w:tabs>
          <w:tab w:leader="none" w:pos="84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Excluded Indebtedness</w:t>
      </w: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2.01</w:t>
      </w:r>
      <w:r>
        <w:rPr>
          <w:rFonts w:ascii="Courier New" w:cs="Courier New" w:eastAsia="Courier New" w:hAnsi="Courier New"/>
          <w:sz w:val="14"/>
          <w:szCs w:val="14"/>
          <w:color w:val="auto"/>
        </w:rPr>
        <w:t>Revolving Commitments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224"/>
          </w:cols>
          <w:pgMar w:left="235" w:top="827" w:right="1440" w:bottom="1440" w:gutter="0" w:footer="0" w:header="0"/>
        </w:sectPr>
      </w:pPr>
    </w:p>
    <w:bookmarkStart w:id="32" w:name="page33"/>
    <w:bookmarkEnd w:id="32"/>
    <w:p>
      <w:pPr>
        <w:ind w:left="2980"/>
        <w:spacing w:after="0"/>
        <w:rPr>
          <w:sz w:val="20"/>
          <w:szCs w:val="20"/>
          <w:color w:val="auto"/>
        </w:rPr>
      </w:pPr>
      <w:r>
        <w:rPr>
          <w:rFonts w:ascii="Courier New" w:cs="Courier New" w:eastAsia="Courier New" w:hAnsi="Courier New"/>
          <w:sz w:val="16"/>
          <w:szCs w:val="16"/>
          <w:color w:val="auto"/>
        </w:rPr>
        <w:t>CREDIT AGREEMENT</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This CREDIT AGREEMENT is entered into as of January 8, 2004, by and among COMCAST CORPORATION, a Pennsylvania corporation ("Borrower"), COMCAST CABLE COMMUNICATIONS HOLDINGS, INC., a Delaware corporation, as a Co-Borrower, each lender from time to time party hereto (collectively, "Lenders" and individually, a "Lender"), JPMorgan Chase Bank, as Administrative Agent and an Issuing Lender, CITIBANK, N.A., as syndication agent (in such capacity, "Syndication Agent"), and Bank of America, N.A., Barclays Bank plc and DEUTSCHE BANK SECURITIES INC., as co-documentation agents (in such capacity, "Co-Documentation Agents").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RECITAL</w:t>
      </w:r>
    </w:p>
    <w:p>
      <w:pPr>
        <w:spacing w:after="0" w:line="183" w:lineRule="exact"/>
        <w:rPr>
          <w:sz w:val="20"/>
          <w:szCs w:val="20"/>
          <w:color w:val="auto"/>
        </w:rPr>
      </w:pPr>
    </w:p>
    <w:p>
      <w:pPr>
        <w:jc w:val="both"/>
        <w:ind w:right="2779" w:firstLine="1674"/>
        <w:spacing w:after="0" w:line="283" w:lineRule="auto"/>
        <w:rPr>
          <w:sz w:val="20"/>
          <w:szCs w:val="20"/>
          <w:color w:val="auto"/>
        </w:rPr>
      </w:pPr>
      <w:r>
        <w:rPr>
          <w:rFonts w:ascii="Courier New" w:cs="Courier New" w:eastAsia="Courier New" w:hAnsi="Courier New"/>
          <w:sz w:val="14"/>
          <w:szCs w:val="14"/>
          <w:color w:val="auto"/>
        </w:rPr>
        <w:t>Borrower has requested that Lenders and Issuing Lender provide a revolving line of credit, and Lenders, Issuing Lender and Administrative Agent are willing to do so on the terms and conditions set forth herein.</w:t>
      </w:r>
    </w:p>
    <w:p>
      <w:pPr>
        <w:spacing w:after="0" w:line="155" w:lineRule="exact"/>
        <w:rPr>
          <w:sz w:val="20"/>
          <w:szCs w:val="20"/>
          <w:color w:val="auto"/>
        </w:rPr>
      </w:pPr>
    </w:p>
    <w:p>
      <w:pPr>
        <w:jc w:val="both"/>
        <w:ind w:right="2779" w:firstLine="1674"/>
        <w:spacing w:after="0" w:line="234" w:lineRule="auto"/>
        <w:rPr>
          <w:sz w:val="20"/>
          <w:szCs w:val="20"/>
          <w:color w:val="auto"/>
        </w:rPr>
      </w:pPr>
      <w:r>
        <w:rPr>
          <w:rFonts w:ascii="Courier New" w:cs="Courier New" w:eastAsia="Courier New" w:hAnsi="Courier New"/>
          <w:sz w:val="16"/>
          <w:szCs w:val="16"/>
          <w:color w:val="auto"/>
        </w:rPr>
        <w:t>In consideration of the mutual covenants and agreements herein contained, the parties hereto covenant and agree as follows: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DEFINITIONS AND ACCOUNTING TERMS</w:t>
      </w:r>
    </w:p>
    <w:p>
      <w:pPr>
        <w:spacing w:after="0" w:line="183" w:lineRule="exact"/>
        <w:rPr>
          <w:sz w:val="20"/>
          <w:szCs w:val="20"/>
          <w:color w:val="auto"/>
        </w:rPr>
      </w:pPr>
    </w:p>
    <w:p>
      <w:pPr>
        <w:ind w:right="2959" w:firstLine="1674"/>
        <w:spacing w:after="0" w:line="234" w:lineRule="auto"/>
        <w:rPr>
          <w:sz w:val="20"/>
          <w:szCs w:val="20"/>
          <w:color w:val="auto"/>
        </w:rPr>
      </w:pPr>
      <w:r>
        <w:rPr>
          <w:rFonts w:ascii="Courier New" w:cs="Courier New" w:eastAsia="Courier New" w:hAnsi="Courier New"/>
          <w:sz w:val="16"/>
          <w:szCs w:val="16"/>
          <w:color w:val="auto"/>
        </w:rPr>
        <w:t>1.01 Defined Terms. As used in this Agreement, the following terms shall have the meanings set forth below:</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"Acquisition" means (a) any purchase or other acquisition of assets or series of related purchases or other acquisitions of assets by Borrower or any Restricted Subsidiary (including by way of asset or stock purchase, swap or merger) other than from Borrower or any Restricted Subsidiary or (b) the designation by Borrower of an Unrestricted Subsidiary as a Restricted Subsidiary.</w:t>
      </w:r>
    </w:p>
    <w:p>
      <w:pPr>
        <w:spacing w:after="0" w:line="183" w:lineRule="exact"/>
        <w:rPr>
          <w:sz w:val="20"/>
          <w:szCs w:val="20"/>
          <w:color w:val="auto"/>
        </w:rPr>
      </w:pPr>
    </w:p>
    <w:p>
      <w:pPr>
        <w:ind w:right="3339" w:firstLine="1674"/>
        <w:spacing w:after="0" w:line="283" w:lineRule="auto"/>
        <w:rPr>
          <w:sz w:val="20"/>
          <w:szCs w:val="20"/>
          <w:color w:val="auto"/>
        </w:rPr>
      </w:pPr>
      <w:r>
        <w:rPr>
          <w:rFonts w:ascii="Courier New" w:cs="Courier New" w:eastAsia="Courier New" w:hAnsi="Courier New"/>
          <w:sz w:val="14"/>
          <w:szCs w:val="14"/>
          <w:color w:val="auto"/>
        </w:rPr>
        <w:t>"Administrative Agent" means JPMorgan Chase Bank, in its capacity as administrative agent under any of the Loan Documents, or any successor administrative agent permitted under the Loan Documents.</w:t>
      </w:r>
    </w:p>
    <w:p>
      <w:pPr>
        <w:spacing w:after="0" w:line="155" w:lineRule="exact"/>
        <w:rPr>
          <w:sz w:val="20"/>
          <w:szCs w:val="20"/>
          <w:color w:val="auto"/>
        </w:rPr>
      </w:pPr>
    </w:p>
    <w:p>
      <w:pPr>
        <w:ind w:right="2959" w:firstLine="1674"/>
        <w:spacing w:after="0" w:line="235" w:lineRule="auto"/>
        <w:rPr>
          <w:sz w:val="20"/>
          <w:szCs w:val="20"/>
          <w:color w:val="auto"/>
        </w:rPr>
      </w:pPr>
      <w:r>
        <w:rPr>
          <w:rFonts w:ascii="Courier New" w:cs="Courier New" w:eastAsia="Courier New" w:hAnsi="Courier New"/>
          <w:sz w:val="16"/>
          <w:szCs w:val="16"/>
          <w:color w:val="auto"/>
        </w:rPr>
        <w:t>"Administrative Agent's Office" means Administrative Agent's address and, as appropriate, account set forth below its signature to this Agreement, or such other address or account as Administrative Agent hereafter may designate by written notice to Borrower and Lenders.</w:t>
      </w:r>
    </w:p>
    <w:p>
      <w:pPr>
        <w:spacing w:after="0" w:line="185"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"Administrative Agent-Related Persons" means Administrative Agent (including any successor agent), together with its Affiliates and the officers, directors, employees, agents and attorneys-in-fact of such Persons and Affiliates.</w:t>
      </w:r>
    </w:p>
    <w:p>
      <w:pPr>
        <w:spacing w:after="0" w:line="185" w:lineRule="exact"/>
        <w:rPr>
          <w:sz w:val="20"/>
          <w:szCs w:val="20"/>
          <w:color w:val="auto"/>
        </w:rPr>
      </w:pPr>
    </w:p>
    <w:p>
      <w:pPr>
        <w:ind w:right="2959" w:firstLine="1674"/>
        <w:spacing w:after="0" w:line="235" w:lineRule="auto"/>
        <w:rPr>
          <w:sz w:val="20"/>
          <w:szCs w:val="20"/>
          <w:color w:val="auto"/>
        </w:rPr>
      </w:pPr>
      <w:r>
        <w:rPr>
          <w:rFonts w:ascii="Courier New" w:cs="Courier New" w:eastAsia="Courier New" w:hAnsi="Courier New"/>
          <w:sz w:val="16"/>
          <w:szCs w:val="16"/>
          <w:color w:val="auto"/>
        </w:rPr>
        <w:t>"Administrative Questionnaire" means, with respect to each Lender, an administrative questionnaire in the form prepared by Administrative Agent and submitted to Administrative Agent (with a copy to Borrower) duly completed by such Lender.</w:t>
      </w:r>
    </w:p>
    <w:p>
      <w:pPr>
        <w:spacing w:after="0" w:line="185" w:lineRule="exact"/>
        <w:rPr>
          <w:sz w:val="20"/>
          <w:szCs w:val="20"/>
          <w:color w:val="auto"/>
        </w:rPr>
      </w:pPr>
    </w:p>
    <w:p>
      <w:pPr>
        <w:jc w:val="both"/>
        <w:ind w:right="2959" w:firstLine="1674"/>
        <w:spacing w:after="0" w:line="235" w:lineRule="auto"/>
        <w:rPr>
          <w:sz w:val="20"/>
          <w:szCs w:val="20"/>
          <w:color w:val="auto"/>
        </w:rPr>
      </w:pPr>
      <w:r>
        <w:rPr>
          <w:rFonts w:ascii="Courier New" w:cs="Courier New" w:eastAsia="Courier New" w:hAnsi="Courier New"/>
          <w:sz w:val="16"/>
          <w:szCs w:val="16"/>
          <w:color w:val="auto"/>
        </w:rPr>
        <w:t>"Affiliate" means, as to any Person, any other Person that, directly or indirectly, is in control of, is controlled by, or is under direct or indirect common control with, such Person.</w:t>
      </w:r>
    </w:p>
    <w:p>
      <w:pPr>
        <w:sectPr>
          <w:pgSz w:w="11900" w:h="16838" w:orient="portrait"/>
          <w:cols w:equalWidth="0" w:num="1">
            <w:col w:w="10219"/>
          </w:cols>
          <w:pgMar w:left="240" w:top="827" w:right="1440" w:bottom="1440" w:gutter="0" w:footer="0" w:header="0"/>
        </w:sectPr>
      </w:pPr>
    </w:p>
    <w:bookmarkStart w:id="33" w:name="page34"/>
    <w:bookmarkEnd w:id="33"/>
    <w:p>
      <w:pPr>
        <w:ind w:left="362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40" w:lineRule="exact"/>
        <w:rPr>
          <w:sz w:val="20"/>
          <w:szCs w:val="20"/>
          <w:color w:val="auto"/>
        </w:rPr>
      </w:pPr>
    </w:p>
    <w:p>
      <w:pPr>
        <w:ind w:right="4540" w:firstLine="1674"/>
        <w:spacing w:after="0" w:line="234" w:lineRule="auto"/>
        <w:rPr>
          <w:sz w:val="20"/>
          <w:szCs w:val="20"/>
          <w:color w:val="auto"/>
        </w:rPr>
      </w:pPr>
      <w:r>
        <w:rPr>
          <w:rFonts w:ascii="Courier New" w:cs="Courier New" w:eastAsia="Courier New" w:hAnsi="Courier New"/>
          <w:sz w:val="16"/>
          <w:szCs w:val="16"/>
          <w:color w:val="auto"/>
        </w:rPr>
        <w:t>"Agents" means the collective reference to Administrative Agent, Syndication Agent and Co-Documentation Agents.</w:t>
      </w:r>
    </w:p>
    <w:p>
      <w:pPr>
        <w:spacing w:after="0" w:line="183" w:lineRule="exact"/>
        <w:rPr>
          <w:sz w:val="20"/>
          <w:szCs w:val="20"/>
          <w:color w:val="auto"/>
        </w:rPr>
      </w:pPr>
    </w:p>
    <w:p>
      <w:pPr>
        <w:ind w:right="4180" w:firstLine="1674"/>
        <w:spacing w:after="0" w:line="235" w:lineRule="auto"/>
        <w:rPr>
          <w:sz w:val="20"/>
          <w:szCs w:val="20"/>
          <w:color w:val="auto"/>
        </w:rPr>
      </w:pPr>
      <w:r>
        <w:rPr>
          <w:rFonts w:ascii="Courier New" w:cs="Courier New" w:eastAsia="Courier New" w:hAnsi="Courier New"/>
          <w:sz w:val="16"/>
          <w:szCs w:val="16"/>
          <w:color w:val="auto"/>
        </w:rPr>
        <w:t>"Aggregate Exposure" means, with respect to any Lender at any time, an amount equal to the amount of such Lender's Revolving Commitment then in effect or, if the Revolving Commitments have been terminated, the amount of such Lender's Outstanding Revolving Obligations.</w:t>
      </w:r>
    </w:p>
    <w:p>
      <w:pPr>
        <w:spacing w:after="0" w:line="185" w:lineRule="exact"/>
        <w:rPr>
          <w:sz w:val="20"/>
          <w:szCs w:val="20"/>
          <w:color w:val="auto"/>
        </w:rPr>
      </w:pPr>
    </w:p>
    <w:p>
      <w:pPr>
        <w:ind w:right="4080" w:firstLine="1674"/>
        <w:spacing w:after="0" w:line="235" w:lineRule="auto"/>
        <w:rPr>
          <w:sz w:val="20"/>
          <w:szCs w:val="20"/>
          <w:color w:val="auto"/>
        </w:rPr>
      </w:pPr>
      <w:r>
        <w:rPr>
          <w:rFonts w:ascii="Courier New" w:cs="Courier New" w:eastAsia="Courier New" w:hAnsi="Courier New"/>
          <w:sz w:val="16"/>
          <w:szCs w:val="16"/>
          <w:color w:val="auto"/>
        </w:rPr>
        <w:t>"Aggregate Exposure Percentage" means, with respect to any Lender at any time, the ratio (expressed as a percentage) of such Lender's Aggregate Exposure at such time to the Aggregate Exposure of all Lenders at such time.</w:t>
      </w:r>
    </w:p>
    <w:p>
      <w:pPr>
        <w:spacing w:after="0" w:line="185" w:lineRule="exact"/>
        <w:rPr>
          <w:sz w:val="20"/>
          <w:szCs w:val="20"/>
          <w:color w:val="auto"/>
        </w:rPr>
      </w:pPr>
    </w:p>
    <w:p>
      <w:pPr>
        <w:ind w:right="4080" w:firstLine="1674"/>
        <w:spacing w:after="0" w:line="295" w:lineRule="auto"/>
        <w:rPr>
          <w:sz w:val="20"/>
          <w:szCs w:val="20"/>
          <w:color w:val="auto"/>
        </w:rPr>
      </w:pPr>
      <w:r>
        <w:rPr>
          <w:rFonts w:ascii="Courier New" w:cs="Courier New" w:eastAsia="Courier New" w:hAnsi="Courier New"/>
          <w:sz w:val="14"/>
          <w:szCs w:val="14"/>
          <w:color w:val="auto"/>
        </w:rPr>
        <w:t>"Agreement" means this Credit Agreement, as amended, restated, extended, supplemented or otherwise modified in writing from time to time.</w:t>
      </w:r>
    </w:p>
    <w:p>
      <w:pPr>
        <w:spacing w:after="0" w:line="147" w:lineRule="exact"/>
        <w:rPr>
          <w:sz w:val="20"/>
          <w:szCs w:val="20"/>
          <w:color w:val="auto"/>
        </w:rPr>
      </w:pPr>
    </w:p>
    <w:p>
      <w:pPr>
        <w:ind w:right="4460" w:firstLine="1674"/>
        <w:spacing w:after="0" w:line="235" w:lineRule="auto"/>
        <w:rPr>
          <w:sz w:val="20"/>
          <w:szCs w:val="20"/>
          <w:color w:val="auto"/>
        </w:rPr>
      </w:pPr>
      <w:r>
        <w:rPr>
          <w:rFonts w:ascii="Courier New" w:cs="Courier New" w:eastAsia="Courier New" w:hAnsi="Courier New"/>
          <w:sz w:val="16"/>
          <w:szCs w:val="16"/>
          <w:color w:val="auto"/>
        </w:rPr>
        <w:t>"Annualized EBITDA" means, at any date of determination, EBITDA for the two fiscal quarter periods then most recently ended times two (2).</w:t>
      </w:r>
    </w:p>
    <w:p>
      <w:pPr>
        <w:spacing w:after="0" w:line="183" w:lineRule="exact"/>
        <w:rPr>
          <w:sz w:val="20"/>
          <w:szCs w:val="20"/>
          <w:color w:val="auto"/>
        </w:rPr>
      </w:pPr>
    </w:p>
    <w:p>
      <w:pPr>
        <w:ind w:right="4460" w:firstLine="1674"/>
        <w:spacing w:after="0" w:line="235" w:lineRule="auto"/>
        <w:rPr>
          <w:sz w:val="20"/>
          <w:szCs w:val="20"/>
          <w:color w:val="auto"/>
        </w:rPr>
      </w:pPr>
      <w:r>
        <w:rPr>
          <w:rFonts w:ascii="Courier New" w:cs="Courier New" w:eastAsia="Courier New" w:hAnsi="Courier New"/>
          <w:sz w:val="16"/>
          <w:szCs w:val="16"/>
          <w:color w:val="auto"/>
        </w:rPr>
        <w:t>"Annualized Interest Expense" means, at any date of determination, Interest Expense for the two fiscal quarter periods then most recently ended times two (2).</w:t>
      </w:r>
    </w:p>
    <w:p>
      <w:pPr>
        <w:spacing w:after="0" w:line="183" w:lineRule="exact"/>
        <w:rPr>
          <w:sz w:val="20"/>
          <w:szCs w:val="20"/>
          <w:color w:val="auto"/>
        </w:rPr>
      </w:pPr>
    </w:p>
    <w:p>
      <w:pPr>
        <w:jc w:val="both"/>
        <w:ind w:right="4080" w:firstLine="1674"/>
        <w:spacing w:after="0" w:line="235" w:lineRule="auto"/>
        <w:rPr>
          <w:sz w:val="20"/>
          <w:szCs w:val="20"/>
          <w:color w:val="auto"/>
        </w:rPr>
      </w:pPr>
      <w:r>
        <w:rPr>
          <w:rFonts w:ascii="Courier New" w:cs="Courier New" w:eastAsia="Courier New" w:hAnsi="Courier New"/>
          <w:sz w:val="16"/>
          <w:szCs w:val="16"/>
          <w:color w:val="auto"/>
        </w:rPr>
        <w:t>"Applicable Amount" means the rate per annum, in basis points, set forth under the relevant column heading below based upon the applicable Debt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1080" w:type="dxa"/>
            <w:vAlign w:val="bottom"/>
          </w:tcPr>
          <w:p>
            <w:pPr>
              <w:jc w:val="center"/>
              <w:ind w:right="142"/>
              <w:spacing w:after="0"/>
              <w:rPr>
                <w:sz w:val="20"/>
                <w:szCs w:val="20"/>
                <w:color w:val="auto"/>
              </w:rPr>
            </w:pPr>
            <w:r>
              <w:rPr>
                <w:rFonts w:ascii="Courier New" w:cs="Courier New" w:eastAsia="Courier New" w:hAnsi="Courier New"/>
                <w:sz w:val="16"/>
                <w:szCs w:val="16"/>
                <w:color w:val="auto"/>
                <w:w w:val="98"/>
              </w:rPr>
              <w:t>Pricing</w:t>
            </w:r>
          </w:p>
        </w:tc>
        <w:tc>
          <w:tcPr>
            <w:tcW w:w="204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Debt Ratings</w:t>
            </w:r>
          </w:p>
        </w:tc>
        <w:tc>
          <w:tcPr>
            <w:tcW w:w="1920" w:type="dxa"/>
            <w:vAlign w:val="bottom"/>
          </w:tcPr>
          <w:p>
            <w:pPr>
              <w:ind w:left="520"/>
              <w:spacing w:after="0"/>
              <w:rPr>
                <w:sz w:val="20"/>
                <w:szCs w:val="20"/>
                <w:color w:val="auto"/>
              </w:rPr>
            </w:pPr>
            <w:r>
              <w:rPr>
                <w:rFonts w:ascii="Courier New" w:cs="Courier New" w:eastAsia="Courier New" w:hAnsi="Courier New"/>
                <w:sz w:val="16"/>
                <w:szCs w:val="16"/>
                <w:color w:val="auto"/>
              </w:rPr>
              <w:t>Commitment</w:t>
            </w:r>
          </w:p>
        </w:tc>
        <w:tc>
          <w:tcPr>
            <w:tcW w:w="1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Eurodollar</w:t>
            </w:r>
          </w:p>
        </w:tc>
        <w:tc>
          <w:tcPr>
            <w:tcW w:w="88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9"/>
              </w:rPr>
              <w:t>Rate/</w:t>
            </w:r>
          </w:p>
        </w:tc>
        <w:tc>
          <w:tcPr>
            <w:tcW w:w="2500" w:type="dxa"/>
            <w:vAlign w:val="bottom"/>
          </w:tcPr>
          <w:p>
            <w:pPr>
              <w:spacing w:after="0"/>
              <w:rPr>
                <w:sz w:val="15"/>
                <w:szCs w:val="15"/>
                <w:color w:val="auto"/>
              </w:rPr>
            </w:pPr>
          </w:p>
        </w:tc>
      </w:tr>
      <w:tr>
        <w:trPr>
          <w:trHeight w:val="179"/>
        </w:trPr>
        <w:tc>
          <w:tcPr>
            <w:tcW w:w="108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5"/>
              </w:rPr>
              <w:t>Level</w:t>
            </w:r>
          </w:p>
        </w:tc>
        <w:tc>
          <w:tcPr>
            <w:tcW w:w="20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S&amp;P/Moody's</w:t>
            </w:r>
          </w:p>
        </w:tc>
        <w:tc>
          <w:tcPr>
            <w:tcW w:w="19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Fee</w:t>
            </w:r>
          </w:p>
        </w:tc>
        <w:tc>
          <w:tcPr>
            <w:tcW w:w="166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Base Rate</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Letters of</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Credit</w:t>
            </w:r>
          </w:p>
        </w:tc>
        <w:tc>
          <w:tcPr>
            <w:tcW w:w="2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Utilization Fee (&gt;50.0%)</w:t>
            </w:r>
          </w:p>
        </w:tc>
      </w:tr>
      <w:tr>
        <w:trPr>
          <w:trHeight w:val="179"/>
        </w:trPr>
        <w:tc>
          <w:tcPr>
            <w:tcW w:w="10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6"/>
              </w:rPr>
              <w:t>--------</w:t>
            </w:r>
          </w:p>
        </w:tc>
        <w:tc>
          <w:tcPr>
            <w:tcW w:w="20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92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080" w:type="dxa"/>
            <w:vAlign w:val="bottom"/>
          </w:tcPr>
          <w:p>
            <w:pPr>
              <w:jc w:val="center"/>
              <w:ind w:right="142"/>
              <w:spacing w:after="0"/>
              <w:rPr>
                <w:sz w:val="20"/>
                <w:szCs w:val="20"/>
                <w:color w:val="auto"/>
              </w:rPr>
            </w:pPr>
            <w:r>
              <w:rPr>
                <w:rFonts w:ascii="Courier New" w:cs="Courier New" w:eastAsia="Courier New" w:hAnsi="Courier New"/>
                <w:sz w:val="16"/>
                <w:szCs w:val="16"/>
                <w:color w:val="auto"/>
              </w:rPr>
              <w:t>1</w:t>
            </w:r>
          </w:p>
        </w:tc>
        <w:tc>
          <w:tcPr>
            <w:tcW w:w="2040" w:type="dxa"/>
            <w:vAlign w:val="bottom"/>
          </w:tcPr>
          <w:p>
            <w:pPr>
              <w:jc w:val="center"/>
              <w:spacing w:after="0"/>
              <w:rPr>
                <w:sz w:val="20"/>
                <w:szCs w:val="20"/>
                <w:color w:val="auto"/>
              </w:rPr>
            </w:pPr>
            <w:r>
              <w:rPr>
                <w:rFonts w:ascii="Courier New" w:cs="Courier New" w:eastAsia="Courier New" w:hAnsi="Courier New"/>
                <w:sz w:val="16"/>
                <w:szCs w:val="16"/>
                <w:color w:val="auto"/>
                <w:w w:val="99"/>
              </w:rPr>
              <w:t>=A/A2</w:t>
            </w:r>
          </w:p>
        </w:tc>
        <w:tc>
          <w:tcPr>
            <w:tcW w:w="192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8.0</w:t>
            </w:r>
          </w:p>
        </w:tc>
        <w:tc>
          <w:tcPr>
            <w:tcW w:w="1660" w:type="dxa"/>
            <w:vAlign w:val="bottom"/>
          </w:tcPr>
          <w:p>
            <w:pPr>
              <w:jc w:val="center"/>
              <w:ind w:left="2"/>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25.0</w:t>
            </w:r>
          </w:p>
        </w:tc>
        <w:tc>
          <w:tcPr>
            <w:tcW w:w="880" w:type="dxa"/>
            <w:vAlign w:val="bottom"/>
          </w:tcPr>
          <w:p>
            <w:pPr>
              <w:spacing w:after="0"/>
              <w:rPr>
                <w:sz w:val="24"/>
                <w:szCs w:val="24"/>
                <w:color w:val="auto"/>
              </w:rPr>
            </w:pPr>
          </w:p>
        </w:tc>
        <w:tc>
          <w:tcPr>
            <w:tcW w:w="250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10.0</w:t>
            </w:r>
          </w:p>
        </w:tc>
      </w:tr>
      <w:tr>
        <w:trPr>
          <w:trHeight w:val="179"/>
        </w:trPr>
        <w:tc>
          <w:tcPr>
            <w:tcW w:w="108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rPr>
              <w:t>2</w:t>
            </w:r>
          </w:p>
        </w:tc>
        <w:tc>
          <w:tcPr>
            <w:tcW w:w="20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9"/>
              </w:rPr>
              <w:t>A-/A3</w:t>
            </w:r>
          </w:p>
        </w:tc>
        <w:tc>
          <w:tcPr>
            <w:tcW w:w="192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10.0</w:t>
            </w:r>
          </w:p>
        </w:tc>
        <w:tc>
          <w:tcPr>
            <w:tcW w:w="166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37.5</w:t>
            </w:r>
          </w:p>
        </w:tc>
        <w:tc>
          <w:tcPr>
            <w:tcW w:w="880" w:type="dxa"/>
            <w:vAlign w:val="bottom"/>
          </w:tcPr>
          <w:p>
            <w:pPr>
              <w:spacing w:after="0"/>
              <w:rPr>
                <w:sz w:val="15"/>
                <w:szCs w:val="15"/>
                <w:color w:val="auto"/>
              </w:rPr>
            </w:pPr>
          </w:p>
        </w:tc>
        <w:tc>
          <w:tcPr>
            <w:tcW w:w="250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10.0</w:t>
            </w:r>
          </w:p>
        </w:tc>
      </w:tr>
      <w:tr>
        <w:trPr>
          <w:trHeight w:val="179"/>
        </w:trPr>
        <w:tc>
          <w:tcPr>
            <w:tcW w:w="108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rPr>
              <w:t>3</w:t>
            </w:r>
          </w:p>
        </w:tc>
        <w:tc>
          <w:tcPr>
            <w:tcW w:w="20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BBB+/Baa1</w:t>
            </w:r>
          </w:p>
        </w:tc>
        <w:tc>
          <w:tcPr>
            <w:tcW w:w="192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12.5</w:t>
            </w:r>
          </w:p>
        </w:tc>
        <w:tc>
          <w:tcPr>
            <w:tcW w:w="166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w:t>
            </w:r>
          </w:p>
        </w:tc>
        <w:tc>
          <w:tcPr>
            <w:tcW w:w="880" w:type="dxa"/>
            <w:vAlign w:val="bottom"/>
          </w:tcPr>
          <w:p>
            <w:pPr>
              <w:spacing w:after="0"/>
              <w:rPr>
                <w:sz w:val="15"/>
                <w:szCs w:val="15"/>
                <w:color w:val="auto"/>
              </w:rPr>
            </w:pPr>
          </w:p>
        </w:tc>
        <w:tc>
          <w:tcPr>
            <w:tcW w:w="250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12.5</w:t>
            </w:r>
          </w:p>
        </w:tc>
      </w:tr>
      <w:tr>
        <w:trPr>
          <w:trHeight w:val="179"/>
        </w:trPr>
        <w:tc>
          <w:tcPr>
            <w:tcW w:w="108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rPr>
              <w:t>4</w:t>
            </w:r>
          </w:p>
        </w:tc>
        <w:tc>
          <w:tcPr>
            <w:tcW w:w="20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BBB/Baa2</w:t>
            </w:r>
          </w:p>
        </w:tc>
        <w:tc>
          <w:tcPr>
            <w:tcW w:w="192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15.0</w:t>
            </w:r>
          </w:p>
        </w:tc>
        <w:tc>
          <w:tcPr>
            <w:tcW w:w="166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62.5</w:t>
            </w:r>
          </w:p>
        </w:tc>
        <w:tc>
          <w:tcPr>
            <w:tcW w:w="880" w:type="dxa"/>
            <w:vAlign w:val="bottom"/>
          </w:tcPr>
          <w:p>
            <w:pPr>
              <w:spacing w:after="0"/>
              <w:rPr>
                <w:sz w:val="15"/>
                <w:szCs w:val="15"/>
                <w:color w:val="auto"/>
              </w:rPr>
            </w:pPr>
          </w:p>
        </w:tc>
        <w:tc>
          <w:tcPr>
            <w:tcW w:w="250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25.0</w:t>
            </w:r>
          </w:p>
        </w:tc>
      </w:tr>
      <w:tr>
        <w:trPr>
          <w:trHeight w:val="179"/>
        </w:trPr>
        <w:tc>
          <w:tcPr>
            <w:tcW w:w="108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rPr>
              <w:t>5</w:t>
            </w:r>
          </w:p>
        </w:tc>
        <w:tc>
          <w:tcPr>
            <w:tcW w:w="20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BBB-/Baa3</w:t>
            </w:r>
          </w:p>
        </w:tc>
        <w:tc>
          <w:tcPr>
            <w:tcW w:w="192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18.0</w:t>
            </w:r>
          </w:p>
        </w:tc>
        <w:tc>
          <w:tcPr>
            <w:tcW w:w="166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87.5</w:t>
            </w:r>
          </w:p>
        </w:tc>
        <w:tc>
          <w:tcPr>
            <w:tcW w:w="880" w:type="dxa"/>
            <w:vAlign w:val="bottom"/>
          </w:tcPr>
          <w:p>
            <w:pPr>
              <w:spacing w:after="0"/>
              <w:rPr>
                <w:sz w:val="15"/>
                <w:szCs w:val="15"/>
                <w:color w:val="auto"/>
              </w:rPr>
            </w:pPr>
          </w:p>
        </w:tc>
        <w:tc>
          <w:tcPr>
            <w:tcW w:w="250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25.0</w:t>
            </w:r>
          </w:p>
        </w:tc>
      </w:tr>
    </w:tbl>
    <w:p>
      <w:pPr>
        <w:ind w:left="1580" w:hanging="1119"/>
        <w:spacing w:after="0" w:line="236" w:lineRule="auto"/>
        <w:tabs>
          <w:tab w:leader="none" w:pos="15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&lt; BBB-/Baa3 or</w:t>
      </w:r>
    </w:p>
    <w:tbl>
      <w:tblPr>
        <w:tblLayout w:type="fixed"/>
        <w:tblInd w:w="1860" w:type="dxa"/>
        <w:tblCellMar>
          <w:top w:w="0" w:type="dxa"/>
          <w:left w:w="0" w:type="dxa"/>
          <w:bottom w:w="0" w:type="dxa"/>
          <w:right w:w="0" w:type="dxa"/>
        </w:tblCellMar>
      </w:tblPr>
      <w:tr>
        <w:trPr>
          <w:trHeight w:val="180"/>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unrated</w:t>
            </w:r>
          </w:p>
        </w:tc>
        <w:tc>
          <w:tcPr>
            <w:tcW w:w="182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25.0</w:t>
            </w:r>
          </w:p>
        </w:tc>
        <w:tc>
          <w:tcPr>
            <w:tcW w:w="19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25.0</w:t>
            </w:r>
          </w:p>
        </w:tc>
        <w:tc>
          <w:tcPr>
            <w:tcW w:w="23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125.0</w:t>
            </w: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25.0</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80" w:firstLine="1674"/>
        <w:spacing w:after="0" w:line="236" w:lineRule="auto"/>
        <w:rPr>
          <w:sz w:val="20"/>
          <w:szCs w:val="20"/>
          <w:color w:val="auto"/>
        </w:rPr>
      </w:pPr>
      <w:r>
        <w:rPr>
          <w:rFonts w:ascii="Courier New" w:cs="Courier New" w:eastAsia="Courier New" w:hAnsi="Courier New"/>
          <w:sz w:val="16"/>
          <w:szCs w:val="16"/>
          <w:color w:val="auto"/>
        </w:rPr>
        <w:t>As used in this definition, "Debt Rating" means, as of any date of determination, the rating as determined by either S&amp;P or Moody's (collectively, the "Debt Ratings") of Borrower's senior unsecured non-credit-enhanced long-term Indebtedness for borrowed money; provided that, solely for purposes of determining the Applicable Amount, if a Debt Rating is issued by each of S&amp;P and Moody's, then the higher of such Debt Ratings shall apply (with Pricing Level 1 being the highest and Pricing Level 6 being the lowest), unless there is a split in Debt Ratings of more than one level, in which case the level that is one level higher than the lower Debt Rating shall apply. Initially, the Debt Ratings shall be determined from the certificate delivered pursuant to Section 4.01(a)(iv). Thereafter, the Debt Ratings shall be determined from the most recent public announcement of any changes in the Debt Ratings. Any change in the Applicable Amount shall become effective on and as of the date of any public announcement of any Debt Rating that indicates a different Applicable Amount. If the rating system of S&amp;P or Moody's shall change, Borrower and Administrative Agent shall negotiate in good faith to amend this definition to reflect such changed rating system and, pending the effectiveness of such amendment</w:t>
      </w:r>
    </w:p>
    <w:p>
      <w:pPr>
        <w:sectPr>
          <w:pgSz w:w="11900" w:h="16838" w:orient="portrait"/>
          <w:cols w:equalWidth="0" w:num="1">
            <w:col w:w="11520"/>
          </w:cols>
          <w:pgMar w:left="240" w:top="469" w:right="139" w:bottom="1440" w:gutter="0" w:footer="0" w:header="0"/>
        </w:sectPr>
      </w:pPr>
    </w:p>
    <w:bookmarkStart w:id="34" w:name="page35"/>
    <w:bookmarkEnd w:id="34"/>
    <w:p>
      <w:pPr>
        <w:ind w:left="362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40"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(which shall require the approval of Required Lenders), the Debt Rating shall be determined by reference to the rating most recently in effect prior to such change.</w:t>
      </w:r>
    </w:p>
    <w:p>
      <w:pPr>
        <w:spacing w:after="0" w:line="183" w:lineRule="exact"/>
        <w:rPr>
          <w:sz w:val="20"/>
          <w:szCs w:val="20"/>
          <w:color w:val="auto"/>
        </w:rPr>
      </w:pPr>
    </w:p>
    <w:p>
      <w:pPr>
        <w:ind w:right="2779" w:firstLine="1674"/>
        <w:spacing w:after="0" w:line="272" w:lineRule="auto"/>
        <w:rPr>
          <w:sz w:val="20"/>
          <w:szCs w:val="20"/>
          <w:color w:val="auto"/>
        </w:rPr>
      </w:pPr>
      <w:r>
        <w:rPr>
          <w:rFonts w:ascii="Courier New" w:cs="Courier New" w:eastAsia="Courier New" w:hAnsi="Courier New"/>
          <w:sz w:val="14"/>
          <w:szCs w:val="14"/>
          <w:color w:val="auto"/>
        </w:rPr>
        <w:t>"Applicable Payment Date" means, (a) as to any Eurodollar Rate Loan, the last day of the relevant Interest Period, any date that such Loan is prepaid or Converted in whole or in part and the maturity date of such Loan; provided, however, that if any Interest Period for a Eurodollar Rate Loan exceeds three months, interest shall also be paid on the Business Day which falls every three months after the beginning of such Interest Period; (b) with respect to any Fixed Rate Loan, the last day of the Interest Period applicable to the Borrowing of which such Loan is a part and, in the case of a Fixed Rate Borrowing with an Interest Period of more than 90 days' duration (unless otherwise specified in the applicable Competitive Bid Request), each day prior to the last day of such Interest Period that occurs at intervals of 90 days' duration after the first day of such Interest Period, and any other dates that are specified in the applicable Competitive Bid Request as Applicable Payment Dates with respect to such Borrowing; and (c) as to any other Obligations, the last Business Day of each calendar quarter and the maturity date of such Obligation, except as otherwise provided herein.</w:t>
      </w:r>
    </w:p>
    <w:p>
      <w:pPr>
        <w:spacing w:after="0" w:line="339"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"Applicable Time" means New York time.</w:t>
      </w:r>
    </w:p>
    <w:p>
      <w:pPr>
        <w:spacing w:after="0" w:line="183" w:lineRule="exact"/>
        <w:rPr>
          <w:sz w:val="20"/>
          <w:szCs w:val="20"/>
          <w:color w:val="auto"/>
        </w:rPr>
      </w:pPr>
    </w:p>
    <w:p>
      <w:pPr>
        <w:ind w:right="2779" w:firstLine="1674"/>
        <w:spacing w:after="0" w:line="234" w:lineRule="auto"/>
        <w:rPr>
          <w:sz w:val="20"/>
          <w:szCs w:val="20"/>
          <w:color w:val="auto"/>
        </w:rPr>
      </w:pPr>
      <w:r>
        <w:rPr>
          <w:rFonts w:ascii="Courier New" w:cs="Courier New" w:eastAsia="Courier New" w:hAnsi="Courier New"/>
          <w:sz w:val="16"/>
          <w:szCs w:val="16"/>
          <w:color w:val="auto"/>
        </w:rPr>
        <w:t>"Asset Monetization Transactions" has the meaning set forth in the definition of Consolidated Total Indebtedness.</w:t>
      </w:r>
    </w:p>
    <w:p>
      <w:pPr>
        <w:spacing w:after="0" w:line="183" w:lineRule="exact"/>
        <w:rPr>
          <w:sz w:val="20"/>
          <w:szCs w:val="20"/>
          <w:color w:val="auto"/>
        </w:rPr>
      </w:pPr>
    </w:p>
    <w:p>
      <w:pPr>
        <w:ind w:right="2779" w:firstLine="1674"/>
        <w:spacing w:after="0" w:line="234" w:lineRule="auto"/>
        <w:rPr>
          <w:sz w:val="20"/>
          <w:szCs w:val="20"/>
          <w:color w:val="auto"/>
        </w:rPr>
      </w:pPr>
      <w:r>
        <w:rPr>
          <w:rFonts w:ascii="Courier New" w:cs="Courier New" w:eastAsia="Courier New" w:hAnsi="Courier New"/>
          <w:sz w:val="16"/>
          <w:szCs w:val="16"/>
          <w:color w:val="auto"/>
        </w:rPr>
        <w:t>"Assignment and Acceptance" means an Assignment and Acceptance substantially in the form of Exhibit D.</w:t>
      </w:r>
    </w:p>
    <w:p>
      <w:pPr>
        <w:spacing w:after="0" w:line="183" w:lineRule="exact"/>
        <w:rPr>
          <w:sz w:val="20"/>
          <w:szCs w:val="20"/>
          <w:color w:val="auto"/>
        </w:rPr>
      </w:pPr>
    </w:p>
    <w:p>
      <w:pPr>
        <w:ind w:right="2959" w:firstLine="1674"/>
        <w:spacing w:after="0" w:line="234" w:lineRule="auto"/>
        <w:rPr>
          <w:sz w:val="20"/>
          <w:szCs w:val="20"/>
          <w:color w:val="auto"/>
        </w:rPr>
      </w:pPr>
      <w:r>
        <w:rPr>
          <w:rFonts w:ascii="Courier New" w:cs="Courier New" w:eastAsia="Courier New" w:hAnsi="Courier New"/>
          <w:sz w:val="16"/>
          <w:szCs w:val="16"/>
          <w:color w:val="auto"/>
        </w:rPr>
        <w:t>"Attorney Costs" means the reasonable fees and disbursements of a law firm or other external counsel.</w:t>
      </w:r>
    </w:p>
    <w:p>
      <w:pPr>
        <w:spacing w:after="0" w:line="183" w:lineRule="exact"/>
        <w:rPr>
          <w:sz w:val="20"/>
          <w:szCs w:val="20"/>
          <w:color w:val="auto"/>
        </w:rPr>
      </w:pPr>
    </w:p>
    <w:p>
      <w:pPr>
        <w:ind w:right="2779" w:firstLine="1674"/>
        <w:spacing w:after="0" w:line="272" w:lineRule="auto"/>
        <w:rPr>
          <w:sz w:val="20"/>
          <w:szCs w:val="20"/>
          <w:color w:val="auto"/>
        </w:rPr>
      </w:pPr>
      <w:r>
        <w:rPr>
          <w:rFonts w:ascii="Courier New" w:cs="Courier New" w:eastAsia="Courier New" w:hAnsi="Courier New"/>
          <w:sz w:val="14"/>
          <w:szCs w:val="14"/>
          <w:color w:val="auto"/>
        </w:rPr>
        <w:t>"Attributable Indebtedness"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Indebtedness shall be the lesser of the Attributable Indebtedness determined assuming termination on the first date such lease may be terminated (in which case the Attributable Indebtedness shall also include the amount of the penalty, but no rent shall be considered as required to be paid under such lease subsequent to the first date on which it may be so terminated) or the Attributable Indebtedness determined assuming no such termination.</w:t>
      </w:r>
    </w:p>
    <w:p>
      <w:pPr>
        <w:spacing w:after="0" w:line="200" w:lineRule="exact"/>
        <w:rPr>
          <w:sz w:val="20"/>
          <w:szCs w:val="20"/>
          <w:color w:val="auto"/>
        </w:rPr>
      </w:pPr>
    </w:p>
    <w:p>
      <w:pPr>
        <w:spacing w:after="0" w:line="325" w:lineRule="exact"/>
        <w:rPr>
          <w:sz w:val="20"/>
          <w:szCs w:val="20"/>
          <w:color w:val="auto"/>
        </w:rPr>
      </w:pPr>
    </w:p>
    <w:p>
      <w:pPr>
        <w:ind w:right="2879" w:firstLine="1674"/>
        <w:spacing w:after="0" w:line="236" w:lineRule="auto"/>
        <w:rPr>
          <w:sz w:val="20"/>
          <w:szCs w:val="20"/>
          <w:color w:val="auto"/>
        </w:rPr>
      </w:pPr>
      <w:r>
        <w:rPr>
          <w:rFonts w:ascii="Courier New" w:cs="Courier New" w:eastAsia="Courier New" w:hAnsi="Courier New"/>
          <w:sz w:val="16"/>
          <w:szCs w:val="16"/>
          <w:color w:val="auto"/>
        </w:rPr>
        <w:t>"Base Rate" means for any day a fluctuating rate per annum equal to the higher of (a) the Federal Funds Rate in effect for such day plus 1/2 of 1% and (b) the rate of interest in effect for such day as publicly announced from time to time by JPMorgan Chase as its "prime rate" in effect at its principal office in New York City (the Prime Rate not being intended to be the lowest rate of interest charged by JPMorgan Chase in connection with extensions of credit to debtors). Any change in such rate announced by JPMorgan Chase shall take effect at the opening of business on the day specified in the public announcement of such change.</w:t>
      </w:r>
    </w:p>
    <w:p>
      <w:pPr>
        <w:spacing w:after="0" w:line="185" w:lineRule="exact"/>
        <w:rPr>
          <w:sz w:val="20"/>
          <w:szCs w:val="20"/>
          <w:color w:val="auto"/>
        </w:rPr>
      </w:pPr>
    </w:p>
    <w:p>
      <w:pPr>
        <w:ind w:right="3439" w:firstLine="1674"/>
        <w:spacing w:after="0" w:line="234" w:lineRule="auto"/>
        <w:rPr>
          <w:sz w:val="20"/>
          <w:szCs w:val="20"/>
          <w:color w:val="auto"/>
        </w:rPr>
      </w:pPr>
      <w:r>
        <w:rPr>
          <w:rFonts w:ascii="Courier New" w:cs="Courier New" w:eastAsia="Courier New" w:hAnsi="Courier New"/>
          <w:sz w:val="16"/>
          <w:szCs w:val="16"/>
          <w:color w:val="auto"/>
        </w:rPr>
        <w:t>"Base Rate Loan" means a Loan made hereunder that bears interest based upon the Base Rate.</w:t>
      </w:r>
    </w:p>
    <w:p>
      <w:pPr>
        <w:sectPr>
          <w:pgSz w:w="11900" w:h="16838" w:orient="portrait"/>
          <w:cols w:equalWidth="0" w:num="1">
            <w:col w:w="10219"/>
          </w:cols>
          <w:pgMar w:left="240" w:top="469" w:right="1440" w:bottom="1440" w:gutter="0" w:footer="0" w:header="0"/>
        </w:sectPr>
      </w:pPr>
    </w:p>
    <w:bookmarkStart w:id="35" w:name="page36"/>
    <w:bookmarkEnd w:id="35"/>
    <w:p>
      <w:pPr>
        <w:ind w:left="3625"/>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40" w:lineRule="exact"/>
        <w:rPr>
          <w:sz w:val="20"/>
          <w:szCs w:val="20"/>
          <w:color w:val="auto"/>
        </w:rPr>
      </w:pPr>
    </w:p>
    <w:p>
      <w:pPr>
        <w:ind w:left="5" w:right="2959" w:firstLine="1674"/>
        <w:spacing w:after="0" w:line="236" w:lineRule="auto"/>
        <w:rPr>
          <w:sz w:val="20"/>
          <w:szCs w:val="20"/>
          <w:color w:val="auto"/>
        </w:rPr>
      </w:pPr>
      <w:r>
        <w:rPr>
          <w:rFonts w:ascii="Courier New" w:cs="Courier New" w:eastAsia="Courier New" w:hAnsi="Courier New"/>
          <w:sz w:val="16"/>
          <w:szCs w:val="16"/>
          <w:color w:val="auto"/>
        </w:rPr>
        <w:t>"BLR Group" means Brian L. Roberts ("BLR"), a lineal descendant of BLR, the estate of BLR, any trust of which the principal beneficiaries are any one or more of BLR and his lineal descendants and any group (within the meaning of the Securities Exchange Act of 1934 and the rules of the Securities and Exchange Commission thereunder as in effect on the date hereof) of which any of the foregoing is a member.</w:t>
      </w:r>
    </w:p>
    <w:p>
      <w:pPr>
        <w:spacing w:after="0" w:line="177" w:lineRule="exact"/>
        <w:rPr>
          <w:sz w:val="20"/>
          <w:szCs w:val="20"/>
          <w:color w:val="auto"/>
        </w:rPr>
      </w:pPr>
    </w:p>
    <w:p>
      <w:pPr>
        <w:ind w:left="1765"/>
        <w:spacing w:after="0"/>
        <w:rPr>
          <w:sz w:val="20"/>
          <w:szCs w:val="20"/>
          <w:color w:val="auto"/>
        </w:rPr>
      </w:pPr>
      <w:r>
        <w:rPr>
          <w:rFonts w:ascii="Courier New" w:cs="Courier New" w:eastAsia="Courier New" w:hAnsi="Courier New"/>
          <w:sz w:val="16"/>
          <w:szCs w:val="16"/>
          <w:color w:val="auto"/>
        </w:rPr>
        <w:t>"Borrower" has the meaning set forth in the introductory</w:t>
      </w:r>
    </w:p>
    <w:p>
      <w:pPr>
        <w:ind w:left="5"/>
        <w:spacing w:after="0" w:line="236" w:lineRule="auto"/>
        <w:rPr>
          <w:sz w:val="20"/>
          <w:szCs w:val="20"/>
          <w:color w:val="auto"/>
        </w:rPr>
      </w:pPr>
      <w:r>
        <w:rPr>
          <w:rFonts w:ascii="Courier New" w:cs="Courier New" w:eastAsia="Courier New" w:hAnsi="Courier New"/>
          <w:sz w:val="16"/>
          <w:szCs w:val="16"/>
          <w:color w:val="auto"/>
        </w:rPr>
        <w:t>paragraph hereto.</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"Borrowing" and "Borrow" each mean a borrowing of Loans</w:t>
      </w:r>
    </w:p>
    <w:p>
      <w:pPr>
        <w:ind w:left="5"/>
        <w:spacing w:after="0" w:line="236" w:lineRule="auto"/>
        <w:rPr>
          <w:sz w:val="20"/>
          <w:szCs w:val="20"/>
          <w:color w:val="auto"/>
        </w:rPr>
      </w:pPr>
      <w:r>
        <w:rPr>
          <w:rFonts w:ascii="Courier New" w:cs="Courier New" w:eastAsia="Courier New" w:hAnsi="Courier New"/>
          <w:sz w:val="16"/>
          <w:szCs w:val="16"/>
          <w:color w:val="auto"/>
        </w:rPr>
        <w:t>hereunder.</w:t>
      </w:r>
    </w:p>
    <w:p>
      <w:pPr>
        <w:spacing w:after="0" w:line="183" w:lineRule="exact"/>
        <w:rPr>
          <w:sz w:val="20"/>
          <w:szCs w:val="20"/>
          <w:color w:val="auto"/>
        </w:rPr>
      </w:pPr>
    </w:p>
    <w:p>
      <w:pPr>
        <w:ind w:left="5" w:right="2879" w:firstLine="1674"/>
        <w:spacing w:after="0" w:line="235" w:lineRule="auto"/>
        <w:rPr>
          <w:sz w:val="20"/>
          <w:szCs w:val="20"/>
          <w:color w:val="auto"/>
        </w:rPr>
      </w:pPr>
      <w:r>
        <w:rPr>
          <w:rFonts w:ascii="Courier New" w:cs="Courier New" w:eastAsia="Courier New" w:hAnsi="Courier New"/>
          <w:sz w:val="16"/>
          <w:szCs w:val="16"/>
          <w:color w:val="auto"/>
        </w:rPr>
        <w:t>"Business Day" means any day other than a Saturday, Sunday or other day on which commercial banks in New York, New York are authorized or required by law to close, and, if the applicable Business Day relates to a Eurodollar Rate Loan, any such day on which dealings are carried out in the applicable offshore Dollar market.</w:t>
      </w:r>
    </w:p>
    <w:p>
      <w:pPr>
        <w:spacing w:after="0" w:line="186" w:lineRule="exact"/>
        <w:rPr>
          <w:sz w:val="20"/>
          <w:szCs w:val="20"/>
          <w:color w:val="auto"/>
        </w:rPr>
      </w:pPr>
    </w:p>
    <w:p>
      <w:pPr>
        <w:ind w:left="5" w:right="2779" w:firstLine="1674"/>
        <w:spacing w:after="0" w:line="235" w:lineRule="auto"/>
        <w:rPr>
          <w:sz w:val="20"/>
          <w:szCs w:val="20"/>
          <w:color w:val="auto"/>
        </w:rPr>
      </w:pPr>
      <w:r>
        <w:rPr>
          <w:rFonts w:ascii="Courier New" w:cs="Courier New" w:eastAsia="Courier New" w:hAnsi="Courier New"/>
          <w:sz w:val="16"/>
          <w:szCs w:val="16"/>
          <w:color w:val="auto"/>
        </w:rPr>
        <w:t>"Cable Subsidiary" means a Subsidiary of Borrower (a) that operates cable assets or (b) whose sole purpose is to directly or indirectly own or hold an investment in another Person that operates cable assets.</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"CCCHI" means Comcast Cable Communications Holdings, Inc.</w:t>
      </w:r>
    </w:p>
    <w:p>
      <w:pPr>
        <w:ind w:left="5"/>
        <w:spacing w:after="0" w:line="236" w:lineRule="auto"/>
        <w:rPr>
          <w:sz w:val="20"/>
          <w:szCs w:val="20"/>
          <w:color w:val="auto"/>
        </w:rPr>
      </w:pPr>
      <w:r>
        <w:rPr>
          <w:rFonts w:ascii="Courier New" w:cs="Courier New" w:eastAsia="Courier New" w:hAnsi="Courier New"/>
          <w:sz w:val="16"/>
          <w:szCs w:val="16"/>
          <w:color w:val="auto"/>
        </w:rPr>
        <w:t>(formerly known as AT&amp;T Broadband Corp.).</w:t>
      </w:r>
    </w:p>
    <w:p>
      <w:pPr>
        <w:spacing w:after="0" w:line="183" w:lineRule="exact"/>
        <w:rPr>
          <w:sz w:val="20"/>
          <w:szCs w:val="20"/>
          <w:color w:val="auto"/>
        </w:rPr>
      </w:pPr>
    </w:p>
    <w:p>
      <w:pPr>
        <w:ind w:left="5" w:right="3159" w:firstLine="1674"/>
        <w:spacing w:after="0" w:line="270" w:lineRule="auto"/>
        <w:rPr>
          <w:sz w:val="20"/>
          <w:szCs w:val="20"/>
          <w:color w:val="auto"/>
        </w:rPr>
      </w:pPr>
      <w:r>
        <w:rPr>
          <w:rFonts w:ascii="Courier New" w:cs="Courier New" w:eastAsia="Courier New" w:hAnsi="Courier New"/>
          <w:sz w:val="14"/>
          <w:szCs w:val="14"/>
          <w:color w:val="auto"/>
        </w:rPr>
        <w:t>"Change of Control" means the occurrence of any of the following: (a) the acquisition of ownership, directly or indirectly, beneficially or of record, by any Person or group (within the meaning of the Securities Exchange Act of 1934 and the rules of the Securities and Exchange Commission thereunder, as in effect on the date hereof), other than the BLR Group, of Equity Interests representing more than the greater of (i) 35% and</w:t>
      </w:r>
    </w:p>
    <w:p>
      <w:pPr>
        <w:spacing w:after="0" w:line="3" w:lineRule="exact"/>
        <w:rPr>
          <w:sz w:val="20"/>
          <w:szCs w:val="20"/>
          <w:color w:val="auto"/>
        </w:rPr>
      </w:pPr>
    </w:p>
    <w:p>
      <w:pPr>
        <w:ind w:left="5" w:right="2779" w:hanging="5"/>
        <w:spacing w:after="0" w:line="273" w:lineRule="auto"/>
        <w:tabs>
          <w:tab w:leader="none" w:pos="47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 owned, directly or indirectly, beneficially or of record, by the BLR Group, of the aggregate ordinary voting power represented by the issued and outstanding Equity Interests of Borrower; (b) the occupation of a majority of the seats (other than vacant seats) on the board of directors of Borrower by Persons who were neither (i) nominated by the board of directors of Borrower (or by the Nominating Committee of such board) nor (ii) appointed by directors so nominated; or (c) the acquisition of direct or indirect Control of Borrower by any Person or group, other than the BLR Group. As used in this definition, "Control" means the possession, directly or indirectly, of the power to direct or cause the direction of the management or policies of a Person, whether through the ability to exercise voting power, by contract or otherwise.</w:t>
      </w:r>
    </w:p>
    <w:p>
      <w:pPr>
        <w:spacing w:after="0" w:line="33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"Code" means the Internal Revenue Code of 1986, as amended</w:t>
      </w:r>
    </w:p>
    <w:p>
      <w:pPr>
        <w:ind w:left="5"/>
        <w:spacing w:after="0" w:line="236" w:lineRule="auto"/>
        <w:rPr>
          <w:sz w:val="20"/>
          <w:szCs w:val="20"/>
          <w:color w:val="auto"/>
        </w:rPr>
      </w:pPr>
      <w:r>
        <w:rPr>
          <w:rFonts w:ascii="Courier New" w:cs="Courier New" w:eastAsia="Courier New" w:hAnsi="Courier New"/>
          <w:sz w:val="16"/>
          <w:szCs w:val="16"/>
          <w:color w:val="auto"/>
        </w:rPr>
        <w:t>from time to time.</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"Co-Borrower" means each of Borrower and CCCHI.</w:t>
      </w:r>
    </w:p>
    <w:p>
      <w:pPr>
        <w:spacing w:after="0" w:line="183" w:lineRule="exact"/>
        <w:rPr>
          <w:sz w:val="20"/>
          <w:szCs w:val="20"/>
          <w:color w:val="auto"/>
        </w:rPr>
      </w:pPr>
    </w:p>
    <w:p>
      <w:pPr>
        <w:ind w:left="5" w:right="3159" w:firstLine="1674"/>
        <w:spacing w:after="0" w:line="234" w:lineRule="auto"/>
        <w:rPr>
          <w:sz w:val="20"/>
          <w:szCs w:val="20"/>
          <w:color w:val="auto"/>
        </w:rPr>
      </w:pPr>
      <w:r>
        <w:rPr>
          <w:rFonts w:ascii="Courier New" w:cs="Courier New" w:eastAsia="Courier New" w:hAnsi="Courier New"/>
          <w:sz w:val="16"/>
          <w:szCs w:val="16"/>
          <w:color w:val="auto"/>
        </w:rPr>
        <w:t>"Co-Documentation Agents" has the meaning set forth in the introductory paragraph hereto.</w:t>
      </w:r>
    </w:p>
    <w:p>
      <w:pPr>
        <w:spacing w:after="0" w:line="183" w:lineRule="exact"/>
        <w:rPr>
          <w:sz w:val="20"/>
          <w:szCs w:val="20"/>
          <w:color w:val="auto"/>
        </w:rPr>
      </w:pPr>
    </w:p>
    <w:p>
      <w:pPr>
        <w:ind w:left="5" w:right="3519" w:firstLine="1674"/>
        <w:spacing w:after="0" w:line="234" w:lineRule="auto"/>
        <w:rPr>
          <w:sz w:val="20"/>
          <w:szCs w:val="20"/>
          <w:color w:val="auto"/>
        </w:rPr>
      </w:pPr>
      <w:r>
        <w:rPr>
          <w:rFonts w:ascii="Courier New" w:cs="Courier New" w:eastAsia="Courier New" w:hAnsi="Courier New"/>
          <w:sz w:val="16"/>
          <w:szCs w:val="16"/>
          <w:color w:val="auto"/>
        </w:rPr>
        <w:t>"Competitive Bid" means an offer by a Lender to make a Competitive Loan in accordance with Section 2.04.</w:t>
      </w:r>
    </w:p>
    <w:p>
      <w:pPr>
        <w:spacing w:after="0" w:line="183" w:lineRule="exact"/>
        <w:rPr>
          <w:sz w:val="20"/>
          <w:szCs w:val="20"/>
          <w:color w:val="auto"/>
        </w:rPr>
      </w:pPr>
    </w:p>
    <w:p>
      <w:pPr>
        <w:ind w:left="5" w:right="2879" w:firstLine="1674"/>
        <w:spacing w:after="0" w:line="235" w:lineRule="auto"/>
        <w:rPr>
          <w:sz w:val="20"/>
          <w:szCs w:val="20"/>
          <w:color w:val="auto"/>
        </w:rPr>
      </w:pPr>
      <w:r>
        <w:rPr>
          <w:rFonts w:ascii="Courier New" w:cs="Courier New" w:eastAsia="Courier New" w:hAnsi="Courier New"/>
          <w:sz w:val="16"/>
          <w:szCs w:val="16"/>
          <w:color w:val="auto"/>
        </w:rPr>
        <w:t>"Competitive Bid Rate" means, with respect to any Competitive Bid, the Margin or the Fixed Rate, as applicable, offered by the Lender making such Competitive Bid.</w:t>
      </w:r>
    </w:p>
    <w:p>
      <w:pPr>
        <w:spacing w:after="0" w:line="183" w:lineRule="exact"/>
        <w:rPr>
          <w:sz w:val="20"/>
          <w:szCs w:val="20"/>
          <w:color w:val="auto"/>
        </w:rPr>
      </w:pPr>
    </w:p>
    <w:p>
      <w:pPr>
        <w:ind w:left="5" w:right="2779" w:firstLine="1674"/>
        <w:spacing w:after="0" w:line="234" w:lineRule="auto"/>
        <w:rPr>
          <w:sz w:val="20"/>
          <w:szCs w:val="20"/>
          <w:color w:val="auto"/>
        </w:rPr>
      </w:pPr>
      <w:r>
        <w:rPr>
          <w:rFonts w:ascii="Courier New" w:cs="Courier New" w:eastAsia="Courier New" w:hAnsi="Courier New"/>
          <w:sz w:val="16"/>
          <w:szCs w:val="16"/>
          <w:color w:val="auto"/>
        </w:rPr>
        <w:t>"Competitive Bid Request" means a request by a Co-Borrower for Competitive Bids in accordance with Section 2.04.</w:t>
      </w:r>
    </w:p>
    <w:p>
      <w:pPr>
        <w:sectPr>
          <w:pgSz w:w="11900" w:h="16838" w:orient="portrait"/>
          <w:cols w:equalWidth="0" w:num="1">
            <w:col w:w="10224"/>
          </w:cols>
          <w:pgMar w:left="235" w:top="469" w:right="1440" w:bottom="1440" w:gutter="0" w:footer="0" w:header="0"/>
        </w:sectPr>
      </w:pPr>
    </w:p>
    <w:bookmarkStart w:id="36" w:name="page37"/>
    <w:bookmarkEnd w:id="36"/>
    <w:p>
      <w:pPr>
        <w:ind w:left="362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40" w:lineRule="exact"/>
        <w:rPr>
          <w:sz w:val="20"/>
          <w:szCs w:val="20"/>
          <w:color w:val="auto"/>
        </w:rPr>
      </w:pPr>
    </w:p>
    <w:p>
      <w:pPr>
        <w:ind w:right="2959" w:firstLine="1674"/>
        <w:spacing w:after="0" w:line="235" w:lineRule="auto"/>
        <w:rPr>
          <w:sz w:val="20"/>
          <w:szCs w:val="20"/>
          <w:color w:val="auto"/>
        </w:rPr>
      </w:pPr>
      <w:r>
        <w:rPr>
          <w:rFonts w:ascii="Courier New" w:cs="Courier New" w:eastAsia="Courier New" w:hAnsi="Courier New"/>
          <w:sz w:val="16"/>
          <w:szCs w:val="16"/>
          <w:color w:val="auto"/>
        </w:rPr>
        <w:t>"Competitive Borrowing" means a Competitive Loan or group of Competitive Loans of the same type made on the same date and as to which a single Interest Period is in effect.</w:t>
      </w:r>
    </w:p>
    <w:p>
      <w:pPr>
        <w:spacing w:after="0" w:line="183"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"Competitive Loan" means a Loan made pursuant to Section 2.04.</w:t>
      </w:r>
    </w:p>
    <w:p>
      <w:pPr>
        <w:spacing w:after="0" w:line="199"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"Compliance Certificate" means a certificate substantially in the form of Exhibit C, properly completed and signed by a Responsible Officer of Borrower.</w:t>
      </w:r>
    </w:p>
    <w:p>
      <w:pPr>
        <w:spacing w:after="0" w:line="183" w:lineRule="exact"/>
        <w:rPr>
          <w:sz w:val="20"/>
          <w:szCs w:val="20"/>
          <w:color w:val="auto"/>
        </w:rPr>
      </w:pPr>
    </w:p>
    <w:p>
      <w:pPr>
        <w:ind w:right="2879" w:firstLine="1674"/>
        <w:spacing w:after="0" w:line="273" w:lineRule="auto"/>
        <w:rPr>
          <w:sz w:val="20"/>
          <w:szCs w:val="20"/>
          <w:color w:val="auto"/>
        </w:rPr>
      </w:pPr>
      <w:r>
        <w:rPr>
          <w:rFonts w:ascii="Courier New" w:cs="Courier New" w:eastAsia="Courier New" w:hAnsi="Courier New"/>
          <w:sz w:val="14"/>
          <w:szCs w:val="14"/>
          <w:color w:val="auto"/>
        </w:rPr>
        <w:t>"Consolidated Total Indebtedness" means, as of any date of determination, the total Indebtedness of Borrower and its Restricted Subsidiaries, determined on a consolidated basis in accordance with GAAP, but excluding (i) Indebtedness of Borrower and its Restricted Subsidiaries arising from (A) the asset monetization transactions set forth on Schedule A and any extensions, renewals or replacements thereof and (B) any asset monetization transactions which are recourse only to the assets so monetized and are done on substantially similar terms to the asset monetization transactions set forth on Schedule A (collectively, "Asset Monetization Transactions") and (ii) the net remaining excess of the fair value over the recorded value of the Indebtedness of CCCHI and its Subsidiaries as of November 18, 2002.</w:t>
      </w:r>
    </w:p>
    <w:p>
      <w:pPr>
        <w:spacing w:after="0" w:line="162" w:lineRule="exact"/>
        <w:rPr>
          <w:sz w:val="20"/>
          <w:szCs w:val="20"/>
          <w:color w:val="auto"/>
        </w:rPr>
      </w:pPr>
    </w:p>
    <w:p>
      <w:pPr>
        <w:ind w:right="3339" w:firstLine="1674"/>
        <w:spacing w:after="0" w:line="283" w:lineRule="auto"/>
        <w:rPr>
          <w:sz w:val="20"/>
          <w:szCs w:val="20"/>
          <w:color w:val="auto"/>
        </w:rPr>
      </w:pPr>
      <w:r>
        <w:rPr>
          <w:rFonts w:ascii="Courier New" w:cs="Courier New" w:eastAsia="Courier New" w:hAnsi="Courier New"/>
          <w:sz w:val="14"/>
          <w:szCs w:val="14"/>
          <w:color w:val="auto"/>
        </w:rPr>
        <w:t>"Continuation" and "Continue" mean, with respect to any Eurodollar Rate Loan, the continuation of such Eurodollar Rate Loan as a Eurodollar Rate Loan on the last day of the Interest Period for such Loan.</w:t>
      </w:r>
    </w:p>
    <w:p>
      <w:pPr>
        <w:spacing w:after="0" w:line="155"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85" w:lineRule="exact"/>
        <w:rPr>
          <w:sz w:val="20"/>
          <w:szCs w:val="20"/>
          <w:color w:val="auto"/>
        </w:rPr>
      </w:pPr>
    </w:p>
    <w:p>
      <w:pPr>
        <w:ind w:right="2779" w:firstLine="1674"/>
        <w:spacing w:after="0" w:line="234" w:lineRule="auto"/>
        <w:rPr>
          <w:sz w:val="20"/>
          <w:szCs w:val="20"/>
          <w:color w:val="auto"/>
        </w:rPr>
      </w:pPr>
      <w:r>
        <w:rPr>
          <w:rFonts w:ascii="Courier New" w:cs="Courier New" w:eastAsia="Courier New" w:hAnsi="Courier New"/>
          <w:sz w:val="16"/>
          <w:szCs w:val="16"/>
          <w:color w:val="auto"/>
        </w:rPr>
        <w:t>"Conversion" and "Convert" mean, with respect to any Loan, the conversion of such Loan from or into another type of Loan.</w:t>
      </w:r>
    </w:p>
    <w:p>
      <w:pPr>
        <w:spacing w:after="0" w:line="183" w:lineRule="exact"/>
        <w:rPr>
          <w:sz w:val="20"/>
          <w:szCs w:val="20"/>
          <w:color w:val="auto"/>
        </w:rPr>
      </w:pPr>
    </w:p>
    <w:p>
      <w:pPr>
        <w:ind w:right="2879" w:firstLine="1674"/>
        <w:spacing w:after="0" w:line="275" w:lineRule="auto"/>
        <w:rPr>
          <w:sz w:val="20"/>
          <w:szCs w:val="20"/>
          <w:color w:val="auto"/>
        </w:rPr>
      </w:pPr>
      <w:r>
        <w:rPr>
          <w:rFonts w:ascii="Courier New" w:cs="Courier New" w:eastAsia="Courier New" w:hAnsi="Courier New"/>
          <w:sz w:val="14"/>
          <w:szCs w:val="14"/>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affecting the rights of creditors generally.</w:t>
      </w:r>
    </w:p>
    <w:p>
      <w:pPr>
        <w:spacing w:after="0" w:line="15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"Debt Rating" has the meaning set forth in the definition of</w:t>
      </w:r>
    </w:p>
    <w:p>
      <w:pPr>
        <w:spacing w:after="0" w:line="236" w:lineRule="auto"/>
        <w:rPr>
          <w:sz w:val="20"/>
          <w:szCs w:val="20"/>
          <w:color w:val="auto"/>
        </w:rPr>
      </w:pPr>
      <w:r>
        <w:rPr>
          <w:rFonts w:ascii="Courier New" w:cs="Courier New" w:eastAsia="Courier New" w:hAnsi="Courier New"/>
          <w:sz w:val="16"/>
          <w:szCs w:val="16"/>
          <w:color w:val="auto"/>
        </w:rPr>
        <w:t>Applicable Amount.</w:t>
      </w:r>
    </w:p>
    <w:p>
      <w:pPr>
        <w:spacing w:after="0" w:line="183" w:lineRule="exact"/>
        <w:rPr>
          <w:sz w:val="20"/>
          <w:szCs w:val="20"/>
          <w:color w:val="auto"/>
        </w:rPr>
      </w:pPr>
    </w:p>
    <w:p>
      <w:pPr>
        <w:ind w:right="2779" w:firstLine="1674"/>
        <w:spacing w:after="0" w:line="234" w:lineRule="auto"/>
        <w:rPr>
          <w:sz w:val="20"/>
          <w:szCs w:val="20"/>
          <w:color w:val="auto"/>
        </w:rPr>
      </w:pPr>
      <w:r>
        <w:rPr>
          <w:rFonts w:ascii="Courier New" w:cs="Courier New" w:eastAsia="Courier New" w:hAnsi="Courier New"/>
          <w:sz w:val="16"/>
          <w:szCs w:val="16"/>
          <w:color w:val="auto"/>
        </w:rPr>
        <w:t>"Default" means any event that, with the giving of any notice, the passage of time, or both, would be an Event of Default.</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"Default Rate" means an interest rate equal (i) in the case of overdue principal of any Loan, 2% per annum plus the rate otherwise applicable to such Loan as provided in Section 2.12(a) or (ii) in the case of any other amount, 2% per annum plus the rate applicable to Base Rate Loans, in each case to the fullest extent permitted by applicable Laws</w:t>
      </w:r>
    </w:p>
    <w:p>
      <w:pPr>
        <w:spacing w:after="0" w:line="186"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"Disposition" means (a) any sale, transfer or other disposition of assets or series of sales, transfers or other disposition of assets by Borrower or any Restricted Subsidiary (including by way of asset or stock sale, swap or merger) other than to Borrower or any Restricted Subsidiary or (b) the designation by Borrower of a Restricted Subsidiary as an Unrestricted Subsidiary.</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"Dollar" and "$" means lawful money of the United States of</w:t>
      </w:r>
    </w:p>
    <w:p>
      <w:pPr>
        <w:spacing w:after="0" w:line="236" w:lineRule="auto"/>
        <w:rPr>
          <w:sz w:val="20"/>
          <w:szCs w:val="20"/>
          <w:color w:val="auto"/>
        </w:rPr>
      </w:pPr>
      <w:r>
        <w:rPr>
          <w:rFonts w:ascii="Courier New" w:cs="Courier New" w:eastAsia="Courier New" w:hAnsi="Courier New"/>
          <w:sz w:val="16"/>
          <w:szCs w:val="16"/>
          <w:color w:val="auto"/>
        </w:rPr>
        <w:t>America.</w:t>
      </w:r>
    </w:p>
    <w:p>
      <w:pPr>
        <w:sectPr>
          <w:pgSz w:w="11900" w:h="16838" w:orient="portrait"/>
          <w:cols w:equalWidth="0" w:num="1">
            <w:col w:w="10219"/>
          </w:cols>
          <w:pgMar w:left="240" w:top="469" w:right="1440" w:bottom="1440" w:gutter="0" w:footer="0" w:header="0"/>
        </w:sectPr>
      </w:pPr>
    </w:p>
    <w:bookmarkStart w:id="37" w:name="page38"/>
    <w:bookmarkEnd w:id="37"/>
    <w:p>
      <w:pPr>
        <w:ind w:left="362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340"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"EBITDA" means, with respect to any Person or any income generating assets, for any period, an amount equal to (a) the net income of such Person or generated by such assets adjusted to exclude (i) gains and losses from unusual or extraordinary items and (ii) interest income, plus (b) income or gross receipts taxes (whether or not deferred), Interest Expense, depreciation, amortization and other non-cash charges to income, in each case for such period, minus (c) any cash payments made during such period in respect of any non-cash charges to income accrued during a prior period and added back in determining EBITDA during such prior period pursuant to clause (b) above, plus (d) any restructuring and other nonrecurring charges and expenses directly related to the Transactions incurred prior to June 30, 2004, plus (e) corporate overhead expenses incurred by Borrower in an aggregate amount not to exceed $100,000,000 for any fiscal year of Borrower.</w:t>
      </w:r>
    </w:p>
    <w:p>
      <w:pPr>
        <w:spacing w:after="0" w:line="188" w:lineRule="exact"/>
        <w:rPr>
          <w:sz w:val="20"/>
          <w:szCs w:val="20"/>
          <w:color w:val="auto"/>
        </w:rPr>
      </w:pPr>
    </w:p>
    <w:p>
      <w:pPr>
        <w:ind w:right="2779" w:firstLine="1674"/>
        <w:spacing w:after="0" w:line="276" w:lineRule="auto"/>
        <w:rPr>
          <w:sz w:val="20"/>
          <w:szCs w:val="20"/>
          <w:color w:val="auto"/>
        </w:rPr>
      </w:pPr>
      <w:r>
        <w:rPr>
          <w:rFonts w:ascii="Courier New" w:cs="Courier New" w:eastAsia="Courier New" w:hAnsi="Courier New"/>
          <w:sz w:val="14"/>
          <w:szCs w:val="14"/>
          <w:color w:val="auto"/>
        </w:rPr>
        <w:t>"Effective Date" means the date upon which all the conditions precedent in Section 4.01 have been satisfied or waived, which date shall be at least one Business Day after receipt by Administrative Agent of a written notice from Borrower identifying such date as the anticipated Effective Date (which written notice Administrative Agent will promptly forward to Lenders).</w:t>
      </w:r>
    </w:p>
    <w:p>
      <w:pPr>
        <w:spacing w:after="0" w:line="161" w:lineRule="exact"/>
        <w:rPr>
          <w:sz w:val="20"/>
          <w:szCs w:val="20"/>
          <w:color w:val="auto"/>
        </w:rPr>
      </w:pPr>
    </w:p>
    <w:p>
      <w:pPr>
        <w:ind w:right="2779" w:firstLine="1674"/>
        <w:spacing w:after="0" w:line="295" w:lineRule="auto"/>
        <w:rPr>
          <w:sz w:val="20"/>
          <w:szCs w:val="20"/>
          <w:color w:val="auto"/>
        </w:rPr>
      </w:pPr>
      <w:r>
        <w:rPr>
          <w:rFonts w:ascii="Courier New" w:cs="Courier New" w:eastAsia="Courier New" w:hAnsi="Courier New"/>
          <w:sz w:val="14"/>
          <w:szCs w:val="14"/>
          <w:color w:val="auto"/>
        </w:rPr>
        <w:t>"Environmental Laws" means all Laws relating to environmental, health, safety and land use matters applicable to any property.</w:t>
      </w:r>
    </w:p>
    <w:p>
      <w:pPr>
        <w:spacing w:after="0" w:line="147"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6" w:lineRule="exact"/>
        <w:rPr>
          <w:sz w:val="20"/>
          <w:szCs w:val="20"/>
          <w:color w:val="auto"/>
        </w:rPr>
      </w:pPr>
    </w:p>
    <w:p>
      <w:pPr>
        <w:ind w:right="2879" w:firstLine="1674"/>
        <w:spacing w:after="0" w:line="295" w:lineRule="auto"/>
        <w:rPr>
          <w:sz w:val="20"/>
          <w:szCs w:val="20"/>
          <w:color w:val="auto"/>
        </w:rPr>
      </w:pPr>
      <w:r>
        <w:rPr>
          <w:rFonts w:ascii="Courier New" w:cs="Courier New" w:eastAsia="Courier New" w:hAnsi="Courier New"/>
          <w:sz w:val="14"/>
          <w:szCs w:val="14"/>
          <w:color w:val="auto"/>
        </w:rPr>
        <w:t>"ERISA" means the Employee Retirement Income Security Act of 1974 and any regulations issued pursuant thereto, as amended from time to time.</w:t>
      </w:r>
    </w:p>
    <w:p>
      <w:pPr>
        <w:spacing w:after="0" w:line="147"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"ERISA Affiliate" means any trade or business (whether or not incorporated) under common control with Borrower within the meaning of Section 414(b) or (c) of the Code (and Sections 414(m) and (o) of the Code for purposes of provisions relating to Section 412 of the Code).</w:t>
      </w:r>
    </w:p>
    <w:p>
      <w:pPr>
        <w:spacing w:after="0" w:line="185"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"ERISA Event"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Borrower or any ERISA Affiliates of any liability under Title IV of ERISA with respect to the termination of any Plan; (e) the receipt by Borrower or any ERISA Affiliate from the PBGC or a plan administrator of any notice relating to an intention to terminate any Plan or to appoint a trustee to administer any Plan; (f) the incurrence by Borrower or any ERISA Affiliates of any liability with respect to the withdrawal or partial withdrawal from any Plan or Multiemployer Plan; or (g) the receipt by any Borrower or any ERISA Affiliate of any notice, or the receipt by any Multiemployer Plan from Borrower or any ERISA Affiliate of any notice, concerning the imposition of withdrawal liability or a determination that a Multiemployer Plan is, or is expected to be, insolvent or in reorganization, within the meaning of Title IV of ERISA.</w:t>
      </w:r>
    </w:p>
    <w:p>
      <w:pPr>
        <w:spacing w:after="0" w:line="191" w:lineRule="exact"/>
        <w:rPr>
          <w:sz w:val="20"/>
          <w:szCs w:val="20"/>
          <w:color w:val="auto"/>
        </w:rPr>
      </w:pPr>
    </w:p>
    <w:p>
      <w:pPr>
        <w:ind w:right="3439" w:firstLine="1674"/>
        <w:spacing w:after="0" w:line="234" w:lineRule="auto"/>
        <w:rPr>
          <w:sz w:val="20"/>
          <w:szCs w:val="20"/>
          <w:color w:val="auto"/>
        </w:rPr>
      </w:pPr>
      <w:r>
        <w:rPr>
          <w:rFonts w:ascii="Courier New" w:cs="Courier New" w:eastAsia="Courier New" w:hAnsi="Courier New"/>
          <w:sz w:val="16"/>
          <w:szCs w:val="16"/>
          <w:color w:val="auto"/>
        </w:rPr>
        <w:t>"Eurodollar Base Rate" has the meaning set forth in the definition of Eurodollar Rate.</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"Eurodollar Rate" means for any Interest Period with respect to any Eurodollar Rate Loan, a rate per annum determined by Administrative Agent pursuant to the following formula:</w:t>
      </w:r>
    </w:p>
    <w:p>
      <w:pPr>
        <w:sectPr>
          <w:pgSz w:w="11900" w:h="16838" w:orient="portrait"/>
          <w:cols w:equalWidth="0" w:num="1">
            <w:col w:w="10219"/>
          </w:cols>
          <w:pgMar w:left="240" w:top="469" w:right="1440" w:bottom="1440" w:gutter="0" w:footer="0" w:header="0"/>
        </w:sectPr>
      </w:pPr>
    </w:p>
    <w:bookmarkStart w:id="38" w:name="page39"/>
    <w:bookmarkEnd w:id="38"/>
    <w:p>
      <w:pPr>
        <w:ind w:left="3625"/>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34" w:lineRule="exact"/>
        <w:rPr>
          <w:sz w:val="20"/>
          <w:szCs w:val="20"/>
          <w:color w:val="auto"/>
        </w:rPr>
      </w:pPr>
    </w:p>
    <w:p>
      <w:pPr>
        <w:ind w:left="85"/>
        <w:spacing w:after="0"/>
        <w:tabs>
          <w:tab w:leader="none" w:pos="3244" w:val="left"/>
        </w:tabs>
        <w:rPr>
          <w:sz w:val="20"/>
          <w:szCs w:val="20"/>
          <w:color w:val="auto"/>
        </w:rPr>
      </w:pPr>
      <w:r>
        <w:rPr>
          <w:rFonts w:ascii="Courier New" w:cs="Courier New" w:eastAsia="Courier New" w:hAnsi="Courier New"/>
          <w:sz w:val="16"/>
          <w:szCs w:val="16"/>
          <w:color w:val="auto"/>
        </w:rPr>
        <w:t>Eurodollar Rate =</w:t>
      </w:r>
      <w:r>
        <w:rPr>
          <w:sz w:val="20"/>
          <w:szCs w:val="20"/>
          <w:color w:val="auto"/>
        </w:rPr>
        <w:tab/>
      </w:r>
      <w:r>
        <w:rPr>
          <w:rFonts w:ascii="Courier New" w:cs="Courier New" w:eastAsia="Courier New" w:hAnsi="Courier New"/>
          <w:sz w:val="14"/>
          <w:szCs w:val="14"/>
          <w:color w:val="auto"/>
        </w:rPr>
        <w:t>Eurodollar Base Rate</w:t>
      </w:r>
    </w:p>
    <w:p>
      <w:pPr>
        <w:ind w:left="1865"/>
        <w:spacing w:after="0" w:line="236" w:lineRule="auto"/>
        <w:rPr>
          <w:sz w:val="20"/>
          <w:szCs w:val="20"/>
          <w:color w:val="auto"/>
        </w:rPr>
      </w:pPr>
      <w:r>
        <w:rPr>
          <w:rFonts w:ascii="Courier New" w:cs="Courier New" w:eastAsia="Courier New" w:hAnsi="Courier New"/>
          <w:sz w:val="16"/>
          <w:szCs w:val="16"/>
          <w:color w:val="auto"/>
        </w:rPr>
        <w:t>----------------------------------------------------</w:t>
      </w:r>
    </w:p>
    <w:p>
      <w:pPr>
        <w:ind w:left="2325"/>
        <w:spacing w:after="0" w:line="237" w:lineRule="auto"/>
        <w:rPr>
          <w:sz w:val="20"/>
          <w:szCs w:val="20"/>
          <w:color w:val="auto"/>
        </w:rPr>
      </w:pPr>
      <w:r>
        <w:rPr>
          <w:rFonts w:ascii="Courier New" w:cs="Courier New" w:eastAsia="Courier New" w:hAnsi="Courier New"/>
          <w:sz w:val="16"/>
          <w:szCs w:val="16"/>
          <w:color w:val="auto"/>
        </w:rPr>
        <w:t>1.00 - Eurodollar Reserve Percentage</w:t>
      </w:r>
    </w:p>
    <w:p>
      <w:pPr>
        <w:spacing w:after="0" w:line="177"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Where,</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"Eurodollar Base Rate" means, for such Interest Period:</w:t>
      </w:r>
    </w:p>
    <w:p>
      <w:pPr>
        <w:spacing w:after="0" w:line="183" w:lineRule="exact"/>
        <w:rPr>
          <w:sz w:val="20"/>
          <w:szCs w:val="20"/>
          <w:color w:val="auto"/>
        </w:rPr>
      </w:pPr>
    </w:p>
    <w:p>
      <w:pPr>
        <w:ind w:left="845" w:right="2779" w:hanging="845"/>
        <w:spacing w:after="0" w:line="274" w:lineRule="auto"/>
        <w:tabs>
          <w:tab w:leader="none" w:pos="845"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per annum equal to the rate determined by Administrative Agent to be the offered rate that appears on the page of the Telerate screen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163" w:lineRule="exact"/>
        <w:rPr>
          <w:rFonts w:ascii="Courier New" w:cs="Courier New" w:eastAsia="Courier New" w:hAnsi="Courier New"/>
          <w:sz w:val="14"/>
          <w:szCs w:val="14"/>
          <w:color w:val="auto"/>
        </w:rPr>
      </w:pPr>
    </w:p>
    <w:p>
      <w:pPr>
        <w:ind w:left="845" w:right="2879" w:hanging="845"/>
        <w:spacing w:after="0" w:line="273" w:lineRule="auto"/>
        <w:tabs>
          <w:tab w:leader="none" w:pos="845"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rate referenced in the preceding subsection (a) does not appear on such page or service or such page or service shall cease to be available, the rate per annum equal to the rate reasonably determined by Administrative Agent (after consultation with Borrower) to be the offered rate on such other page or other service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344" w:lineRule="exact"/>
        <w:rPr>
          <w:rFonts w:ascii="Courier New" w:cs="Courier New" w:eastAsia="Courier New" w:hAnsi="Courier New"/>
          <w:sz w:val="14"/>
          <w:szCs w:val="14"/>
          <w:color w:val="auto"/>
        </w:rPr>
      </w:pPr>
    </w:p>
    <w:p>
      <w:pPr>
        <w:ind w:left="845" w:hanging="845"/>
        <w:spacing w:after="0"/>
        <w:tabs>
          <w:tab w:leader="none" w:pos="845"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rates referenced in the preceding subsections (a) and</w:t>
      </w:r>
    </w:p>
    <w:p>
      <w:pPr>
        <w:spacing w:after="0" w:line="20" w:lineRule="exact"/>
        <w:rPr>
          <w:rFonts w:ascii="Courier New" w:cs="Courier New" w:eastAsia="Courier New" w:hAnsi="Courier New"/>
          <w:sz w:val="14"/>
          <w:szCs w:val="14"/>
          <w:color w:val="auto"/>
        </w:rPr>
      </w:pPr>
    </w:p>
    <w:p>
      <w:pPr>
        <w:ind w:left="845" w:right="2779" w:hanging="7"/>
        <w:spacing w:after="0" w:line="273" w:lineRule="auto"/>
        <w:tabs>
          <w:tab w:leader="none" w:pos="1217"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not available, the rate per annum determined by Administrative Agent as the average of the rates of interest (rounded upward to the next 1/100th of 1%) at which deposits in Dollars for delivery on the first day of such Interest Period in same day funds in the approximate amount of the Eurodollar Rate Loan being made, Continued or Converted by Administrative Agent in its capacity as a Lender and with a term equivalent to such Interest Period are offered by Reference Banks to major banks in the London interbank Dollar market at their request at approximately 11:00 a.m. (London time) two Business Days prior to the first day of such Interest Period. If any Reference Bank does not quote such a rate at the request of Administrative Agent, such average rate shall be determined from the rates of the Reference Banks that quote such a rate; and</w:t>
      </w:r>
    </w:p>
    <w:p>
      <w:pPr>
        <w:spacing w:after="0" w:line="340" w:lineRule="exact"/>
        <w:rPr>
          <w:sz w:val="20"/>
          <w:szCs w:val="20"/>
          <w:color w:val="auto"/>
        </w:rPr>
      </w:pPr>
    </w:p>
    <w:p>
      <w:pPr>
        <w:ind w:left="845" w:right="2779" w:firstLine="837"/>
        <w:spacing w:after="0" w:line="272" w:lineRule="auto"/>
        <w:rPr>
          <w:sz w:val="20"/>
          <w:szCs w:val="20"/>
          <w:color w:val="auto"/>
        </w:rPr>
      </w:pPr>
      <w:r>
        <w:rPr>
          <w:rFonts w:ascii="Courier New" w:cs="Courier New" w:eastAsia="Courier New" w:hAnsi="Courier New"/>
          <w:sz w:val="14"/>
          <w:szCs w:val="14"/>
          <w:color w:val="auto"/>
        </w:rPr>
        <w:t>"Eurodollar Reserve Percentage" means, for any day during any Interest Period, the reserve percentage (expressed as a decimal, rounded upward to the next 1/100th of 1%) in effect on such day, whether or not applicable to any Lender, under regulations issued from time to time by the Board of Governors of the Federal Reserve System for determining the maximum reserve requirement (including any emergency, supplemental or other marginal reserve requirement) for a member bank of the Federal Reserve System in respect of "Eurocurrency liabilities" (or in respect of any other category of liabilities, which includes deposits by reference to which the interest rate on Eurodollar Rate Loans is determined or any category of extensions of credit or other assets which includes loans by a non- United States office of any Lender to United States residents). The Eurodollar Rate for each outstanding Eurodollar Rate Loan shall be adjusted automatically as of the effective date of any change in the Eurodollar Reserve Percentage.</w:t>
      </w:r>
    </w:p>
    <w:p>
      <w:pPr>
        <w:spacing w:after="0" w:line="346" w:lineRule="exact"/>
        <w:rPr>
          <w:sz w:val="20"/>
          <w:szCs w:val="20"/>
          <w:color w:val="auto"/>
        </w:rPr>
      </w:pPr>
    </w:p>
    <w:p>
      <w:pPr>
        <w:jc w:val="both"/>
        <w:ind w:left="845" w:right="2779" w:firstLine="837"/>
        <w:spacing w:after="0" w:line="235" w:lineRule="auto"/>
        <w:rPr>
          <w:sz w:val="20"/>
          <w:szCs w:val="20"/>
          <w:color w:val="auto"/>
        </w:rPr>
      </w:pPr>
      <w:r>
        <w:rPr>
          <w:rFonts w:ascii="Courier New" w:cs="Courier New" w:eastAsia="Courier New" w:hAnsi="Courier New"/>
          <w:sz w:val="16"/>
          <w:szCs w:val="16"/>
          <w:color w:val="auto"/>
        </w:rPr>
        <w:t>The determination of the Eurodollar Reserve Percentage and the Eurodollar Base Rate by Administrative Agent shall be conclusive in the absence of manifest error.</w:t>
      </w:r>
    </w:p>
    <w:p>
      <w:pPr>
        <w:spacing w:after="0" w:line="183" w:lineRule="exact"/>
        <w:rPr>
          <w:sz w:val="20"/>
          <w:szCs w:val="20"/>
          <w:color w:val="auto"/>
        </w:rPr>
      </w:pPr>
    </w:p>
    <w:p>
      <w:pPr>
        <w:ind w:left="5" w:right="2879" w:firstLine="1674"/>
        <w:spacing w:after="0" w:line="234" w:lineRule="auto"/>
        <w:rPr>
          <w:sz w:val="20"/>
          <w:szCs w:val="20"/>
          <w:color w:val="auto"/>
        </w:rPr>
      </w:pPr>
      <w:r>
        <w:rPr>
          <w:rFonts w:ascii="Courier New" w:cs="Courier New" w:eastAsia="Courier New" w:hAnsi="Courier New"/>
          <w:sz w:val="16"/>
          <w:szCs w:val="16"/>
          <w:color w:val="auto"/>
        </w:rPr>
        <w:t>"Eurodollar Rate Loan" means a Loan bearing interest based on the Eurodollar Rate.</w:t>
      </w:r>
    </w:p>
    <w:p>
      <w:pPr>
        <w:sectPr>
          <w:pgSz w:w="11900" w:h="16838" w:orient="portrait"/>
          <w:cols w:equalWidth="0" w:num="1">
            <w:col w:w="10224"/>
          </w:cols>
          <w:pgMar w:left="235" w:top="469" w:right="1440" w:bottom="1440" w:gutter="0" w:footer="0" w:header="0"/>
        </w:sectPr>
      </w:pPr>
    </w:p>
    <w:bookmarkStart w:id="39" w:name="page40"/>
    <w:bookmarkEnd w:id="39"/>
    <w:p>
      <w:pPr>
        <w:ind w:left="362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40" w:lineRule="exact"/>
        <w:rPr>
          <w:sz w:val="20"/>
          <w:szCs w:val="20"/>
          <w:color w:val="auto"/>
        </w:rPr>
      </w:pPr>
    </w:p>
    <w:p>
      <w:pPr>
        <w:ind w:right="2959" w:firstLine="1674"/>
        <w:spacing w:after="0" w:line="234" w:lineRule="auto"/>
        <w:rPr>
          <w:sz w:val="20"/>
          <w:szCs w:val="20"/>
          <w:color w:val="auto"/>
        </w:rPr>
      </w:pPr>
      <w:r>
        <w:rPr>
          <w:rFonts w:ascii="Courier New" w:cs="Courier New" w:eastAsia="Courier New" w:hAnsi="Courier New"/>
          <w:sz w:val="16"/>
          <w:szCs w:val="16"/>
          <w:color w:val="auto"/>
        </w:rPr>
        <w:t>"Eurodollar Reserve Percentage" has the meaning set forth in the definition of Eurodollar Rate.</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"Event of Default" means any of the events specified in</w:t>
      </w:r>
    </w:p>
    <w:p>
      <w:pPr>
        <w:spacing w:after="0" w:line="236" w:lineRule="auto"/>
        <w:rPr>
          <w:sz w:val="20"/>
          <w:szCs w:val="20"/>
          <w:color w:val="auto"/>
        </w:rPr>
      </w:pPr>
      <w:r>
        <w:rPr>
          <w:rFonts w:ascii="Courier New" w:cs="Courier New" w:eastAsia="Courier New" w:hAnsi="Courier New"/>
          <w:sz w:val="16"/>
          <w:szCs w:val="16"/>
          <w:color w:val="auto"/>
        </w:rPr>
        <w:t>Section 8.</w:t>
      </w:r>
    </w:p>
    <w:p>
      <w:pPr>
        <w:spacing w:after="0" w:line="183" w:lineRule="exact"/>
        <w:rPr>
          <w:sz w:val="20"/>
          <w:szCs w:val="20"/>
          <w:color w:val="auto"/>
        </w:rPr>
      </w:pPr>
    </w:p>
    <w:p>
      <w:pPr>
        <w:ind w:right="2879" w:firstLine="1767"/>
        <w:spacing w:after="0" w:line="235" w:lineRule="auto"/>
        <w:rPr>
          <w:sz w:val="20"/>
          <w:szCs w:val="20"/>
          <w:color w:val="auto"/>
        </w:rPr>
      </w:pPr>
      <w:r>
        <w:rPr>
          <w:rFonts w:ascii="Courier New" w:cs="Courier New" w:eastAsia="Courier New" w:hAnsi="Courier New"/>
          <w:sz w:val="16"/>
          <w:szCs w:val="16"/>
          <w:color w:val="auto"/>
        </w:rPr>
        <w:t>"Existing Letters of Credit" means the letters of credit identified by Borrower to Administrative Agent that have been issued prior to the Effective Date by Lenders and that are outstanding on the Effective Date in an aggregate amount not to exceed $406,157,743.</w:t>
      </w:r>
    </w:p>
    <w:p>
      <w:pPr>
        <w:spacing w:after="0" w:line="185" w:lineRule="exact"/>
        <w:rPr>
          <w:sz w:val="20"/>
          <w:szCs w:val="20"/>
          <w:color w:val="auto"/>
        </w:rPr>
      </w:pPr>
    </w:p>
    <w:p>
      <w:pPr>
        <w:ind w:right="2879" w:firstLine="1674"/>
        <w:spacing w:after="0" w:line="236" w:lineRule="auto"/>
        <w:rPr>
          <w:sz w:val="20"/>
          <w:szCs w:val="20"/>
          <w:color w:val="auto"/>
        </w:rPr>
      </w:pPr>
      <w:r>
        <w:rPr>
          <w:rFonts w:ascii="Courier New" w:cs="Courier New" w:eastAsia="Courier New" w:hAnsi="Courier New"/>
          <w:sz w:val="16"/>
          <w:szCs w:val="16"/>
          <w:color w:val="auto"/>
        </w:rPr>
        <w:t>"Extension of Credit" means (a) a Borrowing, Conversion or Continuation of Loans and (b) a Letter of Credit Action whereby a new Letter of Credit is issued or which has the effect of increasing the amount of, extending the maturity of, or making a material modification to an outstanding Letter of Credit or the reimbursement of drawings thereunder (collectively, the "Extensions of Credit").</w:t>
      </w:r>
    </w:p>
    <w:p>
      <w:pPr>
        <w:spacing w:after="0" w:line="183" w:lineRule="exact"/>
        <w:rPr>
          <w:sz w:val="20"/>
          <w:szCs w:val="20"/>
          <w:color w:val="auto"/>
        </w:rPr>
      </w:pPr>
    </w:p>
    <w:p>
      <w:pPr>
        <w:ind w:right="2779" w:firstLine="1674"/>
        <w:spacing w:after="0" w:line="273" w:lineRule="auto"/>
        <w:rPr>
          <w:sz w:val="20"/>
          <w:szCs w:val="20"/>
          <w:color w:val="auto"/>
        </w:rPr>
      </w:pPr>
      <w:r>
        <w:rPr>
          <w:rFonts w:ascii="Courier New" w:cs="Courier New" w:eastAsia="Courier New" w:hAnsi="Courier New"/>
          <w:sz w:val="14"/>
          <w:szCs w:val="14"/>
          <w:color w:val="auto"/>
        </w:rPr>
        <w:t>"Federal Funds Rate" means, for any day, the rate per annum (rounded upwards to the nearest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charged to JPMorgan Chase on such day on such transactions as determined by Administrative Agent (which determination shall be conclusive in the absence of manifest error).</w:t>
      </w:r>
    </w:p>
    <w:p>
      <w:pPr>
        <w:spacing w:after="0" w:line="341" w:lineRule="exact"/>
        <w:rPr>
          <w:sz w:val="20"/>
          <w:szCs w:val="20"/>
          <w:color w:val="auto"/>
        </w:rPr>
      </w:pPr>
    </w:p>
    <w:p>
      <w:pPr>
        <w:ind w:right="2879" w:firstLine="1674"/>
        <w:spacing w:after="0" w:line="236" w:lineRule="auto"/>
        <w:rPr>
          <w:sz w:val="20"/>
          <w:szCs w:val="20"/>
          <w:color w:val="auto"/>
        </w:rPr>
      </w:pPr>
      <w:r>
        <w:rPr>
          <w:rFonts w:ascii="Courier New" w:cs="Courier New" w:eastAsia="Courier New" w:hAnsi="Courier New"/>
          <w:sz w:val="16"/>
          <w:szCs w:val="16"/>
          <w:color w:val="auto"/>
        </w:rPr>
        <w:t>"Five-Year Agreement" means the Five-Year Revolving Credit Agreement, dated as of August 24, 2000, amended and restated as of November 18, 2002, among Comcast Cable Communications, Inc., Borrower, the lenders party thereto, Bank of America, N.A., as administrative agent, J.P. Morgan Securities Inc., as syndication agent, and Citibank, N.A. and The Bank of New York, as co-documentation agents.</w:t>
      </w:r>
    </w:p>
    <w:p>
      <w:pPr>
        <w:spacing w:after="0" w:line="183" w:lineRule="exact"/>
        <w:rPr>
          <w:sz w:val="20"/>
          <w:szCs w:val="20"/>
          <w:color w:val="auto"/>
        </w:rPr>
      </w:pPr>
    </w:p>
    <w:p>
      <w:pPr>
        <w:ind w:right="2959" w:firstLine="1674"/>
        <w:spacing w:after="0" w:line="235" w:lineRule="auto"/>
        <w:rPr>
          <w:sz w:val="20"/>
          <w:szCs w:val="20"/>
          <w:color w:val="auto"/>
        </w:rPr>
      </w:pPr>
      <w:r>
        <w:rPr>
          <w:rFonts w:ascii="Courier New" w:cs="Courier New" w:eastAsia="Courier New" w:hAnsi="Courier New"/>
          <w:sz w:val="16"/>
          <w:szCs w:val="16"/>
          <w:color w:val="auto"/>
        </w:rPr>
        <w:t>"Fixed Rate" means, with respect to any Competitive Loan (other than a Competitive Loan that is a Eurodollar Rate Loan), the fixed rate of interest per annum specified by the Lender making such Competitive Loan in its related Competitive Bid.</w:t>
      </w:r>
    </w:p>
    <w:p>
      <w:pPr>
        <w:spacing w:after="0" w:line="178"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"Fixed Rate Loan" means a Competitive Loan bearing interest at</w:t>
      </w:r>
    </w:p>
    <w:p>
      <w:pPr>
        <w:spacing w:after="0" w:line="236" w:lineRule="auto"/>
        <w:rPr>
          <w:sz w:val="20"/>
          <w:szCs w:val="20"/>
          <w:color w:val="auto"/>
        </w:rPr>
      </w:pPr>
      <w:r>
        <w:rPr>
          <w:rFonts w:ascii="Courier New" w:cs="Courier New" w:eastAsia="Courier New" w:hAnsi="Courier New"/>
          <w:sz w:val="16"/>
          <w:szCs w:val="16"/>
          <w:color w:val="auto"/>
        </w:rPr>
        <w:t>a Fixed Rate.</w:t>
      </w:r>
    </w:p>
    <w:p>
      <w:pPr>
        <w:spacing w:after="0" w:line="183"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"GAAP" means generally accepted accounting principles applied on a consistent basis (but subject to changes approved by Borrower's independent certified public accountants).</w:t>
      </w:r>
    </w:p>
    <w:p>
      <w:pPr>
        <w:spacing w:after="0" w:line="183" w:lineRule="exact"/>
        <w:rPr>
          <w:sz w:val="20"/>
          <w:szCs w:val="20"/>
          <w:color w:val="auto"/>
        </w:rPr>
      </w:pPr>
    </w:p>
    <w:p>
      <w:pPr>
        <w:ind w:right="2779" w:firstLine="1674"/>
        <w:spacing w:after="0" w:line="274" w:lineRule="auto"/>
        <w:rPr>
          <w:sz w:val="20"/>
          <w:szCs w:val="20"/>
          <w:color w:val="auto"/>
        </w:rPr>
      </w:pPr>
      <w:r>
        <w:rPr>
          <w:rFonts w:ascii="Courier New" w:cs="Courier New" w:eastAsia="Courier New" w:hAnsi="Courier New"/>
          <w:sz w:val="14"/>
          <w:szCs w:val="14"/>
          <w:color w:val="auto"/>
        </w:rPr>
        <w:t>"Governmental Authority" means (a) any international, foreign, federal, state, county or municipal government, or political subdivision thereof, (b) any governmental or quasi-governmental agency, authority, board, bureau, commission, department, instrumentality, central bank or public body, including the Federal Communications Commission, (c) any state public utilities commission or other authority and any federal, state, county, or municipal licensing or franchising authority or (d) any court or administrative tribunal.</w:t>
      </w:r>
    </w:p>
    <w:p>
      <w:pPr>
        <w:spacing w:after="0" w:line="164" w:lineRule="exact"/>
        <w:rPr>
          <w:sz w:val="20"/>
          <w:szCs w:val="20"/>
          <w:color w:val="auto"/>
        </w:rPr>
      </w:pPr>
    </w:p>
    <w:p>
      <w:pPr>
        <w:ind w:right="2959" w:firstLine="1674"/>
        <w:spacing w:after="0" w:line="235" w:lineRule="auto"/>
        <w:rPr>
          <w:sz w:val="20"/>
          <w:szCs w:val="20"/>
          <w:color w:val="auto"/>
        </w:rPr>
      </w:pPr>
      <w:r>
        <w:rPr>
          <w:rFonts w:ascii="Courier New" w:cs="Courier New" w:eastAsia="Courier New" w:hAnsi="Courier New"/>
          <w:sz w:val="16"/>
          <w:szCs w:val="16"/>
          <w:color w:val="auto"/>
        </w:rPr>
        <w:t>"Guarantee Agreement" means the Guarantee Agreement to be executed and delivered by each Guarantor, substantially in the form of Exhibit A.</w:t>
      </w:r>
    </w:p>
    <w:p>
      <w:pPr>
        <w:sectPr>
          <w:pgSz w:w="11900" w:h="16838" w:orient="portrait"/>
          <w:cols w:equalWidth="0" w:num="1">
            <w:col w:w="10219"/>
          </w:cols>
          <w:pgMar w:left="240" w:top="469" w:right="1440" w:bottom="1440" w:gutter="0" w:footer="0" w:header="0"/>
        </w:sectPr>
      </w:pPr>
    </w:p>
    <w:bookmarkStart w:id="40" w:name="page41"/>
    <w:bookmarkEnd w:id="40"/>
    <w:p>
      <w:pPr>
        <w:ind w:left="3625"/>
        <w:spacing w:after="0"/>
        <w:rPr>
          <w:sz w:val="20"/>
          <w:szCs w:val="20"/>
          <w:color w:val="auto"/>
        </w:rPr>
      </w:pPr>
      <w:r>
        <w:rPr>
          <w:rFonts w:ascii="Courier New" w:cs="Courier New" w:eastAsia="Courier New" w:hAnsi="Courier New"/>
          <w:sz w:val="16"/>
          <w:szCs w:val="16"/>
          <w:color w:val="auto"/>
        </w:rPr>
        <w:t>9</w:t>
      </w:r>
    </w:p>
    <w:p>
      <w:pPr>
        <w:spacing w:after="0" w:line="362" w:lineRule="exact"/>
        <w:rPr>
          <w:sz w:val="20"/>
          <w:szCs w:val="20"/>
          <w:color w:val="auto"/>
        </w:rPr>
      </w:pPr>
    </w:p>
    <w:p>
      <w:pPr>
        <w:ind w:left="5" w:right="2779" w:firstLine="1674"/>
        <w:spacing w:after="0" w:line="235" w:lineRule="auto"/>
        <w:rPr>
          <w:sz w:val="20"/>
          <w:szCs w:val="20"/>
          <w:color w:val="auto"/>
        </w:rPr>
      </w:pPr>
      <w:r>
        <w:rPr>
          <w:rFonts w:ascii="Courier New" w:cs="Courier New" w:eastAsia="Courier New" w:hAnsi="Courier New"/>
          <w:sz w:val="16"/>
          <w:szCs w:val="16"/>
          <w:color w:val="auto"/>
        </w:rPr>
        <w:t>"Guarantors" means Comcast Cable Communications, Inc., Comcast MO of Delaware, Inc., Comcast MO Group, Inc., Comcast Cable Holdings, LLC, CCCHI, Borrower and each Restricted Subsidiary that becomes a party to the Guarantee Agreement pursuant to Section 7.02(c).</w:t>
      </w:r>
    </w:p>
    <w:p>
      <w:pPr>
        <w:spacing w:after="0" w:line="185" w:lineRule="exact"/>
        <w:rPr>
          <w:sz w:val="20"/>
          <w:szCs w:val="20"/>
          <w:color w:val="auto"/>
        </w:rPr>
      </w:pPr>
    </w:p>
    <w:p>
      <w:pPr>
        <w:ind w:left="5" w:right="2779" w:firstLine="1674"/>
        <w:spacing w:after="0" w:line="236" w:lineRule="auto"/>
        <w:rPr>
          <w:sz w:val="20"/>
          <w:szCs w:val="20"/>
          <w:color w:val="auto"/>
        </w:rPr>
      </w:pPr>
      <w:r>
        <w:rPr>
          <w:rFonts w:ascii="Courier New" w:cs="Courier New" w:eastAsia="Courier New" w:hAnsi="Courier New"/>
          <w:sz w:val="16"/>
          <w:szCs w:val="16"/>
          <w:color w:val="auto"/>
        </w:rPr>
        <w:t>"Guaranty Obligation" means, as to any Person, any (a) guaranty by such Person of Indebtedness of any other Person or (b) legally binding obligation of such Person to purchase or pay (or to advance or supply funds for the purchase or payment of) Indebtedness of any other Person, or to purchase property, securities, or services for the purpose of assuring the owner of such Indebtedness of the payment of such Indebtedness or to maintain working capital, equity capital or other financial statement condition of such other Person so as to enable such other Person to pay such Indebtedness; provided, however,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83"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"Indebtedness" means, as to any Person, without duplication,</w:t>
      </w:r>
    </w:p>
    <w:p>
      <w:pPr>
        <w:spacing w:after="0" w:line="4" w:lineRule="exact"/>
        <w:rPr>
          <w:sz w:val="20"/>
          <w:szCs w:val="20"/>
          <w:color w:val="auto"/>
        </w:rPr>
      </w:pPr>
    </w:p>
    <w:p>
      <w:pPr>
        <w:ind w:left="5" w:right="2779" w:hanging="5"/>
        <w:spacing w:after="0" w:line="272" w:lineRule="auto"/>
        <w:tabs>
          <w:tab w:leader="none" w:pos="37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(e) all Indebtedness of others secured by any Lien on property owned or acquired by such Person, whether or not the obligations secured thereby have been assumed, (f) all Guaranty Obligations of such Person with respect to Indebtedness of others, (g) all capital lease obligations of such Person, (h) all Attributable Indebtedness under Sale-Leaseback Transactions under which such Person is the lessee and (i) all obligations of such Person as an account party in respect of outstanding letters of credit (whether or not drawn) and bankers' acceptances; provided, however, that Indebtedness shall not include (i) trade accounts payable arising in the ordinary course of business and (ii) deferred compensation; provided, further, that in the case of any obligation of such Person which is recourse only to certain assets of such Person, the amount of such Indebtedness shall be deemed to be equal to the lesser of the amount of such Indebtedness or the value of the assets to which such obligation is recourse as reflected on the balance sheet of such Person at the time of the incurrence of such obligation; and provided, further, that the amount of any Indebtedness described in clause (e) above shall be the lesser of the amount of the Indebtedness or the fair market value of the property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"Indemnified Liabilities" has the meaning set forth in Section</w:t>
      </w:r>
    </w:p>
    <w:p>
      <w:pPr>
        <w:ind w:left="5"/>
        <w:spacing w:after="0" w:line="236" w:lineRule="auto"/>
        <w:rPr>
          <w:sz w:val="20"/>
          <w:szCs w:val="20"/>
          <w:color w:val="auto"/>
        </w:rPr>
      </w:pPr>
      <w:r>
        <w:rPr>
          <w:rFonts w:ascii="Courier New" w:cs="Courier New" w:eastAsia="Courier New" w:hAnsi="Courier New"/>
          <w:sz w:val="16"/>
          <w:szCs w:val="16"/>
          <w:color w:val="auto"/>
        </w:rPr>
        <w:t>10.13.</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"Indemnitees" has the meaning set forth in Section 10.13.</w:t>
      </w:r>
    </w:p>
    <w:p>
      <w:pPr>
        <w:spacing w:after="0" w:line="183" w:lineRule="exact"/>
        <w:rPr>
          <w:sz w:val="20"/>
          <w:szCs w:val="20"/>
          <w:color w:val="auto"/>
        </w:rPr>
      </w:pPr>
    </w:p>
    <w:p>
      <w:pPr>
        <w:jc w:val="both"/>
        <w:ind w:left="5" w:right="2779" w:firstLine="1674"/>
        <w:spacing w:after="0" w:line="283" w:lineRule="auto"/>
        <w:rPr>
          <w:sz w:val="20"/>
          <w:szCs w:val="20"/>
          <w:color w:val="auto"/>
        </w:rPr>
      </w:pPr>
      <w:r>
        <w:rPr>
          <w:rFonts w:ascii="Courier New" w:cs="Courier New" w:eastAsia="Courier New" w:hAnsi="Courier New"/>
          <w:sz w:val="14"/>
          <w:szCs w:val="14"/>
          <w:color w:val="auto"/>
        </w:rPr>
        <w:t>"Interest Coverage Ratio" means, at any date of determination, for Borrower and its Restricted Subsidiaries, on a consolidated basis, the ratio of (a) Annualized EBITDA to (b) Annualized Interest Expense.</w:t>
      </w:r>
    </w:p>
    <w:p>
      <w:pPr>
        <w:spacing w:after="0" w:line="155" w:lineRule="exact"/>
        <w:rPr>
          <w:sz w:val="20"/>
          <w:szCs w:val="20"/>
          <w:color w:val="auto"/>
        </w:rPr>
      </w:pPr>
    </w:p>
    <w:p>
      <w:pPr>
        <w:ind w:left="5" w:right="2779" w:firstLine="1674"/>
        <w:spacing w:after="0" w:line="273" w:lineRule="auto"/>
        <w:rPr>
          <w:sz w:val="20"/>
          <w:szCs w:val="20"/>
          <w:color w:val="auto"/>
        </w:rPr>
      </w:pPr>
      <w:r>
        <w:rPr>
          <w:rFonts w:ascii="Courier New" w:cs="Courier New" w:eastAsia="Courier New" w:hAnsi="Courier New"/>
          <w:sz w:val="14"/>
          <w:szCs w:val="14"/>
          <w:color w:val="auto"/>
        </w:rPr>
        <w:t>"Interest Expense" means, with respect to any Person or any income generating assets, for any period, an amount equal to, without duplication, (a) all interest on Indebtedness (other than Indebtedness arising from Asset Monetization Transactions) of such Person or properly allocable to such assets, and commitment and facility fees in respect thereof, accrued (whether or not actually paid) during such period, (b) plus the net amount accrued (whether or not actually paid) by such Person or properly allocable to such assets pursuant to any interest rate protection agreement during such period (or minus the net amount receivable (whether or not actually received) by such Person or properly allocable to such assets during such period), (c) minus the amortization of deferred financing fees recorded during such</w:t>
      </w:r>
    </w:p>
    <w:p>
      <w:pPr>
        <w:sectPr>
          <w:pgSz w:w="11900" w:h="16838" w:orient="portrait"/>
          <w:cols w:equalWidth="0" w:num="1">
            <w:col w:w="10224"/>
          </w:cols>
          <w:pgMar w:left="235" w:top="469" w:right="1440" w:bottom="1440" w:gutter="0" w:footer="0" w:header="0"/>
        </w:sectPr>
      </w:pPr>
    </w:p>
    <w:bookmarkStart w:id="41" w:name="page42"/>
    <w:bookmarkEnd w:id="41"/>
    <w:p>
      <w:pPr>
        <w:ind w:left="3625"/>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340"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period, (d) minus the amortization of any discount or plus the amortization of any premium (determined as the difference between the present value and the face amount of the subject Indebtedness) recorded during such period, and (e) minus the amortization or plus the accretion recorded during such period of the adjustment of the long-term Indebtedness of CCCHI and its Subsidiaries to its fair value as of November 18, 2002.</w:t>
      </w:r>
    </w:p>
    <w:p>
      <w:pPr>
        <w:spacing w:after="0" w:line="183" w:lineRule="exact"/>
        <w:rPr>
          <w:sz w:val="20"/>
          <w:szCs w:val="20"/>
          <w:color w:val="auto"/>
        </w:rPr>
      </w:pPr>
    </w:p>
    <w:p>
      <w:pPr>
        <w:ind w:left="5" w:right="2779" w:firstLine="1674"/>
        <w:spacing w:after="0" w:line="270" w:lineRule="auto"/>
        <w:rPr>
          <w:sz w:val="20"/>
          <w:szCs w:val="20"/>
          <w:color w:val="auto"/>
        </w:rPr>
      </w:pPr>
      <w:r>
        <w:rPr>
          <w:rFonts w:ascii="Courier New" w:cs="Courier New" w:eastAsia="Courier New" w:hAnsi="Courier New"/>
          <w:sz w:val="14"/>
          <w:szCs w:val="14"/>
          <w:color w:val="auto"/>
        </w:rPr>
        <w:t>"Interest Period" means (a) for each Eurodollar Rate Loan, (i) initially, the period commencing on the date such Eurodollar Rate Loan is disbursed or Continued as, or Converted into, such Eurodollar Rate Loan and (ii) thereafter, the period commencing on the last day of the preceding Interest Period, and ending, in each case, on the earlier of (A) the scheduled maturity date of such Loan, or (B) one, two, three, six, or subject to availability to each Lender, nine or 12 months or periods less than one month, thereafter and</w:t>
      </w:r>
    </w:p>
    <w:p>
      <w:pPr>
        <w:spacing w:after="0" w:line="3" w:lineRule="exact"/>
        <w:rPr>
          <w:sz w:val="20"/>
          <w:szCs w:val="20"/>
          <w:color w:val="auto"/>
        </w:rPr>
      </w:pPr>
    </w:p>
    <w:p>
      <w:pPr>
        <w:ind w:left="5" w:right="3159" w:hanging="5"/>
        <w:spacing w:after="0" w:line="235" w:lineRule="auto"/>
        <w:tabs>
          <w:tab w:leader="none" w:pos="37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Fixed Rate Borrowing, the period (which shall not be less than seven days or more than 360 days) commencing on the date of such Borrowing and ending on the date specified in the applicable Competitive Bid Request; provided that:</w:t>
      </w:r>
    </w:p>
    <w:p>
      <w:pPr>
        <w:spacing w:after="0" w:line="185" w:lineRule="exact"/>
        <w:rPr>
          <w:sz w:val="20"/>
          <w:szCs w:val="20"/>
          <w:color w:val="auto"/>
        </w:rPr>
      </w:pPr>
    </w:p>
    <w:p>
      <w:pPr>
        <w:ind w:left="845" w:right="2779" w:hanging="845"/>
        <w:spacing w:after="0" w:line="279" w:lineRule="auto"/>
        <w:tabs>
          <w:tab w:leader="none" w:pos="84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56" w:lineRule="exact"/>
        <w:rPr>
          <w:rFonts w:ascii="Courier New" w:cs="Courier New" w:eastAsia="Courier New" w:hAnsi="Courier New"/>
          <w:sz w:val="14"/>
          <w:szCs w:val="14"/>
          <w:color w:val="auto"/>
        </w:rPr>
      </w:pPr>
    </w:p>
    <w:p>
      <w:pPr>
        <w:ind w:left="845" w:right="2779" w:hanging="845"/>
        <w:spacing w:after="0" w:line="235" w:lineRule="auto"/>
        <w:tabs>
          <w:tab w:leader="none" w:pos="84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5" w:lineRule="exact"/>
        <w:rPr>
          <w:rFonts w:ascii="Courier New" w:cs="Courier New" w:eastAsia="Courier New" w:hAnsi="Courier New"/>
          <w:sz w:val="16"/>
          <w:szCs w:val="16"/>
          <w:color w:val="auto"/>
        </w:rPr>
      </w:pPr>
    </w:p>
    <w:p>
      <w:pPr>
        <w:jc w:val="both"/>
        <w:ind w:left="845" w:right="2959" w:hanging="845"/>
        <w:spacing w:after="0" w:line="235" w:lineRule="auto"/>
        <w:tabs>
          <w:tab w:leader="none" w:pos="84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Administrative Agent otherwise consents, there may not be more than ten (10) Interest Periods for Eurodollar Rate Loans in effect at any time.</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"IRS" means the United States Internal Revenue Service.</w:t>
      </w:r>
    </w:p>
    <w:p>
      <w:pPr>
        <w:spacing w:after="0" w:line="183" w:lineRule="exact"/>
        <w:rPr>
          <w:sz w:val="20"/>
          <w:szCs w:val="20"/>
          <w:color w:val="auto"/>
        </w:rPr>
      </w:pPr>
    </w:p>
    <w:p>
      <w:pPr>
        <w:ind w:left="5" w:right="2779" w:firstLine="1674"/>
        <w:spacing w:after="0" w:line="236" w:lineRule="auto"/>
        <w:rPr>
          <w:sz w:val="20"/>
          <w:szCs w:val="20"/>
          <w:color w:val="auto"/>
        </w:rPr>
      </w:pPr>
      <w:r>
        <w:rPr>
          <w:rFonts w:ascii="Courier New" w:cs="Courier New" w:eastAsia="Courier New" w:hAnsi="Courier New"/>
          <w:sz w:val="16"/>
          <w:szCs w:val="16"/>
          <w:color w:val="auto"/>
        </w:rPr>
        <w:t>"Issuing Lender" means each of JPMorgan Chase and any other Lender that may agree with Borrower to issue Letters of Credit hereunder, or any successor issuing lender hereunder, and, with respect to each Existing Letter of Credit, the Lender which is the issuer thereof (but only so long as such Existing Letter of Credit is outstanding). Any Lender that becomes an Issuing Lender after the Effective Date agrees to give Administrative Agent prompt notice thereof.</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"JPMorgan Chase" means JPMorgan Chase Bank.</w:t>
      </w:r>
    </w:p>
    <w:p>
      <w:pPr>
        <w:spacing w:after="0" w:line="183" w:lineRule="exact"/>
        <w:rPr>
          <w:sz w:val="20"/>
          <w:szCs w:val="20"/>
          <w:color w:val="auto"/>
        </w:rPr>
      </w:pPr>
    </w:p>
    <w:p>
      <w:pPr>
        <w:ind w:left="5" w:right="2959" w:firstLine="1674"/>
        <w:spacing w:after="0" w:line="236" w:lineRule="auto"/>
        <w:rPr>
          <w:sz w:val="20"/>
          <w:szCs w:val="20"/>
          <w:color w:val="auto"/>
        </w:rPr>
      </w:pPr>
      <w:r>
        <w:rPr>
          <w:rFonts w:ascii="Courier New" w:cs="Courier New" w:eastAsia="Courier New" w:hAnsi="Courier New"/>
          <w:sz w:val="16"/>
          <w:szCs w:val="16"/>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183" w:lineRule="exact"/>
        <w:rPr>
          <w:sz w:val="20"/>
          <w:szCs w:val="20"/>
          <w:color w:val="auto"/>
        </w:rPr>
      </w:pPr>
    </w:p>
    <w:p>
      <w:pPr>
        <w:ind w:left="5" w:right="2779" w:firstLine="1674"/>
        <w:spacing w:after="0" w:line="235" w:lineRule="auto"/>
        <w:rPr>
          <w:sz w:val="20"/>
          <w:szCs w:val="20"/>
          <w:color w:val="auto"/>
        </w:rPr>
      </w:pPr>
      <w:r>
        <w:rPr>
          <w:rFonts w:ascii="Courier New" w:cs="Courier New" w:eastAsia="Courier New" w:hAnsi="Courier New"/>
          <w:sz w:val="16"/>
          <w:szCs w:val="16"/>
          <w:color w:val="auto"/>
        </w:rPr>
        <w:t>"Lender" means each lender from time to time party hereto and, as the context requires, each Issuing Lender, and, subject to the terms and conditions of this Agreement, their respective successors and assigns (but not any purchaser of a participation hereunder unless otherwise a party to this Agreement).</w:t>
      </w:r>
    </w:p>
    <w:p>
      <w:pPr>
        <w:spacing w:after="0" w:line="186" w:lineRule="exact"/>
        <w:rPr>
          <w:sz w:val="20"/>
          <w:szCs w:val="20"/>
          <w:color w:val="auto"/>
        </w:rPr>
      </w:pPr>
    </w:p>
    <w:p>
      <w:pPr>
        <w:ind w:left="5" w:right="2779" w:firstLine="1674"/>
        <w:spacing w:after="0" w:line="235" w:lineRule="auto"/>
        <w:rPr>
          <w:sz w:val="20"/>
          <w:szCs w:val="20"/>
          <w:color w:val="auto"/>
        </w:rPr>
      </w:pPr>
      <w:r>
        <w:rPr>
          <w:rFonts w:ascii="Courier New" w:cs="Courier New" w:eastAsia="Courier New" w:hAnsi="Courier New"/>
          <w:sz w:val="16"/>
          <w:szCs w:val="16"/>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ectPr>
          <w:pgSz w:w="11900" w:h="16838" w:orient="portrait"/>
          <w:cols w:equalWidth="0" w:num="1">
            <w:col w:w="10224"/>
          </w:cols>
          <w:pgMar w:left="235" w:top="469" w:right="1440" w:bottom="1440" w:gutter="0" w:footer="0" w:header="0"/>
        </w:sectPr>
      </w:pPr>
    </w:p>
    <w:bookmarkStart w:id="42" w:name="page43"/>
    <w:bookmarkEnd w:id="42"/>
    <w:p>
      <w:pPr>
        <w:ind w:left="362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40" w:lineRule="exact"/>
        <w:rPr>
          <w:sz w:val="20"/>
          <w:szCs w:val="20"/>
          <w:color w:val="auto"/>
        </w:rPr>
      </w:pPr>
    </w:p>
    <w:p>
      <w:pPr>
        <w:ind w:right="2779" w:firstLine="1674"/>
        <w:spacing w:after="0" w:line="234" w:lineRule="auto"/>
        <w:rPr>
          <w:sz w:val="20"/>
          <w:szCs w:val="20"/>
          <w:color w:val="auto"/>
        </w:rPr>
      </w:pPr>
      <w:r>
        <w:rPr>
          <w:rFonts w:ascii="Courier New" w:cs="Courier New" w:eastAsia="Courier New" w:hAnsi="Courier New"/>
          <w:sz w:val="16"/>
          <w:szCs w:val="16"/>
          <w:color w:val="auto"/>
        </w:rPr>
        <w:t>"Letter of Credit" means any letter of credit issued or deemed to be issued hereunder, including the Existing Letters of Credit.</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"Letter of Credit Action" means the issuance, supplement, amendment, renewal, extension, modification or other action relating to a Letter of Credit hereunder.</w:t>
      </w:r>
    </w:p>
    <w:p>
      <w:pPr>
        <w:spacing w:after="0" w:line="183" w:lineRule="exact"/>
        <w:rPr>
          <w:sz w:val="20"/>
          <w:szCs w:val="20"/>
          <w:color w:val="auto"/>
        </w:rPr>
      </w:pPr>
    </w:p>
    <w:p>
      <w:pPr>
        <w:ind w:right="3239" w:firstLine="1674"/>
        <w:spacing w:after="0" w:line="234" w:lineRule="auto"/>
        <w:rPr>
          <w:sz w:val="20"/>
          <w:szCs w:val="20"/>
          <w:color w:val="auto"/>
        </w:rPr>
      </w:pPr>
      <w:r>
        <w:rPr>
          <w:rFonts w:ascii="Courier New" w:cs="Courier New" w:eastAsia="Courier New" w:hAnsi="Courier New"/>
          <w:sz w:val="16"/>
          <w:szCs w:val="16"/>
          <w:color w:val="auto"/>
        </w:rPr>
        <w:t>"Letter of Credit Application" means an application for a Letter of Credit Action from time to time in use by an Issuing Lender.</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"Letter of Credit Cash Collateral Account" means a blocked deposit account at JPMorgan Chase in which the Co-Borrowers hereby grant a security interest to Administrative Agent as security for Letter of Credit Usage and with respect to which the Co-Borrowers agree to execute and deliver from time to time such documentation as Administrative Agent may reasonably request to further assure and confirm such security interest.</w:t>
      </w:r>
    </w:p>
    <w:p>
      <w:pPr>
        <w:spacing w:after="0" w:line="183" w:lineRule="exact"/>
        <w:rPr>
          <w:sz w:val="20"/>
          <w:szCs w:val="20"/>
          <w:color w:val="auto"/>
        </w:rPr>
      </w:pPr>
    </w:p>
    <w:p>
      <w:pPr>
        <w:ind w:right="2779" w:firstLine="1674"/>
        <w:spacing w:after="0" w:line="234" w:lineRule="auto"/>
        <w:rPr>
          <w:sz w:val="20"/>
          <w:szCs w:val="20"/>
          <w:color w:val="auto"/>
        </w:rPr>
      </w:pPr>
      <w:r>
        <w:rPr>
          <w:rFonts w:ascii="Courier New" w:cs="Courier New" w:eastAsia="Courier New" w:hAnsi="Courier New"/>
          <w:sz w:val="16"/>
          <w:szCs w:val="16"/>
          <w:color w:val="auto"/>
        </w:rPr>
        <w:t>"Letter of Credit Expiration Date" means the date that is five Business Days prior to the Revolving Termination Date.</w:t>
      </w:r>
    </w:p>
    <w:p>
      <w:pPr>
        <w:spacing w:after="0" w:line="183" w:lineRule="exact"/>
        <w:rPr>
          <w:sz w:val="20"/>
          <w:szCs w:val="20"/>
          <w:color w:val="auto"/>
        </w:rPr>
      </w:pPr>
    </w:p>
    <w:p>
      <w:pPr>
        <w:ind w:right="3059" w:firstLine="1674"/>
        <w:spacing w:after="0" w:line="235" w:lineRule="auto"/>
        <w:rPr>
          <w:sz w:val="20"/>
          <w:szCs w:val="20"/>
          <w:color w:val="auto"/>
        </w:rPr>
      </w:pPr>
      <w:r>
        <w:rPr>
          <w:rFonts w:ascii="Courier New" w:cs="Courier New" w:eastAsia="Courier New" w:hAnsi="Courier New"/>
          <w:sz w:val="16"/>
          <w:szCs w:val="16"/>
          <w:color w:val="auto"/>
        </w:rPr>
        <w:t>"Letter of Credit Sublimit" means, at any date of determination, an amount equal to the lesser of (a) the combined Revolving Commitments minus the aggregate amount of all outstanding Revolving Loans and (b) $750,000,000.</w:t>
      </w:r>
    </w:p>
    <w:p>
      <w:pPr>
        <w:spacing w:after="0" w:line="185" w:lineRule="exact"/>
        <w:rPr>
          <w:sz w:val="20"/>
          <w:szCs w:val="20"/>
          <w:color w:val="auto"/>
        </w:rPr>
      </w:pPr>
    </w:p>
    <w:p>
      <w:pPr>
        <w:ind w:right="2779" w:firstLine="1674"/>
        <w:spacing w:after="0" w:line="279" w:lineRule="auto"/>
        <w:rPr>
          <w:sz w:val="20"/>
          <w:szCs w:val="20"/>
          <w:color w:val="auto"/>
        </w:rPr>
      </w:pPr>
      <w:r>
        <w:rPr>
          <w:rFonts w:ascii="Courier New" w:cs="Courier New" w:eastAsia="Courier New" w:hAnsi="Courier New"/>
          <w:sz w:val="14"/>
          <w:szCs w:val="14"/>
          <w:color w:val="auto"/>
        </w:rPr>
        <w:t>"Letter of Credit Usage" means, as of any date of determination, the aggregate undrawn face or available amount of outstanding Letters of Credit plus the aggregate amount of all drawings under the Letters of Credit not reimbursed by the Co-Borrowers or converted into Revolving Loans.</w:t>
      </w:r>
    </w:p>
    <w:p>
      <w:pPr>
        <w:spacing w:after="0" w:line="157" w:lineRule="exact"/>
        <w:rPr>
          <w:sz w:val="20"/>
          <w:szCs w:val="20"/>
          <w:color w:val="auto"/>
        </w:rPr>
      </w:pPr>
    </w:p>
    <w:p>
      <w:pPr>
        <w:ind w:right="2959" w:firstLine="1674"/>
        <w:spacing w:after="0" w:line="283" w:lineRule="auto"/>
        <w:rPr>
          <w:sz w:val="20"/>
          <w:szCs w:val="20"/>
          <w:color w:val="auto"/>
        </w:rPr>
      </w:pPr>
      <w:r>
        <w:rPr>
          <w:rFonts w:ascii="Courier New" w:cs="Courier New" w:eastAsia="Courier New" w:hAnsi="Courier New"/>
          <w:sz w:val="14"/>
          <w:szCs w:val="14"/>
          <w:color w:val="auto"/>
        </w:rPr>
        <w:t>"Leverage Ratio" means, at any date of determination, the ratio of (a) Consolidated Total Indebtedness as of such date to (b) Annualized EBITDA of Borrower and its Restricted Subsidiaries, on a consolidated basis.</w:t>
      </w:r>
    </w:p>
    <w:p>
      <w:pPr>
        <w:spacing w:after="0" w:line="155"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"Lien" means any mortgage, pledge, hypothecation, assignment, deposit arrangement (in the nature of compensating balances, cash collateral accounts or security interests), encumbrance, lien (statutory or other), charge, or preference, priority or other security interest (including any conditional sale or other title retention agreement, any financing lease or Sale-Leaseback Transaction having substantially the same economic effect as any of the foregoing, and the filing of any financing statement under the Uniform Commercial Code or comparable Laws of any jurisdiction), including the interest of a purchaser of accounts receivable; provided that Liens shall not include ordinary and customary contractual set off rights.</w:t>
      </w:r>
    </w:p>
    <w:p>
      <w:pPr>
        <w:spacing w:after="0" w:line="7" w:lineRule="exact"/>
        <w:rPr>
          <w:sz w:val="20"/>
          <w:szCs w:val="20"/>
          <w:color w:val="auto"/>
        </w:rPr>
      </w:pPr>
    </w:p>
    <w:p>
      <w:pPr>
        <w:ind w:right="2879" w:firstLine="1767"/>
        <w:spacing w:after="0" w:line="234" w:lineRule="auto"/>
        <w:rPr>
          <w:sz w:val="20"/>
          <w:szCs w:val="20"/>
          <w:color w:val="auto"/>
        </w:rPr>
      </w:pPr>
      <w:r>
        <w:rPr>
          <w:rFonts w:ascii="Courier New" w:cs="Courier New" w:eastAsia="Courier New" w:hAnsi="Courier New"/>
          <w:sz w:val="16"/>
          <w:szCs w:val="16"/>
          <w:color w:val="auto"/>
        </w:rPr>
        <w:t>"Loan" means any advance made by any Lender to a Co-Borrower as provided in Section 2 (collectively, the "Loans").</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"Loan Documents" means this Agreement, the Guarantee Agreement, each Note, each Letter of Credit Application, each Request for Extension of Credit, each Compliance Certificate, each fee letter and each other instrument or agreement from time to time delivered by any Loan Party pursuant to this Agreement.</w:t>
      </w:r>
    </w:p>
    <w:p>
      <w:pPr>
        <w:spacing w:after="0" w:line="186" w:lineRule="exact"/>
        <w:rPr>
          <w:sz w:val="20"/>
          <w:szCs w:val="20"/>
          <w:color w:val="auto"/>
        </w:rPr>
      </w:pPr>
    </w:p>
    <w:p>
      <w:pPr>
        <w:ind w:right="3159" w:firstLine="1674"/>
        <w:spacing w:after="0" w:line="234" w:lineRule="auto"/>
        <w:rPr>
          <w:sz w:val="20"/>
          <w:szCs w:val="20"/>
          <w:color w:val="auto"/>
        </w:rPr>
      </w:pPr>
      <w:r>
        <w:rPr>
          <w:rFonts w:ascii="Courier New" w:cs="Courier New" w:eastAsia="Courier New" w:hAnsi="Courier New"/>
          <w:sz w:val="16"/>
          <w:szCs w:val="16"/>
          <w:color w:val="auto"/>
        </w:rPr>
        <w:t>"Loan Parties" means Borrower and each of its Subsidiaries that is a party to a Loan Document.</w:t>
      </w:r>
    </w:p>
    <w:p>
      <w:pPr>
        <w:sectPr>
          <w:pgSz w:w="11900" w:h="16838" w:orient="portrait"/>
          <w:cols w:equalWidth="0" w:num="1">
            <w:col w:w="10219"/>
          </w:cols>
          <w:pgMar w:left="240" w:top="469" w:right="1440" w:bottom="1440" w:gutter="0" w:footer="0" w:header="0"/>
        </w:sectPr>
      </w:pPr>
    </w:p>
    <w:bookmarkStart w:id="43" w:name="page44"/>
    <w:bookmarkEnd w:id="43"/>
    <w:p>
      <w:pPr>
        <w:ind w:left="3620"/>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340"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"Margin" means, with respect to any Competitive Loan bearing interest at a rate based on the Eurodollar Rate, the marginal rate of interest, if any, to be added to or subtracted from the Eurodollar Rate to determine the rate of interest applicable to such Loan, as specified by the Lender making such Loan in its related Competitive Bid.</w:t>
      </w:r>
    </w:p>
    <w:p>
      <w:pPr>
        <w:spacing w:after="0" w:line="186" w:lineRule="exact"/>
        <w:rPr>
          <w:sz w:val="20"/>
          <w:szCs w:val="20"/>
          <w:color w:val="auto"/>
        </w:rPr>
      </w:pPr>
    </w:p>
    <w:p>
      <w:pPr>
        <w:ind w:right="2879" w:firstLine="1674"/>
        <w:spacing w:after="0" w:line="236" w:lineRule="auto"/>
        <w:rPr>
          <w:sz w:val="20"/>
          <w:szCs w:val="20"/>
          <w:color w:val="auto"/>
        </w:rPr>
      </w:pPr>
      <w:r>
        <w:rPr>
          <w:rFonts w:ascii="Courier New" w:cs="Courier New" w:eastAsia="Courier New" w:hAnsi="Courier New"/>
          <w:sz w:val="16"/>
          <w:szCs w:val="16"/>
          <w:color w:val="auto"/>
        </w:rPr>
        <w:t>"Material Acquisition" means any Acquisition (the "Subject Acquisition") (i) made at a time when the Leverage Ratio is in excess of 4.5 to 1.0 or (ii) that has an Annualized Acquisition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Acquisition Cash Flow Value" is an amount equal to (a) the Annualized EBITDA of the assets comprising the Subject Acquisition less (b) the Annualized EBITDA of any assets disposed of by Borrower or any Restricted Subsidiary (other than to Borrower or any Restricted Subsidiary) in connection with the Subject Acquisition.</w:t>
      </w:r>
    </w:p>
    <w:p>
      <w:pPr>
        <w:spacing w:after="0" w:line="186" w:lineRule="exact"/>
        <w:rPr>
          <w:sz w:val="20"/>
          <w:szCs w:val="20"/>
          <w:color w:val="auto"/>
        </w:rPr>
      </w:pPr>
    </w:p>
    <w:p>
      <w:pPr>
        <w:ind w:right="2879" w:firstLine="1674"/>
        <w:spacing w:after="0" w:line="275" w:lineRule="auto"/>
        <w:rPr>
          <w:sz w:val="20"/>
          <w:szCs w:val="20"/>
          <w:color w:val="auto"/>
        </w:rPr>
      </w:pPr>
      <w:r>
        <w:rPr>
          <w:rFonts w:ascii="Courier New" w:cs="Courier New" w:eastAsia="Courier New" w:hAnsi="Courier New"/>
          <w:sz w:val="14"/>
          <w:szCs w:val="14"/>
          <w:color w:val="auto"/>
        </w:rPr>
        <w:t>"Material Adverse Effect" means any set of circumstances or events which (a) has or would reasonably be expected to have a material adverse effect upon the validity or enforceability against Borrower or any Guarantor of any Loan Document or (b) has had or would reasonably be expected to have a material adverse effect on the business, financial condition, assets or results of operation of Borrower and its Restricted Subsidiaries taken as a whole.</w:t>
      </w:r>
    </w:p>
    <w:p>
      <w:pPr>
        <w:spacing w:after="0" w:line="162"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"Material Disposition" means any Disposition (the "Subject Disposition") (i) made at a time when the Leverage Ratio is in excess of 4.5 to 1.0 or (ii) that has an Annualized Disposition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Disposition Cash Flow Value" is an amount equal to (a) the Annualized EBITDA of the assets comprising the Subject Disposition less (b) the Annualized EBITDA of any assets acquired by Borrower or any Restricted Subsidiary (other than from Borrower or any Restricted Subsidiary) in connection with the Subject Disposition.</w:t>
      </w:r>
    </w:p>
    <w:p>
      <w:pPr>
        <w:spacing w:after="0" w:line="186"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"May 2003 Agreement" means the Credit Agreement, dated as of May 5, 2003, among Borrower, CCCHI, JPMorgan Chase Bank, as administrative agent, Bank of America, N.A., as syndication agent, Barclays Bank PLC, Citibank, N.A. and Deutsche Bank Securities Inc., as co-documentation agents, and the lenders party thereto.</w:t>
      </w:r>
    </w:p>
    <w:p>
      <w:pPr>
        <w:spacing w:after="0" w:line="186" w:lineRule="exact"/>
        <w:rPr>
          <w:sz w:val="20"/>
          <w:szCs w:val="20"/>
          <w:color w:val="auto"/>
        </w:rPr>
      </w:pPr>
    </w:p>
    <w:p>
      <w:pPr>
        <w:jc w:val="both"/>
        <w:ind w:right="3059" w:firstLine="1674"/>
        <w:spacing w:after="0" w:line="283" w:lineRule="auto"/>
        <w:rPr>
          <w:sz w:val="20"/>
          <w:szCs w:val="20"/>
          <w:color w:val="auto"/>
        </w:rPr>
      </w:pPr>
      <w:r>
        <w:rPr>
          <w:rFonts w:ascii="Courier New" w:cs="Courier New" w:eastAsia="Courier New" w:hAnsi="Courier New"/>
          <w:sz w:val="14"/>
          <w:szCs w:val="14"/>
          <w:color w:val="auto"/>
        </w:rPr>
        <w:t>"Merger Agreement" means that certain Agreement and Plan of Merger dated as of December 19, 2001 by and among Borrower, Comcast Holdings Corporation, AT&amp;T Corp., CCCHI and other related parties, as amended.</w:t>
      </w:r>
    </w:p>
    <w:p>
      <w:pPr>
        <w:spacing w:after="0" w:line="155"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"Minimum Amount" means, with respect to each of the following actions, the minimum amount and any multiples in excess thereof set forth opposite such action:</w:t>
      </w:r>
    </w:p>
    <w:p>
      <w:pPr>
        <w:sectPr>
          <w:pgSz w:w="11900" w:h="16838" w:orient="portrait"/>
          <w:cols w:equalWidth="0" w:num="1">
            <w:col w:w="10219"/>
          </w:cols>
          <w:pgMar w:left="240" w:top="469" w:right="1440" w:bottom="1440" w:gutter="0" w:footer="0" w:header="0"/>
        </w:sectPr>
      </w:pPr>
    </w:p>
    <w:bookmarkStart w:id="44" w:name="page45"/>
    <w:bookmarkEnd w:id="44"/>
    <w:p>
      <w:pPr>
        <w:ind w:left="3620"/>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20" w:type="dxa"/>
            <w:vAlign w:val="bottom"/>
          </w:tcPr>
          <w:p>
            <w:pPr>
              <w:spacing w:after="0"/>
              <w:rPr>
                <w:sz w:val="15"/>
                <w:szCs w:val="15"/>
                <w:color w:val="auto"/>
              </w:rPr>
            </w:pPr>
          </w:p>
        </w:tc>
        <w:tc>
          <w:tcPr>
            <w:tcW w:w="2880" w:type="dxa"/>
            <w:vAlign w:val="bottom"/>
          </w:tcPr>
          <w:p>
            <w:pPr>
              <w:spacing w:after="0"/>
              <w:rPr>
                <w:sz w:val="20"/>
                <w:szCs w:val="20"/>
                <w:color w:val="auto"/>
              </w:rPr>
            </w:pPr>
            <w:r>
              <w:rPr>
                <w:rFonts w:ascii="Courier New" w:cs="Courier New" w:eastAsia="Courier New" w:hAnsi="Courier New"/>
                <w:sz w:val="16"/>
                <w:szCs w:val="16"/>
                <w:color w:val="auto"/>
              </w:rPr>
              <w:t>Type of Action</w:t>
            </w:r>
          </w:p>
        </w:tc>
        <w:tc>
          <w:tcPr>
            <w:tcW w:w="23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Minimum Amount</w:t>
            </w:r>
          </w:p>
        </w:tc>
      </w:tr>
      <w:tr>
        <w:trPr>
          <w:trHeight w:val="179"/>
        </w:trPr>
        <w:tc>
          <w:tcPr>
            <w:tcW w:w="40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w:t>
            </w:r>
          </w:p>
        </w:tc>
        <w:tc>
          <w:tcPr>
            <w:tcW w:w="102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Borrowing or</w:t>
            </w:r>
          </w:p>
        </w:tc>
        <w:tc>
          <w:tcPr>
            <w:tcW w:w="28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prepayment of, or</w:t>
            </w: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Conversion</w:t>
            </w:r>
          </w:p>
        </w:tc>
        <w:tc>
          <w:tcPr>
            <w:tcW w:w="28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into, Base Rate Loans</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10,000,000</w:t>
            </w:r>
          </w:p>
        </w:tc>
      </w:tr>
      <w:tr>
        <w:trPr>
          <w:trHeight w:val="179"/>
        </w:trPr>
        <w:tc>
          <w:tcPr>
            <w:tcW w:w="40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Borrowing, prepayment or</w:t>
            </w: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40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Continuation of, or Conversion</w:t>
            </w: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40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into, Eurodollar Rate Loans</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10,000,000</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Borrowing of</w:t>
            </w:r>
          </w:p>
        </w:tc>
        <w:tc>
          <w:tcPr>
            <w:tcW w:w="28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Competitive Loans</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10,000,000</w:t>
            </w:r>
          </w:p>
        </w:tc>
      </w:tr>
      <w:tr>
        <w:trPr>
          <w:trHeight w:val="179"/>
        </w:trPr>
        <w:tc>
          <w:tcPr>
            <w:tcW w:w="40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Letter of Credit Action</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5,000</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Reduction in</w:t>
            </w:r>
          </w:p>
        </w:tc>
        <w:tc>
          <w:tcPr>
            <w:tcW w:w="28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Revolving Commitments</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25,000,000</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Assignments</w:t>
            </w:r>
          </w:p>
        </w:tc>
        <w:tc>
          <w:tcPr>
            <w:tcW w:w="28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5,000,000</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80" w:firstLine="1674"/>
        <w:spacing w:after="0" w:line="235" w:lineRule="auto"/>
        <w:rPr>
          <w:sz w:val="20"/>
          <w:szCs w:val="20"/>
          <w:color w:val="auto"/>
        </w:rPr>
      </w:pPr>
      <w:r>
        <w:rPr>
          <w:rFonts w:ascii="Courier New" w:cs="Courier New" w:eastAsia="Courier New" w:hAnsi="Courier New"/>
          <w:sz w:val="16"/>
          <w:szCs w:val="16"/>
          <w:color w:val="auto"/>
        </w:rPr>
        <w:t>"Moody's" means Moody's Investors Service,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6" w:lineRule="exact"/>
        <w:rPr>
          <w:sz w:val="20"/>
          <w:szCs w:val="20"/>
          <w:color w:val="auto"/>
        </w:rPr>
      </w:pPr>
    </w:p>
    <w:p>
      <w:pPr>
        <w:ind w:right="280" w:firstLine="1674"/>
        <w:spacing w:after="0" w:line="234" w:lineRule="auto"/>
        <w:rPr>
          <w:sz w:val="20"/>
          <w:szCs w:val="20"/>
          <w:color w:val="auto"/>
        </w:rPr>
      </w:pPr>
      <w:r>
        <w:rPr>
          <w:rFonts w:ascii="Courier New" w:cs="Courier New" w:eastAsia="Courier New" w:hAnsi="Courier New"/>
          <w:sz w:val="16"/>
          <w:szCs w:val="16"/>
          <w:color w:val="auto"/>
        </w:rPr>
        <w:t>"Multiemployer Plan" means any employee benefit plan of the type described in Section 4001(a)(3) of ERISA.</w:t>
      </w:r>
    </w:p>
    <w:p>
      <w:pPr>
        <w:spacing w:after="0" w:line="183"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means the collective reference to any promissory note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evidencing Loans.</w:t>
      </w:r>
    </w:p>
    <w:p>
      <w:pPr>
        <w:spacing w:after="0" w:line="183" w:lineRule="exact"/>
        <w:rPr>
          <w:sz w:val="20"/>
          <w:szCs w:val="20"/>
          <w:color w:val="auto"/>
        </w:rPr>
      </w:pPr>
    </w:p>
    <w:p>
      <w:pPr>
        <w:ind w:right="180" w:firstLine="1674"/>
        <w:spacing w:after="0" w:line="275" w:lineRule="auto"/>
        <w:rPr>
          <w:sz w:val="20"/>
          <w:szCs w:val="20"/>
          <w:color w:val="auto"/>
        </w:rPr>
      </w:pPr>
      <w:r>
        <w:rPr>
          <w:rFonts w:ascii="Courier New" w:cs="Courier New" w:eastAsia="Courier New" w:hAnsi="Courier New"/>
          <w:sz w:val="14"/>
          <w:szCs w:val="14"/>
          <w:color w:val="auto"/>
        </w:rPr>
        <w:t>"Obligations" means all advances to, and debts, liabilities, and obligations of, the Co-Borrowers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a Co-Borrower.</w:t>
      </w:r>
    </w:p>
    <w:p>
      <w:pPr>
        <w:spacing w:after="0" w:line="162" w:lineRule="exact"/>
        <w:rPr>
          <w:sz w:val="20"/>
          <w:szCs w:val="20"/>
          <w:color w:val="auto"/>
        </w:rPr>
      </w:pPr>
    </w:p>
    <w:p>
      <w:pPr>
        <w:ind w:firstLine="1674"/>
        <w:spacing w:after="0" w:line="236" w:lineRule="auto"/>
        <w:rPr>
          <w:sz w:val="20"/>
          <w:szCs w:val="20"/>
          <w:color w:val="auto"/>
        </w:rPr>
      </w:pPr>
      <w:r>
        <w:rPr>
          <w:rFonts w:ascii="Courier New" w:cs="Courier New" w:eastAsia="Courier New" w:hAnsi="Courier New"/>
          <w:sz w:val="16"/>
          <w:szCs w:val="16"/>
          <w:color w:val="auto"/>
        </w:rPr>
        <w:t>"Outstanding Revolving Obligations" means, as of any date, and giving effect to making any Extension of Credit requested on such date and all payments, repayments and prepayments made on such date, (a) when reference is made to all Lenders, the sum of (i) the aggregate outstanding principal amount of all Revolving Loans and (ii) all Letter of Credit Usage, and (b) when reference is made to one Lender, the sum of (i) the aggregate outstanding principal amount of all Revolving Loans made by such Lender and (ii) such Lender's ratable participation in all Letter of Credit Usage.</w:t>
      </w:r>
    </w:p>
    <w:p>
      <w:pPr>
        <w:spacing w:after="0" w:line="184" w:lineRule="exact"/>
        <w:rPr>
          <w:sz w:val="20"/>
          <w:szCs w:val="20"/>
          <w:color w:val="auto"/>
        </w:rPr>
      </w:pPr>
    </w:p>
    <w:p>
      <w:pPr>
        <w:ind w:right="180" w:firstLine="1674"/>
        <w:spacing w:after="0" w:line="234" w:lineRule="auto"/>
        <w:rPr>
          <w:sz w:val="20"/>
          <w:szCs w:val="20"/>
          <w:color w:val="auto"/>
        </w:rPr>
      </w:pPr>
      <w:r>
        <w:rPr>
          <w:rFonts w:ascii="Courier New" w:cs="Courier New" w:eastAsia="Courier New" w:hAnsi="Courier New"/>
          <w:sz w:val="16"/>
          <w:szCs w:val="16"/>
          <w:color w:val="auto"/>
        </w:rPr>
        <w:t>"PBGC" means the Pension Benefit Guaranty Corporation or any successor thereto established under ERISA.</w:t>
      </w:r>
    </w:p>
    <w:p>
      <w:pPr>
        <w:spacing w:after="0" w:line="183" w:lineRule="exact"/>
        <w:rPr>
          <w:sz w:val="20"/>
          <w:szCs w:val="20"/>
          <w:color w:val="auto"/>
        </w:rPr>
      </w:pPr>
    </w:p>
    <w:p>
      <w:pPr>
        <w:ind w:right="100" w:firstLine="1674"/>
        <w:spacing w:after="0" w:line="236" w:lineRule="auto"/>
        <w:rPr>
          <w:sz w:val="20"/>
          <w:szCs w:val="20"/>
          <w:color w:val="auto"/>
        </w:rPr>
      </w:pPr>
      <w:r>
        <w:rPr>
          <w:rFonts w:ascii="Courier New" w:cs="Courier New" w:eastAsia="Courier New" w:hAnsi="Courier New"/>
          <w:sz w:val="16"/>
          <w:szCs w:val="16"/>
          <w:color w:val="auto"/>
        </w:rPr>
        <w:t>"Permanent Facilities Agreement" means the Credit Agreement, dated as of April 26, 2002, among Borrower, CCCHI, the lenders party thereto, JPMorgan Chase, as administrative agent, Citibank, N.A., as syndication agent, and Bank of America, N.A., Merrill Lynch &amp; Co., Merrill Lynch, Pierce, Fenner &amp; Smith Incorporated and Morgan Stanley Senior Funding, Inc., as co-documentation agents.</w:t>
      </w:r>
    </w:p>
    <w:p>
      <w:pPr>
        <w:spacing w:after="0" w:line="183" w:lineRule="exact"/>
        <w:rPr>
          <w:sz w:val="20"/>
          <w:szCs w:val="20"/>
          <w:color w:val="auto"/>
        </w:rPr>
      </w:pPr>
    </w:p>
    <w:p>
      <w:pPr>
        <w:ind w:right="180" w:firstLine="1674"/>
        <w:spacing w:after="0" w:line="235" w:lineRule="auto"/>
        <w:rPr>
          <w:sz w:val="20"/>
          <w:szCs w:val="20"/>
          <w:color w:val="auto"/>
        </w:rPr>
      </w:pPr>
      <w:r>
        <w:rPr>
          <w:rFonts w:ascii="Courier New" w:cs="Courier New" w:eastAsia="Courier New" w:hAnsi="Courier New"/>
          <w:sz w:val="16"/>
          <w:szCs w:val="16"/>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185" w:lineRule="exact"/>
        <w:rPr>
          <w:sz w:val="20"/>
          <w:szCs w:val="20"/>
          <w:color w:val="auto"/>
        </w:rPr>
      </w:pPr>
    </w:p>
    <w:p>
      <w:pPr>
        <w:ind w:firstLine="1674"/>
        <w:spacing w:after="0" w:line="236" w:lineRule="auto"/>
        <w:rPr>
          <w:sz w:val="20"/>
          <w:szCs w:val="20"/>
          <w:color w:val="auto"/>
        </w:rPr>
      </w:pPr>
      <w:r>
        <w:rPr>
          <w:rFonts w:ascii="Courier New" w:cs="Courier New" w:eastAsia="Courier New" w:hAnsi="Courier New"/>
          <w:sz w:val="16"/>
          <w:szCs w:val="16"/>
          <w:color w:val="auto"/>
        </w:rPr>
        <w:t>"Plan"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"Reference Banks" means JPMorgan Chase and Citibank, 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Multiples in excess thereof</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1020" w:hanging="366"/>
        <w:spacing w:after="0"/>
        <w:tabs>
          <w:tab w:leader="none" w:pos="10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1,000,000</w:t>
      </w:r>
    </w:p>
    <w:p>
      <w:pPr>
        <w:spacing w:after="0" w:line="355" w:lineRule="exact"/>
        <w:rPr>
          <w:sz w:val="20"/>
          <w:szCs w:val="20"/>
          <w:color w:val="auto"/>
        </w:rPr>
      </w:pPr>
    </w:p>
    <w:p>
      <w:pPr>
        <w:ind w:left="1020" w:hanging="366"/>
        <w:spacing w:after="0"/>
        <w:tabs>
          <w:tab w:leader="none" w:pos="10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1,000,000</w:t>
      </w:r>
    </w:p>
    <w:p>
      <w:pPr>
        <w:spacing w:after="0" w:line="3" w:lineRule="exact"/>
        <w:rPr>
          <w:rFonts w:ascii="Courier New" w:cs="Courier New" w:eastAsia="Courier New" w:hAnsi="Courier New"/>
          <w:sz w:val="16"/>
          <w:szCs w:val="16"/>
          <w:color w:val="auto"/>
        </w:rPr>
      </w:pPr>
    </w:p>
    <w:p>
      <w:pPr>
        <w:jc w:val="right"/>
        <w:ind w:left="1500" w:right="840" w:hanging="846"/>
        <w:spacing w:after="0" w:line="270" w:lineRule="auto"/>
        <w:tabs>
          <w:tab w:leader="none" w:pos="103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1,000,000 None</w:t>
      </w:r>
    </w:p>
    <w:p>
      <w:pPr>
        <w:jc w:val="right"/>
        <w:ind w:left="1500" w:right="840" w:hanging="846"/>
        <w:spacing w:after="0" w:line="295" w:lineRule="auto"/>
        <w:tabs>
          <w:tab w:leader="none" w:pos="103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5,000,000 None</w:t>
      </w:r>
    </w:p>
    <w:p>
      <w:pPr>
        <w:sectPr>
          <w:pgSz w:w="11900" w:h="16838" w:orient="portrait"/>
          <w:cols w:equalWidth="0" w:num="2">
            <w:col w:w="7440" w:space="460"/>
            <w:col w:w="2700"/>
          </w:cols>
          <w:pgMar w:left="240" w:top="469" w:right="1059" w:bottom="1440" w:gutter="0" w:footer="0" w:header="0"/>
        </w:sectPr>
      </w:pPr>
    </w:p>
    <w:bookmarkStart w:id="45" w:name="page46"/>
    <w:bookmarkEnd w:id="45"/>
    <w:p>
      <w:pPr>
        <w:ind w:left="3620"/>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340" w:lineRule="exact"/>
        <w:rPr>
          <w:sz w:val="20"/>
          <w:szCs w:val="20"/>
          <w:color w:val="auto"/>
        </w:rPr>
      </w:pPr>
    </w:p>
    <w:p>
      <w:pPr>
        <w:ind w:right="4180" w:firstLine="1674"/>
        <w:spacing w:after="0" w:line="234" w:lineRule="auto"/>
        <w:rPr>
          <w:sz w:val="20"/>
          <w:szCs w:val="20"/>
          <w:color w:val="auto"/>
        </w:rPr>
      </w:pPr>
      <w:r>
        <w:rPr>
          <w:rFonts w:ascii="Courier New" w:cs="Courier New" w:eastAsia="Courier New" w:hAnsi="Courier New"/>
          <w:sz w:val="16"/>
          <w:szCs w:val="16"/>
          <w:color w:val="auto"/>
        </w:rPr>
        <w:t>"Reference Statements" means the financial statements described in Section 4.01(d).</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"Refinancing" has the meaning set forth in Section 4.01(c).</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"Register" has the meaning set forth in Section 2.10(b).</w:t>
      </w:r>
    </w:p>
    <w:p>
      <w:pPr>
        <w:spacing w:after="0" w:line="183" w:lineRule="exact"/>
        <w:rPr>
          <w:sz w:val="20"/>
          <w:szCs w:val="20"/>
          <w:color w:val="auto"/>
        </w:rPr>
      </w:pPr>
    </w:p>
    <w:p>
      <w:pPr>
        <w:ind w:right="3340" w:firstLine="1674"/>
        <w:spacing w:after="0" w:line="236" w:lineRule="auto"/>
        <w:rPr>
          <w:sz w:val="20"/>
          <w:szCs w:val="20"/>
          <w:color w:val="auto"/>
        </w:rPr>
      </w:pPr>
      <w:r>
        <w:rPr>
          <w:rFonts w:ascii="Courier New" w:cs="Courier New" w:eastAsia="Courier New" w:hAnsi="Courier New"/>
          <w:sz w:val="16"/>
          <w:szCs w:val="16"/>
          <w:color w:val="auto"/>
        </w:rPr>
        <w:t>"Request for Extension of Credit" means, unless otherwise specified herein, (a) with respect to a Borrowing, Conversion or Continuation of Loans (other than Competitive Loans), a written request substantially in the form of Exhibit B, (b) with respect to a Letter of Credit Action, a Letter of Credit Application, duly completed and signed by a Responsible Officer of the relevant Co-Borrower and delivered by Requisite Notice and (c) with respect to a Borrowing of Competitive Loans, a Competitive Bid Request, duly completed and signed by a Responsible Officer of the relevant Co-Borrower and delivered by Requisite Notice.</w:t>
      </w:r>
    </w:p>
    <w:p>
      <w:pPr>
        <w:spacing w:after="0" w:line="185" w:lineRule="exact"/>
        <w:rPr>
          <w:sz w:val="20"/>
          <w:szCs w:val="20"/>
          <w:color w:val="auto"/>
        </w:rPr>
      </w:pPr>
    </w:p>
    <w:p>
      <w:pPr>
        <w:ind w:right="3340" w:firstLine="1674"/>
        <w:spacing w:after="0" w:line="236" w:lineRule="auto"/>
        <w:rPr>
          <w:sz w:val="20"/>
          <w:szCs w:val="20"/>
          <w:color w:val="auto"/>
        </w:rPr>
      </w:pPr>
      <w:r>
        <w:rPr>
          <w:rFonts w:ascii="Courier New" w:cs="Courier New" w:eastAsia="Courier New" w:hAnsi="Courier New"/>
          <w:sz w:val="16"/>
          <w:szCs w:val="16"/>
          <w:color w:val="auto"/>
        </w:rPr>
        <w:t>"Required Lenders" means, as of any date of determination, Lenders (excluding any Lender that has failed to fund hereunder when the applicable conditions precedent to such funding have been satisfied or waived in accordance herewith, until such failure has been cured) holding more than 50% of: (a) the combined Revolving Commitments (excluding the Revolving Commitment of any Lender that has failed to fund hereunder when the applicable conditions precedent to such funding have been satisfied or waived in accordance herewith, until such failure has been cured) then in effect and (b) if the Revolving Commitments have then been terminated and there are Outstanding Revolving Obligations, the Outstanding Revolving Obligations.</w:t>
      </w:r>
    </w:p>
    <w:p>
      <w:pPr>
        <w:spacing w:after="0" w:line="179"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"Requisite Notice" means a notice delivered in accordance with</w:t>
      </w:r>
    </w:p>
    <w:p>
      <w:pPr>
        <w:spacing w:after="0" w:line="236" w:lineRule="auto"/>
        <w:rPr>
          <w:sz w:val="20"/>
          <w:szCs w:val="20"/>
          <w:color w:val="auto"/>
        </w:rPr>
      </w:pPr>
      <w:r>
        <w:rPr>
          <w:rFonts w:ascii="Courier New" w:cs="Courier New" w:eastAsia="Courier New" w:hAnsi="Courier New"/>
          <w:sz w:val="16"/>
          <w:szCs w:val="16"/>
          <w:color w:val="auto"/>
        </w:rPr>
        <w:t>Section 10.02.</w:t>
      </w:r>
    </w:p>
    <w:p>
      <w:pPr>
        <w:spacing w:after="0" w:line="183" w:lineRule="exact"/>
        <w:rPr>
          <w:sz w:val="20"/>
          <w:szCs w:val="20"/>
          <w:color w:val="auto"/>
        </w:rPr>
      </w:pPr>
    </w:p>
    <w:p>
      <w:pPr>
        <w:ind w:right="3720" w:firstLine="1674"/>
        <w:spacing w:after="0" w:line="295" w:lineRule="auto"/>
        <w:rPr>
          <w:sz w:val="20"/>
          <w:szCs w:val="20"/>
          <w:color w:val="auto"/>
        </w:rPr>
      </w:pPr>
      <w:r>
        <w:rPr>
          <w:rFonts w:ascii="Courier New" w:cs="Courier New" w:eastAsia="Courier New" w:hAnsi="Courier New"/>
          <w:sz w:val="14"/>
          <w:szCs w:val="14"/>
          <w:color w:val="auto"/>
        </w:rPr>
        <w:t>"Requisite Time" means, with respect to any of the actions listed below, the time and date set forth below opposite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 w:type="dxa"/>
            <w:vAlign w:val="bottom"/>
          </w:tcPr>
          <w:p>
            <w:pPr>
              <w:spacing w:after="0"/>
              <w:rPr>
                <w:sz w:val="15"/>
                <w:szCs w:val="15"/>
                <w:color w:val="auto"/>
              </w:rPr>
            </w:pPr>
          </w:p>
        </w:tc>
        <w:tc>
          <w:tcPr>
            <w:tcW w:w="4060" w:type="dxa"/>
            <w:vAlign w:val="bottom"/>
          </w:tcPr>
          <w:p>
            <w:pPr>
              <w:ind w:left="900"/>
              <w:spacing w:after="0"/>
              <w:rPr>
                <w:sz w:val="20"/>
                <w:szCs w:val="20"/>
                <w:color w:val="auto"/>
              </w:rPr>
            </w:pPr>
            <w:r>
              <w:rPr>
                <w:rFonts w:ascii="Courier New" w:cs="Courier New" w:eastAsia="Courier New" w:hAnsi="Courier New"/>
                <w:sz w:val="16"/>
                <w:szCs w:val="16"/>
                <w:color w:val="auto"/>
              </w:rPr>
              <w:t>Type of Action</w:t>
            </w:r>
          </w:p>
        </w:tc>
        <w:tc>
          <w:tcPr>
            <w:tcW w:w="2640" w:type="dxa"/>
            <w:vAlign w:val="bottom"/>
          </w:tcPr>
          <w:p>
            <w:pPr>
              <w:ind w:left="560"/>
              <w:spacing w:after="0"/>
              <w:rPr>
                <w:sz w:val="20"/>
                <w:szCs w:val="20"/>
                <w:color w:val="auto"/>
              </w:rPr>
            </w:pPr>
            <w:r>
              <w:rPr>
                <w:rFonts w:ascii="Courier New" w:cs="Courier New" w:eastAsia="Courier New" w:hAnsi="Courier New"/>
                <w:sz w:val="16"/>
                <w:szCs w:val="16"/>
                <w:color w:val="auto"/>
              </w:rPr>
              <w:t>Applicable Time</w:t>
            </w:r>
          </w:p>
        </w:tc>
        <w:tc>
          <w:tcPr>
            <w:tcW w:w="3860" w:type="dxa"/>
            <w:vAlign w:val="bottom"/>
          </w:tcPr>
          <w:p>
            <w:pPr>
              <w:ind w:left="1160"/>
              <w:spacing w:after="0"/>
              <w:rPr>
                <w:sz w:val="20"/>
                <w:szCs w:val="20"/>
                <w:color w:val="auto"/>
              </w:rPr>
            </w:pPr>
            <w:r>
              <w:rPr>
                <w:rFonts w:ascii="Courier New" w:cs="Courier New" w:eastAsia="Courier New" w:hAnsi="Courier New"/>
                <w:sz w:val="16"/>
                <w:szCs w:val="16"/>
                <w:color w:val="auto"/>
              </w:rPr>
              <w:t>Date of Action</w:t>
            </w:r>
          </w:p>
        </w:tc>
      </w:tr>
      <w:tr>
        <w:trPr>
          <w:trHeight w:val="179"/>
        </w:trPr>
        <w:tc>
          <w:tcPr>
            <w:tcW w:w="42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w:t>
            </w:r>
          </w:p>
        </w:tc>
        <w:tc>
          <w:tcPr>
            <w:tcW w:w="264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w:t>
            </w:r>
          </w:p>
        </w:tc>
        <w:tc>
          <w:tcPr>
            <w:tcW w:w="3860" w:type="dxa"/>
            <w:vAlign w:val="bottom"/>
          </w:tcPr>
          <w:p>
            <w:pPr>
              <w:ind w:left="136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Delivery of Request for Extension of</w:t>
            </w:r>
          </w:p>
        </w:tc>
        <w:tc>
          <w:tcPr>
            <w:tcW w:w="264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79"/>
        </w:trPr>
        <w:tc>
          <w:tcPr>
            <w:tcW w:w="42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Credit for, or notice for:</w:t>
            </w:r>
          </w:p>
        </w:tc>
        <w:tc>
          <w:tcPr>
            <w:tcW w:w="264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79"/>
        </w:trPr>
        <w:tc>
          <w:tcPr>
            <w:tcW w:w="220" w:type="dxa"/>
            <w:vAlign w:val="bottom"/>
          </w:tcPr>
          <w:p>
            <w:pPr>
              <w:spacing w:after="0" w:line="179" w:lineRule="exact"/>
              <w:rPr>
                <w:sz w:val="20"/>
                <w:szCs w:val="20"/>
                <w:color w:val="auto"/>
              </w:rPr>
            </w:pPr>
            <w:r>
              <w:rPr>
                <w:rFonts w:ascii="Courier New" w:cs="Courier New" w:eastAsia="Courier New" w:hAnsi="Courier New"/>
                <w:sz w:val="16"/>
                <w:szCs w:val="16"/>
                <w:color w:val="auto"/>
              </w:rPr>
              <w:t>o</w:t>
            </w:r>
          </w:p>
        </w:tc>
        <w:tc>
          <w:tcPr>
            <w:tcW w:w="406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Borrowing or prepayment of</w:t>
            </w:r>
          </w:p>
        </w:tc>
        <w:tc>
          <w:tcPr>
            <w:tcW w:w="264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11:00 a.m.</w:t>
            </w:r>
          </w:p>
        </w:tc>
        <w:tc>
          <w:tcPr>
            <w:tcW w:w="38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Same Business Day as such Loans</w:t>
            </w:r>
          </w:p>
        </w:tc>
      </w:tr>
      <w:tr>
        <w:trPr>
          <w:trHeight w:val="179"/>
        </w:trPr>
        <w:tc>
          <w:tcPr>
            <w:tcW w:w="220" w:type="dxa"/>
            <w:vAlign w:val="bottom"/>
          </w:tcPr>
          <w:p>
            <w:pPr>
              <w:spacing w:after="0"/>
              <w:rPr>
                <w:sz w:val="15"/>
                <w:szCs w:val="15"/>
                <w:color w:val="auto"/>
              </w:rPr>
            </w:pPr>
          </w:p>
        </w:tc>
        <w:tc>
          <w:tcPr>
            <w:tcW w:w="40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Base Rate Loans</w:t>
            </w:r>
          </w:p>
        </w:tc>
        <w:tc>
          <w:tcPr>
            <w:tcW w:w="2640" w:type="dxa"/>
            <w:vAlign w:val="bottom"/>
          </w:tcPr>
          <w:p>
            <w:pPr>
              <w:spacing w:after="0"/>
              <w:rPr>
                <w:sz w:val="15"/>
                <w:szCs w:val="15"/>
                <w:color w:val="auto"/>
              </w:rPr>
            </w:pPr>
          </w:p>
        </w:tc>
        <w:tc>
          <w:tcPr>
            <w:tcW w:w="38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Borrowing or prepayment</w:t>
            </w:r>
          </w:p>
        </w:tc>
      </w:tr>
      <w:tr>
        <w:trPr>
          <w:trHeight w:val="179"/>
        </w:trPr>
        <w:tc>
          <w:tcPr>
            <w:tcW w:w="220" w:type="dxa"/>
            <w:vAlign w:val="bottom"/>
          </w:tcPr>
          <w:p>
            <w:pPr>
              <w:spacing w:after="0" w:line="179" w:lineRule="exact"/>
              <w:rPr>
                <w:sz w:val="20"/>
                <w:szCs w:val="20"/>
                <w:color w:val="auto"/>
              </w:rPr>
            </w:pPr>
            <w:r>
              <w:rPr>
                <w:rFonts w:ascii="Courier New" w:cs="Courier New" w:eastAsia="Courier New" w:hAnsi="Courier New"/>
                <w:sz w:val="16"/>
                <w:szCs w:val="16"/>
                <w:color w:val="auto"/>
              </w:rPr>
              <w:t>o</w:t>
            </w:r>
          </w:p>
        </w:tc>
        <w:tc>
          <w:tcPr>
            <w:tcW w:w="406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Conversion into Base Rate</w:t>
            </w:r>
          </w:p>
        </w:tc>
        <w:tc>
          <w:tcPr>
            <w:tcW w:w="264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11:00 a.m.</w:t>
            </w:r>
          </w:p>
        </w:tc>
        <w:tc>
          <w:tcPr>
            <w:tcW w:w="38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w w:val="96"/>
              </w:rPr>
              <w:t>Same Business Day as such Conversion</w:t>
            </w:r>
          </w:p>
        </w:tc>
      </w:tr>
      <w:tr>
        <w:trPr>
          <w:trHeight w:val="179"/>
        </w:trPr>
        <w:tc>
          <w:tcPr>
            <w:tcW w:w="220" w:type="dxa"/>
            <w:vAlign w:val="bottom"/>
          </w:tcPr>
          <w:p>
            <w:pPr>
              <w:spacing w:after="0"/>
              <w:rPr>
                <w:sz w:val="15"/>
                <w:szCs w:val="15"/>
                <w:color w:val="auto"/>
              </w:rPr>
            </w:pPr>
          </w:p>
        </w:tc>
        <w:tc>
          <w:tcPr>
            <w:tcW w:w="40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Loans</w:t>
            </w:r>
          </w:p>
        </w:tc>
        <w:tc>
          <w:tcPr>
            <w:tcW w:w="264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79"/>
        </w:trPr>
        <w:tc>
          <w:tcPr>
            <w:tcW w:w="220" w:type="dxa"/>
            <w:vAlign w:val="bottom"/>
          </w:tcPr>
          <w:p>
            <w:pPr>
              <w:spacing w:after="0" w:line="179" w:lineRule="exact"/>
              <w:rPr>
                <w:sz w:val="20"/>
                <w:szCs w:val="20"/>
                <w:color w:val="auto"/>
              </w:rPr>
            </w:pPr>
            <w:r>
              <w:rPr>
                <w:rFonts w:ascii="Courier New" w:cs="Courier New" w:eastAsia="Courier New" w:hAnsi="Courier New"/>
                <w:sz w:val="16"/>
                <w:szCs w:val="16"/>
                <w:color w:val="auto"/>
              </w:rPr>
              <w:t>o</w:t>
            </w:r>
          </w:p>
        </w:tc>
        <w:tc>
          <w:tcPr>
            <w:tcW w:w="406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Borrowing, prepayment or</w:t>
            </w:r>
          </w:p>
        </w:tc>
        <w:tc>
          <w:tcPr>
            <w:tcW w:w="264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11:00 a.m.</w:t>
            </w:r>
          </w:p>
        </w:tc>
        <w:tc>
          <w:tcPr>
            <w:tcW w:w="38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3 Business Days prior to such</w:t>
            </w:r>
          </w:p>
        </w:tc>
      </w:tr>
      <w:tr>
        <w:trPr>
          <w:trHeight w:val="179"/>
        </w:trPr>
        <w:tc>
          <w:tcPr>
            <w:tcW w:w="220" w:type="dxa"/>
            <w:vAlign w:val="bottom"/>
          </w:tcPr>
          <w:p>
            <w:pPr>
              <w:spacing w:after="0"/>
              <w:rPr>
                <w:sz w:val="15"/>
                <w:szCs w:val="15"/>
                <w:color w:val="auto"/>
              </w:rPr>
            </w:pPr>
          </w:p>
        </w:tc>
        <w:tc>
          <w:tcPr>
            <w:tcW w:w="40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Continuation of, or Conversion</w:t>
            </w:r>
          </w:p>
        </w:tc>
        <w:tc>
          <w:tcPr>
            <w:tcW w:w="2640" w:type="dxa"/>
            <w:vAlign w:val="bottom"/>
          </w:tcPr>
          <w:p>
            <w:pPr>
              <w:spacing w:after="0"/>
              <w:rPr>
                <w:sz w:val="15"/>
                <w:szCs w:val="15"/>
                <w:color w:val="auto"/>
              </w:rPr>
            </w:pPr>
          </w:p>
        </w:tc>
        <w:tc>
          <w:tcPr>
            <w:tcW w:w="38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w w:val="98"/>
              </w:rPr>
              <w:t>Borrowing, prepayment, Continuation</w:t>
            </w:r>
          </w:p>
        </w:tc>
      </w:tr>
      <w:tr>
        <w:trPr>
          <w:trHeight w:val="179"/>
        </w:trPr>
        <w:tc>
          <w:tcPr>
            <w:tcW w:w="220" w:type="dxa"/>
            <w:vAlign w:val="bottom"/>
          </w:tcPr>
          <w:p>
            <w:pPr>
              <w:spacing w:after="0"/>
              <w:rPr>
                <w:sz w:val="15"/>
                <w:szCs w:val="15"/>
                <w:color w:val="auto"/>
              </w:rPr>
            </w:pPr>
          </w:p>
        </w:tc>
        <w:tc>
          <w:tcPr>
            <w:tcW w:w="40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into, Eurodollar Rate Loans (other</w:t>
            </w:r>
          </w:p>
        </w:tc>
        <w:tc>
          <w:tcPr>
            <w:tcW w:w="2640" w:type="dxa"/>
            <w:vAlign w:val="bottom"/>
          </w:tcPr>
          <w:p>
            <w:pPr>
              <w:spacing w:after="0"/>
              <w:rPr>
                <w:sz w:val="15"/>
                <w:szCs w:val="15"/>
                <w:color w:val="auto"/>
              </w:rPr>
            </w:pPr>
          </w:p>
        </w:tc>
        <w:tc>
          <w:tcPr>
            <w:tcW w:w="38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or Conversion</w:t>
            </w:r>
          </w:p>
        </w:tc>
      </w:tr>
      <w:tr>
        <w:trPr>
          <w:trHeight w:val="179"/>
        </w:trPr>
        <w:tc>
          <w:tcPr>
            <w:tcW w:w="220" w:type="dxa"/>
            <w:vAlign w:val="bottom"/>
          </w:tcPr>
          <w:p>
            <w:pPr>
              <w:spacing w:after="0"/>
              <w:rPr>
                <w:sz w:val="15"/>
                <w:szCs w:val="15"/>
                <w:color w:val="auto"/>
              </w:rPr>
            </w:pPr>
          </w:p>
        </w:tc>
        <w:tc>
          <w:tcPr>
            <w:tcW w:w="40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than Competitive Loans)</w:t>
            </w:r>
          </w:p>
        </w:tc>
        <w:tc>
          <w:tcPr>
            <w:tcW w:w="264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79"/>
        </w:trPr>
        <w:tc>
          <w:tcPr>
            <w:tcW w:w="220" w:type="dxa"/>
            <w:vAlign w:val="bottom"/>
          </w:tcPr>
          <w:p>
            <w:pPr>
              <w:spacing w:after="0" w:line="179" w:lineRule="exact"/>
              <w:rPr>
                <w:sz w:val="20"/>
                <w:szCs w:val="20"/>
                <w:color w:val="auto"/>
              </w:rPr>
            </w:pPr>
            <w:r>
              <w:rPr>
                <w:rFonts w:ascii="Courier New" w:cs="Courier New" w:eastAsia="Courier New" w:hAnsi="Courier New"/>
                <w:sz w:val="16"/>
                <w:szCs w:val="16"/>
                <w:color w:val="auto"/>
              </w:rPr>
              <w:t>o</w:t>
            </w:r>
          </w:p>
        </w:tc>
        <w:tc>
          <w:tcPr>
            <w:tcW w:w="406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Letter of Credit Action</w:t>
            </w:r>
          </w:p>
        </w:tc>
        <w:tc>
          <w:tcPr>
            <w:tcW w:w="264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11:00 a.m.</w:t>
            </w:r>
          </w:p>
        </w:tc>
        <w:tc>
          <w:tcPr>
            <w:tcW w:w="38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w w:val="96"/>
              </w:rPr>
              <w:t>2 Business Days prior to such action</w:t>
            </w:r>
          </w:p>
        </w:tc>
      </w:tr>
      <w:tr>
        <w:trPr>
          <w:trHeight w:val="179"/>
        </w:trPr>
        <w:tc>
          <w:tcPr>
            <w:tcW w:w="2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8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(or such lesser time as is</w:t>
            </w:r>
          </w:p>
        </w:tc>
      </w:tr>
      <w:tr>
        <w:trPr>
          <w:trHeight w:val="179"/>
        </w:trPr>
        <w:tc>
          <w:tcPr>
            <w:tcW w:w="2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8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acceptable to an Issuing Lender)</w:t>
            </w:r>
          </w:p>
        </w:tc>
      </w:tr>
      <w:tr>
        <w:trPr>
          <w:trHeight w:val="179"/>
        </w:trPr>
        <w:tc>
          <w:tcPr>
            <w:tcW w:w="220" w:type="dxa"/>
            <w:vAlign w:val="bottom"/>
          </w:tcPr>
          <w:p>
            <w:pPr>
              <w:spacing w:after="0" w:line="179" w:lineRule="exact"/>
              <w:rPr>
                <w:sz w:val="20"/>
                <w:szCs w:val="20"/>
                <w:color w:val="auto"/>
              </w:rPr>
            </w:pPr>
            <w:r>
              <w:rPr>
                <w:rFonts w:ascii="Courier New" w:cs="Courier New" w:eastAsia="Courier New" w:hAnsi="Courier New"/>
                <w:sz w:val="16"/>
                <w:szCs w:val="16"/>
                <w:color w:val="auto"/>
              </w:rPr>
              <w:t>o</w:t>
            </w:r>
          </w:p>
        </w:tc>
        <w:tc>
          <w:tcPr>
            <w:tcW w:w="406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Voluntary reduction in or</w:t>
            </w:r>
          </w:p>
        </w:tc>
        <w:tc>
          <w:tcPr>
            <w:tcW w:w="264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11:00 a.m.</w:t>
            </w:r>
          </w:p>
        </w:tc>
        <w:tc>
          <w:tcPr>
            <w:tcW w:w="38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3 Business Days prior to such</w:t>
            </w:r>
          </w:p>
        </w:tc>
      </w:tr>
      <w:tr>
        <w:trPr>
          <w:trHeight w:val="179"/>
        </w:trPr>
        <w:tc>
          <w:tcPr>
            <w:tcW w:w="220" w:type="dxa"/>
            <w:vAlign w:val="bottom"/>
          </w:tcPr>
          <w:p>
            <w:pPr>
              <w:spacing w:after="0"/>
              <w:rPr>
                <w:sz w:val="15"/>
                <w:szCs w:val="15"/>
                <w:color w:val="auto"/>
              </w:rPr>
            </w:pPr>
          </w:p>
        </w:tc>
        <w:tc>
          <w:tcPr>
            <w:tcW w:w="40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termination of Revolving</w:t>
            </w:r>
          </w:p>
        </w:tc>
        <w:tc>
          <w:tcPr>
            <w:tcW w:w="2640" w:type="dxa"/>
            <w:vAlign w:val="bottom"/>
          </w:tcPr>
          <w:p>
            <w:pPr>
              <w:spacing w:after="0"/>
              <w:rPr>
                <w:sz w:val="15"/>
                <w:szCs w:val="15"/>
                <w:color w:val="auto"/>
              </w:rPr>
            </w:pPr>
          </w:p>
        </w:tc>
        <w:tc>
          <w:tcPr>
            <w:tcW w:w="38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reduction or termination</w:t>
            </w:r>
          </w:p>
        </w:tc>
      </w:tr>
      <w:tr>
        <w:trPr>
          <w:trHeight w:val="179"/>
        </w:trPr>
        <w:tc>
          <w:tcPr>
            <w:tcW w:w="220" w:type="dxa"/>
            <w:vAlign w:val="bottom"/>
          </w:tcPr>
          <w:p>
            <w:pPr>
              <w:spacing w:after="0"/>
              <w:rPr>
                <w:sz w:val="15"/>
                <w:szCs w:val="15"/>
                <w:color w:val="auto"/>
              </w:rPr>
            </w:pPr>
          </w:p>
        </w:tc>
        <w:tc>
          <w:tcPr>
            <w:tcW w:w="40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Commitments</w:t>
            </w:r>
          </w:p>
        </w:tc>
        <w:tc>
          <w:tcPr>
            <w:tcW w:w="264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79"/>
        </w:trPr>
        <w:tc>
          <w:tcPr>
            <w:tcW w:w="220" w:type="dxa"/>
            <w:vAlign w:val="bottom"/>
          </w:tcPr>
          <w:p>
            <w:pPr>
              <w:spacing w:after="0" w:line="179" w:lineRule="exact"/>
              <w:rPr>
                <w:sz w:val="20"/>
                <w:szCs w:val="20"/>
                <w:color w:val="auto"/>
              </w:rPr>
            </w:pPr>
            <w:r>
              <w:rPr>
                <w:rFonts w:ascii="Courier New" w:cs="Courier New" w:eastAsia="Courier New" w:hAnsi="Courier New"/>
                <w:sz w:val="16"/>
                <w:szCs w:val="16"/>
                <w:color w:val="auto"/>
              </w:rPr>
              <w:t>o</w:t>
            </w:r>
          </w:p>
        </w:tc>
        <w:tc>
          <w:tcPr>
            <w:tcW w:w="406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Payments by Lenders or</w:t>
            </w:r>
          </w:p>
        </w:tc>
        <w:tc>
          <w:tcPr>
            <w:tcW w:w="26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1:00 p.m.</w:t>
            </w:r>
          </w:p>
        </w:tc>
        <w:tc>
          <w:tcPr>
            <w:tcW w:w="38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On the date payment is due</w:t>
            </w:r>
          </w:p>
        </w:tc>
      </w:tr>
      <w:tr>
        <w:trPr>
          <w:trHeight w:val="179"/>
        </w:trPr>
        <w:tc>
          <w:tcPr>
            <w:tcW w:w="220" w:type="dxa"/>
            <w:vAlign w:val="bottom"/>
          </w:tcPr>
          <w:p>
            <w:pPr>
              <w:spacing w:after="0"/>
              <w:rPr>
                <w:sz w:val="15"/>
                <w:szCs w:val="15"/>
                <w:color w:val="auto"/>
              </w:rPr>
            </w:pPr>
          </w:p>
        </w:tc>
        <w:tc>
          <w:tcPr>
            <w:tcW w:w="40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Co-Borrowers to Administrative</w:t>
            </w:r>
          </w:p>
        </w:tc>
        <w:tc>
          <w:tcPr>
            <w:tcW w:w="264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40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Agent</w:t>
            </w:r>
          </w:p>
        </w:tc>
        <w:tc>
          <w:tcPr>
            <w:tcW w:w="2640" w:type="dxa"/>
            <w:vAlign w:val="bottom"/>
          </w:tcPr>
          <w:p>
            <w:pPr>
              <w:spacing w:after="0"/>
              <w:rPr>
                <w:sz w:val="15"/>
                <w:szCs w:val="15"/>
                <w:color w:val="auto"/>
              </w:rPr>
            </w:pPr>
          </w:p>
        </w:tc>
        <w:tc>
          <w:tcPr>
            <w:tcW w:w="3860" w:type="dxa"/>
            <w:vAlign w:val="bottom"/>
          </w:tcPr>
          <w:p>
            <w:pPr>
              <w:spacing w:after="0"/>
              <w:rPr>
                <w:sz w:val="15"/>
                <w:szCs w:val="15"/>
                <w:color w:val="auto"/>
              </w:rPr>
            </w:pPr>
          </w:p>
        </w:tc>
      </w:tr>
    </w:tbl>
    <w:p>
      <w:pPr>
        <w:sectPr>
          <w:pgSz w:w="11900" w:h="16838" w:orient="portrait"/>
          <w:cols w:equalWidth="0" w:num="1">
            <w:col w:w="10780"/>
          </w:cols>
          <w:pgMar w:left="240" w:top="469" w:right="87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920" w:type="dxa"/>
            <w:vAlign w:val="bottom"/>
          </w:tcPr>
          <w:p>
            <w:pPr>
              <w:spacing w:after="0"/>
              <w:rPr>
                <w:sz w:val="20"/>
                <w:szCs w:val="20"/>
                <w:color w:val="auto"/>
              </w:rPr>
            </w:pPr>
            <w:r>
              <w:rPr>
                <w:rFonts w:ascii="Courier New" w:cs="Courier New" w:eastAsia="Courier New" w:hAnsi="Courier New"/>
                <w:sz w:val="16"/>
                <w:szCs w:val="16"/>
                <w:color w:val="auto"/>
              </w:rPr>
              <w:t>15</w:t>
            </w:r>
          </w:p>
        </w:tc>
        <w:tc>
          <w:tcPr>
            <w:tcW w:w="1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716"/>
        </w:trPr>
        <w:tc>
          <w:tcPr>
            <w:tcW w:w="140" w:type="dxa"/>
            <w:vAlign w:val="bottom"/>
          </w:tcPr>
          <w:p>
            <w:pPr>
              <w:spacing w:after="0"/>
              <w:rPr>
                <w:sz w:val="24"/>
                <w:szCs w:val="24"/>
                <w:color w:val="auto"/>
              </w:rPr>
            </w:pPr>
          </w:p>
        </w:tc>
        <w:tc>
          <w:tcPr>
            <w:tcW w:w="3480" w:type="dxa"/>
            <w:vAlign w:val="bottom"/>
          </w:tcPr>
          <w:p>
            <w:pPr>
              <w:ind w:left="980"/>
              <w:spacing w:after="0"/>
              <w:rPr>
                <w:sz w:val="20"/>
                <w:szCs w:val="20"/>
                <w:color w:val="auto"/>
              </w:rPr>
            </w:pPr>
            <w:r>
              <w:rPr>
                <w:rFonts w:ascii="Courier New" w:cs="Courier New" w:eastAsia="Courier New" w:hAnsi="Courier New"/>
                <w:sz w:val="16"/>
                <w:szCs w:val="16"/>
                <w:color w:val="auto"/>
              </w:rPr>
              <w:t>Type of Action</w:t>
            </w:r>
          </w:p>
        </w:tc>
        <w:tc>
          <w:tcPr>
            <w:tcW w:w="3300" w:type="dxa"/>
            <w:vAlign w:val="bottom"/>
            <w:gridSpan w:val="2"/>
          </w:tcPr>
          <w:p>
            <w:pPr>
              <w:ind w:left="1220"/>
              <w:spacing w:after="0"/>
              <w:rPr>
                <w:sz w:val="20"/>
                <w:szCs w:val="20"/>
                <w:color w:val="auto"/>
              </w:rPr>
            </w:pPr>
            <w:r>
              <w:rPr>
                <w:rFonts w:ascii="Courier New" w:cs="Courier New" w:eastAsia="Courier New" w:hAnsi="Courier New"/>
                <w:sz w:val="16"/>
                <w:szCs w:val="16"/>
                <w:color w:val="auto"/>
              </w:rPr>
              <w:t>Applicable Time</w:t>
            </w:r>
          </w:p>
        </w:tc>
        <w:tc>
          <w:tcPr>
            <w:tcW w:w="660" w:type="dxa"/>
            <w:vAlign w:val="bottom"/>
          </w:tcPr>
          <w:p>
            <w:pPr>
              <w:spacing w:after="0"/>
              <w:rPr>
                <w:sz w:val="24"/>
                <w:szCs w:val="24"/>
                <w:color w:val="auto"/>
              </w:rPr>
            </w:pPr>
          </w:p>
        </w:tc>
        <w:tc>
          <w:tcPr>
            <w:tcW w:w="2560" w:type="dxa"/>
            <w:vAlign w:val="bottom"/>
          </w:tcPr>
          <w:p>
            <w:pPr>
              <w:ind w:left="500"/>
              <w:spacing w:after="0"/>
              <w:rPr>
                <w:sz w:val="20"/>
                <w:szCs w:val="20"/>
                <w:color w:val="auto"/>
              </w:rPr>
            </w:pPr>
            <w:r>
              <w:rPr>
                <w:rFonts w:ascii="Courier New" w:cs="Courier New" w:eastAsia="Courier New" w:hAnsi="Courier New"/>
                <w:sz w:val="16"/>
                <w:szCs w:val="16"/>
                <w:color w:val="auto"/>
              </w:rPr>
              <w:t>Date of Action</w:t>
            </w:r>
          </w:p>
        </w:tc>
      </w:tr>
      <w:tr>
        <w:trPr>
          <w:trHeight w:val="179"/>
        </w:trPr>
        <w:tc>
          <w:tcPr>
            <w:tcW w:w="1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34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3"/>
              </w:rPr>
              <w:t>--------------------------------------</w:t>
            </w:r>
          </w:p>
        </w:tc>
        <w:tc>
          <w:tcPr>
            <w:tcW w:w="3300" w:type="dxa"/>
            <w:vAlign w:val="bottom"/>
            <w:gridSpan w:val="2"/>
          </w:tcPr>
          <w:p>
            <w:pPr>
              <w:ind w:left="140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25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40" w:type="dxa"/>
            <w:vAlign w:val="bottom"/>
          </w:tcPr>
          <w:p>
            <w:pPr>
              <w:spacing w:after="0"/>
              <w:rPr>
                <w:sz w:val="20"/>
                <w:szCs w:val="20"/>
                <w:color w:val="auto"/>
              </w:rPr>
            </w:pPr>
            <w:r>
              <w:rPr>
                <w:rFonts w:ascii="Courier New" w:cs="Courier New" w:eastAsia="Courier New" w:hAnsi="Courier New"/>
                <w:sz w:val="16"/>
                <w:szCs w:val="16"/>
                <w:color w:val="auto"/>
              </w:rPr>
              <w:t>o</w:t>
            </w:r>
          </w:p>
        </w:tc>
        <w:tc>
          <w:tcPr>
            <w:tcW w:w="3480" w:type="dxa"/>
            <w:vAlign w:val="bottom"/>
          </w:tcPr>
          <w:p>
            <w:pPr>
              <w:ind w:left="700"/>
              <w:spacing w:after="0"/>
              <w:rPr>
                <w:sz w:val="20"/>
                <w:szCs w:val="20"/>
                <w:color w:val="auto"/>
              </w:rPr>
            </w:pPr>
            <w:r>
              <w:rPr>
                <w:rFonts w:ascii="Courier New" w:cs="Courier New" w:eastAsia="Courier New" w:hAnsi="Courier New"/>
                <w:sz w:val="16"/>
                <w:szCs w:val="16"/>
                <w:color w:val="auto"/>
                <w:w w:val="99"/>
              </w:rPr>
              <w:t>Borrowing of Fixed Rate Loans</w:t>
            </w:r>
          </w:p>
        </w:tc>
        <w:tc>
          <w:tcPr>
            <w:tcW w:w="1920" w:type="dxa"/>
            <w:vAlign w:val="bottom"/>
          </w:tcPr>
          <w:p>
            <w:pPr>
              <w:ind w:left="1400"/>
              <w:spacing w:after="0"/>
              <w:rPr>
                <w:sz w:val="20"/>
                <w:szCs w:val="20"/>
                <w:color w:val="auto"/>
              </w:rPr>
            </w:pPr>
            <w:r>
              <w:rPr>
                <w:rFonts w:ascii="Courier New" w:cs="Courier New" w:eastAsia="Courier New" w:hAnsi="Courier New"/>
                <w:sz w:val="16"/>
                <w:szCs w:val="16"/>
                <w:color w:val="auto"/>
              </w:rPr>
              <w:t>11:00</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a.m.</w:t>
            </w:r>
          </w:p>
        </w:tc>
        <w:tc>
          <w:tcPr>
            <w:tcW w:w="660" w:type="dxa"/>
            <w:vAlign w:val="bottom"/>
          </w:tcPr>
          <w:p>
            <w:pPr>
              <w:ind w:left="520"/>
              <w:spacing w:after="0"/>
              <w:rPr>
                <w:sz w:val="20"/>
                <w:szCs w:val="20"/>
                <w:color w:val="auto"/>
              </w:rPr>
            </w:pPr>
            <w:r>
              <w:rPr>
                <w:rFonts w:ascii="Courier New" w:cs="Courier New" w:eastAsia="Courier New" w:hAnsi="Courier New"/>
                <w:sz w:val="16"/>
                <w:szCs w:val="16"/>
                <w:color w:val="auto"/>
              </w:rPr>
              <w:t>1</w:t>
            </w:r>
          </w:p>
        </w:tc>
        <w:tc>
          <w:tcPr>
            <w:tcW w:w="2560" w:type="dxa"/>
            <w:vAlign w:val="bottom"/>
          </w:tcPr>
          <w:p>
            <w:pPr>
              <w:ind w:left="40"/>
              <w:spacing w:after="0"/>
              <w:rPr>
                <w:sz w:val="20"/>
                <w:szCs w:val="20"/>
                <w:color w:val="auto"/>
              </w:rPr>
            </w:pPr>
            <w:r>
              <w:rPr>
                <w:rFonts w:ascii="Courier New" w:cs="Courier New" w:eastAsia="Courier New" w:hAnsi="Courier New"/>
                <w:sz w:val="16"/>
                <w:szCs w:val="16"/>
                <w:color w:val="auto"/>
                <w:w w:val="96"/>
              </w:rPr>
              <w:t>Business Days prior to such</w:t>
            </w:r>
          </w:p>
        </w:tc>
      </w:tr>
      <w:tr>
        <w:trPr>
          <w:trHeight w:val="179"/>
        </w:trPr>
        <w:tc>
          <w:tcPr>
            <w:tcW w:w="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20" w:type="dxa"/>
            <w:vAlign w:val="bottom"/>
            <w:gridSpan w:val="2"/>
          </w:tcPr>
          <w:p>
            <w:pPr>
              <w:ind w:left="520"/>
              <w:spacing w:after="0" w:line="179" w:lineRule="exact"/>
              <w:rPr>
                <w:sz w:val="20"/>
                <w:szCs w:val="20"/>
                <w:color w:val="auto"/>
              </w:rPr>
            </w:pPr>
            <w:r>
              <w:rPr>
                <w:rFonts w:ascii="Courier New" w:cs="Courier New" w:eastAsia="Courier New" w:hAnsi="Courier New"/>
                <w:sz w:val="16"/>
                <w:szCs w:val="16"/>
                <w:color w:val="auto"/>
              </w:rPr>
              <w:t>Borrowing</w:t>
            </w:r>
          </w:p>
        </w:tc>
      </w:tr>
      <w:tr>
        <w:trPr>
          <w:trHeight w:val="179"/>
        </w:trPr>
        <w:tc>
          <w:tcPr>
            <w:tcW w:w="140" w:type="dxa"/>
            <w:vAlign w:val="bottom"/>
          </w:tcPr>
          <w:p>
            <w:pPr>
              <w:spacing w:after="0" w:line="179" w:lineRule="exact"/>
              <w:rPr>
                <w:sz w:val="20"/>
                <w:szCs w:val="20"/>
                <w:color w:val="auto"/>
              </w:rPr>
            </w:pPr>
            <w:r>
              <w:rPr>
                <w:rFonts w:ascii="Courier New" w:cs="Courier New" w:eastAsia="Courier New" w:hAnsi="Courier New"/>
                <w:sz w:val="16"/>
                <w:szCs w:val="16"/>
                <w:color w:val="auto"/>
              </w:rPr>
              <w:t>o</w:t>
            </w:r>
          </w:p>
        </w:tc>
        <w:tc>
          <w:tcPr>
            <w:tcW w:w="348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Borrowing of Competitive</w:t>
            </w:r>
          </w:p>
        </w:tc>
        <w:tc>
          <w:tcPr>
            <w:tcW w:w="192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11:00</w:t>
            </w:r>
          </w:p>
        </w:tc>
        <w:tc>
          <w:tcPr>
            <w:tcW w:w="13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a.m.</w:t>
            </w:r>
          </w:p>
        </w:tc>
        <w:tc>
          <w:tcPr>
            <w:tcW w:w="6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4</w:t>
            </w:r>
          </w:p>
        </w:tc>
        <w:tc>
          <w:tcPr>
            <w:tcW w:w="25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Business Days prior to such</w:t>
            </w:r>
          </w:p>
        </w:tc>
      </w:tr>
      <w:tr>
        <w:trPr>
          <w:trHeight w:val="179"/>
        </w:trPr>
        <w:tc>
          <w:tcPr>
            <w:tcW w:w="140" w:type="dxa"/>
            <w:vAlign w:val="bottom"/>
          </w:tcPr>
          <w:p>
            <w:pPr>
              <w:spacing w:after="0"/>
              <w:rPr>
                <w:sz w:val="15"/>
                <w:szCs w:val="15"/>
                <w:color w:val="auto"/>
              </w:rPr>
            </w:pPr>
          </w:p>
        </w:tc>
        <w:tc>
          <w:tcPr>
            <w:tcW w:w="348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Loans that are Eurodollar Rate</w:t>
            </w:r>
          </w:p>
        </w:tc>
        <w:tc>
          <w:tcPr>
            <w:tcW w:w="19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20" w:type="dxa"/>
            <w:vAlign w:val="bottom"/>
            <w:gridSpan w:val="2"/>
          </w:tcPr>
          <w:p>
            <w:pPr>
              <w:ind w:left="520"/>
              <w:spacing w:after="0" w:line="179" w:lineRule="exact"/>
              <w:rPr>
                <w:sz w:val="20"/>
                <w:szCs w:val="20"/>
                <w:color w:val="auto"/>
              </w:rPr>
            </w:pPr>
            <w:r>
              <w:rPr>
                <w:rFonts w:ascii="Courier New" w:cs="Courier New" w:eastAsia="Courier New" w:hAnsi="Courier New"/>
                <w:sz w:val="16"/>
                <w:szCs w:val="16"/>
                <w:color w:val="auto"/>
              </w:rPr>
              <w:t>Borrowing</w:t>
            </w:r>
          </w:p>
        </w:tc>
      </w:tr>
      <w:tr>
        <w:trPr>
          <w:trHeight w:val="179"/>
        </w:trPr>
        <w:tc>
          <w:tcPr>
            <w:tcW w:w="140" w:type="dxa"/>
            <w:vAlign w:val="bottom"/>
          </w:tcPr>
          <w:p>
            <w:pPr>
              <w:spacing w:after="0"/>
              <w:rPr>
                <w:sz w:val="15"/>
                <w:szCs w:val="15"/>
                <w:color w:val="auto"/>
              </w:rPr>
            </w:pPr>
          </w:p>
        </w:tc>
        <w:tc>
          <w:tcPr>
            <w:tcW w:w="348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Loans</w:t>
            </w:r>
          </w:p>
        </w:tc>
        <w:tc>
          <w:tcPr>
            <w:tcW w:w="19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779" w:firstLine="1674"/>
        <w:spacing w:after="0" w:line="274" w:lineRule="auto"/>
        <w:rPr>
          <w:sz w:val="20"/>
          <w:szCs w:val="20"/>
          <w:color w:val="auto"/>
        </w:rPr>
      </w:pPr>
      <w:r>
        <w:rPr>
          <w:rFonts w:ascii="Courier New" w:cs="Courier New" w:eastAsia="Courier New" w:hAnsi="Courier New"/>
          <w:sz w:val="14"/>
          <w:szCs w:val="14"/>
          <w:color w:val="auto"/>
        </w:rPr>
        <w:t>"Responsible Officer" means, as to any Person, the president, any vice president, the controller, the chief financial officer, the treasurer or any assistant treasurer of such Person. Any document or certificate hereunder that is signed by a Responsible Officer of a particular Loan Party shall be conclusively presumed to have been authorized by all necessary corporate action on the part of such Loan Party and such Responsible Officer shall be conclusively presumed to have acted on behalf of such Loan Party.</w:t>
      </w:r>
    </w:p>
    <w:p>
      <w:pPr>
        <w:spacing w:after="0" w:line="164" w:lineRule="exact"/>
        <w:rPr>
          <w:sz w:val="20"/>
          <w:szCs w:val="20"/>
          <w:color w:val="auto"/>
        </w:rPr>
      </w:pPr>
    </w:p>
    <w:p>
      <w:pPr>
        <w:ind w:right="3339" w:firstLine="1674"/>
        <w:spacing w:after="0" w:line="234" w:lineRule="auto"/>
        <w:rPr>
          <w:sz w:val="20"/>
          <w:szCs w:val="20"/>
          <w:color w:val="auto"/>
        </w:rPr>
      </w:pPr>
      <w:r>
        <w:rPr>
          <w:rFonts w:ascii="Courier New" w:cs="Courier New" w:eastAsia="Courier New" w:hAnsi="Courier New"/>
          <w:sz w:val="16"/>
          <w:szCs w:val="16"/>
          <w:color w:val="auto"/>
        </w:rPr>
        <w:t>"Restricted Group" means, collectively, Borrower and the Restricted Subsidiaries.</w:t>
      </w:r>
    </w:p>
    <w:p>
      <w:pPr>
        <w:spacing w:after="0" w:line="183" w:lineRule="exact"/>
        <w:rPr>
          <w:sz w:val="20"/>
          <w:szCs w:val="20"/>
          <w:color w:val="auto"/>
        </w:rPr>
      </w:pPr>
    </w:p>
    <w:p>
      <w:pPr>
        <w:ind w:right="2779" w:firstLine="1674"/>
        <w:spacing w:after="0" w:line="234" w:lineRule="auto"/>
        <w:rPr>
          <w:sz w:val="20"/>
          <w:szCs w:val="20"/>
          <w:color w:val="auto"/>
        </w:rPr>
      </w:pPr>
      <w:r>
        <w:rPr>
          <w:rFonts w:ascii="Courier New" w:cs="Courier New" w:eastAsia="Courier New" w:hAnsi="Courier New"/>
          <w:sz w:val="16"/>
          <w:szCs w:val="16"/>
          <w:color w:val="auto"/>
        </w:rPr>
        <w:t>"Restricted Subsidiary" means each Subsidiary of Borrower that is not an Unrestricted Subsidiary.</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"Revolving Commitment" means, for each Lender, the amount set forth under the heading "Revolving Commitment" opposite such Lender's name on Schedule 2.01 or in the Assignment and Acceptance pursuant to which such Lender became a party to this Agreement, as such amount may be reduced or adjusted from time to time in accordance with the terms of this Agreement (collectively, the "combined Revolving Commitments").</w:t>
      </w:r>
    </w:p>
    <w:p>
      <w:pPr>
        <w:spacing w:after="0" w:line="183" w:lineRule="exact"/>
        <w:rPr>
          <w:sz w:val="20"/>
          <w:szCs w:val="20"/>
          <w:color w:val="auto"/>
        </w:rPr>
      </w:pPr>
    </w:p>
    <w:p>
      <w:pPr>
        <w:ind w:right="2959" w:firstLine="1674"/>
        <w:spacing w:after="0" w:line="234" w:lineRule="auto"/>
        <w:rPr>
          <w:sz w:val="20"/>
          <w:szCs w:val="20"/>
          <w:color w:val="auto"/>
        </w:rPr>
      </w:pPr>
      <w:r>
        <w:rPr>
          <w:rFonts w:ascii="Courier New" w:cs="Courier New" w:eastAsia="Courier New" w:hAnsi="Courier New"/>
          <w:sz w:val="16"/>
          <w:szCs w:val="16"/>
          <w:color w:val="auto"/>
        </w:rPr>
        <w:t>"Revolving Facility" means the Revolving Commitments and the Extensions of Credit made thereunder.</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"Revolving Loans" has the meaning set forth in Section 2.01.</w:t>
      </w:r>
    </w:p>
    <w:p>
      <w:pPr>
        <w:spacing w:after="0" w:line="183" w:lineRule="exact"/>
        <w:rPr>
          <w:sz w:val="20"/>
          <w:szCs w:val="20"/>
          <w:color w:val="auto"/>
        </w:rPr>
      </w:pPr>
    </w:p>
    <w:p>
      <w:pPr>
        <w:ind w:right="2879" w:firstLine="1674"/>
        <w:spacing w:after="0" w:line="275" w:lineRule="auto"/>
        <w:rPr>
          <w:sz w:val="20"/>
          <w:szCs w:val="20"/>
          <w:color w:val="auto"/>
        </w:rPr>
      </w:pPr>
      <w:r>
        <w:rPr>
          <w:rFonts w:ascii="Courier New" w:cs="Courier New" w:eastAsia="Courier New" w:hAnsi="Courier New"/>
          <w:sz w:val="14"/>
          <w:szCs w:val="14"/>
          <w:color w:val="auto"/>
        </w:rPr>
        <w:t>"Revolving Percentage" means, as to any Lender at any time, the percentage which such Lender's Revolving Commitment then constitutes of the combined Revolving Commitments or, at any time after the Revolving Commitments shall have expired or terminated, the percentage which the aggregate principal amount of such Lender's Revolving Loans then outstanding constitutes of the aggregate principal amount of the Revolving Loans then outstanding.</w:t>
      </w:r>
    </w:p>
    <w:p>
      <w:pPr>
        <w:spacing w:after="0" w:line="162" w:lineRule="exact"/>
        <w:rPr>
          <w:sz w:val="20"/>
          <w:szCs w:val="20"/>
          <w:color w:val="auto"/>
        </w:rPr>
      </w:pPr>
    </w:p>
    <w:p>
      <w:pPr>
        <w:ind w:right="2779" w:firstLine="1674"/>
        <w:spacing w:after="0" w:line="283" w:lineRule="auto"/>
        <w:rPr>
          <w:sz w:val="20"/>
          <w:szCs w:val="20"/>
          <w:color w:val="auto"/>
        </w:rPr>
      </w:pPr>
      <w:r>
        <w:rPr>
          <w:rFonts w:ascii="Courier New" w:cs="Courier New" w:eastAsia="Courier New" w:hAnsi="Courier New"/>
          <w:sz w:val="14"/>
          <w:szCs w:val="14"/>
          <w:color w:val="auto"/>
        </w:rPr>
        <w:t>"Revolving Termination Date" means (a) the fifth anniversary of the Effective Date or (b) such earlier date upon which the combined Revolving Commitments may be terminated in accordance with the terms of this Agreement.</w:t>
      </w:r>
    </w:p>
    <w:p>
      <w:pPr>
        <w:spacing w:after="0" w:line="155"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"S&amp;P" means Standard &amp; Poor's Ratings Services, a division of The McGraw-Hill Companies,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6" w:lineRule="exact"/>
        <w:rPr>
          <w:sz w:val="20"/>
          <w:szCs w:val="20"/>
          <w:color w:val="auto"/>
        </w:rPr>
      </w:pPr>
    </w:p>
    <w:p>
      <w:pPr>
        <w:ind w:right="2879" w:firstLine="1674"/>
        <w:spacing w:after="0" w:line="276" w:lineRule="auto"/>
        <w:rPr>
          <w:sz w:val="20"/>
          <w:szCs w:val="20"/>
          <w:color w:val="auto"/>
        </w:rPr>
      </w:pPr>
      <w:r>
        <w:rPr>
          <w:rFonts w:ascii="Courier New" w:cs="Courier New" w:eastAsia="Courier New" w:hAnsi="Courier New"/>
          <w:sz w:val="14"/>
          <w:szCs w:val="14"/>
          <w:color w:val="auto"/>
        </w:rPr>
        <w:t>"Sale-Leaseback Transaction" means any arrangement whereby Borrower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ectPr>
          <w:pgSz w:w="11900" w:h="16838" w:orient="portrait"/>
          <w:cols w:equalWidth="0" w:num="1">
            <w:col w:w="10219"/>
          </w:cols>
          <w:pgMar w:left="240" w:top="469" w:right="1440" w:bottom="1440" w:gutter="0" w:footer="0" w:header="0"/>
        </w:sectPr>
      </w:pPr>
    </w:p>
    <w:bookmarkStart w:id="47" w:name="page48"/>
    <w:bookmarkEnd w:id="47"/>
    <w:p>
      <w:pPr>
        <w:ind w:left="3620"/>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340"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"Significant Subsidiary" means any Restricted Subsidiary whose Annualized EBITDA was greater than 5% of the Annualized EBITDA of Borrower and its Restricted Subsidiaries, on a consolidated basis, for the period of two fiscal quarters ended on the last day of the fiscal quarter most recently ended, or whose assets comprised more than 5% of the total assets of Borrower and its Restricted Subsidiaries, on a consolidated basis, as of the last day of the fiscal quarter most recently ended.</w:t>
      </w:r>
    </w:p>
    <w:p>
      <w:pPr>
        <w:spacing w:after="0" w:line="184" w:lineRule="exact"/>
        <w:rPr>
          <w:sz w:val="20"/>
          <w:szCs w:val="20"/>
          <w:color w:val="auto"/>
        </w:rPr>
      </w:pPr>
    </w:p>
    <w:p>
      <w:pPr>
        <w:ind w:right="2779" w:firstLine="1674"/>
        <w:spacing w:after="0" w:line="274" w:lineRule="auto"/>
        <w:rPr>
          <w:sz w:val="20"/>
          <w:szCs w:val="20"/>
          <w:color w:val="auto"/>
        </w:rPr>
      </w:pPr>
      <w:r>
        <w:rPr>
          <w:rFonts w:ascii="Courier New" w:cs="Courier New" w:eastAsia="Courier New" w:hAnsi="Courier New"/>
          <w:sz w:val="14"/>
          <w:szCs w:val="14"/>
          <w:color w:val="auto"/>
        </w:rPr>
        <w:t>"Subsidiary"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such Person. Unless otherwise specified, all references to a "Subsidiary" or to "Subsidiaries" in this Agreement shall refer to a Subsidiary or Subsidiaries of Borrower.</w:t>
      </w:r>
    </w:p>
    <w:p>
      <w:pPr>
        <w:spacing w:after="0" w:line="340" w:lineRule="exact"/>
        <w:rPr>
          <w:sz w:val="20"/>
          <w:szCs w:val="20"/>
          <w:color w:val="auto"/>
        </w:rPr>
      </w:pPr>
    </w:p>
    <w:p>
      <w:pPr>
        <w:ind w:right="3719" w:firstLine="1674"/>
        <w:spacing w:after="0" w:line="234" w:lineRule="auto"/>
        <w:rPr>
          <w:sz w:val="20"/>
          <w:szCs w:val="20"/>
          <w:color w:val="auto"/>
        </w:rPr>
      </w:pPr>
      <w:r>
        <w:rPr>
          <w:rFonts w:ascii="Courier New" w:cs="Courier New" w:eastAsia="Courier New" w:hAnsi="Courier New"/>
          <w:sz w:val="16"/>
          <w:szCs w:val="16"/>
          <w:color w:val="auto"/>
        </w:rPr>
        <w:t>"Syndication Agent" has the meaning set forth in the introductory paragraph hereto.</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"Threshold Amount" means $200,000,000.</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"to the best knowledge of" means, when modifying a representation, warranty or other statement of any Person, that the fact or situation described therein is known by such Person (or, in the case of a Person other than a natural Person, known by any officer of such Person) making the representation, warranty or other statement, or, if such Person had exercised ordinary care in performing his or its required duties, would have been known by such Person (or, in the case of a Person other than a natural Person, would have been known by an officer of such Person).</w:t>
      </w:r>
    </w:p>
    <w:p>
      <w:pPr>
        <w:spacing w:after="0" w:line="184" w:lineRule="exact"/>
        <w:rPr>
          <w:sz w:val="20"/>
          <w:szCs w:val="20"/>
          <w:color w:val="auto"/>
        </w:rPr>
      </w:pPr>
    </w:p>
    <w:p>
      <w:pPr>
        <w:ind w:right="2879" w:firstLine="1674"/>
        <w:spacing w:after="0" w:line="279" w:lineRule="auto"/>
        <w:rPr>
          <w:sz w:val="20"/>
          <w:szCs w:val="20"/>
          <w:color w:val="auto"/>
        </w:rPr>
      </w:pPr>
      <w:r>
        <w:rPr>
          <w:rFonts w:ascii="Courier New" w:cs="Courier New" w:eastAsia="Courier New" w:hAnsi="Courier New"/>
          <w:sz w:val="14"/>
          <w:szCs w:val="14"/>
          <w:color w:val="auto"/>
        </w:rPr>
        <w:t>"Transactions" means the merger of Comcast Holdings Corporation and CCCHI into separate, wholly-owned subsidiaries of Borrower that took place on November 18, 2002 in accordance with the terms of the Merger Agreement and the other transactions contemplated by the Merger Agreement.</w:t>
      </w:r>
    </w:p>
    <w:p>
      <w:pPr>
        <w:spacing w:after="0" w:line="157"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"type" of Loan means (a) as to any Revolving Loan, its nature as a Base Rate Loan or a Eurodollar Rate Loan and (b) as to any Competitive Loan, its nature as a Eurodollar Rate Loan or a Fixed Rate Loan.</w:t>
      </w:r>
    </w:p>
    <w:p>
      <w:pPr>
        <w:spacing w:after="0" w:line="183" w:lineRule="exact"/>
        <w:rPr>
          <w:sz w:val="20"/>
          <w:szCs w:val="20"/>
          <w:color w:val="auto"/>
        </w:rPr>
      </w:pPr>
    </w:p>
    <w:p>
      <w:pPr>
        <w:ind w:right="2959" w:firstLine="1674"/>
        <w:spacing w:after="0" w:line="235" w:lineRule="auto"/>
        <w:rPr>
          <w:sz w:val="20"/>
          <w:szCs w:val="20"/>
          <w:color w:val="auto"/>
        </w:rPr>
      </w:pPr>
      <w:r>
        <w:rPr>
          <w:rFonts w:ascii="Courier New" w:cs="Courier New" w:eastAsia="Courier New" w:hAnsi="Courier New"/>
          <w:sz w:val="16"/>
          <w:szCs w:val="16"/>
          <w:color w:val="auto"/>
        </w:rPr>
        <w:t>"Unfunded Pension Liability" means the excess of a Plan's accumulated benefit obligations, over the current fair market value of that Plan's assets, determined in accordance with the assumptions used for purposes of Statement of Financial Accounting Standards No. 87 for the applicable plan year.</w:t>
      </w:r>
    </w:p>
    <w:p>
      <w:pPr>
        <w:spacing w:after="0" w:line="186"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"Unrestricted Subsidiary" means any Subsidiary of Borrower designated as an "Unrestricted Subsidiary" from time to time in accordance with Section 6.13. Until so designated, each Subsidiary of Borrower shall be a Restricted Subsidiary.</w:t>
      </w:r>
    </w:p>
    <w:p>
      <w:pPr>
        <w:spacing w:after="0" w:line="178"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1.02 Use of Certain Terms.</w:t>
      </w:r>
    </w:p>
    <w:p>
      <w:pPr>
        <w:spacing w:after="0" w:line="183" w:lineRule="exact"/>
        <w:rPr>
          <w:sz w:val="20"/>
          <w:szCs w:val="20"/>
          <w:color w:val="auto"/>
        </w:rPr>
      </w:pPr>
    </w:p>
    <w:p>
      <w:pPr>
        <w:ind w:right="2779" w:firstLine="1670"/>
        <w:spacing w:after="0" w:line="235" w:lineRule="auto"/>
        <w:tabs>
          <w:tab w:leader="none" w:pos="204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terms defined in this Agreement shall have the defined meanings when used in any certificate or other document made or delivered pursuant hereto or thereto, unless otherwise defined therein.</w:t>
      </w:r>
    </w:p>
    <w:p>
      <w:pPr>
        <w:spacing w:after="0" w:line="183" w:lineRule="exact"/>
        <w:rPr>
          <w:rFonts w:ascii="Courier New" w:cs="Courier New" w:eastAsia="Courier New" w:hAnsi="Courier New"/>
          <w:sz w:val="16"/>
          <w:szCs w:val="16"/>
          <w:color w:val="auto"/>
        </w:rPr>
      </w:pPr>
    </w:p>
    <w:p>
      <w:pPr>
        <w:ind w:right="2779" w:firstLine="1670"/>
        <w:spacing w:after="0" w:line="235" w:lineRule="auto"/>
        <w:tabs>
          <w:tab w:leader="none" w:pos="204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unless the context requires otherwise, the masculine, feminine and neuter genders and the singular and plural include one another.</w:t>
      </w:r>
    </w:p>
    <w:p>
      <w:pPr>
        <w:sectPr>
          <w:pgSz w:w="11900" w:h="16838" w:orient="portrait"/>
          <w:cols w:equalWidth="0" w:num="1">
            <w:col w:w="10219"/>
          </w:cols>
          <w:pgMar w:left="240" w:top="469" w:right="1440" w:bottom="1440" w:gutter="0" w:footer="0" w:header="0"/>
        </w:sectPr>
      </w:pPr>
    </w:p>
    <w:bookmarkStart w:id="48" w:name="page49"/>
    <w:bookmarkEnd w:id="48"/>
    <w:p>
      <w:pPr>
        <w:ind w:left="3620"/>
        <w:spacing w:after="0"/>
        <w:rPr>
          <w:sz w:val="20"/>
          <w:szCs w:val="20"/>
          <w:color w:val="auto"/>
        </w:rPr>
      </w:pP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340" w:lineRule="exact"/>
        <w:rPr>
          <w:sz w:val="20"/>
          <w:szCs w:val="20"/>
          <w:color w:val="auto"/>
        </w:rPr>
      </w:pPr>
    </w:p>
    <w:p>
      <w:pPr>
        <w:ind w:right="3059" w:firstLine="1670"/>
        <w:spacing w:after="0" w:line="275" w:lineRule="auto"/>
        <w:tabs>
          <w:tab w:leader="none" w:pos="204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61" w:lineRule="exact"/>
        <w:rPr>
          <w:rFonts w:ascii="Courier New" w:cs="Courier New" w:eastAsia="Courier New" w:hAnsi="Courier New"/>
          <w:sz w:val="14"/>
          <w:szCs w:val="14"/>
          <w:color w:val="auto"/>
        </w:rPr>
      </w:pPr>
    </w:p>
    <w:p>
      <w:pPr>
        <w:ind w:right="3439" w:firstLine="1670"/>
        <w:spacing w:after="0" w:line="295" w:lineRule="auto"/>
        <w:tabs>
          <w:tab w:leader="none" w:pos="204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"or" is disjunctive; the term "and" is conjunctive. The term "shall" is mandatory; the term "may" is permissive.</w:t>
      </w:r>
    </w:p>
    <w:p>
      <w:pPr>
        <w:spacing w:after="0" w:line="147" w:lineRule="exact"/>
        <w:rPr>
          <w:sz w:val="20"/>
          <w:szCs w:val="20"/>
          <w:color w:val="auto"/>
        </w:rPr>
      </w:pPr>
    </w:p>
    <w:p>
      <w:pPr>
        <w:ind w:right="2879" w:firstLine="1674"/>
        <w:spacing w:after="0" w:line="271" w:lineRule="auto"/>
        <w:rPr>
          <w:sz w:val="20"/>
          <w:szCs w:val="20"/>
          <w:color w:val="auto"/>
        </w:rPr>
      </w:pPr>
      <w:r>
        <w:rPr>
          <w:rFonts w:ascii="Courier New" w:cs="Courier New" w:eastAsia="Courier New" w:hAnsi="Courier New"/>
          <w:sz w:val="14"/>
          <w:szCs w:val="14"/>
          <w:color w:val="auto"/>
        </w:rPr>
        <w:t>1.03 Accounting Terms. All accounting terms not specifically or completely defined in this Agreement shall be construed in conformity with, and all financial data required to be submitted by this Agreement shall be prepared in conformity with, GAAP applied on a consistent basis, as in effect from time to time in the United States; provided, however, that for purposes of determining compliance with the covenants set forth in Section 7.07, if there are changes in GAAP after December 31, 2002 that materially affect the calculation of the covenants in Section 7.07 in such a manner as to be inconsistent with the intent of this Agreement, Administrative Agent and Borrower shall negotiate in good faith to determine such adjustments to the method of calculating compliance with Section 7.07 or related definitions as to make them consistent with the intent hereof. Promptly upon Borrower and Administrative Agent reaching such agreement, Administrative Agent shall notify Lenders of such adjustments, which shall be conclusive unless Required Lenders object to such adjustments within 30 days of receipt of notice. Each Compliance Certificate shall be prepared in accordance with this Section 1.03, except for the exclusion of Unrestricted Subsidiaries from the calculations therein. Notwithstanding anything to the contrary contained herein, references herein to "Borrower and its Restricted Subsidiaries on a consolidated basis" shall be deemed to refer to Borrower and its Restricted Subsidiaries without taking into account the results or financial position of any Unrestricted Subsidiary and without taking into account any interest of Borrower or any of its Restricted Subsidiaries in any Unrestricted Subsidiary.</w:t>
      </w:r>
    </w:p>
    <w:p>
      <w:pPr>
        <w:spacing w:after="0" w:line="200" w:lineRule="exact"/>
        <w:rPr>
          <w:sz w:val="20"/>
          <w:szCs w:val="20"/>
          <w:color w:val="auto"/>
        </w:rPr>
      </w:pPr>
    </w:p>
    <w:p>
      <w:pPr>
        <w:spacing w:after="0" w:line="333" w:lineRule="exact"/>
        <w:rPr>
          <w:sz w:val="20"/>
          <w:szCs w:val="20"/>
          <w:color w:val="auto"/>
        </w:rPr>
      </w:pPr>
    </w:p>
    <w:p>
      <w:pPr>
        <w:ind w:right="2879" w:firstLine="1674"/>
        <w:spacing w:after="0" w:line="236" w:lineRule="auto"/>
        <w:rPr>
          <w:sz w:val="20"/>
          <w:szCs w:val="20"/>
          <w:color w:val="auto"/>
        </w:rPr>
      </w:pPr>
      <w:r>
        <w:rPr>
          <w:rFonts w:ascii="Courier New" w:cs="Courier New" w:eastAsia="Courier New" w:hAnsi="Courier New"/>
          <w:sz w:val="16"/>
          <w:szCs w:val="16"/>
          <w:color w:val="auto"/>
        </w:rPr>
        <w:t>1.04 Rounding.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84" w:lineRule="exact"/>
        <w:rPr>
          <w:sz w:val="20"/>
          <w:szCs w:val="20"/>
          <w:color w:val="auto"/>
        </w:rPr>
      </w:pPr>
    </w:p>
    <w:p>
      <w:pPr>
        <w:ind w:right="2959" w:firstLine="1674"/>
        <w:spacing w:after="0" w:line="235" w:lineRule="auto"/>
        <w:rPr>
          <w:sz w:val="20"/>
          <w:szCs w:val="20"/>
          <w:color w:val="auto"/>
        </w:rPr>
      </w:pPr>
      <w:r>
        <w:rPr>
          <w:rFonts w:ascii="Courier New" w:cs="Courier New" w:eastAsia="Courier New" w:hAnsi="Courier New"/>
          <w:sz w:val="16"/>
          <w:szCs w:val="16"/>
          <w:color w:val="auto"/>
        </w:rPr>
        <w:t>1.05 Exhibits and Schedules.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186" w:lineRule="exact"/>
        <w:rPr>
          <w:sz w:val="20"/>
          <w:szCs w:val="20"/>
          <w:color w:val="auto"/>
        </w:rPr>
      </w:pPr>
    </w:p>
    <w:p>
      <w:pPr>
        <w:ind w:right="3059" w:firstLine="1674"/>
        <w:spacing w:after="0" w:line="274" w:lineRule="auto"/>
        <w:rPr>
          <w:sz w:val="20"/>
          <w:szCs w:val="20"/>
          <w:color w:val="auto"/>
        </w:rPr>
      </w:pPr>
      <w:r>
        <w:rPr>
          <w:rFonts w:ascii="Courier New" w:cs="Courier New" w:eastAsia="Courier New" w:hAnsi="Courier New"/>
          <w:sz w:val="14"/>
          <w:szCs w:val="14"/>
          <w:color w:val="auto"/>
        </w:rPr>
        <w:t>1.06 References to Agreements and Laws. Unless otherwise expressly provided herein, (a) references to agreements (including the Loan 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64" w:lineRule="exact"/>
        <w:rPr>
          <w:sz w:val="20"/>
          <w:szCs w:val="20"/>
          <w:color w:val="auto"/>
        </w:rPr>
      </w:pPr>
    </w:p>
    <w:p>
      <w:pPr>
        <w:ind w:right="2779" w:firstLine="1674"/>
        <w:spacing w:after="0" w:line="273" w:lineRule="auto"/>
        <w:rPr>
          <w:sz w:val="20"/>
          <w:szCs w:val="20"/>
          <w:color w:val="auto"/>
        </w:rPr>
      </w:pPr>
      <w:r>
        <w:rPr>
          <w:rFonts w:ascii="Courier New" w:cs="Courier New" w:eastAsia="Courier New" w:hAnsi="Courier New"/>
          <w:sz w:val="14"/>
          <w:szCs w:val="14"/>
          <w:color w:val="auto"/>
        </w:rPr>
        <w:t>1.07 Pro Forma Calculations. For the purposes of calculating Annualized EBITDA of Borrower and its Restricted Subsidiaries, on a consolidated basis, and Annualized Interest Expense of Borrower and its Restricted Subsidiaries, on a consolidated basis, for any period (a "Test Period"), (i) if at any time from the period (a "Pro Forma Period") commencing on the first day of such Test Period and ending on the date which is ten days prior to the date of delivery of the Compliance Certificate in respect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w:t>
      </w:r>
    </w:p>
    <w:p>
      <w:pPr>
        <w:sectPr>
          <w:pgSz w:w="11900" w:h="16838" w:orient="portrait"/>
          <w:cols w:equalWidth="0" w:num="1">
            <w:col w:w="10219"/>
          </w:cols>
          <w:pgMar w:left="240" w:top="469" w:right="1440" w:bottom="1440" w:gutter="0" w:footer="0" w:header="0"/>
        </w:sectPr>
      </w:pPr>
    </w:p>
    <w:bookmarkStart w:id="49" w:name="page50"/>
    <w:bookmarkEnd w:id="49"/>
    <w:p>
      <w:pPr>
        <w:ind w:left="3625"/>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340" w:lineRule="exact"/>
        <w:rPr>
          <w:sz w:val="20"/>
          <w:szCs w:val="20"/>
          <w:color w:val="auto"/>
        </w:rPr>
      </w:pPr>
    </w:p>
    <w:p>
      <w:pPr>
        <w:ind w:left="5" w:right="2779"/>
        <w:spacing w:after="0" w:line="271" w:lineRule="auto"/>
        <w:rPr>
          <w:sz w:val="20"/>
          <w:szCs w:val="20"/>
          <w:color w:val="auto"/>
        </w:rPr>
      </w:pPr>
      <w:r>
        <w:rPr>
          <w:rFonts w:ascii="Courier New" w:cs="Courier New" w:eastAsia="Courier New" w:hAnsi="Courier New"/>
          <w:sz w:val="14"/>
          <w:szCs w:val="14"/>
          <w:color w:val="auto"/>
        </w:rPr>
        <w:t>Acquisition, ending on the date such Material Disposition or Material Acquisition is consummated after giving effect thereto), Borrower or any Restricted Subsidiary shall have made any Material Disposition, the Annualized EBITDA for such Test Period shall be reduced by an amount equal to the Annualized EBITDA (if positive) for such Test Period attributable to the assets which are the subject of such Material Disposition or increased by an amount equal to the Annualized EBITDA (if negative) for such Test Period attributable to such assets, and Annualized Interest Expense for such Test Period shall be reduced by an amount equal to the Annualized Interest Expense for such Test Period attributable to any Indebtedness of Borrower or any Restricted Subsidiary repaid, repurchased, defeased or otherwise discharged in connection with such Material Disposition (or, if the capital stock of any Restricted Subsidiary is sold (pursuant to a merger or otherwise), the Annualized Interest Expense for such Test Period directly attributable to the Indebtedness of such Restricted Subsidiary to the extent Borrower and its continuing Restricted Subsidiaries are no longer liable for such Indebtedness after such Material Disposition); (ii) if during such Pro Forma Period Borrower or any Restricted Subsidiary shall have made a Material Acquisition, Annualized EBITDA of Borrower and its Restricted Subsidiaries, on a consolidated basis, and Annualized Interest Expense of Borrower and its Restricted Subsidiaries, on a consolidated basis,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Pro Forma Period any Person that subsequently became a Restricted Subsidiary or was merged with or into Borrower or any Restricted Subsidiary since the beginning of such Pro Forma Period shall have entered into any Material Disposition or Material Acquisition that would have required an adjustment pursuant to clause</w:t>
      </w:r>
    </w:p>
    <w:p>
      <w:pPr>
        <w:spacing w:after="0" w:line="353" w:lineRule="exact"/>
        <w:rPr>
          <w:sz w:val="20"/>
          <w:szCs w:val="20"/>
          <w:color w:val="auto"/>
        </w:rPr>
      </w:pPr>
    </w:p>
    <w:p>
      <w:pPr>
        <w:ind w:left="5" w:right="2779" w:hanging="5"/>
        <w:spacing w:after="0" w:line="272" w:lineRule="auto"/>
        <w:tabs>
          <w:tab w:leader="none" w:pos="37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(ii) above if made by Borrower or a Restricted Subsidiary during such Pro Forma Period, Annualized EBITDA of Borrower and its Restricted Subsidiaries, on a consolidated basis, and Annualized Interest Expense of Borrower and its Restricted Subsidiaries, on a consolidated basis, for such Test Period shall be calculated after giving pro forma effect thereto as if such Material Disposition or Material Acquisition occurred on the first day of such Test Period. For the purposes of this section, whenever pro forma effect is to be given to a Material Disposition or Material Acquisition, the amount of income or earnings related thereto and the amount of Annualized Interest Expense associated with any Indebtedness discharged or incurred in connection therewith, the pro forma calculations shall be determined in good faith by a Responsible Officer of Borrower. If any Indebtedness bears a floating rate of interest and the incurrence or assumption thereof is being given pro forma effect, the Annualized Interest Expense on such Indebtedness shall be calculated as if the rate in effect on the last day of the relevant Pro Forma Period had been the applicable rate for the entire relevant Test Period (taking into account any interest rate protection agreement applicable to such Indebtedness if such interest rate protection agreement has a remaining term in excess of 12 months). Comparable adjustments shall be made in connection with any determination of Annualized</w:t>
      </w:r>
    </w:p>
    <w:p>
      <w:pPr>
        <w:spacing w:after="0" w:line="159"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EBITDA.</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SECTION 2</w:t>
      </w:r>
    </w:p>
    <w:p>
      <w:pPr>
        <w:spacing w:after="0" w:line="177" w:lineRule="exact"/>
        <w:rPr>
          <w:sz w:val="20"/>
          <w:szCs w:val="20"/>
          <w:color w:val="auto"/>
        </w:rPr>
      </w:pPr>
    </w:p>
    <w:p>
      <w:pPr>
        <w:ind w:left="1405"/>
        <w:spacing w:after="0"/>
        <w:rPr>
          <w:sz w:val="20"/>
          <w:szCs w:val="20"/>
          <w:color w:val="auto"/>
        </w:rPr>
      </w:pPr>
      <w:r>
        <w:rPr>
          <w:rFonts w:ascii="Courier New" w:cs="Courier New" w:eastAsia="Courier New" w:hAnsi="Courier New"/>
          <w:sz w:val="16"/>
          <w:szCs w:val="16"/>
          <w:color w:val="auto"/>
        </w:rPr>
        <w:t>THE REVOLVING COMMITMENTS AND EXTENSIONS OF CREDIT</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2.01 Amount and Terms of Revolving Commitments.</w:t>
      </w:r>
    </w:p>
    <w:p>
      <w:pPr>
        <w:spacing w:after="0" w:line="183" w:lineRule="exact"/>
        <w:rPr>
          <w:sz w:val="20"/>
          <w:szCs w:val="20"/>
          <w:color w:val="auto"/>
        </w:rPr>
      </w:pPr>
    </w:p>
    <w:p>
      <w:pPr>
        <w:ind w:left="5" w:right="2779" w:firstLine="1670"/>
        <w:spacing w:after="0" w:line="236" w:lineRule="auto"/>
        <w:tabs>
          <w:tab w:leader="none" w:pos="205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set forth in this Agreement, during the period from and including the Effective Date to, but not including, the Revolving Termination Date, each Lender severally agrees to make, Convert and Continue revolving credit loans ("Revolving Loans") in Dollars in such amounts as a Co-Borrower may from time to time request; provided, however, that (i) the Outstanding Revolving Obligations of each Lender shall not exceed such Lender's Revolving Commitment at any time, and (ii) the Outstanding Revolving Obligations of all Lenders plus the</w:t>
      </w:r>
    </w:p>
    <w:p>
      <w:pPr>
        <w:sectPr>
          <w:pgSz w:w="11900" w:h="16838" w:orient="portrait"/>
          <w:cols w:equalWidth="0" w:num="1">
            <w:col w:w="10224"/>
          </w:cols>
          <w:pgMar w:left="235" w:top="469" w:right="1440" w:bottom="1440" w:gutter="0" w:footer="0" w:header="0"/>
        </w:sectPr>
      </w:pPr>
    </w:p>
    <w:bookmarkStart w:id="50" w:name="page51"/>
    <w:bookmarkEnd w:id="50"/>
    <w:p>
      <w:pPr>
        <w:ind w:left="3620"/>
        <w:spacing w:after="0"/>
        <w:rPr>
          <w:sz w:val="20"/>
          <w:szCs w:val="20"/>
          <w:color w:val="auto"/>
        </w:rPr>
      </w:pP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340"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aggregate principal amount of all outstanding Competitive Loans shall not exceed the combined Revolving Commitments at any time. The Revolving Facility is a revolving credit and, subject to the foregoing and the other terms and conditions hereof, each Co-Borrower may borrow, Convert, Continue, prepay and reborrow Revolving Loans as set forth herein without premium or penalty.</w:t>
      </w:r>
    </w:p>
    <w:p>
      <w:pPr>
        <w:spacing w:after="0" w:line="186" w:lineRule="exact"/>
        <w:rPr>
          <w:sz w:val="20"/>
          <w:szCs w:val="20"/>
          <w:color w:val="auto"/>
        </w:rPr>
      </w:pPr>
    </w:p>
    <w:p>
      <w:pPr>
        <w:ind w:right="2779" w:firstLine="1670"/>
        <w:spacing w:after="0" w:line="235" w:lineRule="auto"/>
        <w:tabs>
          <w:tab w:leader="none" w:pos="204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Co-Borrower shall repay (i) all outstanding Revolving Loans made to it on the Revolving Termination Date and (ii) the then unpaid principal amount of each Competitive Loan made to it on the last day of the Interest Period applicable to such Loan.</w:t>
      </w:r>
    </w:p>
    <w:p>
      <w:pPr>
        <w:spacing w:after="0" w:line="178"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2.02 Procedure for Revolving Loan Borrowings.</w:t>
      </w:r>
    </w:p>
    <w:p>
      <w:pPr>
        <w:spacing w:after="0" w:line="183" w:lineRule="exact"/>
        <w:rPr>
          <w:sz w:val="20"/>
          <w:szCs w:val="20"/>
          <w:color w:val="auto"/>
        </w:rPr>
      </w:pPr>
    </w:p>
    <w:p>
      <w:pPr>
        <w:ind w:right="2779" w:firstLine="1670"/>
        <w:spacing w:after="0" w:line="274" w:lineRule="auto"/>
        <w:tabs>
          <w:tab w:leader="none" w:pos="204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Co-Borrower may irrevocably request a Borrowing of Revolving Loans on any Business Day in a Minimum Amount therefor by delivering a Request for Extension of Credit therefor by Requisite Notice to Administrative Agent not later than the Requisite Time therefor. All Borrowings shall constitute Base Rate Loans unless properly and timely otherwise designated as set forth in the prior sentence. Each Competitive Loan shall be made in accordance with the procedures set forth in Section 2.04.</w:t>
      </w:r>
    </w:p>
    <w:p>
      <w:pPr>
        <w:spacing w:after="0" w:line="163" w:lineRule="exact"/>
        <w:rPr>
          <w:rFonts w:ascii="Courier New" w:cs="Courier New" w:eastAsia="Courier New" w:hAnsi="Courier New"/>
          <w:sz w:val="14"/>
          <w:szCs w:val="14"/>
          <w:color w:val="auto"/>
        </w:rPr>
      </w:pPr>
    </w:p>
    <w:p>
      <w:pPr>
        <w:ind w:right="2879" w:firstLine="1670"/>
        <w:spacing w:after="0" w:line="274" w:lineRule="auto"/>
        <w:tabs>
          <w:tab w:leader="none" w:pos="204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receipt of a Request for Extension of Credit, Administrative Agent shall promptly notify each Lender by Requisite Notice of its Revolving Percentage thereof. Each Lender shall make the funds for its Revolving Loan available to Administrative Agent at Administrative Agent's Office not later than the Requisite Time therefor on the Business Day specified in such Request for Extension of Credit. Upon satisfaction of the applicable conditions set forth in Section 4.02, all funds so received shall be made available to the requesting Co-Borrower in like funds received.</w:t>
      </w:r>
    </w:p>
    <w:p>
      <w:pPr>
        <w:spacing w:after="0" w:line="161" w:lineRule="exact"/>
        <w:rPr>
          <w:rFonts w:ascii="Courier New" w:cs="Courier New" w:eastAsia="Courier New" w:hAnsi="Courier New"/>
          <w:sz w:val="14"/>
          <w:szCs w:val="14"/>
          <w:color w:val="auto"/>
        </w:rPr>
      </w:pPr>
    </w:p>
    <w:p>
      <w:pPr>
        <w:ind w:right="2779" w:firstLine="1670"/>
        <w:spacing w:after="0" w:line="235" w:lineRule="auto"/>
        <w:tabs>
          <w:tab w:leader="none" w:pos="2047"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any Lender to make any Revolving Loan on any date shall not relieve any other Lender of any obligation to make a Revolving Loan on such date, but the Revolving Commitments and Competitive Bids of the Lenders are several and no Lender shall be responsible for the failure of any other Lender to so make its Revolving Loan.</w:t>
      </w:r>
    </w:p>
    <w:p>
      <w:pPr>
        <w:spacing w:after="0" w:line="180"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2.03 Letters of Credit.</w:t>
      </w:r>
    </w:p>
    <w:p>
      <w:pPr>
        <w:spacing w:after="0" w:line="183" w:lineRule="exact"/>
        <w:rPr>
          <w:sz w:val="20"/>
          <w:szCs w:val="20"/>
          <w:color w:val="auto"/>
        </w:rPr>
      </w:pPr>
    </w:p>
    <w:p>
      <w:pPr>
        <w:ind w:left="1660" w:right="2779" w:hanging="827"/>
        <w:spacing w:after="0" w:line="271" w:lineRule="auto"/>
        <w:tabs>
          <w:tab w:leader="none" w:pos="16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set forth in this Agreement, during the period from and including the Effective Date to, but not including the Letter of Credit Expiration Date, each Issuing Lender shall take such Letter of Credit Actions denominated in Dollars as each Co-Borrower may from time to time request; provided, however, that (i) the Outstanding Revolving Obligations of each Lender shall not exceed such Lender's Revolving Commitment at any time, (ii) the Outstanding Revolving Obligations of all Lenders plus the aggregate principal amount of all outstanding Competitive Loans shall not exceed the combined Revolving Commitments at any time and (iii) the Letter of Credit Usage shall not exceed the Letter of Credit Sublimit at any time. By written notice to Administrative Agent prior to the Effective Date, Borrower may request that any Existing Letter of Credit be deemed to be a Letter of Credit issued hereunder, and all Existing Letters of Credit so identified shall be deemed to be Letters of Credit issued hereunder on the Effective Date for the account of each Co-Borrower, and each Co-Borrower hereby assumes the obligations of any other existing obligor(s) to the Issuing Lenders with respect to such Existing Letters of Credit. Subject to subsection (f) below and unless consented to by the applicable Issuing Lender and Administrative Agent, and except for any Existing Letter of Credit which expires more than 12 months after the date of its issuance or last renewal, no Letter of Credit may expire more than 12 months after the date of its issuance or last renewal; provided, however, that no Letter of Credit shall expire after the Business Day which is at least five days prior to the Revolving Termination Date. If any Letter of Credit Usage remains outstanding on the Revolving Termination Date,</w:t>
      </w:r>
    </w:p>
    <w:p>
      <w:pPr>
        <w:sectPr>
          <w:pgSz w:w="11900" w:h="16838" w:orient="portrait"/>
          <w:cols w:equalWidth="0" w:num="1">
            <w:col w:w="10219"/>
          </w:cols>
          <w:pgMar w:left="240" w:top="469" w:right="1440" w:bottom="1440" w:gutter="0" w:footer="0" w:header="0"/>
        </w:sectPr>
      </w:pPr>
    </w:p>
    <w:bookmarkStart w:id="51" w:name="page52"/>
    <w:bookmarkEnd w:id="51"/>
    <w:p>
      <w:pPr>
        <w:ind w:left="2787"/>
        <w:spacing w:after="0"/>
        <w:rPr>
          <w:sz w:val="20"/>
          <w:szCs w:val="20"/>
          <w:color w:val="auto"/>
        </w:rPr>
      </w:pP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line="340" w:lineRule="exact"/>
        <w:rPr>
          <w:sz w:val="20"/>
          <w:szCs w:val="20"/>
          <w:color w:val="auto"/>
        </w:rPr>
      </w:pPr>
    </w:p>
    <w:p>
      <w:pPr>
        <w:ind w:left="827" w:right="2879"/>
        <w:spacing w:after="0" w:line="235" w:lineRule="auto"/>
        <w:rPr>
          <w:sz w:val="20"/>
          <w:szCs w:val="20"/>
          <w:color w:val="auto"/>
        </w:rPr>
      </w:pPr>
      <w:r>
        <w:rPr>
          <w:rFonts w:ascii="Courier New" w:cs="Courier New" w:eastAsia="Courier New" w:hAnsi="Courier New"/>
          <w:sz w:val="16"/>
          <w:szCs w:val="16"/>
          <w:color w:val="auto"/>
        </w:rPr>
        <w:t>each Co-Borrower shall, on the Revolving Termination Date, deposit cash in an amount equal to the Letter of Credit Usage applicable to it in a Letter of Credit Cash Collateral Account.</w:t>
      </w:r>
    </w:p>
    <w:p>
      <w:pPr>
        <w:spacing w:after="0" w:line="185" w:lineRule="exact"/>
        <w:rPr>
          <w:sz w:val="20"/>
          <w:szCs w:val="20"/>
          <w:color w:val="auto"/>
        </w:rPr>
      </w:pPr>
    </w:p>
    <w:p>
      <w:pPr>
        <w:ind w:left="827" w:right="2779" w:hanging="827"/>
        <w:spacing w:after="0" w:line="236" w:lineRule="auto"/>
        <w:tabs>
          <w:tab w:leader="none" w:pos="82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Co-Borrower may irrevocably request a Letter of Credit Action in a Minimum Amount therefor by delivering a Letter of Credit Application therefor to the applicable Issuing Lender, with a copy to Administrative Agent, not later than the Requisite Time therefor. Each Letter of Credit Action shall be in a form acceptable to the applicable Issuing Lender in its sole discretion. Each such request for a Letter of Credit Action shall, if Sections 4.02(b) and (c) are applicable to such Letter of Credit Action, constitute a representation and warranty by the requesting Co-Borrower that the conditions set forth in Sections 4.02(b) and (c) are satisfied. Unless Administrative Agent notifies the applicable Issuing Lender that such Letter of Credit Action is not permitted hereunder, or the applicable Issuing Lender notifies Administrative Agent that it has determined that such Letter of Credit Action is contrary to any Laws or policies of such Issuing Lender, the applicable Issuing Lender shall effect such Letter of Credit Action. This Agreement shall control in the event of any conflict with any Letter of Credit Application. Upon the issuance of a Letter of Credit (or, with respect to the Existing Letters of Credit, on the Effective Date), each applicable Issuing Lender shall be deemed to have sold and transferred to each Lender, and each Lender shall be deemed to have purchased from each applicable Issuing Lender, a participation therein in an amount equal to such Lender's Revolving Percentage times the amount of such Letter of Credit. Each applicable Issuing Lender represents and warrants to each Lender that it has all necessary power and authority to sell and transfer such participation to each Lender, without breach of any Contractual Obligation to any other Person, and that such participation is free and clear of any adverse claim.</w:t>
      </w:r>
    </w:p>
    <w:p>
      <w:pPr>
        <w:spacing w:after="0" w:line="200" w:lineRule="exact"/>
        <w:rPr>
          <w:rFonts w:ascii="Courier New" w:cs="Courier New" w:eastAsia="Courier New" w:hAnsi="Courier New"/>
          <w:sz w:val="16"/>
          <w:szCs w:val="16"/>
          <w:color w:val="auto"/>
        </w:rPr>
      </w:pPr>
    </w:p>
    <w:p>
      <w:pPr>
        <w:ind w:left="827" w:right="2779" w:hanging="827"/>
        <w:spacing w:after="0" w:line="236" w:lineRule="auto"/>
        <w:tabs>
          <w:tab w:leader="none" w:pos="82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Co-Borrower shall reimburse each Issuing Lender through Administrative Agent for any payment that such Issuing Lender makes under a Letter of Credit requested by such Co-Borrower immediately upon demand by Administrative Agent or such Issuing Lender in Dollars; provided, however, that if the conditions precedent set forth in Section 4.02 can be satisfied, such Co-Borrower may request a Borrowing of Base Rate Loans to reimburse such Issuing Lender for such payment pursuant to Section 2.02 (without regard to the Minimum Amount requirements thereof).</w:t>
      </w:r>
    </w:p>
    <w:p>
      <w:pPr>
        <w:spacing w:after="0" w:line="185" w:lineRule="exact"/>
        <w:rPr>
          <w:rFonts w:ascii="Courier New" w:cs="Courier New" w:eastAsia="Courier New" w:hAnsi="Courier New"/>
          <w:sz w:val="16"/>
          <w:szCs w:val="16"/>
          <w:color w:val="auto"/>
        </w:rPr>
      </w:pPr>
    </w:p>
    <w:p>
      <w:pPr>
        <w:ind w:left="827" w:right="2779" w:hanging="827"/>
        <w:spacing w:after="0" w:line="271" w:lineRule="auto"/>
        <w:tabs>
          <w:tab w:leader="none" w:pos="82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drawing under a Letter of Credit, the applicable Issuing Lender shall notify Administrative Agent and the relevant Co-Borrower. If the relevant Co-Borrower fails to timely make the payment required pursuant to subsection (c) above, such Issuing Lender shall notify Administrative Agent of such fact and the amount of such unreimbursed payment. Administrative Agent shall promptly notify each Lender of its Revolving Percentage of such amount by Requisite Notice. Each Lender shall make funds in an amount equal to its Revolving Percentage of such amount available to Administrative Agent at Administrative Agent's Office not later than the Requisite Time therefor on the Business Day specified by Administrative Agent. Administrative Agent shall remit the funds so received to such Issuing Lender. The obligation of each Lender to so reimburse such Issuing Lender shall be absolute and unconditional and shall not be affected by the occurrence of a Default or Event of Default or any other occurrence or event; provided that such Issuing Lender shall not have a right to be so reimbursed in respect of a Letter of Credit if such Issuing Lender issued such Letter of Credit after being notified by Administrative Agent that such issuance was not permitted hereunder. Any such reimbursement shall not relieve or otherwise impair the obligation of each Co-Borrower to reimburse each Issuing Lender for the amount of any payment made by such Issuing Lender under any Letter of Credit, together with interest as provided herein.</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left="827" w:right="2779" w:hanging="827"/>
        <w:spacing w:after="0" w:line="236" w:lineRule="auto"/>
        <w:tabs>
          <w:tab w:leader="none" w:pos="82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conditions precedent set forth in Section 4.02 can be satisfied (except for the giving of a Request for Extension of Credit) on any date a Co-Borrower is obligated to, but fails to, reimburse an Issuing Lender for a drawing under a Letter of Credit, the funding by Lenders pursuant to subsection (d) above shall be deemed to be a Borrowing of Base Rate Loans by such Co-Borrower</w:t>
      </w:r>
    </w:p>
    <w:p>
      <w:pPr>
        <w:sectPr>
          <w:pgSz w:w="11900" w:h="16838" w:orient="portrait"/>
          <w:cols w:equalWidth="0" w:num="1">
            <w:col w:w="9387"/>
          </w:cols>
          <w:pgMar w:left="1073" w:top="469" w:right="1440" w:bottom="239" w:gutter="0" w:footer="0" w:header="0"/>
        </w:sectPr>
      </w:pPr>
    </w:p>
    <w:bookmarkStart w:id="52" w:name="page53"/>
    <w:bookmarkEnd w:id="52"/>
    <w:p>
      <w:pPr>
        <w:ind w:left="2787"/>
        <w:spacing w:after="0"/>
        <w:rPr>
          <w:sz w:val="20"/>
          <w:szCs w:val="20"/>
          <w:color w:val="auto"/>
        </w:rPr>
      </w:pPr>
      <w:r>
        <w:rPr>
          <w:rFonts w:ascii="Courier New" w:cs="Courier New" w:eastAsia="Courier New" w:hAnsi="Courier New"/>
          <w:sz w:val="16"/>
          <w:szCs w:val="16"/>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27" w:right="2779"/>
        <w:spacing w:after="0" w:line="236" w:lineRule="auto"/>
        <w:rPr>
          <w:sz w:val="20"/>
          <w:szCs w:val="20"/>
          <w:color w:val="auto"/>
        </w:rPr>
      </w:pPr>
      <w:r>
        <w:rPr>
          <w:rFonts w:ascii="Courier New" w:cs="Courier New" w:eastAsia="Courier New" w:hAnsi="Courier New"/>
          <w:sz w:val="16"/>
          <w:szCs w:val="16"/>
          <w:color w:val="auto"/>
        </w:rPr>
        <w:t>(without regard to the Minimum Amount therefor). If the conditions precedent set forth in Section 4.02 cannot be satisfied on the date a Co-Borrower is obligated to, but fails to, reimburse an Issuing Lender for a drawing under a Letter of Credit, the funding by Lenders pursuant to the previous subsection shall be deemed to be a funding by each Lender of its participation in such Letter of Credit, and each Lender making such funding shall thereupon acquire a pro rata participation, to the extent of its payment, in the claim of such Issuing Lender against the relevant Co-Borrower in respect of such payment and shall share, in accordance with that pro rata participation, in any payment made by such Co-Borrower with respect to such claim. Any amounts made available by a Lender under its participation shall be payable by the relevant Co-Borrower upon demand of Administrative Agent, and shall bear interest at a rate per annum equal to the Default Rate.</w:t>
      </w:r>
    </w:p>
    <w:p>
      <w:pPr>
        <w:spacing w:after="0" w:line="190" w:lineRule="exact"/>
        <w:rPr>
          <w:sz w:val="20"/>
          <w:szCs w:val="20"/>
          <w:color w:val="auto"/>
        </w:rPr>
      </w:pPr>
    </w:p>
    <w:p>
      <w:pPr>
        <w:ind w:left="827" w:right="2779" w:hanging="827"/>
        <w:spacing w:after="0" w:line="272" w:lineRule="auto"/>
        <w:tabs>
          <w:tab w:leader="none" w:pos="82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Co-Borrower may request Letters of Credit that have automatic extension or renewal provisions ("evergreen" Letters of Credit), so long as the applicable Issuing Lender consents thereto and has the right not to permit any such extension or renewal at least annually within a notice period to be agreed upon at the time each such Letter of Credit is issued. Once an evergreen Letter of Credit (including any Existing Letter of Credit) is issued, unless Administrative Agent has notified the applicable Issuing Lender that Required Lenders have elected not to permit such extension or renewal, the requesting Co-Borrower, Administrative Agent and Lenders shall be deemed to have authorized (but may not require) such Issuing Lender to permit the renewal of such evergreen Letter of Credit at any time to a date not later than five Business Days prior to the Revolving Termination Date. Such Issuing Lender may elect not to permit an evergreen Letter of Credit to be extended or renewed at any time. If such Issuing Lender so elects, it will promptly give Administrative Agent notice of such election. Administrative Agent will promptly notify Lenders of the non-extension or non-renewal of any evergreen Letter of Credit.</w:t>
      </w: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left="827" w:right="2879" w:hanging="827"/>
        <w:spacing w:after="0" w:line="236" w:lineRule="auto"/>
        <w:tabs>
          <w:tab w:leader="none" w:pos="827"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of each Co-Borrower to pay to each Issuing Lender the amount of any payment made by such Issuing Lender under any Letter of Credit shall be absolute, unconditional, and irrevocable. Without limiting the foregoing, the Co-Borrowers' obligations shall not be affected by any of the following circumstances:</w:t>
      </w:r>
    </w:p>
    <w:p>
      <w:pPr>
        <w:spacing w:after="0" w:line="182" w:lineRule="exact"/>
        <w:rPr>
          <w:rFonts w:ascii="Courier New" w:cs="Courier New" w:eastAsia="Courier New" w:hAnsi="Courier New"/>
          <w:sz w:val="16"/>
          <w:szCs w:val="16"/>
          <w:color w:val="auto"/>
        </w:rPr>
      </w:pPr>
    </w:p>
    <w:p>
      <w:pPr>
        <w:ind w:left="1667" w:right="2779" w:hanging="830"/>
        <w:spacing w:after="0" w:line="235" w:lineRule="auto"/>
        <w:tabs>
          <w:tab w:leader="none" w:pos="1667"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lack of validity or enforceability of such Letter of Credit, this Agreement, or any other agreement or instrument relating thereto;</w:t>
      </w:r>
    </w:p>
    <w:p>
      <w:pPr>
        <w:spacing w:after="0" w:line="183" w:lineRule="exact"/>
        <w:rPr>
          <w:rFonts w:ascii="Courier New" w:cs="Courier New" w:eastAsia="Courier New" w:hAnsi="Courier New"/>
          <w:sz w:val="16"/>
          <w:szCs w:val="16"/>
          <w:color w:val="auto"/>
        </w:rPr>
      </w:pPr>
    </w:p>
    <w:p>
      <w:pPr>
        <w:ind w:left="1667" w:right="2879" w:hanging="830"/>
        <w:spacing w:after="0" w:line="235" w:lineRule="auto"/>
        <w:tabs>
          <w:tab w:leader="none" w:pos="1667"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or waiver of or any consent to departure from such Letter of Credit, this Agreement or any other agreement or instrument relating hereto or thereto;</w:t>
      </w:r>
    </w:p>
    <w:p>
      <w:pPr>
        <w:spacing w:after="0" w:line="184" w:lineRule="exact"/>
        <w:rPr>
          <w:rFonts w:ascii="Courier New" w:cs="Courier New" w:eastAsia="Courier New" w:hAnsi="Courier New"/>
          <w:sz w:val="16"/>
          <w:szCs w:val="16"/>
          <w:color w:val="auto"/>
        </w:rPr>
      </w:pPr>
    </w:p>
    <w:p>
      <w:pPr>
        <w:ind w:left="1667" w:right="2879" w:hanging="830"/>
        <w:spacing w:after="0" w:line="273" w:lineRule="auto"/>
        <w:tabs>
          <w:tab w:leader="none" w:pos="1667"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any claim, setoff, defense or other rights which a Co-Borrower may have at any time against such Issuing Lender, Administrative Agent or any Lender, any beneficiary of such Letter of Credit (or any persons or entities for whom any such beneficiary may be acting) or any other Person, whether in connection with such Letter of Credit, this Agreement or any other agreement or instrument relating thereto, or any unrelated transactions;</w:t>
      </w:r>
    </w:p>
    <w:p>
      <w:pPr>
        <w:spacing w:after="0" w:line="165" w:lineRule="exact"/>
        <w:rPr>
          <w:rFonts w:ascii="Courier New" w:cs="Courier New" w:eastAsia="Courier New" w:hAnsi="Courier New"/>
          <w:sz w:val="14"/>
          <w:szCs w:val="14"/>
          <w:color w:val="auto"/>
        </w:rPr>
      </w:pPr>
    </w:p>
    <w:p>
      <w:pPr>
        <w:ind w:left="1667" w:right="2779" w:hanging="830"/>
        <w:spacing w:after="0" w:line="236" w:lineRule="auto"/>
        <w:tabs>
          <w:tab w:leader="none" w:pos="1667"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demand, statement or any other document presented under such Letter of Credit proving to be forged, fraudulent, invalid or insufficient in any respect or any statement therein being untrue or inaccurate in any respect whatsoever so long as any such document appeared to comply with the terms of such Letter of Credit;</w:t>
      </w:r>
    </w:p>
    <w:p>
      <w:pPr>
        <w:spacing w:after="0" w:line="183" w:lineRule="exact"/>
        <w:rPr>
          <w:rFonts w:ascii="Courier New" w:cs="Courier New" w:eastAsia="Courier New" w:hAnsi="Courier New"/>
          <w:sz w:val="16"/>
          <w:szCs w:val="16"/>
          <w:color w:val="auto"/>
        </w:rPr>
      </w:pPr>
    </w:p>
    <w:p>
      <w:pPr>
        <w:ind w:left="1667" w:right="2779" w:hanging="830"/>
        <w:spacing w:after="0" w:line="235" w:lineRule="auto"/>
        <w:tabs>
          <w:tab w:leader="none" w:pos="1667"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by such Issuing Lender in good faith under such Letter of Credit against presentation of a draft or any accompanying document which does not strictly comply with the terms of such Letter of Credit, or any payment made by such</w:t>
      </w:r>
    </w:p>
    <w:p>
      <w:pPr>
        <w:sectPr>
          <w:pgSz w:w="11900" w:h="16838" w:orient="portrait"/>
          <w:cols w:equalWidth="0" w:num="1">
            <w:col w:w="9387"/>
          </w:cols>
          <w:pgMar w:left="1073" w:top="469" w:right="1440" w:bottom="778" w:gutter="0" w:footer="0" w:header="0"/>
        </w:sectPr>
      </w:pPr>
    </w:p>
    <w:bookmarkStart w:id="53" w:name="page54"/>
    <w:bookmarkEnd w:id="53"/>
    <w:p>
      <w:pPr>
        <w:ind w:left="3625"/>
        <w:spacing w:after="0"/>
        <w:rPr>
          <w:sz w:val="20"/>
          <w:szCs w:val="20"/>
          <w:color w:val="auto"/>
        </w:rPr>
      </w:pPr>
      <w:r>
        <w:rPr>
          <w:rFonts w:ascii="Courier New" w:cs="Courier New" w:eastAsia="Courier New" w:hAnsi="Courier New"/>
          <w:sz w:val="16"/>
          <w:szCs w:val="16"/>
          <w:color w:val="auto"/>
        </w:rPr>
        <w:t>22</w:t>
      </w:r>
    </w:p>
    <w:p>
      <w:pPr>
        <w:spacing w:after="0" w:line="200" w:lineRule="exact"/>
        <w:rPr>
          <w:sz w:val="20"/>
          <w:szCs w:val="20"/>
          <w:color w:val="auto"/>
        </w:rPr>
      </w:pPr>
    </w:p>
    <w:p>
      <w:pPr>
        <w:spacing w:after="0" w:line="334"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Issuing Lender under such Letter of Credit to any</w:t>
      </w:r>
    </w:p>
    <w:p>
      <w:pPr>
        <w:ind w:left="2505"/>
        <w:spacing w:after="0" w:line="236" w:lineRule="auto"/>
        <w:rPr>
          <w:sz w:val="20"/>
          <w:szCs w:val="20"/>
          <w:color w:val="auto"/>
        </w:rPr>
      </w:pPr>
      <w:r>
        <w:rPr>
          <w:rFonts w:ascii="Courier New" w:cs="Courier New" w:eastAsia="Courier New" w:hAnsi="Courier New"/>
          <w:sz w:val="16"/>
          <w:szCs w:val="16"/>
          <w:color w:val="auto"/>
        </w:rPr>
        <w:t>Person purporting to be a trustee in bankruptcy,</w:t>
      </w:r>
    </w:p>
    <w:p>
      <w:pPr>
        <w:ind w:left="2505"/>
        <w:spacing w:after="0" w:line="237" w:lineRule="auto"/>
        <w:rPr>
          <w:sz w:val="20"/>
          <w:szCs w:val="20"/>
          <w:color w:val="auto"/>
        </w:rPr>
      </w:pPr>
      <w:r>
        <w:rPr>
          <w:rFonts w:ascii="Courier New" w:cs="Courier New" w:eastAsia="Courier New" w:hAnsi="Courier New"/>
          <w:sz w:val="16"/>
          <w:szCs w:val="16"/>
          <w:color w:val="auto"/>
        </w:rPr>
        <w:t>debtor-in-possession, assignee for the benefit of</w:t>
      </w:r>
    </w:p>
    <w:p>
      <w:pPr>
        <w:ind w:left="2505"/>
        <w:spacing w:after="0" w:line="237" w:lineRule="auto"/>
        <w:rPr>
          <w:sz w:val="20"/>
          <w:szCs w:val="20"/>
          <w:color w:val="auto"/>
        </w:rPr>
      </w:pPr>
      <w:r>
        <w:rPr>
          <w:rFonts w:ascii="Courier New" w:cs="Courier New" w:eastAsia="Courier New" w:hAnsi="Courier New"/>
          <w:sz w:val="16"/>
          <w:szCs w:val="16"/>
          <w:color w:val="auto"/>
        </w:rPr>
        <w:t>creditors, liquidation, receiver or other</w:t>
      </w:r>
    </w:p>
    <w:p>
      <w:pPr>
        <w:spacing w:after="0" w:line="4" w:lineRule="exact"/>
        <w:rPr>
          <w:sz w:val="20"/>
          <w:szCs w:val="20"/>
          <w:color w:val="auto"/>
        </w:rPr>
      </w:pPr>
    </w:p>
    <w:p>
      <w:pPr>
        <w:ind w:left="2505"/>
        <w:spacing w:after="0"/>
        <w:rPr>
          <w:sz w:val="20"/>
          <w:szCs w:val="20"/>
          <w:color w:val="auto"/>
        </w:rPr>
      </w:pPr>
      <w:r>
        <w:rPr>
          <w:rFonts w:ascii="Courier New" w:cs="Courier New" w:eastAsia="Courier New" w:hAnsi="Courier New"/>
          <w:sz w:val="14"/>
          <w:szCs w:val="14"/>
          <w:color w:val="auto"/>
        </w:rPr>
        <w:t>representative of or successor to any beneficiary or</w:t>
      </w:r>
    </w:p>
    <w:p>
      <w:pPr>
        <w:spacing w:after="0" w:line="14"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any transferee of such Letter of Credit, including</w:t>
      </w:r>
    </w:p>
    <w:p>
      <w:pPr>
        <w:ind w:left="2505"/>
        <w:spacing w:after="0" w:line="236" w:lineRule="auto"/>
        <w:rPr>
          <w:sz w:val="20"/>
          <w:szCs w:val="20"/>
          <w:color w:val="auto"/>
        </w:rPr>
      </w:pPr>
      <w:r>
        <w:rPr>
          <w:rFonts w:ascii="Courier New" w:cs="Courier New" w:eastAsia="Courier New" w:hAnsi="Courier New"/>
          <w:sz w:val="16"/>
          <w:szCs w:val="16"/>
          <w:color w:val="auto"/>
        </w:rPr>
        <w:t>any arising in connection with any proceeding under</w:t>
      </w:r>
    </w:p>
    <w:p>
      <w:pPr>
        <w:ind w:left="2505"/>
        <w:spacing w:after="0" w:line="237" w:lineRule="auto"/>
        <w:rPr>
          <w:sz w:val="20"/>
          <w:szCs w:val="20"/>
          <w:color w:val="auto"/>
        </w:rPr>
      </w:pPr>
      <w:r>
        <w:rPr>
          <w:rFonts w:ascii="Courier New" w:cs="Courier New" w:eastAsia="Courier New" w:hAnsi="Courier New"/>
          <w:sz w:val="16"/>
          <w:szCs w:val="16"/>
          <w:color w:val="auto"/>
        </w:rPr>
        <w:t>any Debtor Relief Laws;</w:t>
      </w:r>
    </w:p>
    <w:p>
      <w:pPr>
        <w:spacing w:after="0" w:line="183" w:lineRule="exact"/>
        <w:rPr>
          <w:sz w:val="20"/>
          <w:szCs w:val="20"/>
          <w:color w:val="auto"/>
        </w:rPr>
      </w:pPr>
    </w:p>
    <w:p>
      <w:pPr>
        <w:ind w:left="2505" w:right="2779" w:hanging="830"/>
        <w:spacing w:after="0" w:line="235" w:lineRule="auto"/>
        <w:tabs>
          <w:tab w:leader="none" w:pos="250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error in the transmission of any message relating to such Letter of Credit not caused by such Issuing Lender, or any delay or interruption in any such message;</w:t>
      </w:r>
    </w:p>
    <w:p>
      <w:pPr>
        <w:spacing w:after="0" w:line="184" w:lineRule="exact"/>
        <w:rPr>
          <w:rFonts w:ascii="Courier New" w:cs="Courier New" w:eastAsia="Courier New" w:hAnsi="Courier New"/>
          <w:sz w:val="16"/>
          <w:szCs w:val="16"/>
          <w:color w:val="auto"/>
        </w:rPr>
      </w:pPr>
    </w:p>
    <w:p>
      <w:pPr>
        <w:jc w:val="both"/>
        <w:ind w:left="2505" w:right="2779" w:hanging="830"/>
        <w:spacing w:after="0" w:line="235" w:lineRule="auto"/>
        <w:tabs>
          <w:tab w:leader="none" w:pos="250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error, neglect or default of any correspondent of such Issuing Lender in connection with such Letter of Credit;</w:t>
      </w:r>
    </w:p>
    <w:p>
      <w:pPr>
        <w:spacing w:after="0" w:line="183" w:lineRule="exact"/>
        <w:rPr>
          <w:rFonts w:ascii="Courier New" w:cs="Courier New" w:eastAsia="Courier New" w:hAnsi="Courier New"/>
          <w:sz w:val="16"/>
          <w:szCs w:val="16"/>
          <w:color w:val="auto"/>
        </w:rPr>
      </w:pPr>
    </w:p>
    <w:p>
      <w:pPr>
        <w:ind w:left="2505" w:right="2779" w:hanging="830"/>
        <w:spacing w:after="0" w:line="235" w:lineRule="auto"/>
        <w:tabs>
          <w:tab w:leader="none" w:pos="250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consequence arising from acts of God, wars, insurrections, civil unrest, disturbances, labor disputes, emergency conditions or other causes beyond the control of such Issuing Lender;</w:t>
      </w:r>
    </w:p>
    <w:p>
      <w:pPr>
        <w:spacing w:after="0" w:line="184" w:lineRule="exact"/>
        <w:rPr>
          <w:rFonts w:ascii="Courier New" w:cs="Courier New" w:eastAsia="Courier New" w:hAnsi="Courier New"/>
          <w:sz w:val="16"/>
          <w:szCs w:val="16"/>
          <w:color w:val="auto"/>
        </w:rPr>
      </w:pPr>
    </w:p>
    <w:p>
      <w:pPr>
        <w:ind w:left="2505" w:right="2779" w:hanging="830"/>
        <w:spacing w:after="0" w:line="236" w:lineRule="auto"/>
        <w:tabs>
          <w:tab w:leader="none" w:pos="250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such Issuing Lender in good faith determines that the document appears to comply with the terms of such Letter of Credit, the form, accuracy, genuineness or legal effect of any contract or document referred to in any document submitted to such Issuing Lender in connection with such Letter of Credit; and</w:t>
      </w:r>
    </w:p>
    <w:p>
      <w:pPr>
        <w:spacing w:after="0" w:line="183" w:lineRule="exact"/>
        <w:rPr>
          <w:rFonts w:ascii="Courier New" w:cs="Courier New" w:eastAsia="Courier New" w:hAnsi="Courier New"/>
          <w:sz w:val="16"/>
          <w:szCs w:val="16"/>
          <w:color w:val="auto"/>
        </w:rPr>
      </w:pPr>
    </w:p>
    <w:p>
      <w:pPr>
        <w:ind w:left="2505" w:right="2779" w:hanging="830"/>
        <w:spacing w:after="0" w:line="234" w:lineRule="auto"/>
        <w:tabs>
          <w:tab w:leader="none" w:pos="250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circumstances whatsoever where such Issuing Lender has acted in good faith.</w:t>
      </w:r>
    </w:p>
    <w:p>
      <w:pPr>
        <w:spacing w:after="0" w:line="183" w:lineRule="exact"/>
        <w:rPr>
          <w:sz w:val="20"/>
          <w:szCs w:val="20"/>
          <w:color w:val="auto"/>
        </w:rPr>
      </w:pPr>
    </w:p>
    <w:p>
      <w:pPr>
        <w:ind w:left="5" w:right="2779" w:firstLine="1674"/>
        <w:spacing w:after="0" w:line="236" w:lineRule="auto"/>
        <w:rPr>
          <w:sz w:val="20"/>
          <w:szCs w:val="20"/>
          <w:color w:val="auto"/>
        </w:rPr>
      </w:pPr>
      <w:r>
        <w:rPr>
          <w:rFonts w:ascii="Courier New" w:cs="Courier New" w:eastAsia="Courier New" w:hAnsi="Courier New"/>
          <w:sz w:val="16"/>
          <w:szCs w:val="16"/>
          <w:color w:val="auto"/>
        </w:rPr>
        <w:t>In addition, the requesting Co-Borrower will promptly examine a copy of each Letter of Credit and amendments thereto delivered to it and, in the event of any claim of noncompliance with such Co-Borrower's instructions or other irregularity, such Co-Borrower will immediately notify the applicable Issuing Lender in writing. Such Co-Borrower shall be conclusively deemed to have waived any such claim against such Issuing Lender and its correspondents unless such notice is given as aforesaid.</w:t>
      </w:r>
    </w:p>
    <w:p>
      <w:pPr>
        <w:spacing w:after="0" w:line="184" w:lineRule="exact"/>
        <w:rPr>
          <w:sz w:val="20"/>
          <w:szCs w:val="20"/>
          <w:color w:val="auto"/>
        </w:rPr>
      </w:pPr>
    </w:p>
    <w:p>
      <w:pPr>
        <w:ind w:left="5" w:right="2779" w:hanging="5"/>
        <w:spacing w:after="0" w:line="271" w:lineRule="auto"/>
        <w:tabs>
          <w:tab w:leader="none" w:pos="377"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and each Co-Borrower agree that, in paying any drawing under a Letter of Credit, no Issuing Lender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Issuing Lender, Administrative Agent-Related Person or any of the respective correspondents, participants or assignees of any Issuing Lender shall be liable to any Lender for any action taken or omitted in connection herewith at the request or with the approval of Lenders or Required Lenders, as applicable, any action taken or omitted in the absence of gross negligence or willful misconduct or the due execution, effectiveness, validity or enforceability of any document or instrument related to any Letter of Credit. Each Co-Borrower hereby assumes all risks of the acts or omissions of any beneficiary or transferee relative to any Issuing Lender, any Lender or any Administrative Agent-Related Person with respect to its use of any Letter of Credit; provided, however, that this assumption is not intended to, and shall not, preclude such Co-Borrower's pursuing such rights and remedies as it may have against the beneficiary or transferee at law or under any other agreement. No Issuing Lender, Administrative Agent-Related Person or any of the respective correspondents, participants or assignees of any Issuing Lender shall be liable or responsible for any of the matters described in subsection (g) above in the absence of such Person's gross negligence or willful misconduct. In furtherance and not in limitation of the foregoing, any Issuing Lender may accept documents that appear on their face to be in order, without responsibility for further investigation, regardless of any notice or information to the contrary, and such Issuing Lender shall not be responsible for the validity or sufficiency of any instrument</w:t>
      </w:r>
    </w:p>
    <w:p>
      <w:pPr>
        <w:sectPr>
          <w:pgSz w:w="11900" w:h="16838" w:orient="portrait"/>
          <w:cols w:equalWidth="0" w:num="1">
            <w:col w:w="10224"/>
          </w:cols>
          <w:pgMar w:left="235" w:top="469" w:right="1440" w:bottom="1440" w:gutter="0" w:footer="0" w:header="0"/>
        </w:sectPr>
      </w:pPr>
    </w:p>
    <w:bookmarkStart w:id="54" w:name="page55"/>
    <w:bookmarkEnd w:id="54"/>
    <w:p>
      <w:pPr>
        <w:ind w:left="3620"/>
        <w:spacing w:after="0"/>
        <w:rPr>
          <w:sz w:val="20"/>
          <w:szCs w:val="20"/>
          <w:color w:val="auto"/>
        </w:rPr>
      </w:pPr>
      <w:r>
        <w:rPr>
          <w:rFonts w:ascii="Courier New" w:cs="Courier New" w:eastAsia="Courier New" w:hAnsi="Courier New"/>
          <w:sz w:val="16"/>
          <w:szCs w:val="16"/>
          <w:color w:val="auto"/>
        </w:rPr>
        <w:t>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transferring or assigning or purporting to transfer or assign a Letter of Credit or the rights or benefits thereunder or proceeds thereof, in whole or in part, which may prove to be invalid or ineffective for any reason.</w:t>
      </w:r>
    </w:p>
    <w:p>
      <w:pPr>
        <w:spacing w:after="0" w:line="183" w:lineRule="exact"/>
        <w:rPr>
          <w:sz w:val="20"/>
          <w:szCs w:val="20"/>
          <w:color w:val="auto"/>
        </w:rPr>
      </w:pPr>
    </w:p>
    <w:p>
      <w:pPr>
        <w:ind w:right="2779" w:firstLine="1670"/>
        <w:spacing w:after="0" w:line="236" w:lineRule="auto"/>
        <w:tabs>
          <w:tab w:leader="none" w:pos="204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expressly agreed by the applicable Issuing Lender and the requesting Co-Borrower when a Letter of Credit is issued and subject to applicable Laws, performance under Letters of Credit by each Issuing Lender, its correspondents, and beneficiaries will be governed by, as applicable, the rules of the International Standby Practices 1998, or such later revision as may be published by the Institute of International Banking Law &amp; Practice, or the Uniform Customs and Practice for Documentary Credits, International Chamber of Commerce Publication No. 500, as the same may be revised from time to time.</w:t>
      </w:r>
    </w:p>
    <w:p>
      <w:pPr>
        <w:spacing w:after="0" w:line="184"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Co-Borrower shall pay to Administrative Agent on each Applicable Payment Date in arrears, for the account of each Lender in accordance with its Revolving Percentage, a Letter of Credit fee equal to the Applicable Amount times the actual daily maximum amount available to be drawn under each Letter of Credit requested by such Co-Borrower since the later of the Effective Date and the previous Applicable Payment Date. Borrower shall pay directly to each Issuing Lender of an Existing Letter of Credit any fees and expenses payable in respect of such Existing Letter of Credit for any period prior to the Effective Date. If there is any change in the Applicable Amount during any quarter, the actual daily amount shall be computed and multiplied by the Applicable Amount separately for each period during such quarter that such Applicable Amount was in effect.</w:t>
      </w:r>
    </w:p>
    <w:p>
      <w:pPr>
        <w:spacing w:after="0" w:line="186"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Co-Borrower shall pay directly to each Issuing Lender, for its sole account, a fronting fee for each Letter of Credit requested by such Co-Borrower in such amount and at such times as may be set forth in a separate letter agreement between such Co-Borrower and such Issuing Lender. In addition, each Co-Borrower shall pay directly to each Issuing Lender, upon demand, for its sole account, its customary documentary and processing charges in accordance with its standard schedule, as from time to time in effect, for any Letter of Credit Action or other occurrence relating to a Letter of Credit requested by such Co-Borrower for which such charges are customarily made. Such fees and charges are nonrefundable.</w:t>
      </w:r>
    </w:p>
    <w:p>
      <w:pPr>
        <w:spacing w:after="0" w:line="185"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Issuing Lender shall deliver to Administrative Agent, not later than the 20th day after each calendar quarter ending after the Effective Date, a written report, in form reasonably satisfactory to Administrative Agent, setting forth the Letters of Credit issued by such Issuing Lender and outstanding as of the last day of such calendar quarter, any Letter of Credit Actions effected during such calendar quarter, and any draws made under such Letters of Credit during such calendar quarter.</w:t>
      </w:r>
    </w:p>
    <w:p>
      <w:pPr>
        <w:spacing w:after="0" w:line="184" w:lineRule="exact"/>
        <w:rPr>
          <w:sz w:val="20"/>
          <w:szCs w:val="20"/>
          <w:color w:val="auto"/>
        </w:rPr>
      </w:pPr>
    </w:p>
    <w:p>
      <w:pPr>
        <w:ind w:right="2779" w:firstLine="1674"/>
        <w:spacing w:after="0" w:line="272" w:lineRule="auto"/>
        <w:rPr>
          <w:sz w:val="20"/>
          <w:szCs w:val="20"/>
          <w:color w:val="auto"/>
        </w:rPr>
      </w:pPr>
      <w:r>
        <w:rPr>
          <w:rFonts w:ascii="Courier New" w:cs="Courier New" w:eastAsia="Courier New" w:hAnsi="Courier New"/>
          <w:sz w:val="14"/>
          <w:szCs w:val="14"/>
          <w:color w:val="auto"/>
        </w:rPr>
        <w:t>2.04 Competitive Bid Procedure. (a) Subject to the terms and conditions set forth herein, during the period from and including the Effective Date to, but not including, the Revolving Termination Date, each Co-Borrower may request Competitive Bids and may (but shall not have any obligation to) accept Competitive Bids and borrow Competitive Loans; provided that Outstanding Revolving Obligations of all Lenders plus the aggregate principal amount of outstanding Competitive Loans at any time shall not exceed the combined Revolving Commitments. To request Competitive Bids, a Co-Borrower shall notify Administrative Agent of such request by telephone not later than the Requisite Time therefor; provided that a Co-Borrower may submit up to (but not more than) two Competitive Bid Requests on the same day, but no Competitive Bid Request or Requests shall be made within five Business Days after the date of any previous Competitive Bid Request or Requests, unless any and all such previous Competitive Bid Requests shall have been withdrawn or all Competitive Bids received in response thereto rejected. Each such telephonic Competitive Bid Request shall be confirmed promptly by hand delivery or telecopy to Administrative Agent of a written Competitive Bid Request in a form</w:t>
      </w:r>
    </w:p>
    <w:p>
      <w:pPr>
        <w:sectPr>
          <w:pgSz w:w="11900" w:h="16838" w:orient="portrait"/>
          <w:cols w:equalWidth="0" w:num="1">
            <w:col w:w="10219"/>
          </w:cols>
          <w:pgMar w:left="240" w:top="469" w:right="1440" w:bottom="1440" w:gutter="0" w:footer="0" w:header="0"/>
        </w:sectPr>
      </w:pPr>
    </w:p>
    <w:bookmarkStart w:id="55" w:name="page56"/>
    <w:bookmarkEnd w:id="55"/>
    <w:p>
      <w:pPr>
        <w:ind w:left="3625"/>
        <w:spacing w:after="0"/>
        <w:rPr>
          <w:sz w:val="20"/>
          <w:szCs w:val="20"/>
          <w:color w:val="auto"/>
        </w:rPr>
      </w:pPr>
      <w:r>
        <w:rPr>
          <w:rFonts w:ascii="Courier New" w:cs="Courier New" w:eastAsia="Courier New" w:hAnsi="Courier New"/>
          <w:sz w:val="16"/>
          <w:szCs w:val="16"/>
          <w:color w:val="auto"/>
        </w:rPr>
        <w:t>24</w:t>
      </w:r>
    </w:p>
    <w:p>
      <w:pPr>
        <w:spacing w:after="0" w:line="200" w:lineRule="exact"/>
        <w:rPr>
          <w:sz w:val="20"/>
          <w:szCs w:val="20"/>
          <w:color w:val="auto"/>
        </w:rPr>
      </w:pPr>
    </w:p>
    <w:p>
      <w:pPr>
        <w:spacing w:after="0" w:line="340" w:lineRule="exact"/>
        <w:rPr>
          <w:sz w:val="20"/>
          <w:szCs w:val="20"/>
          <w:color w:val="auto"/>
        </w:rPr>
      </w:pPr>
    </w:p>
    <w:p>
      <w:pPr>
        <w:ind w:left="5" w:right="3059"/>
        <w:spacing w:after="0" w:line="295" w:lineRule="auto"/>
        <w:rPr>
          <w:sz w:val="20"/>
          <w:szCs w:val="20"/>
          <w:color w:val="auto"/>
        </w:rPr>
      </w:pPr>
      <w:r>
        <w:rPr>
          <w:rFonts w:ascii="Courier New" w:cs="Courier New" w:eastAsia="Courier New" w:hAnsi="Courier New"/>
          <w:sz w:val="14"/>
          <w:szCs w:val="14"/>
          <w:color w:val="auto"/>
        </w:rPr>
        <w:t>approved by Administrative Agent and signed by Borrower. Each such telephonic and written Competitive Bid Request shall specify the following information:</w:t>
      </w:r>
    </w:p>
    <w:p>
      <w:pPr>
        <w:spacing w:after="0" w:line="147" w:lineRule="exact"/>
        <w:rPr>
          <w:sz w:val="20"/>
          <w:szCs w:val="20"/>
          <w:color w:val="auto"/>
        </w:rPr>
      </w:pPr>
    </w:p>
    <w:p>
      <w:pPr>
        <w:ind w:left="1665" w:right="2959" w:hanging="827"/>
        <w:spacing w:after="0" w:line="234" w:lineRule="auto"/>
        <w:tabs>
          <w:tab w:leader="none" w:pos="166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the requested Borrowing (which shall be at least the Minimum Amount therefor);</w:t>
      </w:r>
    </w:p>
    <w:p>
      <w:pPr>
        <w:spacing w:after="0" w:line="177" w:lineRule="exact"/>
        <w:rPr>
          <w:rFonts w:ascii="Courier New" w:cs="Courier New" w:eastAsia="Courier New" w:hAnsi="Courier New"/>
          <w:sz w:val="16"/>
          <w:szCs w:val="16"/>
          <w:color w:val="auto"/>
        </w:rPr>
      </w:pPr>
    </w:p>
    <w:p>
      <w:pPr>
        <w:ind w:left="1665" w:hanging="827"/>
        <w:spacing w:after="0"/>
        <w:tabs>
          <w:tab w:leader="none" w:pos="166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of such Borrowing, which shall be a Business Day;</w:t>
      </w:r>
    </w:p>
    <w:p>
      <w:pPr>
        <w:spacing w:after="0" w:line="182" w:lineRule="exact"/>
        <w:rPr>
          <w:rFonts w:ascii="Courier New" w:cs="Courier New" w:eastAsia="Courier New" w:hAnsi="Courier New"/>
          <w:sz w:val="16"/>
          <w:szCs w:val="16"/>
          <w:color w:val="auto"/>
        </w:rPr>
      </w:pPr>
    </w:p>
    <w:p>
      <w:pPr>
        <w:ind w:left="1665" w:right="2779" w:hanging="827"/>
        <w:spacing w:after="0" w:line="279" w:lineRule="auto"/>
        <w:tabs>
          <w:tab w:leader="none" w:pos="166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such Borrowing is to be a Borrowing of Eurodollar Rate Loans or of Fixed Rate Loans (it being understood and agreed that each Borrowing of Competitive Loans shall be comprised entirely of Eurodollar Rate Loans or Fixed Rate Loans); and</w:t>
      </w:r>
    </w:p>
    <w:p>
      <w:pPr>
        <w:spacing w:after="0" w:line="156" w:lineRule="exact"/>
        <w:rPr>
          <w:rFonts w:ascii="Courier New" w:cs="Courier New" w:eastAsia="Courier New" w:hAnsi="Courier New"/>
          <w:sz w:val="14"/>
          <w:szCs w:val="14"/>
          <w:color w:val="auto"/>
        </w:rPr>
      </w:pPr>
    </w:p>
    <w:p>
      <w:pPr>
        <w:ind w:left="1665" w:right="2879" w:hanging="827"/>
        <w:spacing w:after="0" w:line="235" w:lineRule="auto"/>
        <w:tabs>
          <w:tab w:leader="none" w:pos="166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Period to be applicable to such Borrowing, which shall be a period contemplated by the definition of the term "Interest Period".</w:t>
      </w:r>
    </w:p>
    <w:p>
      <w:pPr>
        <w:spacing w:after="0" w:line="183" w:lineRule="exact"/>
        <w:rPr>
          <w:sz w:val="20"/>
          <w:szCs w:val="20"/>
          <w:color w:val="auto"/>
        </w:rPr>
      </w:pPr>
    </w:p>
    <w:p>
      <w:pPr>
        <w:jc w:val="both"/>
        <w:ind w:left="5" w:right="2779"/>
        <w:spacing w:after="0" w:line="235" w:lineRule="auto"/>
        <w:rPr>
          <w:sz w:val="20"/>
          <w:szCs w:val="20"/>
          <w:color w:val="auto"/>
        </w:rPr>
      </w:pPr>
      <w:r>
        <w:rPr>
          <w:rFonts w:ascii="Courier New" w:cs="Courier New" w:eastAsia="Courier New" w:hAnsi="Courier New"/>
          <w:sz w:val="16"/>
          <w:szCs w:val="16"/>
          <w:color w:val="auto"/>
        </w:rPr>
        <w:t>Promptly following receipt of a Competitive Bid Request in accordance with this Section, Administrative Agent shall notify the Lenders of the details thereof by telecopy, inviting the Lenders to submit Competitive Bids.</w:t>
      </w:r>
    </w:p>
    <w:p>
      <w:pPr>
        <w:spacing w:after="0" w:line="183" w:lineRule="exact"/>
        <w:rPr>
          <w:sz w:val="20"/>
          <w:szCs w:val="20"/>
          <w:color w:val="auto"/>
        </w:rPr>
      </w:pPr>
    </w:p>
    <w:p>
      <w:pPr>
        <w:ind w:left="5" w:right="2779" w:firstLine="1670"/>
        <w:spacing w:after="0" w:line="272" w:lineRule="auto"/>
        <w:tabs>
          <w:tab w:leader="none" w:pos="2051"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(but shall not have any obligation to) make one or more Competitive Bids to the applicable Co-Borrower in response to a Competitive Bid Request. Each Competitive Bid by a Lender must be in a form approved by Administrative Agent and must be received by Administrative Agent by telecopy, in the case of a Competitive Borrowing of Eurodollar Rate Loans, not later than 9:30 a.m., New York City time, three Business Days before the proposed date of such Competitive Borrowing, and in the case of a Fixed Rate Borrowing, not later than 9:30 a.m., New York City time, on the proposed date of such Competitive Borrowing. Competitive Bids that do not conform substantially to the form approved by Administrative Agent may be rejected by Administrative Agent, and Administrative Agent shall notify the applicable Lender as promptly as practicable. Each Competitive Bid shall specify (i) the principal amount (which shall be a minimum of $10,000,000 and an integral multiple of $1,000,000 and which may equal the entire principal amount of the Competitive Borrowing requested by the applicable Co-Borrower) of the Competitive Loan or Loans that the Lender is willing to make, (ii) the Competitive Bid Rate or Rates at which the Lender is prepared to make such Loan or Loans (expressed as a percentage rate per annum in the form of a decimal to no more than four decimal places) and</w:t>
      </w:r>
    </w:p>
    <w:p>
      <w:pPr>
        <w:spacing w:after="0" w:line="164" w:lineRule="exact"/>
        <w:rPr>
          <w:rFonts w:ascii="Courier New" w:cs="Courier New" w:eastAsia="Courier New" w:hAnsi="Courier New"/>
          <w:sz w:val="14"/>
          <w:szCs w:val="14"/>
          <w:color w:val="auto"/>
        </w:rPr>
      </w:pPr>
    </w:p>
    <w:p>
      <w:pPr>
        <w:ind w:left="565" w:hanging="565"/>
        <w:spacing w:after="0"/>
        <w:tabs>
          <w:tab w:leader="none" w:pos="565"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Period applicable to each such Loan and the last day thereof.</w:t>
      </w:r>
    </w:p>
    <w:p>
      <w:pPr>
        <w:spacing w:after="0" w:line="199" w:lineRule="exact"/>
        <w:rPr>
          <w:rFonts w:ascii="Courier New" w:cs="Courier New" w:eastAsia="Courier New" w:hAnsi="Courier New"/>
          <w:sz w:val="14"/>
          <w:szCs w:val="14"/>
          <w:color w:val="auto"/>
        </w:rPr>
      </w:pPr>
    </w:p>
    <w:p>
      <w:pPr>
        <w:ind w:left="5" w:right="2779" w:firstLine="1670"/>
        <w:spacing w:after="0" w:line="235" w:lineRule="auto"/>
        <w:tabs>
          <w:tab w:leader="none" w:pos="205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 Agent shall promptly notify the applicable Co-Borrower by telecopy of the Competitive Bid Rate and the principal amount specified in each Competitive Bid and the identity of the Lender that shall have made such Competitive Bid.</w:t>
      </w:r>
    </w:p>
    <w:p>
      <w:pPr>
        <w:spacing w:after="0" w:line="184" w:lineRule="exact"/>
        <w:rPr>
          <w:rFonts w:ascii="Courier New" w:cs="Courier New" w:eastAsia="Courier New" w:hAnsi="Courier New"/>
          <w:sz w:val="16"/>
          <w:szCs w:val="16"/>
          <w:color w:val="auto"/>
        </w:rPr>
      </w:pPr>
    </w:p>
    <w:p>
      <w:pPr>
        <w:ind w:left="5" w:right="2779" w:firstLine="1670"/>
        <w:spacing w:after="0" w:line="272" w:lineRule="auto"/>
        <w:tabs>
          <w:tab w:leader="none" w:pos="2051"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only to the provisions of this paragraph, the applicable Co-Borrower may accept or reject any Competitive Bid. The applicable Co-Borrower shall notify Administrative Agent by telephone, confirmed by telecopy in a form approved by Administrative Agent, whether and to what extent it has decided to accept or reject each Competitive Bid, in the case of a Competitive Borrowing of Eurodollar Rate Loans, not later than 10:30 a.m., New York City time, three Business Days before the date of the proposed Competitive Borrowing, and in the case of a Fixed Rate Borrowing, not later than 10:30 a.m., New York City time, on the proposed date of the Competitive Borrowing; provided that (i) the failure of the applicable Co-Borrower to give such notice shall be deemed to be a rejection of each Competitive Bid, (ii) the applicable Co-Borrower shall not accept a Competitive Bid made at a particular Competitive Bid Rate if the applicable Co-Borrower rejects a Competitive Bid made at a lower Competitive Bid Rate with respect to the same Competitive Bid Request, (iii) the aggregate amount of the</w:t>
      </w:r>
    </w:p>
    <w:p>
      <w:pPr>
        <w:sectPr>
          <w:pgSz w:w="11900" w:h="16838" w:orient="portrait"/>
          <w:cols w:equalWidth="0" w:num="1">
            <w:col w:w="10224"/>
          </w:cols>
          <w:pgMar w:left="235" w:top="469" w:right="1440" w:bottom="1440" w:gutter="0" w:footer="0" w:header="0"/>
        </w:sectPr>
      </w:pPr>
    </w:p>
    <w:bookmarkStart w:id="56" w:name="page57"/>
    <w:bookmarkEnd w:id="56"/>
    <w:p>
      <w:pPr>
        <w:ind w:left="3625"/>
        <w:spacing w:after="0"/>
        <w:rPr>
          <w:sz w:val="20"/>
          <w:szCs w:val="20"/>
          <w:color w:val="auto"/>
        </w:rPr>
      </w:pPr>
      <w:r>
        <w:rPr>
          <w:rFonts w:ascii="Courier New" w:cs="Courier New" w:eastAsia="Courier New" w:hAnsi="Courier New"/>
          <w:sz w:val="16"/>
          <w:szCs w:val="16"/>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 w:right="2779"/>
        <w:spacing w:after="0" w:line="270" w:lineRule="auto"/>
        <w:rPr>
          <w:sz w:val="20"/>
          <w:szCs w:val="20"/>
          <w:color w:val="auto"/>
        </w:rPr>
      </w:pPr>
      <w:r>
        <w:rPr>
          <w:rFonts w:ascii="Courier New" w:cs="Courier New" w:eastAsia="Courier New" w:hAnsi="Courier New"/>
          <w:sz w:val="14"/>
          <w:szCs w:val="14"/>
          <w:color w:val="auto"/>
        </w:rPr>
        <w:t>Competitive Bids accepted by the applicable Co-Borrower shall not exceed the aggregate amount of the requested Competitive Borrowing specified in the related Competitive Bid Request, (iv) to the extent necessary to comply with clause</w:t>
      </w:r>
    </w:p>
    <w:p>
      <w:pPr>
        <w:spacing w:after="0" w:line="1" w:lineRule="exact"/>
        <w:rPr>
          <w:sz w:val="20"/>
          <w:szCs w:val="20"/>
          <w:color w:val="auto"/>
        </w:rPr>
      </w:pPr>
    </w:p>
    <w:p>
      <w:pPr>
        <w:ind w:left="5" w:right="2779" w:hanging="5"/>
        <w:spacing w:after="0" w:line="236" w:lineRule="auto"/>
        <w:tabs>
          <w:tab w:leader="none" w:pos="563"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the applicable Co-Borrower may accept Competitive Bids at the same Competitive Bid Rate in part, which acceptance, in the case of multiple Competitive Bids at such Competitive Bid Rate, shall be made pro rata in accordance with the amount of each such Competitive Bid, and (v) except pursuant to clause (iv) above, no Competitive Bid shall be accepted for a Competitive Loan unless such Competitive Loan is in a minimum principal amount of $5,000,000 and an integral multiple of $1,000,000; provided further that if a Competitive Loan must be in an amount less than $5,000,000 because of the provisions of clause (iv) above, such Competitive Loan may be for a minimum of $1,000,000 or any integral multiple thereof, and in calculating the pro rata allocation of acceptances of portions of multiple Competitive Bids at a particular Competitive Bid Rate pursuant to clause (iv) the amounts shall be rounded to integral multiples of $1,000,000 in a manner determined by the applicable Co-Borrower. A notice given by the applicable Co-Borrower pursuant to this paragraph shall be irrevocable.</w:t>
      </w:r>
    </w:p>
    <w:p>
      <w:pPr>
        <w:spacing w:after="0" w:line="188" w:lineRule="exact"/>
        <w:rPr>
          <w:rFonts w:ascii="Courier New" w:cs="Courier New" w:eastAsia="Courier New" w:hAnsi="Courier New"/>
          <w:sz w:val="16"/>
          <w:szCs w:val="16"/>
          <w:color w:val="auto"/>
        </w:rPr>
      </w:pPr>
    </w:p>
    <w:p>
      <w:pPr>
        <w:ind w:left="5" w:right="2779" w:firstLine="1670"/>
        <w:spacing w:after="0" w:line="276" w:lineRule="auto"/>
        <w:tabs>
          <w:tab w:leader="none" w:pos="2051"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shall promptly notify each bidding Lender by telecopy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61" w:lineRule="exact"/>
        <w:rPr>
          <w:rFonts w:ascii="Courier New" w:cs="Courier New" w:eastAsia="Courier New" w:hAnsi="Courier New"/>
          <w:sz w:val="14"/>
          <w:szCs w:val="14"/>
          <w:color w:val="auto"/>
        </w:rPr>
      </w:pPr>
    </w:p>
    <w:p>
      <w:pPr>
        <w:ind w:left="5" w:right="3059" w:firstLine="1670"/>
        <w:spacing w:after="0" w:line="236" w:lineRule="auto"/>
        <w:tabs>
          <w:tab w:leader="none" w:pos="2051"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Administrative Agent shall elect to submit a Competitive Bid in its capacity as a Lender, it shall submit such Competitive Bid directly to the applicable Co-Borrower at least one quarter of an hour earlier than the time by which the other Lenders are required to submit their Competitive Bids to Administrative Agent pursuant to paragraph (b) of this Section.</w:t>
      </w:r>
    </w:p>
    <w:p>
      <w:pPr>
        <w:spacing w:after="0" w:line="183" w:lineRule="exact"/>
        <w:rPr>
          <w:sz w:val="20"/>
          <w:szCs w:val="20"/>
          <w:color w:val="auto"/>
        </w:rPr>
      </w:pPr>
    </w:p>
    <w:p>
      <w:pPr>
        <w:ind w:left="5" w:right="2879" w:firstLine="1674"/>
        <w:spacing w:after="0" w:line="273" w:lineRule="auto"/>
        <w:rPr>
          <w:sz w:val="20"/>
          <w:szCs w:val="20"/>
          <w:color w:val="auto"/>
        </w:rPr>
      </w:pPr>
      <w:r>
        <w:rPr>
          <w:rFonts w:ascii="Courier New" w:cs="Courier New" w:eastAsia="Courier New" w:hAnsi="Courier New"/>
          <w:sz w:val="14"/>
          <w:szCs w:val="14"/>
          <w:color w:val="auto"/>
        </w:rPr>
        <w:t>2.05 Reduction or Termination of Revolving Commitments. Upon Requisite Notice to Administrative Agent not later than the Requisite Time therefor, the Co-Borrowers may at any time and from time to time, without premium or penalty, permanently and irrevocably reduce the Revolving Commitments, in a Minimum Amount therefor to an amount not less than the sum of the Outstanding Revolving Obligations at such time plus the aggregate principal amount of outstanding Competitive Loans at any time, or terminate the Revolving Commitments. Any such reduction or termination shall be accompanied by payment of all accrued and unpaid commitment fees with respect to the portion of the Revolving Commitments being reduced or terminated. Administrative Agent shall promptly notify Lenders of any such request for reduction or termination of the Revolving Commitments. Each Lender's Revolving Commitment shall be reduced pro rata by the amount of such reduction.</w:t>
      </w:r>
    </w:p>
    <w:p>
      <w:pPr>
        <w:spacing w:after="0" w:line="334"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2.06 [RESERVED]</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2.07 [RESERVED]</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2.08 [RESERVED]</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2.09 Prepayments.</w:t>
      </w:r>
    </w:p>
    <w:p>
      <w:pPr>
        <w:spacing w:after="0" w:line="183" w:lineRule="exact"/>
        <w:rPr>
          <w:sz w:val="20"/>
          <w:szCs w:val="20"/>
          <w:color w:val="auto"/>
        </w:rPr>
      </w:pPr>
    </w:p>
    <w:p>
      <w:pPr>
        <w:ind w:left="5" w:right="2779" w:firstLine="1670"/>
        <w:spacing w:after="0" w:line="236" w:lineRule="auto"/>
        <w:tabs>
          <w:tab w:leader="none" w:pos="205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Requisite Notice to Administrative Agent not later than the Requisite Time therefor, each Co-Borrower may at any time and from time to time voluntarily prepay Loans made to it in part in the Minimum Amount therefor or in full without premium or penalty; provided that neither Co-Borrower may prepay any Competitive Loan without the prior written consent of the Lender thereof. Administrative Agent will promptly notify each relevant Lender thereof and of such Lender's percentage of such prepayment. Any prepayment of a Eurodollar Rate Loan shall be accompanied by all accrued interest thereon, together with the costs set forth in Section 3.05.</w:t>
      </w:r>
    </w:p>
    <w:p>
      <w:pPr>
        <w:sectPr>
          <w:pgSz w:w="11900" w:h="16838" w:orient="portrait"/>
          <w:cols w:equalWidth="0" w:num="1">
            <w:col w:w="10224"/>
          </w:cols>
          <w:pgMar w:left="235" w:top="469" w:right="1440" w:bottom="1440" w:gutter="0" w:footer="0" w:header="0"/>
        </w:sectPr>
      </w:pPr>
    </w:p>
    <w:bookmarkStart w:id="57" w:name="page58"/>
    <w:bookmarkEnd w:id="57"/>
    <w:p>
      <w:pPr>
        <w:ind w:left="2420"/>
        <w:spacing w:after="0"/>
        <w:rPr>
          <w:sz w:val="20"/>
          <w:szCs w:val="20"/>
          <w:color w:val="auto"/>
        </w:rPr>
      </w:pPr>
      <w:r>
        <w:rPr>
          <w:rFonts w:ascii="Courier New" w:cs="Courier New" w:eastAsia="Courier New" w:hAnsi="Courier New"/>
          <w:sz w:val="16"/>
          <w:szCs w:val="16"/>
          <w:color w:val="auto"/>
        </w:rPr>
        <w:t>26</w:t>
      </w:r>
    </w:p>
    <w:p>
      <w:pPr>
        <w:spacing w:after="0" w:line="200" w:lineRule="exact"/>
        <w:rPr>
          <w:sz w:val="20"/>
          <w:szCs w:val="20"/>
          <w:color w:val="auto"/>
        </w:rPr>
      </w:pPr>
    </w:p>
    <w:p>
      <w:pPr>
        <w:spacing w:after="0" w:line="340" w:lineRule="exact"/>
        <w:rPr>
          <w:sz w:val="20"/>
          <w:szCs w:val="20"/>
          <w:color w:val="auto"/>
        </w:rPr>
      </w:pPr>
    </w:p>
    <w:p>
      <w:pPr>
        <w:ind w:left="-1200" w:right="2879" w:firstLine="1670"/>
        <w:spacing w:after="0" w:line="236" w:lineRule="auto"/>
        <w:tabs>
          <w:tab w:leader="none" w:pos="84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for any reason the amount of the Outstanding Revolving Obligations of all Lenders plus the aggregate principal amount of outstanding Competitive Loans at any time exceeds the combined Revolving Commitments from time to time in effect, the Co-Borrowers shall immediately prepay Revolving Loans and/or deposit cash in a Letter of Credit Cash Collateral Account in an aggregate amount equal to such excess.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2.10 Documentation of Loans.</w:t>
      </w:r>
    </w:p>
    <w:p>
      <w:pPr>
        <w:spacing w:after="0" w:line="183" w:lineRule="exact"/>
        <w:rPr>
          <w:sz w:val="20"/>
          <w:szCs w:val="20"/>
          <w:color w:val="auto"/>
        </w:rPr>
      </w:pPr>
    </w:p>
    <w:p>
      <w:pPr>
        <w:ind w:left="-1200" w:right="2779" w:firstLine="1670"/>
        <w:spacing w:after="0" w:line="236" w:lineRule="auto"/>
        <w:tabs>
          <w:tab w:leader="none" w:pos="84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request of any Lender made through Administrative Agent, a Lender's Loans may be evidenced by one or more Notes of each Co-Borrower, instead of or in addition to its loan accounts or records. Each such Lender may attach schedules to its Notes and endorse thereon the date, amount and maturity of its Loans and payments with respect thereto. Any failure so to record or any error in doing so shall not, however, limit or otherwise affect the obligation of the Co-Borrowers to pay any amount owing with respect to the Obligations.</w:t>
      </w:r>
    </w:p>
    <w:p>
      <w:pPr>
        <w:spacing w:after="0" w:line="184" w:lineRule="exact"/>
        <w:rPr>
          <w:rFonts w:ascii="Courier New" w:cs="Courier New" w:eastAsia="Courier New" w:hAnsi="Courier New"/>
          <w:sz w:val="16"/>
          <w:szCs w:val="16"/>
          <w:color w:val="auto"/>
        </w:rPr>
      </w:pPr>
    </w:p>
    <w:p>
      <w:pPr>
        <w:ind w:left="-1200" w:right="2779" w:firstLine="1670"/>
        <w:spacing w:after="0" w:line="236" w:lineRule="auto"/>
        <w:tabs>
          <w:tab w:leader="none" w:pos="84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 Agent shall maintain, at Administrative Agent's Office, a register for the recordation of the names and addresses of Lenders and the Revolving Commitments and Extensions of Credit of each Lender from time to time (the "Register"). The Register shall be available for inspection by each Co-Borrower or any Lender at any reasonable time and from time to time upon reasonable prior notice. Administrative Agent shall maintain the Register, acting, solely for this administrative purpose only, as agent for each Co-Borrower (it being acknowledged and agreed that Administrative Agent and each Administrative Agent-Related Person, in such capacity, shall constitute Indemnitees under Section 10.13).</w:t>
      </w:r>
    </w:p>
    <w:p>
      <w:pPr>
        <w:spacing w:after="0" w:line="185" w:lineRule="exact"/>
        <w:rPr>
          <w:rFonts w:ascii="Courier New" w:cs="Courier New" w:eastAsia="Courier New" w:hAnsi="Courier New"/>
          <w:sz w:val="16"/>
          <w:szCs w:val="16"/>
          <w:color w:val="auto"/>
        </w:rPr>
      </w:pPr>
    </w:p>
    <w:p>
      <w:pPr>
        <w:ind w:left="-1200" w:right="2779" w:firstLine="1670"/>
        <w:spacing w:after="0" w:line="274" w:lineRule="auto"/>
        <w:tabs>
          <w:tab w:leader="none" w:pos="84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shall record in the Register the Revolving Commitment and Extensions of Credit from time to time of each Lender, and each repayment or prepayment in respect thereof. Any recordation shall be conclusive and binding on each Co-Borrower and each Lender, absent manifest error; provided, however, that the failure to make any such recordation, or any error in such recordation, shall not affect any Lender's Revolving Commitment or Outstanding Revolving Obligations or outstanding Competitive Loans.</w:t>
      </w:r>
    </w:p>
    <w:p>
      <w:pPr>
        <w:spacing w:after="0" w:line="163" w:lineRule="exact"/>
        <w:rPr>
          <w:rFonts w:ascii="Courier New" w:cs="Courier New" w:eastAsia="Courier New" w:hAnsi="Courier New"/>
          <w:sz w:val="14"/>
          <w:szCs w:val="14"/>
          <w:color w:val="auto"/>
        </w:rPr>
      </w:pPr>
    </w:p>
    <w:p>
      <w:pPr>
        <w:ind w:left="-1200" w:right="2779" w:firstLine="1670"/>
        <w:spacing w:after="0" w:line="274" w:lineRule="auto"/>
        <w:tabs>
          <w:tab w:leader="none" w:pos="84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shall record on its internal loan accounts or records (and may record on the Note(s) held by such Lender) the amount of each Extension of Credit made by it and each payment in respect thereof; provided that the failure to make any such recordation, or any error in such recordation, shall not affect any Lender's Revolving Commitment or Outstanding Revolving Obligations or outstanding Competitive Loans; and provided, further, that in the event of any inconsistency between the Register and any Lender's records, the recordations in the Register shall govern, absent manifest error.</w:t>
      </w:r>
    </w:p>
    <w:p>
      <w:pPr>
        <w:spacing w:after="0" w:line="161" w:lineRule="exact"/>
        <w:rPr>
          <w:rFonts w:ascii="Courier New" w:cs="Courier New" w:eastAsia="Courier New" w:hAnsi="Courier New"/>
          <w:sz w:val="14"/>
          <w:szCs w:val="14"/>
          <w:color w:val="auto"/>
        </w:rPr>
      </w:pPr>
    </w:p>
    <w:p>
      <w:pPr>
        <w:ind w:left="-1200" w:right="2779" w:firstLine="1670"/>
        <w:spacing w:after="0" w:line="236" w:lineRule="auto"/>
        <w:tabs>
          <w:tab w:leader="none" w:pos="84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Co-Borrowers, Administrative Agent and Lenders shall deem and treat the Persons listed as Lenders in the Register as the holders and owners of the corresponding Revolving Commitments and Extensions of Credit listed therein for all purposes hereof, and no assignment or transfer of any such Revolving Commitment or Extensions of Credit shall be effective, in each case, unless and until an Assignment and Acceptance effecting the assignment or transfer thereof shall have been accepted by Administrative Agent and recorded in the Register. Prior to such recordation, all amounts owed with respect to the applicable Revolving Commitment or Outstanding Revolving Obligations or outstanding Competitive Loans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Revolving Commitments or Outstanding Revolving Obligations or outstanding Competitive Loans.</w:t>
      </w:r>
    </w:p>
    <w:p>
      <w:pPr>
        <w:sectPr>
          <w:pgSz w:w="11900" w:h="16838" w:orient="portrait"/>
          <w:cols w:equalWidth="0" w:num="1">
            <w:col w:w="9019"/>
          </w:cols>
          <w:pgMar w:left="1440" w:top="469" w:right="1440" w:bottom="1440" w:gutter="0" w:footer="0" w:header="0"/>
        </w:sectPr>
      </w:pPr>
    </w:p>
    <w:bookmarkStart w:id="58" w:name="page59"/>
    <w:bookmarkEnd w:id="58"/>
    <w:p>
      <w:pPr>
        <w:ind w:left="2420"/>
        <w:spacing w:after="0"/>
        <w:rPr>
          <w:sz w:val="20"/>
          <w:szCs w:val="20"/>
          <w:color w:val="auto"/>
        </w:rPr>
      </w:pPr>
      <w:r>
        <w:rPr>
          <w:rFonts w:ascii="Courier New" w:cs="Courier New" w:eastAsia="Courier New" w:hAnsi="Courier New"/>
          <w:sz w:val="16"/>
          <w:szCs w:val="16"/>
          <w:color w:val="auto"/>
        </w:rPr>
        <w:t>27</w:t>
      </w: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2.11 Continuation and Conversion Option.</w:t>
      </w:r>
    </w:p>
    <w:p>
      <w:pPr>
        <w:spacing w:after="0" w:line="183" w:lineRule="exact"/>
        <w:rPr>
          <w:sz w:val="20"/>
          <w:szCs w:val="20"/>
          <w:color w:val="auto"/>
        </w:rPr>
      </w:pPr>
    </w:p>
    <w:p>
      <w:pPr>
        <w:ind w:left="-1200" w:right="2779" w:firstLine="1670"/>
        <w:spacing w:after="0" w:line="236" w:lineRule="auto"/>
        <w:tabs>
          <w:tab w:leader="none" w:pos="84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2.11(d), each Co-Borrower may irrevocably request a Conversion or Continuation of Loans on any Business Day in a Minimum Amount therefor by delivering a Request for Extension of Credit therefor by Requisite Notice to Administrative Agent not later than the Requisite Time therefor. All Conversions and Continuations shall constitute Base Rate Loans unless properly and timely otherwise designated as set forth in the prior sentence.</w:t>
      </w:r>
    </w:p>
    <w:p>
      <w:pPr>
        <w:spacing w:after="0" w:line="183" w:lineRule="exact"/>
        <w:rPr>
          <w:rFonts w:ascii="Courier New" w:cs="Courier New" w:eastAsia="Courier New" w:hAnsi="Courier New"/>
          <w:sz w:val="16"/>
          <w:szCs w:val="16"/>
          <w:color w:val="auto"/>
        </w:rPr>
      </w:pPr>
    </w:p>
    <w:p>
      <w:pPr>
        <w:ind w:left="-1200" w:right="2779" w:firstLine="1670"/>
        <w:spacing w:after="0" w:line="236" w:lineRule="auto"/>
        <w:tabs>
          <w:tab w:leader="none" w:pos="84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Co-Borrowers pay all amounts due under Section 3.05, if any, a Eurodollar Rate Loan may be Continued or Converted only on the last day of the Interest Period for such Eurodollar Rate Loan. During the existence of an Event of Default, Administrative Agent may (and upon the request of the Required Lenders shall) prohibit Loans from being requested as, Converted into, or Continued as Eurodollar Rate Loans, and Required Lenders may demand that any or all of the then outstanding Eurodollar Rate Loans be Converted immediately into Base Rate Loans.</w:t>
      </w:r>
    </w:p>
    <w:p>
      <w:pPr>
        <w:spacing w:after="0" w:line="184" w:lineRule="exact"/>
        <w:rPr>
          <w:rFonts w:ascii="Courier New" w:cs="Courier New" w:eastAsia="Courier New" w:hAnsi="Courier New"/>
          <w:sz w:val="16"/>
          <w:szCs w:val="16"/>
          <w:color w:val="auto"/>
        </w:rPr>
      </w:pPr>
    </w:p>
    <w:p>
      <w:pPr>
        <w:ind w:left="-1200" w:right="2779" w:firstLine="1670"/>
        <w:spacing w:after="0" w:line="236" w:lineRule="auto"/>
        <w:tabs>
          <w:tab w:leader="none" w:pos="84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 Agent shall promptly notify each relevant Co-Borrower and Lenders of the interest rate applicable to any Eurodollar Rate Loan upon determination of the same. Administrative Agent shall from time to time notify each Co-Borrower and Lenders of any change in JPMorgan Chase's prime rate used in determining the Base Rate promptly following the public announcement of such change.</w:t>
      </w:r>
    </w:p>
    <w:p>
      <w:pPr>
        <w:spacing w:after="0" w:line="182" w:lineRule="exact"/>
        <w:rPr>
          <w:rFonts w:ascii="Courier New" w:cs="Courier New" w:eastAsia="Courier New" w:hAnsi="Courier New"/>
          <w:sz w:val="16"/>
          <w:szCs w:val="16"/>
          <w:color w:val="auto"/>
        </w:rPr>
      </w:pPr>
    </w:p>
    <w:p>
      <w:pPr>
        <w:ind w:left="-1200" w:right="2779" w:firstLine="1670"/>
        <w:spacing w:after="0" w:line="234" w:lineRule="auto"/>
        <w:tabs>
          <w:tab w:leader="none" w:pos="84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Competitive Loans may not be Converted or Continued.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2.12 Interest.</w:t>
      </w:r>
    </w:p>
    <w:p>
      <w:pPr>
        <w:spacing w:after="0" w:line="183" w:lineRule="exact"/>
        <w:rPr>
          <w:sz w:val="20"/>
          <w:szCs w:val="20"/>
          <w:color w:val="auto"/>
        </w:rPr>
      </w:pPr>
    </w:p>
    <w:p>
      <w:pPr>
        <w:ind w:left="-1200" w:right="2779" w:firstLine="1670"/>
        <w:spacing w:after="0" w:line="236" w:lineRule="auto"/>
        <w:tabs>
          <w:tab w:leader="none" w:pos="847"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subsection (b) below, and unless otherwise specified herein, each Co-Borrower hereby promises to pay interest on the unpaid principal amount of each Loan made to it (before and after default, before and after maturity, before and after judgment and before and after the commencement of any proceeding under any Debtor Relief Laws) from the date borrowed until paid in full (whether by acceleration or otherwise) on each Applicable Payment Date at a rate per annum equal to:</w:t>
      </w:r>
    </w:p>
    <w:p>
      <w:pPr>
        <w:spacing w:after="0" w:line="184" w:lineRule="exact"/>
        <w:rPr>
          <w:sz w:val="20"/>
          <w:szCs w:val="20"/>
          <w:color w:val="auto"/>
        </w:rPr>
      </w:pPr>
    </w:p>
    <w:p>
      <w:pPr>
        <w:ind w:left="-1200" w:right="3159" w:firstLine="1670"/>
        <w:spacing w:after="0" w:line="234" w:lineRule="auto"/>
        <w:tabs>
          <w:tab w:leader="none" w:pos="84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Base Rate Loans, the Base Rate plus the Applicable Amount for such type of Loan;</w:t>
      </w:r>
    </w:p>
    <w:p>
      <w:pPr>
        <w:spacing w:after="0" w:line="183" w:lineRule="exact"/>
        <w:rPr>
          <w:rFonts w:ascii="Courier New" w:cs="Courier New" w:eastAsia="Courier New" w:hAnsi="Courier New"/>
          <w:sz w:val="16"/>
          <w:szCs w:val="16"/>
          <w:color w:val="auto"/>
        </w:rPr>
      </w:pPr>
    </w:p>
    <w:p>
      <w:pPr>
        <w:ind w:left="-1200" w:right="3059" w:firstLine="1670"/>
        <w:spacing w:after="0" w:line="235" w:lineRule="auto"/>
        <w:tabs>
          <w:tab w:leader="none" w:pos="9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Eurodollar Rate Loans (other than Competitive Loans), the Eurodollar Rate for the Interest Period in effect for such Borrowing plus the Applicable Amount for such type of Loan;</w:t>
      </w:r>
    </w:p>
    <w:p>
      <w:pPr>
        <w:spacing w:after="0" w:line="183" w:lineRule="exact"/>
        <w:rPr>
          <w:rFonts w:ascii="Courier New" w:cs="Courier New" w:eastAsia="Courier New" w:hAnsi="Courier New"/>
          <w:sz w:val="16"/>
          <w:szCs w:val="16"/>
          <w:color w:val="auto"/>
        </w:rPr>
      </w:pPr>
    </w:p>
    <w:p>
      <w:pPr>
        <w:ind w:left="-1200" w:right="3059" w:firstLine="1670"/>
        <w:spacing w:after="0" w:line="235" w:lineRule="auto"/>
        <w:tabs>
          <w:tab w:leader="none" w:pos="103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Competitive Loans that are Eurodollar Rate Loans, the Eurodollar Rate for the Interest Period in effect for such Borrowing plus (or minus, as the case may be) Margin applicable to such Loan; and</w:t>
      </w:r>
    </w:p>
    <w:p>
      <w:pPr>
        <w:spacing w:after="0" w:line="184" w:lineRule="exact"/>
        <w:rPr>
          <w:rFonts w:ascii="Courier New" w:cs="Courier New" w:eastAsia="Courier New" w:hAnsi="Courier New"/>
          <w:sz w:val="16"/>
          <w:szCs w:val="16"/>
          <w:color w:val="auto"/>
        </w:rPr>
      </w:pPr>
    </w:p>
    <w:p>
      <w:pPr>
        <w:ind w:left="-1200" w:right="3439" w:firstLine="1670"/>
        <w:spacing w:after="0" w:line="234" w:lineRule="auto"/>
        <w:tabs>
          <w:tab w:leader="none" w:pos="9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Fixed Rate Loans, at the Fixed Rate applicable to such Loan.</w:t>
      </w:r>
    </w:p>
    <w:p>
      <w:pPr>
        <w:spacing w:after="0" w:line="183" w:lineRule="exact"/>
        <w:rPr>
          <w:sz w:val="20"/>
          <w:szCs w:val="20"/>
          <w:color w:val="auto"/>
        </w:rPr>
      </w:pPr>
    </w:p>
    <w:p>
      <w:pPr>
        <w:ind w:left="-1200" w:right="2779" w:firstLine="1670"/>
        <w:spacing w:after="0" w:line="273" w:lineRule="auto"/>
        <w:tabs>
          <w:tab w:leader="none" w:pos="84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Beginning on the date that an Event of Default occurs under Section 8.01 and continuing until the date such Event of Default no longer exists, each Co-Borrower hereby promises to pay interest on the unpaid principal amount of each Loan made to it (before or after judgment and before and after the commencement of any proceeding under any Debtor Relief Laws) at a rate per annum equal to the Default Rate. In addition, if any amount payable by a Co-Borrower under any Loan Document is not paid when due (without regard to any applicable grace periods), such Co-Borrower hereby promises to pay interest (after as well as before entry of judgment thereon to the extent permitted by</w:t>
      </w:r>
    </w:p>
    <w:p>
      <w:pPr>
        <w:sectPr>
          <w:pgSz w:w="11900" w:h="16838" w:orient="portrait"/>
          <w:cols w:equalWidth="0" w:num="1">
            <w:col w:w="9019"/>
          </w:cols>
          <w:pgMar w:left="1440" w:top="469" w:right="1440" w:bottom="1440" w:gutter="0" w:footer="0" w:header="0"/>
        </w:sectPr>
      </w:pPr>
    </w:p>
    <w:bookmarkStart w:id="59" w:name="page60"/>
    <w:bookmarkEnd w:id="59"/>
    <w:p>
      <w:pPr>
        <w:ind w:left="3620"/>
        <w:spacing w:after="0"/>
        <w:rPr>
          <w:sz w:val="20"/>
          <w:szCs w:val="20"/>
          <w:color w:val="auto"/>
        </w:rPr>
      </w:pPr>
      <w:r>
        <w:rPr>
          <w:rFonts w:ascii="Courier New" w:cs="Courier New" w:eastAsia="Courier New" w:hAnsi="Courier New"/>
          <w:sz w:val="16"/>
          <w:szCs w:val="16"/>
          <w:color w:val="auto"/>
        </w:rPr>
        <w:t>28</w:t>
      </w:r>
    </w:p>
    <w:p>
      <w:pPr>
        <w:spacing w:after="0" w:line="362"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law) on such amount at a fluctuating interest rate per annum at all times equal to the Default Rate to the fullest extent permitted by applicable Law. Accrued and unpaid interest on past due amounts (including interest on past due interest) shall be payable upon demand.</w:t>
      </w:r>
    </w:p>
    <w:p>
      <w:pPr>
        <w:spacing w:after="0" w:line="185" w:lineRule="exact"/>
        <w:rPr>
          <w:sz w:val="20"/>
          <w:szCs w:val="20"/>
          <w:color w:val="auto"/>
        </w:rPr>
      </w:pPr>
    </w:p>
    <w:p>
      <w:pPr>
        <w:ind w:right="2779" w:firstLine="1670"/>
        <w:spacing w:after="0" w:line="283" w:lineRule="auto"/>
        <w:tabs>
          <w:tab w:leader="none" w:pos="204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Business Day, either Co-Borrower may call Administrative Agent and request information as to the then current Eurodollar Base Rate or Base Rate, and Administrative Agent shall provide such information.</w:t>
      </w:r>
    </w:p>
    <w:p>
      <w:pPr>
        <w:spacing w:after="0" w:line="148"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2.13 Fees.</w:t>
      </w:r>
    </w:p>
    <w:p>
      <w:pPr>
        <w:spacing w:after="0" w:line="183" w:lineRule="exact"/>
        <w:rPr>
          <w:sz w:val="20"/>
          <w:szCs w:val="20"/>
          <w:color w:val="auto"/>
        </w:rPr>
      </w:pPr>
    </w:p>
    <w:p>
      <w:pPr>
        <w:ind w:right="2779" w:firstLine="1670"/>
        <w:spacing w:after="0" w:line="272" w:lineRule="auto"/>
        <w:tabs>
          <w:tab w:leader="none" w:pos="204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 Fee. Borrower shall pay to Administrative Agent, on its own behalf and on behalf of CCCHI, for the account of each Lender pro rata according to its Revolving Percentage a commitment fee equal to the Applicable Amount times the average daily amount of the excess, if any, of its Revolving Commitment over its Outstanding Revolving Obligations (it being understood, for avoidance of doubt, that for purposes of the calculation of the commitment fee, Competitive Loans shall not be deemed to be a utilization of the Revolving Facility). The commitment fee shall accrue at all times from the Effective Date until the Revolving Termination Date and shall be payable quarterly in arrears on each Applicable Payment Date. If there is any change in the Applicable Amount during any quarter, the actual daily amount shall be computed and multiplied by the Applicable Amount separately for each period during such quarter that such Applicable Amount was in effect. The commitment fee shall accrue at all applicable times, including at any time during which one or more conditions in Section 4 are not met.</w:t>
      </w:r>
    </w:p>
    <w:p>
      <w:pPr>
        <w:spacing w:after="0" w:line="345" w:lineRule="exact"/>
        <w:rPr>
          <w:rFonts w:ascii="Courier New" w:cs="Courier New" w:eastAsia="Courier New" w:hAnsi="Courier New"/>
          <w:sz w:val="14"/>
          <w:szCs w:val="14"/>
          <w:color w:val="auto"/>
        </w:rPr>
      </w:pPr>
    </w:p>
    <w:p>
      <w:pPr>
        <w:ind w:right="2779" w:firstLine="1670"/>
        <w:spacing w:after="0" w:line="273" w:lineRule="auto"/>
        <w:tabs>
          <w:tab w:leader="none" w:pos="204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Utilization Fee. Borrower shall pay to Administrative Agent, on its own behalf and on behalf of CCCHI, for the account of each Lender pro rata according to its Revolving Percentage, a utilization fee, equal to the Applicable Amount times the outstanding principal amount of Revolving Loans made to it (including Letter of Credit Usage for this purpose), for each day that the Outstanding Revolving Obligations on such day exceeds 50.0% of the combined Revolving Commitments on such day (it being understood, for avoidance of doubt, that for purposes of the calculation of the utilization fee, Competitive Loans shall not be deemed to be a utilization of the Revolving Facility). The utilization fee shall be payable quarterly in arrears on each Applicable Payment Date. The utilization fee shall accrue at all applicable times, including at any time during which one or more conditions in Section 4 are not met.</w:t>
      </w:r>
    </w:p>
    <w:p>
      <w:pPr>
        <w:spacing w:after="0" w:line="341" w:lineRule="exact"/>
        <w:rPr>
          <w:rFonts w:ascii="Courier New" w:cs="Courier New" w:eastAsia="Courier New" w:hAnsi="Courier New"/>
          <w:sz w:val="14"/>
          <w:szCs w:val="14"/>
          <w:color w:val="auto"/>
        </w:rPr>
      </w:pPr>
    </w:p>
    <w:p>
      <w:pPr>
        <w:ind w:right="2879" w:firstLine="1670"/>
        <w:spacing w:after="0" w:line="283" w:lineRule="auto"/>
        <w:tabs>
          <w:tab w:leader="none" w:pos="204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Fees. Borrower agrees to pay to Administrative Agent, on its own behalf and on behalf of CCCHI, the fees in the amounts and on the dates previously agreed to in writing by Borrower and Administrative Agent.</w:t>
      </w:r>
    </w:p>
    <w:p>
      <w:pPr>
        <w:spacing w:after="0" w:line="155"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2.14 Computation of Interest and Fees. Computation of interest on Base Rate Loans when the Base Rate is determined by JPMorgan Chase's "prime rate" shall be calculated on the basis of a year of 365 or 366 days, as the case may be, and the actual number of days elapsed. Computation of all other types of interest and all fees shall be calculated on the basis of a year of 360 days and the actual number of days elapsed. Interest shall accrue on each Loan for the day on which the Loan is made, and shall not accrue on a Loan, or any portion thereof, for the day on which the Loan or such portion is paid, provided that any Loan that is repaid on the same day on which it is made shall bear interest for one day.</w:t>
      </w:r>
    </w:p>
    <w:p>
      <w:pPr>
        <w:spacing w:after="0" w:line="179"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2.15 Making Payments.</w:t>
      </w:r>
    </w:p>
    <w:p>
      <w:pPr>
        <w:spacing w:after="0" w:line="183" w:lineRule="exact"/>
        <w:rPr>
          <w:sz w:val="20"/>
          <w:szCs w:val="20"/>
          <w:color w:val="auto"/>
        </w:rPr>
      </w:pPr>
    </w:p>
    <w:p>
      <w:pPr>
        <w:ind w:right="2779" w:firstLine="1670"/>
        <w:spacing w:after="0" w:line="236" w:lineRule="auto"/>
        <w:tabs>
          <w:tab w:leader="none" w:pos="204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herein, all payments by a Co-Borrower or any Lender hereunder shall be made to Administrative Agent at Administrative Agent's Office not later than the Requisite Time for such type of payment. All payments received after such Requisite Time shall be deemed received on the next succeeding Business Day for purposes of the calculation of interest and fees, but not for purposes of determining whether a Default has occurred. All payments of principal and</w:t>
      </w:r>
    </w:p>
    <w:p>
      <w:pPr>
        <w:sectPr>
          <w:pgSz w:w="11900" w:h="16838" w:orient="portrait"/>
          <w:cols w:equalWidth="0" w:num="1">
            <w:col w:w="10219"/>
          </w:cols>
          <w:pgMar w:left="240" w:top="469" w:right="1440" w:bottom="1440" w:gutter="0" w:footer="0" w:header="0"/>
        </w:sectPr>
      </w:pPr>
    </w:p>
    <w:bookmarkStart w:id="60" w:name="page61"/>
    <w:bookmarkEnd w:id="60"/>
    <w:p>
      <w:pPr>
        <w:ind w:left="3625"/>
        <w:spacing w:after="0"/>
        <w:rPr>
          <w:sz w:val="20"/>
          <w:szCs w:val="20"/>
          <w:color w:val="auto"/>
        </w:rPr>
      </w:pPr>
      <w:r>
        <w:rPr>
          <w:rFonts w:ascii="Courier New" w:cs="Courier New" w:eastAsia="Courier New" w:hAnsi="Courier New"/>
          <w:sz w:val="16"/>
          <w:szCs w:val="16"/>
          <w:color w:val="auto"/>
        </w:rPr>
        <w:t>29</w:t>
      </w:r>
    </w:p>
    <w:p>
      <w:pPr>
        <w:spacing w:after="0" w:line="362" w:lineRule="exact"/>
        <w:rPr>
          <w:sz w:val="20"/>
          <w:szCs w:val="20"/>
          <w:color w:val="auto"/>
        </w:rPr>
      </w:pPr>
    </w:p>
    <w:p>
      <w:pPr>
        <w:ind w:left="5" w:right="2959"/>
        <w:spacing w:after="0" w:line="235" w:lineRule="auto"/>
        <w:rPr>
          <w:sz w:val="20"/>
          <w:szCs w:val="20"/>
          <w:color w:val="auto"/>
        </w:rPr>
      </w:pPr>
      <w:r>
        <w:rPr>
          <w:rFonts w:ascii="Courier New" w:cs="Courier New" w:eastAsia="Courier New" w:hAnsi="Courier New"/>
          <w:sz w:val="16"/>
          <w:szCs w:val="16"/>
          <w:color w:val="auto"/>
        </w:rPr>
        <w:t>interest shall be made in immediately available funds in Dollars. All payments by a Co-Borrower shall be made without condition or deduction for any counterclaim, defense, recoupment or setoff.</w:t>
      </w:r>
    </w:p>
    <w:p>
      <w:pPr>
        <w:spacing w:after="0" w:line="183" w:lineRule="exact"/>
        <w:rPr>
          <w:sz w:val="20"/>
          <w:szCs w:val="20"/>
          <w:color w:val="auto"/>
        </w:rPr>
      </w:pPr>
    </w:p>
    <w:p>
      <w:pPr>
        <w:ind w:left="5" w:right="2879" w:firstLine="1670"/>
        <w:spacing w:after="0" w:line="270" w:lineRule="auto"/>
        <w:tabs>
          <w:tab w:leader="none" w:pos="2051"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satisfaction of any applicable terms and conditions set forth herein, Administrative Agent shall promptly make any amounts received in accordance with Section 2.15(a) available in like funds received as follows:</w:t>
      </w:r>
    </w:p>
    <w:p>
      <w:pPr>
        <w:spacing w:after="0" w:line="1" w:lineRule="exact"/>
        <w:rPr>
          <w:rFonts w:ascii="Courier New" w:cs="Courier New" w:eastAsia="Courier New" w:hAnsi="Courier New"/>
          <w:sz w:val="14"/>
          <w:szCs w:val="14"/>
          <w:color w:val="auto"/>
        </w:rPr>
      </w:pPr>
    </w:p>
    <w:p>
      <w:pPr>
        <w:ind w:left="5" w:right="2779" w:hanging="5"/>
        <w:spacing w:after="0" w:line="236" w:lineRule="auto"/>
        <w:tabs>
          <w:tab w:leader="none" w:pos="377"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payable to a Co-Borrower, by crediting a deposit account designated from time to time by such Co-Borrower to Administrative Agent by Requisite Notice, and (ii) if payable to any Lender, by wire transfer to such Lender at its Lending Office. If such conditions are not so satisfied, Administrative Agent shall return any funds it is holding to the Lenders making such funds available, without interest.</w:t>
      </w:r>
    </w:p>
    <w:p>
      <w:pPr>
        <w:spacing w:after="0" w:line="182" w:lineRule="exact"/>
        <w:rPr>
          <w:rFonts w:ascii="Courier New" w:cs="Courier New" w:eastAsia="Courier New" w:hAnsi="Courier New"/>
          <w:sz w:val="16"/>
          <w:szCs w:val="16"/>
          <w:color w:val="auto"/>
        </w:rPr>
      </w:pPr>
    </w:p>
    <w:p>
      <w:pPr>
        <w:ind w:left="5" w:right="3159" w:firstLine="1670"/>
        <w:spacing w:after="0" w:line="235" w:lineRule="auto"/>
        <w:tabs>
          <w:tab w:leader="none" w:pos="2051" w:val="left"/>
        </w:tabs>
        <w:numPr>
          <w:ilvl w:val="2"/>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definition of "Interest Period," if any payment to be made by a Co-Borrower shall come due on a day other than a Business Day, payment shall instead be considered due on the next succeeding Business Day, and such extension of time shall be reflected in computing interest and fees.</w:t>
      </w:r>
    </w:p>
    <w:p>
      <w:pPr>
        <w:spacing w:after="0" w:line="185" w:lineRule="exact"/>
        <w:rPr>
          <w:rFonts w:ascii="Courier New" w:cs="Courier New" w:eastAsia="Courier New" w:hAnsi="Courier New"/>
          <w:sz w:val="16"/>
          <w:szCs w:val="16"/>
          <w:color w:val="auto"/>
        </w:rPr>
      </w:pPr>
    </w:p>
    <w:p>
      <w:pPr>
        <w:ind w:left="5" w:right="2779" w:firstLine="1670"/>
        <w:spacing w:after="0" w:line="236" w:lineRule="auto"/>
        <w:tabs>
          <w:tab w:leader="none" w:pos="2051" w:val="left"/>
        </w:tabs>
        <w:numPr>
          <w:ilvl w:val="2"/>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 Co-Borrower or any Lender has notified Administrative Agent, prior to the Requisite Time any payment to be made by it is due, that it does not intend to remit such payment, Administrative Agent may, in its sole and absolute discretion, assume that such Co-Borrower or such Lender, as the case may be, has timely remitted such payment and may, in its sole and absolute discretion and in reliance thereon, make such payment available to the Person entitled thereto. If such payment was not in fact remitted to Administrative Agent in immediately available funds, then:</w:t>
      </w:r>
    </w:p>
    <w:p>
      <w:pPr>
        <w:spacing w:after="0" w:line="184" w:lineRule="exact"/>
        <w:rPr>
          <w:rFonts w:ascii="Courier New" w:cs="Courier New" w:eastAsia="Courier New" w:hAnsi="Courier New"/>
          <w:sz w:val="16"/>
          <w:szCs w:val="16"/>
          <w:color w:val="auto"/>
        </w:rPr>
      </w:pPr>
    </w:p>
    <w:p>
      <w:pPr>
        <w:ind w:left="1665" w:right="2779" w:hanging="827"/>
        <w:spacing w:after="0" w:line="274" w:lineRule="auto"/>
        <w:tabs>
          <w:tab w:leader="none" w:pos="1665"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Co-Borrower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163" w:lineRule="exact"/>
        <w:rPr>
          <w:rFonts w:ascii="Courier New" w:cs="Courier New" w:eastAsia="Courier New" w:hAnsi="Courier New"/>
          <w:sz w:val="14"/>
          <w:szCs w:val="14"/>
          <w:color w:val="auto"/>
        </w:rPr>
      </w:pPr>
    </w:p>
    <w:p>
      <w:pPr>
        <w:ind w:left="1665" w:right="2779" w:hanging="827"/>
        <w:spacing w:after="0" w:line="272" w:lineRule="auto"/>
        <w:tabs>
          <w:tab w:leader="none" w:pos="1665"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failed to make such payment, Administrative Agent shall be entitled to recover such corresponding amount on demand from such Lender. If such Lender does not pay such corresponding amount upon Administrative Agent's demand therefor, Administrative Agent promptly shall notify the relevant Co-Borrower, and such Co-Borrower shall pay such corresponding amount to Administrative Agent. Administrative Agent also shall be entitled to recover interest on such corresponding amount in respect of each day from the date such corresponding amount was made available by Administrative Agent to a Co-Borrower to the date such corresponding amount is recovered by Administrative Agent, (A) from such Lender at a rate per annum equal to the Federal Funds Rate, and (B) from such Co-Borrower, at a rate per annum equal to the interest rate applicable to such Borrowing. Nothing herein shall be deemed to relieve any Lender from its obligation to fulfill its Revolving Commitment or to prejudice any rights which Administrative Agent or a Co-Borrower may have against any Lender as a result of any default by such Lender hereunder.</w:t>
      </w:r>
    </w:p>
    <w:p>
      <w:pPr>
        <w:spacing w:after="0" w:line="342" w:lineRule="exact"/>
        <w:rPr>
          <w:rFonts w:ascii="Courier New" w:cs="Courier New" w:eastAsia="Courier New" w:hAnsi="Courier New"/>
          <w:sz w:val="14"/>
          <w:szCs w:val="14"/>
          <w:color w:val="auto"/>
        </w:rPr>
      </w:pPr>
    </w:p>
    <w:p>
      <w:pPr>
        <w:ind w:left="5" w:right="2959" w:firstLine="1670"/>
        <w:spacing w:after="0" w:line="236" w:lineRule="auto"/>
        <w:tabs>
          <w:tab w:leader="none" w:pos="2051" w:val="left"/>
        </w:tabs>
        <w:numPr>
          <w:ilvl w:val="2"/>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Administrative Agent or any Lender is required at any time to return to a Co-Borrower, or to a trustee, receiver, liquidator, custodian or any official under any proceeding under Debtor Relief Laws, any portion of a payment made by such Co-Borrower, each Lender shall, on demand of Administrative Agent, return its share of the amount to be returned, plus interest thereon from the date of such demand to the date such payment is made at a rate per annum equal to the Federal Funds Rate.</w:t>
      </w:r>
    </w:p>
    <w:p>
      <w:pPr>
        <w:sectPr>
          <w:pgSz w:w="11900" w:h="16838" w:orient="portrait"/>
          <w:cols w:equalWidth="0" w:num="1">
            <w:col w:w="10224"/>
          </w:cols>
          <w:pgMar w:left="235" w:top="469" w:right="1440" w:bottom="1440" w:gutter="0" w:footer="0" w:header="0"/>
        </w:sectPr>
      </w:pPr>
    </w:p>
    <w:bookmarkStart w:id="61" w:name="page62"/>
    <w:bookmarkEnd w:id="61"/>
    <w:p>
      <w:pPr>
        <w:ind w:left="3625"/>
        <w:spacing w:after="0"/>
        <w:rPr>
          <w:sz w:val="20"/>
          <w:szCs w:val="20"/>
          <w:color w:val="auto"/>
        </w:rPr>
      </w:pPr>
      <w:r>
        <w:rPr>
          <w:rFonts w:ascii="Courier New" w:cs="Courier New" w:eastAsia="Courier New" w:hAnsi="Courier New"/>
          <w:sz w:val="16"/>
          <w:szCs w:val="16"/>
          <w:color w:val="auto"/>
        </w:rPr>
        <w:t>30</w:t>
      </w:r>
    </w:p>
    <w:p>
      <w:pPr>
        <w:spacing w:after="0" w:line="200" w:lineRule="exact"/>
        <w:rPr>
          <w:sz w:val="20"/>
          <w:szCs w:val="20"/>
          <w:color w:val="auto"/>
        </w:rPr>
      </w:pPr>
    </w:p>
    <w:p>
      <w:pPr>
        <w:spacing w:after="0" w:line="340" w:lineRule="exact"/>
        <w:rPr>
          <w:sz w:val="20"/>
          <w:szCs w:val="20"/>
          <w:color w:val="auto"/>
        </w:rPr>
      </w:pPr>
    </w:p>
    <w:p>
      <w:pPr>
        <w:ind w:left="5" w:right="2779" w:firstLine="1674"/>
        <w:spacing w:after="0" w:line="235" w:lineRule="auto"/>
        <w:rPr>
          <w:sz w:val="20"/>
          <w:szCs w:val="20"/>
          <w:color w:val="auto"/>
        </w:rPr>
      </w:pPr>
      <w:r>
        <w:rPr>
          <w:rFonts w:ascii="Courier New" w:cs="Courier New" w:eastAsia="Courier New" w:hAnsi="Courier New"/>
          <w:sz w:val="16"/>
          <w:szCs w:val="16"/>
          <w:color w:val="auto"/>
        </w:rPr>
        <w:t>2.16 Funding Sources. Nothing in this Agreement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0"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SECTION 3</w:t>
      </w:r>
    </w:p>
    <w:p>
      <w:pPr>
        <w:spacing w:after="0" w:line="177" w:lineRule="exact"/>
        <w:rPr>
          <w:sz w:val="20"/>
          <w:szCs w:val="20"/>
          <w:color w:val="auto"/>
        </w:rPr>
      </w:pPr>
    </w:p>
    <w:p>
      <w:pPr>
        <w:ind w:left="1945"/>
        <w:spacing w:after="0"/>
        <w:rPr>
          <w:sz w:val="20"/>
          <w:szCs w:val="20"/>
          <w:color w:val="auto"/>
        </w:rPr>
      </w:pPr>
      <w:r>
        <w:rPr>
          <w:rFonts w:ascii="Courier New" w:cs="Courier New" w:eastAsia="Courier New" w:hAnsi="Courier New"/>
          <w:sz w:val="16"/>
          <w:szCs w:val="16"/>
          <w:color w:val="auto"/>
        </w:rPr>
        <w:t>TAXES, YIELD PROTECTION AND ILLEGALITY</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3.01 Taxes.</w:t>
      </w:r>
    </w:p>
    <w:p>
      <w:pPr>
        <w:spacing w:after="0" w:line="183" w:lineRule="exact"/>
        <w:rPr>
          <w:sz w:val="20"/>
          <w:szCs w:val="20"/>
          <w:color w:val="auto"/>
        </w:rPr>
      </w:pPr>
    </w:p>
    <w:p>
      <w:pPr>
        <w:ind w:left="5" w:right="2779" w:firstLine="1670"/>
        <w:spacing w:after="0" w:line="271" w:lineRule="auto"/>
        <w:tabs>
          <w:tab w:leader="none" w:pos="2051"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by a Co-Borrower to or for the account of Administrative Agent or any Lender under any Loan Document shall be made free and clear of and without deduction for any and all present or future taxes, duties, levies, imposts, deductions, assessments, fees, withholdings or similar charges, and all liabilities with respect thereto, excluding, in the case of Administrative Agent and each Lender, (x) taxes imposed on or measured by its net income, and franchise taxes imposed on it, by the jurisdiction (or any political subdivision thereof) under the Laws of which Administrative Agent or such Lender, as the case may be, is organized or maintains a Lending Office and (y) in the case of a Lender organized under the Laws of a jurisdiction outside the United States (other than an assignee pursuant to a request by the Borrower under Section 3.06(b)), any withholding tax that is imposed on amounts payable to such Lender at the time such Lender becomes a party to this Agreement (or designates a new lending office) or is attributable to such Lender's failure to comply with Section 10.20, except to the extent that such Lender (or its assignor, if any) was entitled, at the time of designation of a new lending office (or assignment), to receive additional amounts from the Borrower with respect to such withholding tax pursuant to this Section (all such non-excluded taxes, duties, levies, imposts, deductions, assessments, fees, withholdings or similar charges, and liabilities being hereinafter referred to as "Taxes"). If a Co-Borrower shall be required by any Laws to deduct any Taxes from or in respect of any sum payable under any Loan Document to Administrative Agent or any Lender, (i) the sum payable shall be increased as necessary so that after making all required deductions (including deductions applicable to additional sums payable under this Section), Administrative Agent and such Lender receive an amount equal to the sum it would have received had no such deductions been made,</w:t>
      </w:r>
    </w:p>
    <w:p>
      <w:pPr>
        <w:spacing w:after="0" w:line="353" w:lineRule="exact"/>
        <w:rPr>
          <w:rFonts w:ascii="Courier New" w:cs="Courier New" w:eastAsia="Courier New" w:hAnsi="Courier New"/>
          <w:sz w:val="14"/>
          <w:szCs w:val="14"/>
          <w:color w:val="auto"/>
        </w:rPr>
      </w:pPr>
    </w:p>
    <w:p>
      <w:pPr>
        <w:ind w:left="5" w:right="2879" w:hanging="5"/>
        <w:spacing w:after="0" w:line="236" w:lineRule="auto"/>
        <w:tabs>
          <w:tab w:leader="none" w:pos="47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Co-Borrower shall make such deductions, (iii) such Co-Borrower shall pay the full amount deducted to the relevant taxation authority or other authority in accordance with applicable Laws, and (iv) within 30 days after the date of such payment, such Co-Borrower shall furnish to Administrative Agent (who shall forward the same to such Lender) the original or a certified copy of a receipt evidencing payment thereof.</w:t>
      </w:r>
    </w:p>
    <w:p>
      <w:pPr>
        <w:spacing w:after="0" w:line="182" w:lineRule="exact"/>
        <w:rPr>
          <w:rFonts w:ascii="Courier New" w:cs="Courier New" w:eastAsia="Courier New" w:hAnsi="Courier New"/>
          <w:sz w:val="16"/>
          <w:szCs w:val="16"/>
          <w:color w:val="auto"/>
        </w:rPr>
      </w:pPr>
    </w:p>
    <w:p>
      <w:pPr>
        <w:ind w:left="5" w:right="2779" w:firstLine="1670"/>
        <w:spacing w:after="0" w:line="236" w:lineRule="auto"/>
        <w:tabs>
          <w:tab w:leader="none" w:pos="2051"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each Co-Borrower agrees to pay any and all present or future stamp, court or documentary taxes and any other excise or property taxes or charges or similar levies which arise from any payment made by it under any Loan Document or from the execution, delivery, performance, enforcement or registration of, or otherwise with respect to, any Loan Document (hereinafter referred to as "Other Taxes").</w:t>
      </w:r>
    </w:p>
    <w:p>
      <w:pPr>
        <w:spacing w:after="0" w:line="182" w:lineRule="exact"/>
        <w:rPr>
          <w:rFonts w:ascii="Courier New" w:cs="Courier New" w:eastAsia="Courier New" w:hAnsi="Courier New"/>
          <w:sz w:val="16"/>
          <w:szCs w:val="16"/>
          <w:color w:val="auto"/>
        </w:rPr>
      </w:pPr>
    </w:p>
    <w:p>
      <w:pPr>
        <w:ind w:left="5" w:right="2879" w:firstLine="1670"/>
        <w:spacing w:after="0" w:line="236" w:lineRule="auto"/>
        <w:tabs>
          <w:tab w:leader="none" w:pos="2051"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Co-Borrower shall be required to deduct or pay any Taxes or Other Taxes from or in respect of any sum payable under any Loan Document to Administrative Agent or any Lender, such Co-Borrower shall also pay to Administrative Agent or such Lender such additional amount that Administrative Agent or such Lender specifies as necessary to preserve the after-tax yield (after factoring in all taxes, including taxes imposed on or measured by net income) that Administrative Agent or such Lender would have received if such Taxes or Other Taxes had not been imposed.</w:t>
      </w:r>
    </w:p>
    <w:p>
      <w:pPr>
        <w:spacing w:after="0" w:line="184" w:lineRule="exact"/>
        <w:rPr>
          <w:rFonts w:ascii="Courier New" w:cs="Courier New" w:eastAsia="Courier New" w:hAnsi="Courier New"/>
          <w:sz w:val="16"/>
          <w:szCs w:val="16"/>
          <w:color w:val="auto"/>
        </w:rPr>
      </w:pPr>
    </w:p>
    <w:p>
      <w:pPr>
        <w:ind w:left="5" w:right="2879" w:firstLine="1670"/>
        <w:spacing w:after="0" w:line="235" w:lineRule="auto"/>
        <w:tabs>
          <w:tab w:leader="none" w:pos="2051"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Co-Borrower agrees to indemnify Administrative Agent and each Lender for the full amount of Taxes and Other Taxes (including any Taxes or Other Taxes imposed or asserted by</w:t>
      </w:r>
    </w:p>
    <w:p>
      <w:pPr>
        <w:sectPr>
          <w:pgSz w:w="11900" w:h="16838" w:orient="portrait"/>
          <w:cols w:equalWidth="0" w:num="1">
            <w:col w:w="10224"/>
          </w:cols>
          <w:pgMar w:left="235" w:top="469" w:right="1440" w:bottom="1440" w:gutter="0" w:footer="0" w:header="0"/>
        </w:sectPr>
      </w:pPr>
    </w:p>
    <w:bookmarkStart w:id="62" w:name="page63"/>
    <w:bookmarkEnd w:id="62"/>
    <w:p>
      <w:pPr>
        <w:ind w:left="3625"/>
        <w:spacing w:after="0"/>
        <w:rPr>
          <w:sz w:val="20"/>
          <w:szCs w:val="20"/>
          <w:color w:val="auto"/>
        </w:rPr>
      </w:pPr>
      <w:r>
        <w:rPr>
          <w:rFonts w:ascii="Courier New" w:cs="Courier New" w:eastAsia="Courier New" w:hAnsi="Courier New"/>
          <w:sz w:val="16"/>
          <w:szCs w:val="16"/>
          <w:color w:val="auto"/>
        </w:rPr>
        <w:t>31</w:t>
      </w:r>
    </w:p>
    <w:p>
      <w:pPr>
        <w:spacing w:after="0" w:line="200" w:lineRule="exact"/>
        <w:rPr>
          <w:sz w:val="20"/>
          <w:szCs w:val="20"/>
          <w:color w:val="auto"/>
        </w:rPr>
      </w:pPr>
    </w:p>
    <w:p>
      <w:pPr>
        <w:spacing w:after="0" w:line="340" w:lineRule="exact"/>
        <w:rPr>
          <w:sz w:val="20"/>
          <w:szCs w:val="20"/>
          <w:color w:val="auto"/>
        </w:rPr>
      </w:pPr>
    </w:p>
    <w:p>
      <w:pPr>
        <w:jc w:val="both"/>
        <w:ind w:left="5" w:right="2959"/>
        <w:spacing w:after="0" w:line="235" w:lineRule="auto"/>
        <w:rPr>
          <w:sz w:val="20"/>
          <w:szCs w:val="20"/>
          <w:color w:val="auto"/>
        </w:rPr>
      </w:pPr>
      <w:r>
        <w:rPr>
          <w:rFonts w:ascii="Courier New" w:cs="Courier New" w:eastAsia="Courier New" w:hAnsi="Courier New"/>
          <w:sz w:val="16"/>
          <w:szCs w:val="16"/>
          <w:color w:val="auto"/>
        </w:rPr>
        <w:t>any jurisdiction on amounts payable under this Section) paid by Administrative Agent and such Lender, amounts payable under Section 3.01(c) and any liability (including penalties, interest and expenses) arising therefrom or with respect thereto.</w:t>
      </w:r>
    </w:p>
    <w:p>
      <w:pPr>
        <w:spacing w:after="0" w:line="185" w:lineRule="exact"/>
        <w:rPr>
          <w:sz w:val="20"/>
          <w:szCs w:val="20"/>
          <w:color w:val="auto"/>
        </w:rPr>
      </w:pPr>
    </w:p>
    <w:p>
      <w:pPr>
        <w:ind w:left="5" w:right="2779" w:firstLine="1670"/>
        <w:spacing w:after="0" w:line="235" w:lineRule="auto"/>
        <w:tabs>
          <w:tab w:leader="none" w:pos="205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in this Section 3.01, all obligations of each Co-Borrower to any Lender under this Section 3.01 shall be subject to, and conditioned upon such Lender's compliance with its obligations, if any, under, Section 10.20.</w:t>
      </w:r>
    </w:p>
    <w:p>
      <w:pPr>
        <w:spacing w:after="0" w:line="185" w:lineRule="exact"/>
        <w:rPr>
          <w:sz w:val="20"/>
          <w:szCs w:val="20"/>
          <w:color w:val="auto"/>
        </w:rPr>
      </w:pPr>
    </w:p>
    <w:p>
      <w:pPr>
        <w:ind w:left="5" w:right="2779" w:firstLine="1674"/>
        <w:spacing w:after="0" w:line="272" w:lineRule="auto"/>
        <w:rPr>
          <w:sz w:val="20"/>
          <w:szCs w:val="20"/>
          <w:color w:val="auto"/>
        </w:rPr>
      </w:pPr>
      <w:r>
        <w:rPr>
          <w:rFonts w:ascii="Courier New" w:cs="Courier New" w:eastAsia="Courier New" w:hAnsi="Courier New"/>
          <w:sz w:val="14"/>
          <w:szCs w:val="14"/>
          <w:color w:val="auto"/>
        </w:rPr>
        <w:t>3.02 Illegality. If any Lender determines that any Laws have made it unlawful, or that any Governmental Authority has asserted that it is unlawful, for such Lender or its applicable Lending Office to make, maintain or fund Eurodollar Rate Loans, or materially restricts the authority of such Lender to purchase or sell, or to take deposits of, Dollars in the applicable offshore interbank market, or to determine or charge interest rates based upon the Eurodollar Rate, then, on notice thereof by such Lender to each Co-Borrower through Administrative Agent, the obligation of such Lender to make Eurodollar Rate Loans shall be suspended until such Lender notifies Administrative Agent and each Co-Borrower that the circumstances giving rise to such determination no longer exist. Upon receipt of such notice, each Co-Borrower shall, upon demand from such Lender (with a copy to Administrative Agent), prepay or Convert all Eurodollar Rate Loans of such Lender made to such Co-Borrower, either on the last day of the Interest Period thereof, if such Lender may lawfully continue to maintain such Eurodollar Rate Loans to such day, or immediately, if such Lender may not lawfully continue to maintain such Eurodollar Rate Loans. Each Lender agrees to designate a different Lending Office if such designation will avoid the need for such notice and will not, in the good faith judgment of such Lender, otherwise be materially disadvantageous to such Lender.</w:t>
      </w:r>
    </w:p>
    <w:p>
      <w:pPr>
        <w:spacing w:after="0" w:line="342" w:lineRule="exact"/>
        <w:rPr>
          <w:sz w:val="20"/>
          <w:szCs w:val="20"/>
          <w:color w:val="auto"/>
        </w:rPr>
      </w:pPr>
    </w:p>
    <w:p>
      <w:pPr>
        <w:ind w:left="5" w:right="2879" w:firstLine="1674"/>
        <w:spacing w:after="0" w:line="270" w:lineRule="auto"/>
        <w:rPr>
          <w:sz w:val="20"/>
          <w:szCs w:val="20"/>
          <w:color w:val="auto"/>
        </w:rPr>
      </w:pPr>
      <w:r>
        <w:rPr>
          <w:rFonts w:ascii="Courier New" w:cs="Courier New" w:eastAsia="Courier New" w:hAnsi="Courier New"/>
          <w:sz w:val="14"/>
          <w:szCs w:val="14"/>
          <w:color w:val="auto"/>
        </w:rPr>
        <w:t>3.03 Inability to Determine Eurodollar Rates. If, in connection with any Request for Extension of Credit involving any Eurodollar Rate Loan, (a) Administrative Agent determines that (i) deposits in Dollars are not being offered to banks in the applicable offshore dollar market for the applicable amount and Interest Period of the requested Eurodollar Rate Loan or</w:t>
      </w:r>
    </w:p>
    <w:p>
      <w:pPr>
        <w:spacing w:after="0" w:line="2" w:lineRule="exact"/>
        <w:rPr>
          <w:sz w:val="20"/>
          <w:szCs w:val="20"/>
          <w:color w:val="auto"/>
        </w:rPr>
      </w:pPr>
    </w:p>
    <w:p>
      <w:pPr>
        <w:ind w:left="5" w:right="2779" w:hanging="5"/>
        <w:spacing w:after="0" w:line="273" w:lineRule="auto"/>
        <w:tabs>
          <w:tab w:leader="none" w:pos="47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adequate and reasonable means do not exist for determining the underlying interest rate for such Eurodollar Rate Loan, or (b) Required Lenders (or, in the case of a Competitive Loan that is a Eurodollar Rate Loan, the Lender that is required to make such Loan) determine that such underlying interest rate does not adequately and fairly reflect the cost to Lenders (or Lender) of funding such Eurodollar Rate Loan, Administrative Agent will promptly notify each Co-Borrower and all Lenders. Thereafter, the obligation of Lenders (or Lender) to make or maintain such Eurodollar Rate Loan shall be suspended until Administrative Agent revokes such notice. Upon receipt of such notice, each Co-Borrower may revoke any pending request for a Borrowing of Eurodollar Rate Loans or, failing that, be deemed to have converted such request into a request for a Borrowing of Base Rate Loans in the amount specified therein.</w:t>
      </w:r>
    </w:p>
    <w:p>
      <w:pPr>
        <w:spacing w:after="0" w:line="335"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3.04 Increased Cost and Reduced Return; Capital Adequacy.</w:t>
      </w:r>
    </w:p>
    <w:p>
      <w:pPr>
        <w:spacing w:after="0" w:line="183" w:lineRule="exact"/>
        <w:rPr>
          <w:sz w:val="20"/>
          <w:szCs w:val="20"/>
          <w:color w:val="auto"/>
        </w:rPr>
      </w:pPr>
    </w:p>
    <w:p>
      <w:pPr>
        <w:ind w:left="2505" w:right="2779" w:hanging="830"/>
        <w:spacing w:after="0" w:line="283" w:lineRule="auto"/>
        <w:tabs>
          <w:tab w:leader="none" w:pos="250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determines that the adoption of any Law or any change in any Law or in the interpretation thereof effective after the date hereof:</w:t>
      </w:r>
    </w:p>
    <w:p>
      <w:pPr>
        <w:spacing w:after="0" w:line="154" w:lineRule="exact"/>
        <w:rPr>
          <w:rFonts w:ascii="Courier New" w:cs="Courier New" w:eastAsia="Courier New" w:hAnsi="Courier New"/>
          <w:sz w:val="14"/>
          <w:szCs w:val="14"/>
          <w:color w:val="auto"/>
        </w:rPr>
      </w:pPr>
    </w:p>
    <w:p>
      <w:pPr>
        <w:ind w:left="3345" w:right="2879" w:hanging="833"/>
        <w:spacing w:after="0" w:line="274" w:lineRule="auto"/>
        <w:tabs>
          <w:tab w:leader="none" w:pos="3345"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Subjects such Lender to any tax, duty, or other charge with respect to any Eurodollar Rate Loans or Fixed Rate Loans or its obligation to make Eurodollar Rate Loans or Fixed Rate Loans, or changes the basis on which taxes are imposed on any amounts payable to such Lender under this Agreement in respect of any Eurodollar Rate Loans;</w:t>
      </w:r>
    </w:p>
    <w:p>
      <w:pPr>
        <w:spacing w:after="0" w:line="161" w:lineRule="exact"/>
        <w:rPr>
          <w:rFonts w:ascii="Courier New" w:cs="Courier New" w:eastAsia="Courier New" w:hAnsi="Courier New"/>
          <w:sz w:val="14"/>
          <w:szCs w:val="14"/>
          <w:color w:val="auto"/>
        </w:rPr>
      </w:pPr>
    </w:p>
    <w:p>
      <w:pPr>
        <w:ind w:left="3345" w:right="2879" w:hanging="833"/>
        <w:spacing w:after="0" w:line="235" w:lineRule="auto"/>
        <w:tabs>
          <w:tab w:leader="none" w:pos="3345"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Imposes or modifies any reserve, special deposit, or similar requirement (other than the reserve requirement utilized in the determination of the Eurodollar Rate)</w:t>
      </w:r>
    </w:p>
    <w:p>
      <w:pPr>
        <w:sectPr>
          <w:pgSz w:w="11900" w:h="16838" w:orient="portrait"/>
          <w:cols w:equalWidth="0" w:num="1">
            <w:col w:w="10224"/>
          </w:cols>
          <w:pgMar w:left="235" w:top="469" w:right="1440" w:bottom="1440" w:gutter="0" w:footer="0" w:header="0"/>
        </w:sectPr>
      </w:pPr>
    </w:p>
    <w:bookmarkStart w:id="63" w:name="page64"/>
    <w:bookmarkEnd w:id="63"/>
    <w:p>
      <w:pPr>
        <w:ind w:left="3620"/>
        <w:spacing w:after="0"/>
        <w:rPr>
          <w:sz w:val="20"/>
          <w:szCs w:val="20"/>
          <w:color w:val="auto"/>
        </w:rPr>
      </w:pPr>
      <w:r>
        <w:rPr>
          <w:rFonts w:ascii="Courier New" w:cs="Courier New" w:eastAsia="Courier New" w:hAnsi="Courier New"/>
          <w:sz w:val="16"/>
          <w:szCs w:val="16"/>
          <w:color w:val="auto"/>
        </w:rPr>
        <w:t>32</w:t>
      </w:r>
    </w:p>
    <w:p>
      <w:pPr>
        <w:spacing w:after="0" w:line="35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relating to any extensions of credit or</w:t>
      </w:r>
    </w:p>
    <w:p>
      <w:pPr>
        <w:ind w:left="3340"/>
        <w:spacing w:after="0" w:line="236" w:lineRule="auto"/>
        <w:rPr>
          <w:sz w:val="20"/>
          <w:szCs w:val="20"/>
          <w:color w:val="auto"/>
        </w:rPr>
      </w:pPr>
      <w:r>
        <w:rPr>
          <w:rFonts w:ascii="Courier New" w:cs="Courier New" w:eastAsia="Courier New" w:hAnsi="Courier New"/>
          <w:sz w:val="16"/>
          <w:szCs w:val="16"/>
          <w:color w:val="auto"/>
        </w:rPr>
        <w:t>other assets of, or any deposits with or</w:t>
      </w:r>
    </w:p>
    <w:p>
      <w:pPr>
        <w:ind w:left="3340"/>
        <w:spacing w:after="0" w:line="237" w:lineRule="auto"/>
        <w:rPr>
          <w:sz w:val="20"/>
          <w:szCs w:val="20"/>
          <w:color w:val="auto"/>
        </w:rPr>
      </w:pPr>
      <w:r>
        <w:rPr>
          <w:rFonts w:ascii="Courier New" w:cs="Courier New" w:eastAsia="Courier New" w:hAnsi="Courier New"/>
          <w:sz w:val="16"/>
          <w:szCs w:val="16"/>
          <w:color w:val="auto"/>
        </w:rPr>
        <w:t>other liabilities or commitments of, such</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Lender (including its Revolving Commitment);</w:t>
      </w:r>
    </w:p>
    <w:p>
      <w:pPr>
        <w:spacing w:after="0" w:line="1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0"/>
          <w:szCs w:val="20"/>
          <w:color w:val="auto"/>
        </w:rPr>
      </w:pPr>
    </w:p>
    <w:p>
      <w:pPr>
        <w:ind w:left="3340" w:right="3059" w:hanging="833"/>
        <w:spacing w:after="0" w:line="235" w:lineRule="auto"/>
        <w:tabs>
          <w:tab w:leader="none" w:pos="33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Imposes on such Lender or on the offshore interbank market any other condition affecting this Agreement or any of such extensions of credit or liabilities or commitments;</w:t>
      </w:r>
    </w:p>
    <w:p>
      <w:pPr>
        <w:spacing w:after="0" w:line="186"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and the result of any of the foregoing is to increase the cost to such Lender of making, Converting into, Continuing, or maintaining any Eurodollar Rate Loans or Fixed Rate Loans or to reduce any sum received or receivable by such Lender under this Agreement with respect to any Eurodollar Rate Loans or Fixed Rate Loans, then from time to time upon demand of Lender (with a copy of such demand to Administrative Agent), each Co-Borrower shall pay to such Lender such additional amounts attributable to such Co-Borrower as will compensate such Lender for such increased cost or reduction.</w:t>
      </w:r>
    </w:p>
    <w:p>
      <w:pPr>
        <w:spacing w:after="0" w:line="184" w:lineRule="exact"/>
        <w:rPr>
          <w:sz w:val="20"/>
          <w:szCs w:val="20"/>
          <w:color w:val="auto"/>
        </w:rPr>
      </w:pPr>
    </w:p>
    <w:p>
      <w:pPr>
        <w:ind w:right="2779" w:firstLine="1670"/>
        <w:spacing w:after="0" w:line="273" w:lineRule="auto"/>
        <w:tabs>
          <w:tab w:leader="none" w:pos="204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determines that the adoption of any Law or any change in any Law or in the interpretation thereof effective after the date hereof has the effect of reducing the rate of return on the capital of such Lender or compliance by such Lender (or its Lending Office) or any corporation controlling such Lender as a consequence of such Lender's obligations hereunder (taking into consideration its policies with respect to capital adequacy and such Lender's desired return on capital), then from time to time upon demand of such Lender (with a copy to Administrative Agent), each Co-Borrower shall pay to such Lender such additional amounts attributable to such Co-Borrower as will compensate such Lender for such reduction.</w:t>
      </w:r>
    </w:p>
    <w:p>
      <w:pPr>
        <w:spacing w:after="0" w:line="344" w:lineRule="exact"/>
        <w:rPr>
          <w:rFonts w:ascii="Courier New" w:cs="Courier New" w:eastAsia="Courier New" w:hAnsi="Courier New"/>
          <w:sz w:val="14"/>
          <w:szCs w:val="14"/>
          <w:color w:val="auto"/>
        </w:rPr>
      </w:pPr>
    </w:p>
    <w:p>
      <w:pPr>
        <w:ind w:right="2879" w:firstLine="1670"/>
        <w:spacing w:after="0" w:line="236" w:lineRule="auto"/>
        <w:tabs>
          <w:tab w:leader="none" w:pos="2047"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this Section, a Lender shall not be entitled to compensation pursuant to this Section in respect of any Competitive Loan if the adoption of or change in Law or in the interpretation thereof that would otherwise entitle it to such compensation shall have been publicly announced prior to submission of the Competitive Bid pursuant to which such Loan was made.</w:t>
      </w:r>
    </w:p>
    <w:p>
      <w:pPr>
        <w:spacing w:after="0" w:line="183" w:lineRule="exact"/>
        <w:rPr>
          <w:sz w:val="20"/>
          <w:szCs w:val="20"/>
          <w:color w:val="auto"/>
        </w:rPr>
      </w:pPr>
    </w:p>
    <w:p>
      <w:pPr>
        <w:ind w:right="2879" w:firstLine="1674"/>
        <w:spacing w:after="0" w:line="279" w:lineRule="auto"/>
        <w:rPr>
          <w:sz w:val="20"/>
          <w:szCs w:val="20"/>
          <w:color w:val="auto"/>
        </w:rPr>
      </w:pPr>
      <w:r>
        <w:rPr>
          <w:rFonts w:ascii="Courier New" w:cs="Courier New" w:eastAsia="Courier New" w:hAnsi="Courier New"/>
          <w:sz w:val="14"/>
          <w:szCs w:val="14"/>
          <w:color w:val="auto"/>
        </w:rPr>
        <w:t>3.05 Breakfunding Costs. Subject to Section 3.06(a), upon demand of any Lender (with a copy to Administrative Agent) from time to time, each Co-Borrower shall promptly compensate such Lender for and hold such Lender harmless from any actual loss, cost or expense incurred by it as a result of:</w:t>
      </w:r>
    </w:p>
    <w:p>
      <w:pPr>
        <w:spacing w:after="0" w:line="157" w:lineRule="exact"/>
        <w:rPr>
          <w:sz w:val="20"/>
          <w:szCs w:val="20"/>
          <w:color w:val="auto"/>
        </w:rPr>
      </w:pPr>
    </w:p>
    <w:p>
      <w:pPr>
        <w:ind w:right="2779" w:firstLine="1670"/>
        <w:spacing w:after="0" w:line="235" w:lineRule="auto"/>
        <w:tabs>
          <w:tab w:leader="none" w:pos="2047"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Continuation, Conversion, payment or prepayment by such Co-Borrower of any Eurodollar Rate Loan or Fixed Rate Loan on a day other than the last day of the Interest Period for such Eurodollar Rate Loan or Fixed Rate Loan (whether voluntary, mandatory, automatic, by reason of acceleration or otherwise);</w:t>
      </w:r>
    </w:p>
    <w:p>
      <w:pPr>
        <w:spacing w:after="0" w:line="185" w:lineRule="exact"/>
        <w:rPr>
          <w:rFonts w:ascii="Courier New" w:cs="Courier New" w:eastAsia="Courier New" w:hAnsi="Courier New"/>
          <w:sz w:val="16"/>
          <w:szCs w:val="16"/>
          <w:color w:val="auto"/>
        </w:rPr>
      </w:pPr>
    </w:p>
    <w:p>
      <w:pPr>
        <w:ind w:right="2779" w:firstLine="1670"/>
        <w:spacing w:after="0" w:line="235" w:lineRule="auto"/>
        <w:tabs>
          <w:tab w:leader="none" w:pos="2047"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such Co-Borrower (for a reason other than the failure of such Lender to make a Eurodollar Rate Loan or Fixed Rate Loan) to prepay, borrow, Continue or Convert any Eurodollar Rate Loan or Fixed Rate Loan on the date or in the amount notified by such Co-Borrower; or</w:t>
      </w:r>
    </w:p>
    <w:p>
      <w:pPr>
        <w:spacing w:after="0" w:line="184"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such Co-Borrower to borrow any Competitive</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Loan after accepting the Competitive Bid to make such Loan;</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178"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3.06 Matters Applicable to all Requests for Compensation.</w:t>
      </w:r>
    </w:p>
    <w:p>
      <w:pPr>
        <w:sectPr>
          <w:pgSz w:w="11900" w:h="16838" w:orient="portrait"/>
          <w:cols w:equalWidth="0" w:num="1">
            <w:col w:w="10219"/>
          </w:cols>
          <w:pgMar w:left="240" w:top="469" w:right="1440" w:bottom="1440" w:gutter="0" w:footer="0" w:header="0"/>
        </w:sectPr>
      </w:pPr>
    </w:p>
    <w:bookmarkStart w:id="64" w:name="page65"/>
    <w:bookmarkEnd w:id="64"/>
    <w:p>
      <w:pPr>
        <w:ind w:left="3620"/>
        <w:spacing w:after="0"/>
        <w:rPr>
          <w:sz w:val="20"/>
          <w:szCs w:val="20"/>
          <w:color w:val="auto"/>
        </w:rPr>
      </w:pPr>
      <w:r>
        <w:rPr>
          <w:rFonts w:ascii="Courier New" w:cs="Courier New" w:eastAsia="Courier New" w:hAnsi="Courier New"/>
          <w:sz w:val="16"/>
          <w:szCs w:val="16"/>
          <w:color w:val="auto"/>
        </w:rPr>
        <w:t>33</w:t>
      </w:r>
    </w:p>
    <w:p>
      <w:pPr>
        <w:spacing w:after="0" w:line="200" w:lineRule="exact"/>
        <w:rPr>
          <w:sz w:val="20"/>
          <w:szCs w:val="20"/>
          <w:color w:val="auto"/>
        </w:rPr>
      </w:pPr>
    </w:p>
    <w:p>
      <w:pPr>
        <w:spacing w:after="0" w:line="340" w:lineRule="exact"/>
        <w:rPr>
          <w:sz w:val="20"/>
          <w:szCs w:val="20"/>
          <w:color w:val="auto"/>
        </w:rPr>
      </w:pPr>
    </w:p>
    <w:p>
      <w:pPr>
        <w:ind w:right="2879" w:firstLine="1670"/>
        <w:spacing w:after="0" w:line="272" w:lineRule="auto"/>
        <w:tabs>
          <w:tab w:leader="none" w:pos="2047"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Administrative Agent or any Lender claiming compensation under this Section 3 and setting forth the additional amount or amounts to be paid to it hereunder shall be conclusive in the absence of clearly demonstrable error; provided that such certificate (i) sets forth with reasonable specificity the calculation of the amount to be paid, (ii) states that Administrative Agent or such Lender, as applicable, is treating substantially all similarly situated borrowers in a manner that is consistent with the treatment afforded the Co-Borrowers hereunder, (iii) is delivered within 90 days of the later of the date of the event giving rise to such compensation and the date Administrative Agent or such Lender knew or, with the exercise of reasonable care, should have known of the requirements for such compensation, and (iv) confirms (in the case of a claim for compensation under Section 3.01 or Section 3.04) that either a change in Administrative Agent's Office or Lending Office, as the case may be, of Administrative Agent or such Lender, as the case may be, would not have eliminated the request for compensation or that such change would have been otherwise disadvantageous to Administrative Agent or such Lender, as the case may be. In determining the amount of such compensation, Administrative Agent or any Lender may use any reasonable averaging and attribution methods.</w:t>
      </w:r>
    </w:p>
    <w:p>
      <w:pPr>
        <w:spacing w:after="0" w:line="200" w:lineRule="exact"/>
        <w:rPr>
          <w:rFonts w:ascii="Courier New" w:cs="Courier New" w:eastAsia="Courier New" w:hAnsi="Courier New"/>
          <w:sz w:val="14"/>
          <w:szCs w:val="14"/>
          <w:color w:val="auto"/>
        </w:rPr>
      </w:pPr>
    </w:p>
    <w:p>
      <w:pPr>
        <w:spacing w:after="0" w:line="322" w:lineRule="exact"/>
        <w:rPr>
          <w:rFonts w:ascii="Courier New" w:cs="Courier New" w:eastAsia="Courier New" w:hAnsi="Courier New"/>
          <w:sz w:val="14"/>
          <w:szCs w:val="14"/>
          <w:color w:val="auto"/>
        </w:rPr>
      </w:pPr>
    </w:p>
    <w:p>
      <w:pPr>
        <w:ind w:right="2959" w:firstLine="1670"/>
        <w:spacing w:after="0" w:line="279" w:lineRule="auto"/>
        <w:tabs>
          <w:tab w:leader="none" w:pos="2047"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Lender becoming prohibited from making, maintaining or funding Eurodollar Rate Loans pursuant to Section 3.02, or upon any Lender making a claim for compensation under Section 3.01 or Section 3.04, Borrower may remove and replace such Lender in accordance with Section 10.21.</w:t>
      </w:r>
    </w:p>
    <w:p>
      <w:pPr>
        <w:spacing w:after="0" w:line="157"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3.07 Survival. All of the Co-Borrowers' obligations under this Section 3 shall survive termination of the Revolving Commitments and payment in full of all Obligations.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SECTION 4</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CONDITIONS PRECEDENT TO EXTENSIONS OF CREDIT</w:t>
      </w:r>
    </w:p>
    <w:p>
      <w:pPr>
        <w:spacing w:after="0" w:line="183"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4.01 Conditions Precedent to Effective Date. The agreement of each Lender to make the initial Extension of Credit requested to be made by it is subject to the satisfaction, on or before January 31, 2004 of the conditions precedent set forth in this Section 4.01:</w:t>
      </w:r>
    </w:p>
    <w:p>
      <w:pPr>
        <w:spacing w:after="0" w:line="185" w:lineRule="exact"/>
        <w:rPr>
          <w:sz w:val="20"/>
          <w:szCs w:val="20"/>
          <w:color w:val="auto"/>
        </w:rPr>
      </w:pPr>
    </w:p>
    <w:p>
      <w:pPr>
        <w:ind w:right="2879" w:firstLine="1670"/>
        <w:spacing w:after="0" w:line="236" w:lineRule="auto"/>
        <w:tabs>
          <w:tab w:leader="none" w:pos="2047"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waived by all Lenders, receipt by Administrative Agent of each of the following, each of which shall be originals or facsimiles (followed promptly by originals) unless otherwise specified, each properly executed by a Responsible Officer of the applicable Loan Party, each dated on, or in the case of third-party certificates, recently before, the Effective Date and each in form and substance satisfactory to Administrative Agent and its legal counsel:</w:t>
      </w:r>
    </w:p>
    <w:p>
      <w:pPr>
        <w:spacing w:after="0" w:line="183" w:lineRule="exact"/>
        <w:rPr>
          <w:rFonts w:ascii="Courier New" w:cs="Courier New" w:eastAsia="Courier New" w:hAnsi="Courier New"/>
          <w:sz w:val="16"/>
          <w:szCs w:val="16"/>
          <w:color w:val="auto"/>
        </w:rPr>
      </w:pPr>
    </w:p>
    <w:p>
      <w:pPr>
        <w:ind w:left="1660" w:right="3239" w:hanging="827"/>
        <w:spacing w:after="0" w:line="235" w:lineRule="auto"/>
        <w:tabs>
          <w:tab w:leader="none" w:pos="1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Executed counterparts of (A) this Agreement, executed and delivered by each Co-Borrower, each Agent and each Person listed on Schedule 2.01 and (b) the Guarantee Agreement, executed and delivered by each Guarantor;</w:t>
      </w:r>
    </w:p>
    <w:p>
      <w:pPr>
        <w:spacing w:after="0" w:line="184" w:lineRule="exact"/>
        <w:rPr>
          <w:rFonts w:ascii="Courier New" w:cs="Courier New" w:eastAsia="Courier New" w:hAnsi="Courier New"/>
          <w:sz w:val="16"/>
          <w:szCs w:val="16"/>
          <w:color w:val="auto"/>
        </w:rPr>
      </w:pPr>
    </w:p>
    <w:p>
      <w:pPr>
        <w:ind w:left="1660" w:right="2779" w:hanging="827"/>
        <w:spacing w:after="0" w:line="236" w:lineRule="auto"/>
        <w:tabs>
          <w:tab w:leader="none" w:pos="1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certificates of resolutions or other action, incumbency certificates and/or other certificates of Responsible Officers of each Loan Party as Administrative Agent may request to establish the identities of and verify the authority and capacity of each Responsible Officer thereof authorized to act as a Responsible Officer thereof;</w:t>
      </w:r>
    </w:p>
    <w:p>
      <w:pPr>
        <w:spacing w:after="0" w:line="182" w:lineRule="exact"/>
        <w:rPr>
          <w:rFonts w:ascii="Courier New" w:cs="Courier New" w:eastAsia="Courier New" w:hAnsi="Courier New"/>
          <w:sz w:val="16"/>
          <w:szCs w:val="16"/>
          <w:color w:val="auto"/>
        </w:rPr>
      </w:pPr>
    </w:p>
    <w:p>
      <w:pPr>
        <w:ind w:left="1660" w:right="2779" w:hanging="827"/>
        <w:spacing w:after="0" w:line="235" w:lineRule="auto"/>
        <w:tabs>
          <w:tab w:leader="none" w:pos="1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evidence as Administrative Agent may request to verify that each Loan Party is duly organized or formed, validly existing, in good standing and qualified to engage in business in each jurisdiction in which it is required to be qualified to engage</w:t>
      </w:r>
    </w:p>
    <w:p>
      <w:pPr>
        <w:sectPr>
          <w:pgSz w:w="11900" w:h="16838" w:orient="portrait"/>
          <w:cols w:equalWidth="0" w:num="1">
            <w:col w:w="10219"/>
          </w:cols>
          <w:pgMar w:left="240" w:top="469" w:right="1440" w:bottom="1440" w:gutter="0" w:footer="0" w:header="0"/>
        </w:sectPr>
      </w:pPr>
    </w:p>
    <w:bookmarkStart w:id="65" w:name="page66"/>
    <w:bookmarkEnd w:id="65"/>
    <w:p>
      <w:pPr>
        <w:ind w:left="3620"/>
        <w:spacing w:after="0"/>
        <w:rPr>
          <w:sz w:val="20"/>
          <w:szCs w:val="20"/>
          <w:color w:val="auto"/>
        </w:rPr>
      </w:pPr>
      <w:r>
        <w:rPr>
          <w:rFonts w:ascii="Courier New" w:cs="Courier New" w:eastAsia="Courier New" w:hAnsi="Courier New"/>
          <w:sz w:val="16"/>
          <w:szCs w:val="16"/>
          <w:color w:val="auto"/>
        </w:rPr>
        <w:t>34</w:t>
      </w:r>
    </w:p>
    <w:p>
      <w:pPr>
        <w:spacing w:after="0" w:line="200" w:lineRule="exact"/>
        <w:rPr>
          <w:sz w:val="20"/>
          <w:szCs w:val="20"/>
          <w:color w:val="auto"/>
        </w:rPr>
      </w:pPr>
    </w:p>
    <w:p>
      <w:pPr>
        <w:spacing w:after="0" w:line="33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in business, including certified copies of its</w:t>
      </w:r>
    </w:p>
    <w:p>
      <w:pPr>
        <w:spacing w:after="0" w:line="4" w:lineRule="exact"/>
        <w:rPr>
          <w:sz w:val="20"/>
          <w:szCs w:val="20"/>
          <w:color w:val="auto"/>
        </w:rPr>
      </w:pPr>
    </w:p>
    <w:p>
      <w:pPr>
        <w:ind w:left="1660" w:right="2779"/>
        <w:spacing w:after="0" w:line="234" w:lineRule="auto"/>
        <w:rPr>
          <w:sz w:val="20"/>
          <w:szCs w:val="20"/>
          <w:color w:val="auto"/>
        </w:rPr>
      </w:pPr>
      <w:r>
        <w:rPr>
          <w:rFonts w:ascii="Courier New" w:cs="Courier New" w:eastAsia="Courier New" w:hAnsi="Courier New"/>
          <w:sz w:val="16"/>
          <w:szCs w:val="16"/>
          <w:color w:val="auto"/>
        </w:rPr>
        <w:t>organizational documents, certificates of good standing and/or qualification to engage in business;</w:t>
      </w:r>
    </w:p>
    <w:p>
      <w:pPr>
        <w:spacing w:after="0" w:line="183" w:lineRule="exact"/>
        <w:rPr>
          <w:sz w:val="20"/>
          <w:szCs w:val="20"/>
          <w:color w:val="auto"/>
        </w:rPr>
      </w:pPr>
    </w:p>
    <w:p>
      <w:pPr>
        <w:ind w:left="1660" w:right="3239" w:hanging="827"/>
        <w:spacing w:after="0" w:line="270" w:lineRule="auto"/>
        <w:tabs>
          <w:tab w:leader="none" w:pos="16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signed by a Responsible Officer of Borrower certifying (A) that the conditions specified in Sections</w:t>
      </w:r>
    </w:p>
    <w:p>
      <w:pPr>
        <w:ind w:left="1660" w:right="28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4.01(c), (e) and (f) have been satisfied, (B) that there has been no event or circumstance since the date of the Reference Statements which has a Material Adverse Effect, and (C) as to the Debt Ratings as of the Effective Date;</w:t>
      </w:r>
    </w:p>
    <w:p>
      <w:pPr>
        <w:spacing w:after="0" w:line="184" w:lineRule="exact"/>
        <w:rPr>
          <w:rFonts w:ascii="Courier New" w:cs="Courier New" w:eastAsia="Courier New" w:hAnsi="Courier New"/>
          <w:sz w:val="14"/>
          <w:szCs w:val="14"/>
          <w:color w:val="auto"/>
        </w:rPr>
      </w:pPr>
    </w:p>
    <w:p>
      <w:pPr>
        <w:ind w:left="1660" w:right="3439" w:hanging="827"/>
        <w:spacing w:after="0" w:line="295" w:lineRule="auto"/>
        <w:tabs>
          <w:tab w:leader="none" w:pos="16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counsel to Borrower in form and substance reasonably satisfactory to Administrative Agent; and</w:t>
      </w:r>
    </w:p>
    <w:p>
      <w:pPr>
        <w:spacing w:after="0" w:line="146" w:lineRule="exact"/>
        <w:rPr>
          <w:rFonts w:ascii="Courier New" w:cs="Courier New" w:eastAsia="Courier New" w:hAnsi="Courier New"/>
          <w:sz w:val="14"/>
          <w:szCs w:val="14"/>
          <w:color w:val="auto"/>
        </w:rPr>
      </w:pPr>
    </w:p>
    <w:p>
      <w:pPr>
        <w:ind w:left="1660" w:right="3059" w:hanging="827"/>
        <w:spacing w:after="0" w:line="235" w:lineRule="auto"/>
        <w:tabs>
          <w:tab w:leader="none" w:pos="16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customary certificates, documents or opinions as Administrative Agent or Required Lenders reasonably may require.</w:t>
      </w:r>
    </w:p>
    <w:p>
      <w:pPr>
        <w:spacing w:after="0" w:line="183" w:lineRule="exact"/>
        <w:rPr>
          <w:rFonts w:ascii="Courier New" w:cs="Courier New" w:eastAsia="Courier New" w:hAnsi="Courier New"/>
          <w:sz w:val="16"/>
          <w:szCs w:val="16"/>
          <w:color w:val="auto"/>
        </w:rPr>
      </w:pPr>
    </w:p>
    <w:p>
      <w:pPr>
        <w:ind w:right="3059" w:firstLine="1670"/>
        <w:spacing w:after="0" w:line="234" w:lineRule="auto"/>
        <w:tabs>
          <w:tab w:leader="none" w:pos="2047"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fees required to be paid on or before the Effective Date shall have been paid.</w:t>
      </w:r>
    </w:p>
    <w:p>
      <w:pPr>
        <w:spacing w:after="0" w:line="183" w:lineRule="exact"/>
        <w:rPr>
          <w:rFonts w:ascii="Courier New" w:cs="Courier New" w:eastAsia="Courier New" w:hAnsi="Courier New"/>
          <w:sz w:val="16"/>
          <w:szCs w:val="16"/>
          <w:color w:val="auto"/>
        </w:rPr>
      </w:pPr>
    </w:p>
    <w:p>
      <w:pPr>
        <w:ind w:right="2779" w:firstLine="1670"/>
        <w:spacing w:after="0" w:line="272" w:lineRule="auto"/>
        <w:tabs>
          <w:tab w:leader="none" w:pos="2047"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lenders shall have received any principal, interest or fees owing under (i) the Five-Year Agreement, (ii) the Permanent Facilities Agreement and (iii) the May 2003 Agreement (collectively, the "Existing Credit Agreements"). The Co-Borrowers hereby agree that the commitments under the Permanent Facilities Agreement and the May 2003 Agreement shall terminate in their entirety simultaneously with and subject to the effectiveness of this Agreement. Comcast Cable Communications, Inc. by separate written instrument executed on the Effective Date shall agree that the commitments under the Five-Year Agreement shall terminate in their entirety simultaneously with and subject to the effectiveness of this Agreement. The Lenders that are parties to the Existing Credit Agreements, comprising the "Required Lenders" as defined in each of the Existing Credit Agreements, hereby agree that the commitments under the Existing Credit Agreements shall terminate as set forth in this Section 4.01(c). The transactions described in this Section 4.01(c) are collectively referred to as the "Refinancing."</w:t>
      </w:r>
    </w:p>
    <w:p>
      <w:pPr>
        <w:spacing w:after="0" w:line="345" w:lineRule="exact"/>
        <w:rPr>
          <w:rFonts w:ascii="Courier New" w:cs="Courier New" w:eastAsia="Courier New" w:hAnsi="Courier New"/>
          <w:sz w:val="14"/>
          <w:szCs w:val="14"/>
          <w:color w:val="auto"/>
        </w:rPr>
      </w:pPr>
    </w:p>
    <w:p>
      <w:pPr>
        <w:ind w:right="2779" w:firstLine="1670"/>
        <w:spacing w:after="0" w:line="236" w:lineRule="auto"/>
        <w:tabs>
          <w:tab w:leader="none" w:pos="2047"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Lenders shall have received (i) satisfactory audited consolidated financial statements of Borrower and its Subsidiaries for the most recent fiscal year ended prior to the Effective Date as to which such financial statements are available and (ii) satisfactory unaudited interim consolidated financial statements of Borrower and its Subsidiaries for each quarterly period, if any, ended subsequent to the date of the financial statements delivered pursuant to clause (i) of this paragraph as to which such financial statements are available.</w:t>
      </w:r>
    </w:p>
    <w:p>
      <w:pPr>
        <w:spacing w:after="0" w:line="184" w:lineRule="exact"/>
        <w:rPr>
          <w:rFonts w:ascii="Courier New" w:cs="Courier New" w:eastAsia="Courier New" w:hAnsi="Courier New"/>
          <w:sz w:val="16"/>
          <w:szCs w:val="16"/>
          <w:color w:val="auto"/>
        </w:rPr>
      </w:pPr>
    </w:p>
    <w:p>
      <w:pPr>
        <w:ind w:right="2879" w:firstLine="1670"/>
        <w:spacing w:after="0" w:line="235" w:lineRule="auto"/>
        <w:tabs>
          <w:tab w:leader="none" w:pos="2047"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made by Borrower herein, or which are contained in any certificate, document or financial or other statement furnished at any time under or in connection herewith or therewith, shall be correct in all material respects on and as of the Effective Date.</w:t>
      </w:r>
    </w:p>
    <w:p>
      <w:pPr>
        <w:spacing w:after="0" w:line="185" w:lineRule="exact"/>
        <w:rPr>
          <w:rFonts w:ascii="Courier New" w:cs="Courier New" w:eastAsia="Courier New" w:hAnsi="Courier New"/>
          <w:sz w:val="16"/>
          <w:szCs w:val="16"/>
          <w:color w:val="auto"/>
        </w:rPr>
      </w:pPr>
    </w:p>
    <w:p>
      <w:pPr>
        <w:ind w:left="2040" w:hanging="370"/>
        <w:spacing w:after="0"/>
        <w:tabs>
          <w:tab w:leader="none" w:pos="2040"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have occurred and be</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continuing.</w:t>
      </w:r>
    </w:p>
    <w:p>
      <w:pPr>
        <w:spacing w:after="0" w:line="183" w:lineRule="exact"/>
        <w:rPr>
          <w:rFonts w:ascii="Courier New" w:cs="Courier New" w:eastAsia="Courier New" w:hAnsi="Courier New"/>
          <w:sz w:val="14"/>
          <w:szCs w:val="14"/>
          <w:color w:val="auto"/>
        </w:rPr>
      </w:pPr>
    </w:p>
    <w:p>
      <w:pPr>
        <w:ind w:right="2779" w:firstLine="1670"/>
        <w:spacing w:after="0" w:line="235" w:lineRule="auto"/>
        <w:tabs>
          <w:tab w:leader="none" w:pos="2047"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waived by Administrative Agent, Borrower shall have paid all Attorney Costs of Administrative Agent to the extent invoiced prior to or on the Effective Date.</w:t>
      </w:r>
    </w:p>
    <w:p>
      <w:pPr>
        <w:spacing w:after="0" w:line="183"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4.02 Conditions to all Extensions of Credit. In addition to any applicable conditions precedent set forth in Section 2, the obligation of each Lender to honor any Request for Extension of Credit (including the initial Extension of Credit, but other than a Conversion or Continuation) is subject to the following conditions precedent:</w:t>
      </w:r>
    </w:p>
    <w:p>
      <w:pPr>
        <w:sectPr>
          <w:pgSz w:w="11900" w:h="16838" w:orient="portrait"/>
          <w:cols w:equalWidth="0" w:num="1">
            <w:col w:w="10219"/>
          </w:cols>
          <w:pgMar w:left="240" w:top="469" w:right="1440" w:bottom="1440" w:gutter="0" w:footer="0" w:header="0"/>
        </w:sectPr>
      </w:pPr>
    </w:p>
    <w:bookmarkStart w:id="66" w:name="page67"/>
    <w:bookmarkEnd w:id="66"/>
    <w:p>
      <w:pPr>
        <w:ind w:left="3625"/>
        <w:spacing w:after="0"/>
        <w:rPr>
          <w:sz w:val="20"/>
          <w:szCs w:val="20"/>
          <w:color w:val="auto"/>
        </w:rPr>
      </w:pPr>
      <w:r>
        <w:rPr>
          <w:rFonts w:ascii="Courier New" w:cs="Courier New" w:eastAsia="Courier New" w:hAnsi="Courier New"/>
          <w:sz w:val="16"/>
          <w:szCs w:val="16"/>
          <w:color w:val="auto"/>
        </w:rPr>
        <w:t>35</w:t>
      </w:r>
    </w:p>
    <w:p>
      <w:pPr>
        <w:spacing w:after="0" w:line="200" w:lineRule="exact"/>
        <w:rPr>
          <w:sz w:val="20"/>
          <w:szCs w:val="20"/>
          <w:color w:val="auto"/>
        </w:rPr>
      </w:pPr>
    </w:p>
    <w:p>
      <w:pPr>
        <w:spacing w:after="0" w:line="340" w:lineRule="exact"/>
        <w:rPr>
          <w:sz w:val="20"/>
          <w:szCs w:val="20"/>
          <w:color w:val="auto"/>
        </w:rPr>
      </w:pPr>
    </w:p>
    <w:p>
      <w:pPr>
        <w:ind w:left="2045" w:hanging="370"/>
        <w:spacing w:after="0"/>
        <w:tabs>
          <w:tab w:leader="none" w:pos="204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conditions precedent set forth in Section 4.01 of this</w:t>
      </w:r>
    </w:p>
    <w:p>
      <w:pPr>
        <w:spacing w:after="0" w:line="16"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Agreement shall have been satisfied as of the Effective Date.</w:t>
      </w:r>
    </w:p>
    <w:p>
      <w:pPr>
        <w:spacing w:after="0" w:line="183" w:lineRule="exact"/>
        <w:rPr>
          <w:rFonts w:ascii="Courier New" w:cs="Courier New" w:eastAsia="Courier New" w:hAnsi="Courier New"/>
          <w:sz w:val="14"/>
          <w:szCs w:val="14"/>
          <w:color w:val="auto"/>
        </w:rPr>
      </w:pPr>
    </w:p>
    <w:p>
      <w:pPr>
        <w:ind w:left="5" w:right="2879" w:firstLine="1670"/>
        <w:spacing w:after="0" w:line="236" w:lineRule="auto"/>
        <w:tabs>
          <w:tab w:leader="none" w:pos="205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Borrower contained in Section 5 (other than Sections 5.04(b) and 5.05) of this Agreement shall be correct in all material respects on and as of the date of such Extension of Credit as if made on and as of such date, except to the extent any such representation and warranty specifically relates to any earlier date, in which case such representation and warranty shall have been correct on and as of such earlier date.</w:t>
      </w:r>
    </w:p>
    <w:p>
      <w:pPr>
        <w:spacing w:after="0" w:line="183" w:lineRule="exact"/>
        <w:rPr>
          <w:rFonts w:ascii="Courier New" w:cs="Courier New" w:eastAsia="Courier New" w:hAnsi="Courier New"/>
          <w:sz w:val="16"/>
          <w:szCs w:val="16"/>
          <w:color w:val="auto"/>
        </w:rPr>
      </w:pPr>
    </w:p>
    <w:p>
      <w:pPr>
        <w:ind w:left="5" w:right="3159" w:firstLine="1670"/>
        <w:spacing w:after="0" w:line="234" w:lineRule="auto"/>
        <w:tabs>
          <w:tab w:leader="none" w:pos="205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exists, or would result from such Extension of Credit or the use thereof.</w:t>
      </w:r>
    </w:p>
    <w:p>
      <w:pPr>
        <w:spacing w:after="0" w:line="183" w:lineRule="exact"/>
        <w:rPr>
          <w:rFonts w:ascii="Courier New" w:cs="Courier New" w:eastAsia="Courier New" w:hAnsi="Courier New"/>
          <w:sz w:val="16"/>
          <w:szCs w:val="16"/>
          <w:color w:val="auto"/>
        </w:rPr>
      </w:pPr>
    </w:p>
    <w:p>
      <w:pPr>
        <w:ind w:left="5" w:right="2879" w:firstLine="1670"/>
        <w:spacing w:after="0" w:line="295" w:lineRule="auto"/>
        <w:tabs>
          <w:tab w:leader="none" w:pos="2051"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shall have timely received a Request for Extension of Credit by Requisite Notice by the Requisite Time therefor.</w:t>
      </w:r>
    </w:p>
    <w:p>
      <w:pPr>
        <w:spacing w:after="0" w:line="146" w:lineRule="exact"/>
        <w:rPr>
          <w:rFonts w:ascii="Courier New" w:cs="Courier New" w:eastAsia="Courier New" w:hAnsi="Courier New"/>
          <w:sz w:val="14"/>
          <w:szCs w:val="14"/>
          <w:color w:val="auto"/>
        </w:rPr>
      </w:pPr>
    </w:p>
    <w:p>
      <w:pPr>
        <w:ind w:left="2045" w:hanging="370"/>
        <w:spacing w:after="0"/>
        <w:tabs>
          <w:tab w:leader="none" w:pos="204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Extension of Credit shall be permitted by applicable</w:t>
      </w:r>
    </w:p>
    <w:p>
      <w:pPr>
        <w:spacing w:after="0" w:line="16"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Laws.</w:t>
      </w:r>
    </w:p>
    <w:p>
      <w:pPr>
        <w:spacing w:after="0" w:line="183" w:lineRule="exact"/>
        <w:rPr>
          <w:sz w:val="20"/>
          <w:szCs w:val="20"/>
          <w:color w:val="auto"/>
        </w:rPr>
      </w:pPr>
    </w:p>
    <w:p>
      <w:pPr>
        <w:ind w:left="5" w:right="2779" w:firstLine="1674"/>
        <w:spacing w:after="0" w:line="235" w:lineRule="auto"/>
        <w:rPr>
          <w:sz w:val="20"/>
          <w:szCs w:val="20"/>
          <w:color w:val="auto"/>
        </w:rPr>
      </w:pPr>
      <w:r>
        <w:rPr>
          <w:rFonts w:ascii="Courier New" w:cs="Courier New" w:eastAsia="Courier New" w:hAnsi="Courier New"/>
          <w:sz w:val="16"/>
          <w:szCs w:val="16"/>
          <w:color w:val="auto"/>
        </w:rPr>
        <w:t>Each Request for Extension of Credit by a Co-Borrower shall be deemed to be a representation and warranty that the conditions specified in Sections 4.02(b) and (c) have been satisfied on and as of the date of such Extension of Credit.</w:t>
      </w:r>
    </w:p>
    <w:p>
      <w:pPr>
        <w:spacing w:after="0" w:line="178"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SECTION 5</w:t>
      </w:r>
    </w:p>
    <w:p>
      <w:pPr>
        <w:spacing w:after="0" w:line="177" w:lineRule="exact"/>
        <w:rPr>
          <w:sz w:val="20"/>
          <w:szCs w:val="20"/>
          <w:color w:val="auto"/>
        </w:rPr>
      </w:pPr>
    </w:p>
    <w:p>
      <w:pPr>
        <w:ind w:left="2325"/>
        <w:spacing w:after="0"/>
        <w:rPr>
          <w:sz w:val="20"/>
          <w:szCs w:val="20"/>
          <w:color w:val="auto"/>
        </w:rPr>
      </w:pPr>
      <w:r>
        <w:rPr>
          <w:rFonts w:ascii="Courier New" w:cs="Courier New" w:eastAsia="Courier New" w:hAnsi="Courier New"/>
          <w:sz w:val="16"/>
          <w:szCs w:val="16"/>
          <w:color w:val="auto"/>
        </w:rPr>
        <w:t>REPRESENTATIONS AND WARRANTIES</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Borrower represents and warrants to Administrative Agent and</w:t>
      </w:r>
    </w:p>
    <w:p>
      <w:pPr>
        <w:ind w:left="5"/>
        <w:spacing w:after="0" w:line="236" w:lineRule="auto"/>
        <w:rPr>
          <w:sz w:val="20"/>
          <w:szCs w:val="20"/>
          <w:color w:val="auto"/>
        </w:rPr>
      </w:pPr>
      <w:r>
        <w:rPr>
          <w:rFonts w:ascii="Courier New" w:cs="Courier New" w:eastAsia="Courier New" w:hAnsi="Courier New"/>
          <w:sz w:val="16"/>
          <w:szCs w:val="16"/>
          <w:color w:val="auto"/>
        </w:rPr>
        <w:t>Lenders that:</w:t>
      </w:r>
    </w:p>
    <w:p>
      <w:pPr>
        <w:spacing w:after="0" w:line="183" w:lineRule="exact"/>
        <w:rPr>
          <w:sz w:val="20"/>
          <w:szCs w:val="20"/>
          <w:color w:val="auto"/>
        </w:rPr>
      </w:pPr>
    </w:p>
    <w:p>
      <w:pPr>
        <w:ind w:left="5" w:right="2779" w:firstLine="1674"/>
        <w:spacing w:after="0" w:line="270" w:lineRule="auto"/>
        <w:rPr>
          <w:sz w:val="20"/>
          <w:szCs w:val="20"/>
          <w:color w:val="auto"/>
        </w:rPr>
      </w:pPr>
      <w:r>
        <w:rPr>
          <w:rFonts w:ascii="Courier New" w:cs="Courier New" w:eastAsia="Courier New" w:hAnsi="Courier New"/>
          <w:sz w:val="14"/>
          <w:szCs w:val="14"/>
          <w:color w:val="auto"/>
        </w:rPr>
        <w:t>5.01 Existence and Qualification; Power; Compliance with Laws. Each of Borrower and its Restricted Subsidiaries (a) is a corporation, partnership or limited liability company duly organized or formed, validly existing and in good standing under the Laws of the state of its organization,</w:t>
      </w:r>
    </w:p>
    <w:p>
      <w:pPr>
        <w:spacing w:after="0" w:line="2" w:lineRule="exact"/>
        <w:rPr>
          <w:sz w:val="20"/>
          <w:szCs w:val="20"/>
          <w:color w:val="auto"/>
        </w:rPr>
      </w:pPr>
    </w:p>
    <w:p>
      <w:pPr>
        <w:ind w:left="5" w:right="2879" w:hanging="5"/>
        <w:spacing w:after="0" w:line="236" w:lineRule="auto"/>
        <w:tabs>
          <w:tab w:leader="none" w:pos="377"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the power and authority and the legal right to own, lease and operate its properties and to conduct its business, (c) is duly qualified and in good standing under the Laws of each jurisdiction where its ownership, lease or operation of its properties or the conduct of its business requires such qualification, except to the extent that the failure to be so qualified and in good standing does not have a Material Adverse Effect, and (d) is in compliance with all Laws, except to the extent that noncompliance does not have a Material Adverse Effect.</w:t>
      </w:r>
    </w:p>
    <w:p>
      <w:pPr>
        <w:spacing w:after="0" w:line="184" w:lineRule="exact"/>
        <w:rPr>
          <w:sz w:val="20"/>
          <w:szCs w:val="20"/>
          <w:color w:val="auto"/>
        </w:rPr>
      </w:pPr>
    </w:p>
    <w:p>
      <w:pPr>
        <w:ind w:left="5" w:right="2779" w:firstLine="1674"/>
        <w:spacing w:after="0" w:line="236" w:lineRule="auto"/>
        <w:rPr>
          <w:sz w:val="20"/>
          <w:szCs w:val="20"/>
          <w:color w:val="auto"/>
        </w:rPr>
      </w:pPr>
      <w:r>
        <w:rPr>
          <w:rFonts w:ascii="Courier New" w:cs="Courier New" w:eastAsia="Courier New" w:hAnsi="Courier New"/>
          <w:sz w:val="16"/>
          <w:szCs w:val="16"/>
          <w:color w:val="auto"/>
        </w:rPr>
        <w:t>5.02 Power; Authorization; Enforceable Obligations. Each Loan Party has the power and authority and the legal right to make, deliver and perform each Loan Document to which it is a party, and has taken all necessary action to authorize the execution, delivery and performance of each Loan Document to which it is a party. Each Co-Borrower has the power and authority and the legal right to borrow hereunder and has taken all necessary action to authorize the Extensions of Credit on the terms and conditions of this Agreement. Except for such consents, authorizations, filings or other acts which have been duly made or obtained and are in full force and effect, no consent or authorization of, filing with, or other act by or in respect of any Governmental Authority is required in connection with the Extensions of Credit hereunder or with the execution, delivery, performance, validity or enforceability of this Agreement or any of the other Loan Documents. Each Loan Document has been duly executed and delivered on behalf of each Loan Party party thereto, and constitutes a legal, valid and binding obligation of each Loan Party party thereto, enforceable against each such Loan Party in accordance with its terms, subject to applicable bankruptcy, insolvency, reorganization, moratorium or other Laws affecting</w:t>
      </w:r>
    </w:p>
    <w:p>
      <w:pPr>
        <w:sectPr>
          <w:pgSz w:w="11900" w:h="16838" w:orient="portrait"/>
          <w:cols w:equalWidth="0" w:num="1">
            <w:col w:w="10224"/>
          </w:cols>
          <w:pgMar w:left="235" w:top="469" w:right="1440" w:bottom="1440" w:gutter="0" w:footer="0" w:header="0"/>
        </w:sectPr>
      </w:pPr>
    </w:p>
    <w:bookmarkStart w:id="67" w:name="page68"/>
    <w:bookmarkEnd w:id="67"/>
    <w:p>
      <w:pPr>
        <w:ind w:left="3625"/>
        <w:spacing w:after="0"/>
        <w:rPr>
          <w:sz w:val="20"/>
          <w:szCs w:val="20"/>
          <w:color w:val="auto"/>
        </w:rPr>
      </w:pPr>
      <w:r>
        <w:rPr>
          <w:rFonts w:ascii="Courier New" w:cs="Courier New" w:eastAsia="Courier New" w:hAnsi="Courier New"/>
          <w:sz w:val="16"/>
          <w:szCs w:val="16"/>
          <w:color w:val="auto"/>
        </w:rPr>
        <w:t>36</w:t>
      </w:r>
    </w:p>
    <w:p>
      <w:pPr>
        <w:spacing w:after="0" w:line="200" w:lineRule="exact"/>
        <w:rPr>
          <w:sz w:val="20"/>
          <w:szCs w:val="20"/>
          <w:color w:val="auto"/>
        </w:rPr>
      </w:pPr>
    </w:p>
    <w:p>
      <w:pPr>
        <w:spacing w:after="0" w:line="340" w:lineRule="exact"/>
        <w:rPr>
          <w:sz w:val="20"/>
          <w:szCs w:val="20"/>
          <w:color w:val="auto"/>
        </w:rPr>
      </w:pPr>
    </w:p>
    <w:p>
      <w:pPr>
        <w:ind w:left="5" w:right="3519"/>
        <w:spacing w:after="0" w:line="295" w:lineRule="auto"/>
        <w:rPr>
          <w:sz w:val="20"/>
          <w:szCs w:val="20"/>
          <w:color w:val="auto"/>
        </w:rPr>
      </w:pPr>
      <w:r>
        <w:rPr>
          <w:rFonts w:ascii="Courier New" w:cs="Courier New" w:eastAsia="Courier New" w:hAnsi="Courier New"/>
          <w:sz w:val="14"/>
          <w:szCs w:val="14"/>
          <w:color w:val="auto"/>
        </w:rPr>
        <w:t>creditors' rights generally and subject to general principles of equity, regardless of whether considered in a proceeding in equity or at law.</w:t>
      </w:r>
    </w:p>
    <w:p>
      <w:pPr>
        <w:spacing w:after="0" w:line="147" w:lineRule="exact"/>
        <w:rPr>
          <w:sz w:val="20"/>
          <w:szCs w:val="20"/>
          <w:color w:val="auto"/>
        </w:rPr>
      </w:pPr>
    </w:p>
    <w:p>
      <w:pPr>
        <w:ind w:left="5" w:right="2779" w:firstLine="1674"/>
        <w:spacing w:after="0" w:line="270" w:lineRule="auto"/>
        <w:rPr>
          <w:sz w:val="20"/>
          <w:szCs w:val="20"/>
          <w:color w:val="auto"/>
        </w:rPr>
      </w:pPr>
      <w:r>
        <w:rPr>
          <w:rFonts w:ascii="Courier New" w:cs="Courier New" w:eastAsia="Courier New" w:hAnsi="Courier New"/>
          <w:sz w:val="14"/>
          <w:szCs w:val="14"/>
          <w:color w:val="auto"/>
        </w:rPr>
        <w:t>5.03 No Legal Bar. The execution, delivery, and performance by each Loan Party of the Loan Documents to which it is a party do not and will not</w:t>
      </w:r>
    </w:p>
    <w:p>
      <w:pPr>
        <w:spacing w:after="0" w:line="1" w:lineRule="exact"/>
        <w:rPr>
          <w:sz w:val="20"/>
          <w:szCs w:val="20"/>
          <w:color w:val="auto"/>
        </w:rPr>
      </w:pPr>
    </w:p>
    <w:p>
      <w:pPr>
        <w:ind w:left="5" w:right="2959" w:hanging="5"/>
        <w:spacing w:after="0" w:line="236" w:lineRule="auto"/>
        <w:tabs>
          <w:tab w:leader="none" w:pos="377"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violate or conflict with, or result in a breach of, or require any consent under (i) such Loan Party's organizational documents, (ii) any applicable Laws which has a Material Adverse Effect, or (iii) any Contractual Obligation, license or franchise of Borrower or any of its Restricted Subsidiaries or by which any of them or any of their property is bound or subject which has a Material Adverse Effect, (b) constitute a default under any such Contractual Obligation, license or franchise which has a Material Adverse Effect or (c) result in, or require, the creation or imposition of any Lien on any of the properties of Borrower or any of its Restricted Subsidiaries which is not permitted hereby.</w:t>
      </w:r>
    </w:p>
    <w:p>
      <w:pPr>
        <w:spacing w:after="0" w:line="179"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5.04 Financial Statements; No Material Adverse Effect.</w:t>
      </w:r>
    </w:p>
    <w:p>
      <w:pPr>
        <w:spacing w:after="0" w:line="183" w:lineRule="exact"/>
        <w:rPr>
          <w:sz w:val="20"/>
          <w:szCs w:val="20"/>
          <w:color w:val="auto"/>
        </w:rPr>
      </w:pPr>
    </w:p>
    <w:p>
      <w:pPr>
        <w:ind w:left="5" w:right="2879" w:firstLine="1670"/>
        <w:spacing w:after="0" w:line="275" w:lineRule="auto"/>
        <w:tabs>
          <w:tab w:leader="none" w:pos="205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Reference Statements (i) were prepared in accordance with GAAP consistently applied throughout the period covered thereby, except as otherwise expressly noted therein, and (ii) fairly present the financial condition of Borrower and its consolidated Subsidiaries as of the date thereof and their results of operations for the period covered thereby in accordance with GAAP consistently applied throughout the period covered thereby, except as otherwise expressly noted therein.</w:t>
      </w:r>
    </w:p>
    <w:p>
      <w:pPr>
        <w:spacing w:after="0" w:line="340" w:lineRule="exact"/>
        <w:rPr>
          <w:rFonts w:ascii="Courier New" w:cs="Courier New" w:eastAsia="Courier New" w:hAnsi="Courier New"/>
          <w:sz w:val="14"/>
          <w:szCs w:val="14"/>
          <w:color w:val="auto"/>
        </w:rPr>
      </w:pPr>
    </w:p>
    <w:p>
      <w:pPr>
        <w:ind w:left="5" w:right="3059" w:firstLine="1670"/>
        <w:spacing w:after="0" w:line="234" w:lineRule="auto"/>
        <w:tabs>
          <w:tab w:leader="none" w:pos="205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December 31, 2002 to the Effective Date, there has been no event or circumstance which has a Material Adverse Effect.</w:t>
      </w:r>
    </w:p>
    <w:p>
      <w:pPr>
        <w:spacing w:after="0" w:line="183" w:lineRule="exact"/>
        <w:rPr>
          <w:sz w:val="20"/>
          <w:szCs w:val="20"/>
          <w:color w:val="auto"/>
        </w:rPr>
      </w:pPr>
    </w:p>
    <w:p>
      <w:pPr>
        <w:ind w:left="5" w:right="2779" w:firstLine="1674"/>
        <w:spacing w:after="0" w:line="236" w:lineRule="auto"/>
        <w:rPr>
          <w:sz w:val="20"/>
          <w:szCs w:val="20"/>
          <w:color w:val="auto"/>
        </w:rPr>
      </w:pPr>
      <w:r>
        <w:rPr>
          <w:rFonts w:ascii="Courier New" w:cs="Courier New" w:eastAsia="Courier New" w:hAnsi="Courier New"/>
          <w:sz w:val="16"/>
          <w:szCs w:val="16"/>
          <w:color w:val="auto"/>
        </w:rPr>
        <w:t>5.05 Litigation. No litigation, investigation or proceeding of or before an arbitrator or Governmental Authority is pending or, to the best knowledge of Borrower, threatened by or against Borrower or any of its Restricted Subsidiaries or against any of their properties or revenues that is reasonably likely to be determined adversely, and, if so adversely determined, has a Material Adverse Effect.</w:t>
      </w:r>
    </w:p>
    <w:p>
      <w:pPr>
        <w:spacing w:after="0" w:line="183" w:lineRule="exact"/>
        <w:rPr>
          <w:sz w:val="20"/>
          <w:szCs w:val="20"/>
          <w:color w:val="auto"/>
        </w:rPr>
      </w:pPr>
    </w:p>
    <w:p>
      <w:pPr>
        <w:ind w:left="5" w:right="2879" w:firstLine="1674"/>
        <w:spacing w:after="0" w:line="236" w:lineRule="auto"/>
        <w:rPr>
          <w:sz w:val="20"/>
          <w:szCs w:val="20"/>
          <w:color w:val="auto"/>
        </w:rPr>
      </w:pPr>
      <w:r>
        <w:rPr>
          <w:rFonts w:ascii="Courier New" w:cs="Courier New" w:eastAsia="Courier New" w:hAnsi="Courier New"/>
          <w:sz w:val="16"/>
          <w:szCs w:val="16"/>
          <w:color w:val="auto"/>
        </w:rPr>
        <w:t>5.06 No Default. Neither Borrower nor any of its Restricted Subsidiaries is in default under or with respect to any Contractual Obligation, license or franchise which has a Material Adverse Effect, and no Default or Event of Default has occurred and is continuing or will result from the execution and delivery of this Agreement or any of the other Loan Documents, or the making of the Extensions of Credit hereunder.</w:t>
      </w:r>
    </w:p>
    <w:p>
      <w:pPr>
        <w:spacing w:after="0" w:line="183" w:lineRule="exact"/>
        <w:rPr>
          <w:sz w:val="20"/>
          <w:szCs w:val="20"/>
          <w:color w:val="auto"/>
        </w:rPr>
      </w:pPr>
    </w:p>
    <w:p>
      <w:pPr>
        <w:ind w:left="5" w:right="2779" w:firstLine="1674"/>
        <w:spacing w:after="0" w:line="275" w:lineRule="auto"/>
        <w:rPr>
          <w:sz w:val="20"/>
          <w:szCs w:val="20"/>
          <w:color w:val="auto"/>
        </w:rPr>
      </w:pPr>
      <w:r>
        <w:rPr>
          <w:rFonts w:ascii="Courier New" w:cs="Courier New" w:eastAsia="Courier New" w:hAnsi="Courier New"/>
          <w:sz w:val="14"/>
          <w:szCs w:val="14"/>
          <w:color w:val="auto"/>
        </w:rPr>
        <w:t>5.07 Authorizations. Borrower and its Restricted Subsidiaries possess all licenses, permits, franchises, consents, approvals, and other authorities required to be issued by Governmental Authorities that are necessary or required in the conduct of their businesses, all of which are valid, binding, enforceable, and subsisting without any defaults thereunder, other than any failures to possess or defaults that do not have a Material Adverse Effect.</w:t>
      </w:r>
    </w:p>
    <w:p>
      <w:pPr>
        <w:spacing w:after="0" w:line="162" w:lineRule="exact"/>
        <w:rPr>
          <w:sz w:val="20"/>
          <w:szCs w:val="20"/>
          <w:color w:val="auto"/>
        </w:rPr>
      </w:pPr>
    </w:p>
    <w:p>
      <w:pPr>
        <w:ind w:left="5" w:right="2779" w:firstLine="1674"/>
        <w:spacing w:after="0" w:line="273" w:lineRule="auto"/>
        <w:rPr>
          <w:sz w:val="20"/>
          <w:szCs w:val="20"/>
          <w:color w:val="auto"/>
        </w:rPr>
      </w:pPr>
      <w:r>
        <w:rPr>
          <w:rFonts w:ascii="Courier New" w:cs="Courier New" w:eastAsia="Courier New" w:hAnsi="Courier New"/>
          <w:sz w:val="14"/>
          <w:szCs w:val="14"/>
          <w:color w:val="auto"/>
        </w:rPr>
        <w:t>5.08 Taxes. Borrower and its Restricted Subsidiaries have filed all tax returns which are required to be filed, and have paid, or made provision for the payment of, all taxes with respect to the periods, property or transactions covered by said returns, or pursuant to any assessment received by Borrower or its affected Restricted Subsidiaries, except such taxes, if any, as are being contested in good faith by appropriate proceedings and as to which adequate reserves have been established and maintained in accordance with GAAP, and, except for the failure to file tax returns and/or to pay taxes which failures do not, in the aggregate, have a Material Adverse Effect.</w:t>
      </w:r>
    </w:p>
    <w:p>
      <w:pPr>
        <w:sectPr>
          <w:pgSz w:w="11900" w:h="16838" w:orient="portrait"/>
          <w:cols w:equalWidth="0" w:num="1">
            <w:col w:w="10224"/>
          </w:cols>
          <w:pgMar w:left="235" w:top="469" w:right="1440" w:bottom="1440" w:gutter="0" w:footer="0" w:header="0"/>
        </w:sectPr>
      </w:pPr>
    </w:p>
    <w:bookmarkStart w:id="68" w:name="page69"/>
    <w:bookmarkEnd w:id="68"/>
    <w:p>
      <w:pPr>
        <w:ind w:left="3625"/>
        <w:spacing w:after="0"/>
        <w:rPr>
          <w:sz w:val="20"/>
          <w:szCs w:val="20"/>
          <w:color w:val="auto"/>
        </w:rPr>
      </w:pPr>
      <w:r>
        <w:rPr>
          <w:rFonts w:ascii="Courier New" w:cs="Courier New" w:eastAsia="Courier New" w:hAnsi="Courier New"/>
          <w:sz w:val="16"/>
          <w:szCs w:val="16"/>
          <w:color w:val="auto"/>
        </w:rPr>
        <w:t>37</w:t>
      </w:r>
    </w:p>
    <w:p>
      <w:pPr>
        <w:spacing w:after="0" w:line="200" w:lineRule="exact"/>
        <w:rPr>
          <w:sz w:val="20"/>
          <w:szCs w:val="20"/>
          <w:color w:val="auto"/>
        </w:rPr>
      </w:pPr>
    </w:p>
    <w:p>
      <w:pPr>
        <w:spacing w:after="0" w:line="340" w:lineRule="exact"/>
        <w:rPr>
          <w:sz w:val="20"/>
          <w:szCs w:val="20"/>
          <w:color w:val="auto"/>
        </w:rPr>
      </w:pPr>
    </w:p>
    <w:p>
      <w:pPr>
        <w:ind w:left="5" w:right="3439" w:firstLine="1674"/>
        <w:spacing w:after="0" w:line="234" w:lineRule="auto"/>
        <w:rPr>
          <w:sz w:val="20"/>
          <w:szCs w:val="20"/>
          <w:color w:val="auto"/>
        </w:rPr>
      </w:pPr>
      <w:r>
        <w:rPr>
          <w:rFonts w:ascii="Courier New" w:cs="Courier New" w:eastAsia="Courier New" w:hAnsi="Courier New"/>
          <w:sz w:val="16"/>
          <w:szCs w:val="16"/>
          <w:color w:val="auto"/>
        </w:rPr>
        <w:t>5.09 Margin Regulations; Investment Company Act; Public Utility Holding Company Act.</w:t>
      </w:r>
    </w:p>
    <w:p>
      <w:pPr>
        <w:spacing w:after="0" w:line="183" w:lineRule="exact"/>
        <w:rPr>
          <w:sz w:val="20"/>
          <w:szCs w:val="20"/>
          <w:color w:val="auto"/>
        </w:rPr>
      </w:pPr>
    </w:p>
    <w:p>
      <w:pPr>
        <w:ind w:left="5" w:right="2779" w:firstLine="1670"/>
        <w:spacing w:after="0" w:line="236" w:lineRule="auto"/>
        <w:tabs>
          <w:tab w:leader="none" w:pos="205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Co-Borrower is engaged or will engage, principally or as one of its important activities, in the business of extending credit for the purpose of "purchasing" or "carrying" "margin stock" within the respective meanings of each of the quoted terms under Regulation U of the Board of Governors of the Federal Reserve System as now and from time to time hereafter in effect. No part of the proceeds of any Extensions of Credit hereunder will be used for "purchasing" or "carrying" "margin stock" as so defined in a manner which violates, or which would be inconsistent with, the provisions of Regulations T, U, or X of such Board of Governors.</w:t>
      </w:r>
    </w:p>
    <w:p>
      <w:pPr>
        <w:spacing w:after="0" w:line="184" w:lineRule="exact"/>
        <w:rPr>
          <w:rFonts w:ascii="Courier New" w:cs="Courier New" w:eastAsia="Courier New" w:hAnsi="Courier New"/>
          <w:sz w:val="16"/>
          <w:szCs w:val="16"/>
          <w:color w:val="auto"/>
        </w:rPr>
      </w:pPr>
    </w:p>
    <w:p>
      <w:pPr>
        <w:ind w:left="5" w:right="2779" w:firstLine="1670"/>
        <w:spacing w:after="0" w:line="236" w:lineRule="auto"/>
        <w:tabs>
          <w:tab w:leader="none" w:pos="205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Loan Party (i) is a "holding company," or a "subsidiary company" of a "holding company," or an "affiliate" of a "holding company" or of a "subsidiary company" of a "holding company," within the meaning of the Public Utility Holding Company Act of 1935, or (ii) is required to register as an "investment company" as such term is defined in the Investment Company Act of 1940, as amended.</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5.10 ERISA Compliance.</w:t>
      </w:r>
    </w:p>
    <w:p>
      <w:pPr>
        <w:spacing w:after="0" w:line="183" w:lineRule="exact"/>
        <w:rPr>
          <w:sz w:val="20"/>
          <w:szCs w:val="20"/>
          <w:color w:val="auto"/>
        </w:rPr>
      </w:pPr>
    </w:p>
    <w:p>
      <w:pPr>
        <w:ind w:left="5" w:right="2779" w:firstLine="1670"/>
        <w:spacing w:after="0" w:line="274" w:lineRule="auto"/>
        <w:tabs>
          <w:tab w:leader="none" w:pos="2051"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Plan is in compliance in all material respects with the applicable provisions of ERISA, the Code and other federal or state Laws, except to the extent that noncompliance does not have a Material Adverse Effect. Borrower and each ERISA Affiliate have made all required contributions to each Plan subject to Section 412 of the Code, and no application for a funding waiver or an extension of any amortization period pursuant to Section 412 of the Code has been made with respect to any Plan, except in each case to an extent that could not reasonably be expected to result in a Material Adverse Effect.</w:t>
      </w:r>
    </w:p>
    <w:p>
      <w:pPr>
        <w:spacing w:after="0" w:line="161" w:lineRule="exact"/>
        <w:rPr>
          <w:rFonts w:ascii="Courier New" w:cs="Courier New" w:eastAsia="Courier New" w:hAnsi="Courier New"/>
          <w:sz w:val="14"/>
          <w:szCs w:val="14"/>
          <w:color w:val="auto"/>
        </w:rPr>
      </w:pPr>
    </w:p>
    <w:p>
      <w:pPr>
        <w:ind w:left="5" w:right="2879" w:firstLine="1670"/>
        <w:spacing w:after="0" w:line="283" w:lineRule="auto"/>
        <w:tabs>
          <w:tab w:leader="none" w:pos="2051"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pending or, to the best knowledge of Borrower, threatened claims, actions or lawsuits, or action by any Governmental Authority, with respect to any Plan that has a Material Adverse Effect.</w:t>
      </w:r>
    </w:p>
    <w:p>
      <w:pPr>
        <w:spacing w:after="0" w:line="154" w:lineRule="exact"/>
        <w:rPr>
          <w:rFonts w:ascii="Courier New" w:cs="Courier New" w:eastAsia="Courier New" w:hAnsi="Courier New"/>
          <w:sz w:val="14"/>
          <w:szCs w:val="14"/>
          <w:color w:val="auto"/>
        </w:rPr>
      </w:pPr>
    </w:p>
    <w:p>
      <w:pPr>
        <w:ind w:left="5" w:right="2879" w:firstLine="1670"/>
        <w:spacing w:after="0" w:line="270" w:lineRule="auto"/>
        <w:tabs>
          <w:tab w:leader="none" w:pos="2051"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 ERISA Event has occurred or is reasonably expected to occur which, when taken together with all other such ERISA Events for which liability is reasonably expected to occur, has a Material Adverse Effect; and</w:t>
      </w:r>
    </w:p>
    <w:p>
      <w:pPr>
        <w:spacing w:after="0" w:line="1" w:lineRule="exact"/>
        <w:rPr>
          <w:rFonts w:ascii="Courier New" w:cs="Courier New" w:eastAsia="Courier New" w:hAnsi="Courier New"/>
          <w:sz w:val="14"/>
          <w:szCs w:val="14"/>
          <w:color w:val="auto"/>
        </w:rPr>
      </w:pPr>
    </w:p>
    <w:p>
      <w:pPr>
        <w:ind w:left="5" w:right="3159" w:hanging="5"/>
        <w:spacing w:after="0" w:line="234" w:lineRule="auto"/>
        <w:tabs>
          <w:tab w:leader="none" w:pos="47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Plan has any Unfunded Pension Liability which has a Material Adverse Effect.</w:t>
      </w:r>
    </w:p>
    <w:p>
      <w:pPr>
        <w:spacing w:after="0" w:line="183" w:lineRule="exact"/>
        <w:rPr>
          <w:sz w:val="20"/>
          <w:szCs w:val="20"/>
          <w:color w:val="auto"/>
        </w:rPr>
      </w:pPr>
    </w:p>
    <w:p>
      <w:pPr>
        <w:ind w:left="5" w:right="2779" w:firstLine="1674"/>
        <w:spacing w:after="0" w:line="273" w:lineRule="auto"/>
        <w:rPr>
          <w:sz w:val="20"/>
          <w:szCs w:val="20"/>
          <w:color w:val="auto"/>
        </w:rPr>
      </w:pPr>
      <w:r>
        <w:rPr>
          <w:rFonts w:ascii="Courier New" w:cs="Courier New" w:eastAsia="Courier New" w:hAnsi="Courier New"/>
          <w:sz w:val="14"/>
          <w:szCs w:val="14"/>
          <w:color w:val="auto"/>
        </w:rPr>
        <w:t>5.11 Assets; Liens. Borrower and its Restricted Subsidiaries own, or possess the right to use, all properties and assets, including without limitation, trademarks, trade names, copyrights, patents, patent rights, franchises, licenses and other intangible assets, that are used in the conduct of their respective businesses as now operated, and none of such properties and assets, to the best knowledge of Borrower, conflicts with the valid ownership or other right of use of any other Person to the extent that such failure to own or possess or conflict has a Material Adverse Effect. None of such properties or assets is subject to any Lien, except as permitted in Section 7.01.</w:t>
      </w:r>
    </w:p>
    <w:p>
      <w:pPr>
        <w:spacing w:after="0" w:line="165" w:lineRule="exact"/>
        <w:rPr>
          <w:sz w:val="20"/>
          <w:szCs w:val="20"/>
          <w:color w:val="auto"/>
        </w:rPr>
      </w:pPr>
    </w:p>
    <w:p>
      <w:pPr>
        <w:ind w:left="5" w:right="2779" w:firstLine="1674"/>
        <w:spacing w:after="0" w:line="235" w:lineRule="auto"/>
        <w:rPr>
          <w:sz w:val="20"/>
          <w:szCs w:val="20"/>
          <w:color w:val="auto"/>
        </w:rPr>
      </w:pPr>
      <w:r>
        <w:rPr>
          <w:rFonts w:ascii="Courier New" w:cs="Courier New" w:eastAsia="Courier New" w:hAnsi="Courier New"/>
          <w:sz w:val="16"/>
          <w:szCs w:val="16"/>
          <w:color w:val="auto"/>
        </w:rPr>
        <w:t>5.12 Environmental Compliance. Borrower and its Restricted Subsidiaries are in compliance with Environmental Laws except to the extent that noncompliance does not have a Material Adverse Effect.</w:t>
      </w:r>
    </w:p>
    <w:p>
      <w:pPr>
        <w:spacing w:after="0" w:line="183" w:lineRule="exact"/>
        <w:rPr>
          <w:sz w:val="20"/>
          <w:szCs w:val="20"/>
          <w:color w:val="auto"/>
        </w:rPr>
      </w:pPr>
    </w:p>
    <w:p>
      <w:pPr>
        <w:jc w:val="both"/>
        <w:ind w:left="5" w:right="2959" w:firstLine="1674"/>
        <w:spacing w:after="0" w:line="235" w:lineRule="auto"/>
        <w:rPr>
          <w:sz w:val="20"/>
          <w:szCs w:val="20"/>
          <w:color w:val="auto"/>
        </w:rPr>
      </w:pPr>
      <w:r>
        <w:rPr>
          <w:rFonts w:ascii="Courier New" w:cs="Courier New" w:eastAsia="Courier New" w:hAnsi="Courier New"/>
          <w:sz w:val="16"/>
          <w:szCs w:val="16"/>
          <w:color w:val="auto"/>
        </w:rPr>
        <w:t>5.13 Use of Proceeds. Co-Borrowers will use the proceeds of the Extensions of Credit for working capital, capital expenditures, commercial paper backup and other lawful corporate purposes.</w:t>
      </w:r>
    </w:p>
    <w:p>
      <w:pPr>
        <w:sectPr>
          <w:pgSz w:w="11900" w:h="16838" w:orient="portrait"/>
          <w:cols w:equalWidth="0" w:num="1">
            <w:col w:w="10224"/>
          </w:cols>
          <w:pgMar w:left="235" w:top="469" w:right="1440" w:bottom="1440" w:gutter="0" w:footer="0" w:header="0"/>
        </w:sectPr>
      </w:pPr>
    </w:p>
    <w:bookmarkStart w:id="69" w:name="page70"/>
    <w:bookmarkEnd w:id="69"/>
    <w:p>
      <w:pPr>
        <w:ind w:left="3620"/>
        <w:spacing w:after="0"/>
        <w:rPr>
          <w:sz w:val="20"/>
          <w:szCs w:val="20"/>
          <w:color w:val="auto"/>
        </w:rPr>
      </w:pPr>
      <w:r>
        <w:rPr>
          <w:rFonts w:ascii="Courier New" w:cs="Courier New" w:eastAsia="Courier New" w:hAnsi="Courier New"/>
          <w:sz w:val="16"/>
          <w:szCs w:val="16"/>
          <w:color w:val="auto"/>
        </w:rPr>
        <w:t>38</w:t>
      </w:r>
    </w:p>
    <w:p>
      <w:pPr>
        <w:spacing w:after="0" w:line="200" w:lineRule="exact"/>
        <w:rPr>
          <w:sz w:val="20"/>
          <w:szCs w:val="20"/>
          <w:color w:val="auto"/>
        </w:rPr>
      </w:pPr>
    </w:p>
    <w:p>
      <w:pPr>
        <w:spacing w:after="0" w:line="340"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5.14 Disclosure. The statements, information, reports, representations and warranties made by the Loan Parties in the Loan Documents or furnished to Administrative Agent or the Lenders in connection with the Loan Documents, taken as a whole, do not contain any untrue statement of a material fact.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AFFIRMATIVE COVENANTS</w:t>
      </w:r>
    </w:p>
    <w:p>
      <w:pPr>
        <w:spacing w:after="0" w:line="183" w:lineRule="exact"/>
        <w:rPr>
          <w:sz w:val="20"/>
          <w:szCs w:val="20"/>
          <w:color w:val="auto"/>
        </w:rPr>
      </w:pPr>
    </w:p>
    <w:p>
      <w:pPr>
        <w:jc w:val="both"/>
        <w:ind w:right="3059" w:firstLine="1674"/>
        <w:spacing w:after="0" w:line="235" w:lineRule="auto"/>
        <w:rPr>
          <w:sz w:val="20"/>
          <w:szCs w:val="20"/>
          <w:color w:val="auto"/>
        </w:rPr>
      </w:pPr>
      <w:r>
        <w:rPr>
          <w:rFonts w:ascii="Courier New" w:cs="Courier New" w:eastAsia="Courier New" w:hAnsi="Courier New"/>
          <w:sz w:val="16"/>
          <w:szCs w:val="16"/>
          <w:color w:val="auto"/>
        </w:rPr>
        <w:t>So long as any Obligation remains unpaid or unperformed, or any portion of the Revolving Commitments remains outstanding, Borrower shall, and shall (except in the case of Borrower's reporting covenants), cause each Restricted Subsidiary to:</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6.01 Financial Statements. Deliver to Administrative Agent and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Lenders, in form and detail satisfactory to Administrative Agent:</w:t>
      </w:r>
    </w:p>
    <w:p>
      <w:pPr>
        <w:spacing w:after="0" w:line="177" w:lineRule="exact"/>
        <w:rPr>
          <w:sz w:val="20"/>
          <w:szCs w:val="20"/>
          <w:color w:val="auto"/>
        </w:rPr>
      </w:pPr>
    </w:p>
    <w:p>
      <w:pPr>
        <w:ind w:left="2500" w:hanging="830"/>
        <w:spacing w:after="0"/>
        <w:tabs>
          <w:tab w:leader="none" w:pos="250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w:t>
      </w:r>
    </w:p>
    <w:p>
      <w:pPr>
        <w:spacing w:after="0" w:line="183" w:lineRule="exact"/>
        <w:rPr>
          <w:sz w:val="20"/>
          <w:szCs w:val="20"/>
          <w:color w:val="auto"/>
        </w:rPr>
      </w:pPr>
    </w:p>
    <w:p>
      <w:pPr>
        <w:ind w:left="2500" w:right="2779" w:hanging="830"/>
        <w:spacing w:after="0" w:line="272" w:lineRule="auto"/>
        <w:tabs>
          <w:tab w:leader="none" w:pos="25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but in any event within 105 days after the end of the 2003 fiscal year and each fiscal year of Borrower ending thereafter, consolidated balance sheets as at the end of such fiscal year and related consolidated statements of income and cash flows for such fiscal year of Borrower and its consolidated Subsidiaries, setting forth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qualifications or exceptions as to the scope of the audit nor to any qualifications or exceptions not reasonably acceptable to Administrative Agent;</w:t>
      </w:r>
    </w:p>
    <w:p>
      <w:pPr>
        <w:spacing w:after="0" w:line="345" w:lineRule="exact"/>
        <w:rPr>
          <w:rFonts w:ascii="Courier New" w:cs="Courier New" w:eastAsia="Courier New" w:hAnsi="Courier New"/>
          <w:sz w:val="14"/>
          <w:szCs w:val="14"/>
          <w:color w:val="auto"/>
        </w:rPr>
      </w:pPr>
    </w:p>
    <w:p>
      <w:pPr>
        <w:ind w:left="2500" w:right="2779" w:hanging="830"/>
        <w:spacing w:after="0" w:line="236" w:lineRule="auto"/>
        <w:tabs>
          <w:tab w:leader="none" w:pos="250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but in any event within 120 days after the end of the 2003 fiscal year and each fiscal year of Borrower ending thereafter, consolidated balance sheets as at the end of such fiscal year and related consolidated statements of income and cash flows for such fiscal year of the Restricted Group, setting forth in comparative form the figures for the previous fiscal year, all in reasonable detail and certified by a Responsible Officer of Borrower as fairly presenting the financial condition, results of operations and cash flows of the Restricted Group in accordance with GAAP, except for the exclusion of the Unrestricted Subsidiaries and except for the absence of footnotes; and</w:t>
      </w:r>
    </w:p>
    <w:p>
      <w:pPr>
        <w:spacing w:after="0" w:line="188" w:lineRule="exact"/>
        <w:rPr>
          <w:sz w:val="20"/>
          <w:szCs w:val="20"/>
          <w:color w:val="auto"/>
        </w:rPr>
      </w:pPr>
    </w:p>
    <w:p>
      <w:pPr>
        <w:ind w:right="2779" w:firstLine="1670"/>
        <w:spacing w:after="0" w:line="272" w:lineRule="auto"/>
        <w:tabs>
          <w:tab w:leader="none" w:pos="2047"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but in any event within 60 days after the end of each of the first three fiscal quarters of each fiscal year of Borrower ending after the Effective Date, consolidated balance sheets as at the end of such fiscal quarter, and related consolidated statements of income and cash flows for such fiscal quarter and for the portion of Borrower's fiscal year then ended, of (i) Borrower and its consolidated Subsidiaries and (ii) the Restricted Group,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the financial condition, results of operations and cash flows of Borrower and its consolidated Subsidiaries, or of the Restricted Group, as applicable, in accordance with GAAP, subject only to pro forma adjustments and normal year-end audit adjustments, except for the financial statements of the Restricted Group, which will be in accordance with GAAP except for the exclusion of the Unrestricted Subsidiaries and except for the absence of footnotes.</w:t>
      </w:r>
    </w:p>
    <w:p>
      <w:pPr>
        <w:sectPr>
          <w:pgSz w:w="11900" w:h="16838" w:orient="portrait"/>
          <w:cols w:equalWidth="0" w:num="1">
            <w:col w:w="10219"/>
          </w:cols>
          <w:pgMar w:left="240" w:top="469" w:right="1440" w:bottom="1440" w:gutter="0" w:footer="0" w:header="0"/>
        </w:sectPr>
      </w:pPr>
    </w:p>
    <w:bookmarkStart w:id="70" w:name="page71"/>
    <w:bookmarkEnd w:id="70"/>
    <w:p>
      <w:pPr>
        <w:ind w:left="3620"/>
        <w:spacing w:after="0"/>
        <w:rPr>
          <w:sz w:val="20"/>
          <w:szCs w:val="20"/>
          <w:color w:val="auto"/>
        </w:rPr>
      </w:pPr>
      <w:r>
        <w:rPr>
          <w:rFonts w:ascii="Courier New" w:cs="Courier New" w:eastAsia="Courier New" w:hAnsi="Courier New"/>
          <w:sz w:val="16"/>
          <w:szCs w:val="16"/>
          <w:color w:val="auto"/>
        </w:rPr>
        <w:t>39</w:t>
      </w:r>
    </w:p>
    <w:p>
      <w:pPr>
        <w:spacing w:after="0" w:line="200" w:lineRule="exact"/>
        <w:rPr>
          <w:sz w:val="20"/>
          <w:szCs w:val="20"/>
          <w:color w:val="auto"/>
        </w:rPr>
      </w:pPr>
    </w:p>
    <w:p>
      <w:pPr>
        <w:spacing w:after="0" w:line="340" w:lineRule="exact"/>
        <w:rPr>
          <w:sz w:val="20"/>
          <w:szCs w:val="20"/>
          <w:color w:val="auto"/>
        </w:rPr>
      </w:pPr>
    </w:p>
    <w:p>
      <w:pPr>
        <w:jc w:val="both"/>
        <w:ind w:right="2959" w:firstLine="1674"/>
        <w:spacing w:after="0" w:line="235" w:lineRule="auto"/>
        <w:rPr>
          <w:sz w:val="20"/>
          <w:szCs w:val="20"/>
          <w:color w:val="auto"/>
        </w:rPr>
      </w:pPr>
      <w:r>
        <w:rPr>
          <w:rFonts w:ascii="Courier New" w:cs="Courier New" w:eastAsia="Courier New" w:hAnsi="Courier New"/>
          <w:sz w:val="16"/>
          <w:szCs w:val="16"/>
          <w:color w:val="auto"/>
        </w:rPr>
        <w:t>6.02 Certificates, Notices and Other Information. Deliver to Administrative Agent in form and detail satisfactory to Administrative Agent, with sufficient copies for each Lender:</w:t>
      </w:r>
    </w:p>
    <w:p>
      <w:pPr>
        <w:spacing w:after="0" w:line="183" w:lineRule="exact"/>
        <w:rPr>
          <w:sz w:val="20"/>
          <w:szCs w:val="20"/>
          <w:color w:val="auto"/>
        </w:rPr>
      </w:pPr>
    </w:p>
    <w:p>
      <w:pPr>
        <w:ind w:right="2879" w:firstLine="1670"/>
        <w:spacing w:after="0" w:line="274" w:lineRule="auto"/>
        <w:tabs>
          <w:tab w:leader="none" w:pos="204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later than the date required for the delivery of the financial statements referred to in Sections 6.01(a) and (b), a duly completed Compliance Certificate signed by a Responsible Officer of Borrower, which Compliance Certificate shall set forth the necessary adjustments to exclude the Indebtedness and EBITDA attributed to Unrestricted Subsidiaries from the calculations set forth therein and shall give pro forma effect to Material Acquisitions and Material Dispositions in accordance with Section 1.07;</w:t>
      </w:r>
    </w:p>
    <w:p>
      <w:pPr>
        <w:spacing w:after="0" w:line="163" w:lineRule="exact"/>
        <w:rPr>
          <w:rFonts w:ascii="Courier New" w:cs="Courier New" w:eastAsia="Courier New" w:hAnsi="Courier New"/>
          <w:sz w:val="14"/>
          <w:szCs w:val="14"/>
          <w:color w:val="auto"/>
        </w:rPr>
      </w:pPr>
    </w:p>
    <w:p>
      <w:pPr>
        <w:ind w:right="2879" w:firstLine="1670"/>
        <w:spacing w:after="0" w:line="236" w:lineRule="auto"/>
        <w:tabs>
          <w:tab w:leader="none" w:pos="204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same are available, copies of all annual, regular, periodic and special reports and registration statements which Borrower may file or be required to file with the Securities and Exchange Commission under Sections 13 or 15(d) of the Securities Exchange Act of 1934, and not otherwise required to be delivered to Administrative Agent pursuant hereto;</w:t>
      </w:r>
    </w:p>
    <w:p>
      <w:pPr>
        <w:spacing w:after="0" w:line="182" w:lineRule="exact"/>
        <w:rPr>
          <w:rFonts w:ascii="Courier New" w:cs="Courier New" w:eastAsia="Courier New" w:hAnsi="Courier New"/>
          <w:sz w:val="16"/>
          <w:szCs w:val="16"/>
          <w:color w:val="auto"/>
        </w:rPr>
      </w:pPr>
    </w:p>
    <w:p>
      <w:pPr>
        <w:ind w:right="2779" w:firstLine="1670"/>
        <w:spacing w:after="0" w:line="235" w:lineRule="auto"/>
        <w:tabs>
          <w:tab w:leader="none" w:pos="204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Borrower obtaining knowledge of the occurrence thereof, notice of any Default or Event of Default specifying the nature thereof and what action Borrower has taken, is taking or proposes to take with respect thereto;</w:t>
      </w:r>
    </w:p>
    <w:p>
      <w:pPr>
        <w:spacing w:after="0" w:line="184" w:lineRule="exact"/>
        <w:rPr>
          <w:rFonts w:ascii="Courier New" w:cs="Courier New" w:eastAsia="Courier New" w:hAnsi="Courier New"/>
          <w:sz w:val="16"/>
          <w:szCs w:val="16"/>
          <w:color w:val="auto"/>
        </w:rPr>
      </w:pPr>
    </w:p>
    <w:p>
      <w:pPr>
        <w:ind w:right="2879" w:firstLine="1670"/>
        <w:spacing w:after="0" w:line="235" w:lineRule="auto"/>
        <w:tabs>
          <w:tab w:leader="none" w:pos="204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Borrower obtaining knowledge of the occurrence thereof, notice of any ERISA Event that could reasonably be expected to result in a material liability to the Borrower and its Restricted Subsidiaries taken as a whole;</w:t>
      </w:r>
    </w:p>
    <w:p>
      <w:pPr>
        <w:spacing w:after="0" w:line="184" w:lineRule="exact"/>
        <w:rPr>
          <w:rFonts w:ascii="Courier New" w:cs="Courier New" w:eastAsia="Courier New" w:hAnsi="Courier New"/>
          <w:sz w:val="16"/>
          <w:szCs w:val="16"/>
          <w:color w:val="auto"/>
        </w:rPr>
      </w:pPr>
    </w:p>
    <w:p>
      <w:pPr>
        <w:ind w:right="2779" w:firstLine="1670"/>
        <w:spacing w:after="0" w:line="235" w:lineRule="auto"/>
        <w:tabs>
          <w:tab w:leader="none" w:pos="204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Borrower obtaining knowledge of the announcement thereof, notice of any announcement by Moody's or S&amp;P of any change in a Debt Rating; and</w:t>
      </w:r>
    </w:p>
    <w:p>
      <w:pPr>
        <w:spacing w:after="0" w:line="183" w:lineRule="exact"/>
        <w:rPr>
          <w:rFonts w:ascii="Courier New" w:cs="Courier New" w:eastAsia="Courier New" w:hAnsi="Courier New"/>
          <w:sz w:val="16"/>
          <w:szCs w:val="16"/>
          <w:color w:val="auto"/>
        </w:rPr>
      </w:pPr>
    </w:p>
    <w:p>
      <w:pPr>
        <w:ind w:right="2959" w:firstLine="1670"/>
        <w:spacing w:after="0" w:line="235" w:lineRule="auto"/>
        <w:tabs>
          <w:tab w:leader="none" w:pos="204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such request, such other data and information as from time to time may be reasonably requested by Administrative Agent or any Lender through Administrative Agent.</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6.03 Payment of Taxes. Pay and discharge when due all taxes, assessments and governmental charges or levies imposed on it or on its income or profits or any of its property, except for any such tax, assessment, charge or levy which is being contested in good faith and by appropriate proceedings, if adequate reserves with respect thereto are maintained on its books in accordance with GAAP, and except, for such payments which, if not paid, do not in the aggregate, have a Material Adverse Effect.</w:t>
      </w:r>
    </w:p>
    <w:p>
      <w:pPr>
        <w:spacing w:after="0" w:line="184"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6.04 Preservation of Existence. Preserve and maintain its existence, licenses, permits, rights, franchises and privileges necessary or desirable in the normal conduct of its business, except where failure to do so does not have a Material Adverse Effect, and except that nothing in this Section 6.04 shall prohibit any transaction permitted by Section 7.03.</w:t>
      </w:r>
    </w:p>
    <w:p>
      <w:pPr>
        <w:spacing w:after="0" w:line="186"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6.05 Maintenance of Properties. Maintain, preserve and protect all of its material properties and equipment necessary in the operation of its business in good order and condition, subject to wear and tear in the ordinary course of business, except to the extent that the failure to do so does not have a Material Adverse Effect.</w:t>
      </w:r>
    </w:p>
    <w:p>
      <w:pPr>
        <w:spacing w:after="0" w:line="186"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6.06 Maintenance of Insurance. Maintain liability and casualty insurance with financially sound and reputable insurance companies not Affiliates of Borrower in such amounts with such deductibles and against such risks as is customary for similarly situated businesses, except to the extent Borrower or such Restricted Subsidiary maintains reasonable self-insurance with respect to such risks.</w:t>
      </w:r>
    </w:p>
    <w:p>
      <w:pPr>
        <w:sectPr>
          <w:pgSz w:w="11900" w:h="16838" w:orient="portrait"/>
          <w:cols w:equalWidth="0" w:num="1">
            <w:col w:w="10219"/>
          </w:cols>
          <w:pgMar w:left="240" w:top="469" w:right="1440" w:bottom="1440" w:gutter="0" w:footer="0" w:header="0"/>
        </w:sectPr>
      </w:pPr>
    </w:p>
    <w:bookmarkStart w:id="71" w:name="page72"/>
    <w:bookmarkEnd w:id="71"/>
    <w:p>
      <w:pPr>
        <w:ind w:left="3625"/>
        <w:spacing w:after="0"/>
        <w:rPr>
          <w:sz w:val="20"/>
          <w:szCs w:val="20"/>
          <w:color w:val="auto"/>
        </w:rPr>
      </w:pPr>
      <w:r>
        <w:rPr>
          <w:rFonts w:ascii="Courier New" w:cs="Courier New" w:eastAsia="Courier New" w:hAnsi="Courier New"/>
          <w:sz w:val="16"/>
          <w:szCs w:val="16"/>
          <w:color w:val="auto"/>
        </w:rPr>
        <w:t>40</w:t>
      </w:r>
    </w:p>
    <w:p>
      <w:pPr>
        <w:spacing w:after="0" w:line="200" w:lineRule="exact"/>
        <w:rPr>
          <w:sz w:val="20"/>
          <w:szCs w:val="20"/>
          <w:color w:val="auto"/>
        </w:rPr>
      </w:pPr>
    </w:p>
    <w:p>
      <w:pPr>
        <w:spacing w:after="0" w:line="334"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6.07 Compliance With Laws.</w:t>
      </w:r>
    </w:p>
    <w:p>
      <w:pPr>
        <w:spacing w:after="0" w:line="183" w:lineRule="exact"/>
        <w:rPr>
          <w:sz w:val="20"/>
          <w:szCs w:val="20"/>
          <w:color w:val="auto"/>
        </w:rPr>
      </w:pPr>
    </w:p>
    <w:p>
      <w:pPr>
        <w:jc w:val="both"/>
        <w:ind w:left="5" w:right="3059" w:firstLine="1670"/>
        <w:spacing w:after="0" w:line="235" w:lineRule="auto"/>
        <w:tabs>
          <w:tab w:leader="none" w:pos="205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the requirements of all applicable Laws and orders of any Governmental Authority, noncompliance with which has a Material Adverse Effect.</w:t>
      </w:r>
    </w:p>
    <w:p>
      <w:pPr>
        <w:spacing w:after="0" w:line="183" w:lineRule="exact"/>
        <w:rPr>
          <w:rFonts w:ascii="Courier New" w:cs="Courier New" w:eastAsia="Courier New" w:hAnsi="Courier New"/>
          <w:sz w:val="16"/>
          <w:szCs w:val="16"/>
          <w:color w:val="auto"/>
        </w:rPr>
      </w:pPr>
    </w:p>
    <w:p>
      <w:pPr>
        <w:ind w:left="5" w:right="2879" w:firstLine="1670"/>
        <w:spacing w:after="0" w:line="235" w:lineRule="auto"/>
        <w:tabs>
          <w:tab w:leader="none" w:pos="205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its operations and keep and maintain its property in compliance with all Environmental Laws, noncompliance with which has a Material Adverse Effect.</w:t>
      </w:r>
    </w:p>
    <w:p>
      <w:pPr>
        <w:spacing w:after="0" w:line="183" w:lineRule="exact"/>
        <w:rPr>
          <w:sz w:val="20"/>
          <w:szCs w:val="20"/>
          <w:color w:val="auto"/>
        </w:rPr>
      </w:pPr>
    </w:p>
    <w:p>
      <w:pPr>
        <w:ind w:left="5" w:right="2779" w:firstLine="1674"/>
        <w:spacing w:after="0" w:line="236" w:lineRule="auto"/>
        <w:rPr>
          <w:sz w:val="20"/>
          <w:szCs w:val="20"/>
          <w:color w:val="auto"/>
        </w:rPr>
      </w:pPr>
      <w:r>
        <w:rPr>
          <w:rFonts w:ascii="Courier New" w:cs="Courier New" w:eastAsia="Courier New" w:hAnsi="Courier New"/>
          <w:sz w:val="16"/>
          <w:szCs w:val="16"/>
          <w:color w:val="auto"/>
        </w:rPr>
        <w:t>6.08 Inspection Rights. At any time during regular business hours, upon reasonable notice, and as often as reasonably requested, but subject to Section 10.17, permit Administrative Agent or any Lender, or any employee, agent or representative thereof, to examine (and during the existence of an Event of Default, make copies and abstracts from) the records and books of account of Borrower and its Restricted Subsidiaries and to visit and inspect their properties and to discuss their affairs, finances and accounts with any of their officers and key employees.</w:t>
      </w:r>
    </w:p>
    <w:p>
      <w:pPr>
        <w:spacing w:after="0" w:line="184" w:lineRule="exact"/>
        <w:rPr>
          <w:sz w:val="20"/>
          <w:szCs w:val="20"/>
          <w:color w:val="auto"/>
        </w:rPr>
      </w:pPr>
    </w:p>
    <w:p>
      <w:pPr>
        <w:ind w:left="5" w:right="2879" w:firstLine="1674"/>
        <w:spacing w:after="0" w:line="276" w:lineRule="auto"/>
        <w:rPr>
          <w:sz w:val="20"/>
          <w:szCs w:val="20"/>
          <w:color w:val="auto"/>
        </w:rPr>
      </w:pPr>
      <w:r>
        <w:rPr>
          <w:rFonts w:ascii="Courier New" w:cs="Courier New" w:eastAsia="Courier New" w:hAnsi="Courier New"/>
          <w:sz w:val="14"/>
          <w:szCs w:val="14"/>
          <w:color w:val="auto"/>
        </w:rPr>
        <w:t>6.09 Keeping of Records and Books of Account. Keep adequate records and books of account reflecting all material financial transactions in conformity with GAAP, consistently applied, and in material conformity with all applicable requirements of any Governmental Authority having regulatory jurisdiction over Borrower or the applicable Restricted Subsidiary.</w:t>
      </w:r>
    </w:p>
    <w:p>
      <w:pPr>
        <w:spacing w:after="0" w:line="161" w:lineRule="exact"/>
        <w:rPr>
          <w:sz w:val="20"/>
          <w:szCs w:val="20"/>
          <w:color w:val="auto"/>
        </w:rPr>
      </w:pPr>
    </w:p>
    <w:p>
      <w:pPr>
        <w:jc w:val="both"/>
        <w:ind w:left="5" w:right="2779" w:firstLine="1674"/>
        <w:spacing w:after="0" w:line="270" w:lineRule="auto"/>
        <w:rPr>
          <w:sz w:val="20"/>
          <w:szCs w:val="20"/>
          <w:color w:val="auto"/>
        </w:rPr>
      </w:pPr>
      <w:r>
        <w:rPr>
          <w:rFonts w:ascii="Courier New" w:cs="Courier New" w:eastAsia="Courier New" w:hAnsi="Courier New"/>
          <w:sz w:val="14"/>
          <w:szCs w:val="14"/>
          <w:color w:val="auto"/>
        </w:rPr>
        <w:t>6.10 Compliance with ERISA. Cause, and cause each of its ERISA Affiliates to (a) maintain each Plan in compliance in all material respects with the applicable provisions of ERISA, the Code and other federal or state law; and</w:t>
      </w:r>
    </w:p>
    <w:p>
      <w:pPr>
        <w:spacing w:after="0" w:line="1" w:lineRule="exact"/>
        <w:rPr>
          <w:sz w:val="20"/>
          <w:szCs w:val="20"/>
          <w:color w:val="auto"/>
        </w:rPr>
      </w:pPr>
    </w:p>
    <w:p>
      <w:pPr>
        <w:ind w:left="5" w:right="2879" w:hanging="5"/>
        <w:spacing w:after="0" w:line="236" w:lineRule="auto"/>
        <w:tabs>
          <w:tab w:leader="none" w:pos="377"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all required contributions to any Plan subject to Section 412 of the Code, except, in each case, to an extent that could not reasonably be expected to result in a Material Adverse Effect; provided that this Section 6.10 shall not prohibit Borrower and its ERISA Affiliates from terminating any Plan to the extent permitted by ERISA, the Code, and other applicable law or if such termination does not have a Material Adverse Effect.</w:t>
      </w:r>
    </w:p>
    <w:p>
      <w:pPr>
        <w:spacing w:after="0" w:line="183" w:lineRule="exact"/>
        <w:rPr>
          <w:sz w:val="20"/>
          <w:szCs w:val="20"/>
          <w:color w:val="auto"/>
        </w:rPr>
      </w:pPr>
    </w:p>
    <w:p>
      <w:pPr>
        <w:ind w:left="5" w:right="2779" w:firstLine="1674"/>
        <w:spacing w:after="0" w:line="276" w:lineRule="auto"/>
        <w:rPr>
          <w:sz w:val="20"/>
          <w:szCs w:val="20"/>
          <w:color w:val="auto"/>
        </w:rPr>
      </w:pPr>
      <w:r>
        <w:rPr>
          <w:rFonts w:ascii="Courier New" w:cs="Courier New" w:eastAsia="Courier New" w:hAnsi="Courier New"/>
          <w:sz w:val="14"/>
          <w:szCs w:val="14"/>
          <w:color w:val="auto"/>
        </w:rPr>
        <w:t>6.11 Compliance With Agreements. Promptly and fully comply with all Contractual Obligations to which any one or more of them is a party, except for any such Contractual Obligations (a) then being contested or intended to be timely contested by any of them in good faith by appropriate proceedings, or (b) the failure to comply with which does not have a Material Adverse Effect.</w:t>
      </w:r>
    </w:p>
    <w:p>
      <w:pPr>
        <w:spacing w:after="0" w:line="161" w:lineRule="exact"/>
        <w:rPr>
          <w:sz w:val="20"/>
          <w:szCs w:val="20"/>
          <w:color w:val="auto"/>
        </w:rPr>
      </w:pPr>
    </w:p>
    <w:p>
      <w:pPr>
        <w:ind w:left="5" w:right="2779" w:firstLine="1674"/>
        <w:spacing w:after="0" w:line="234" w:lineRule="auto"/>
        <w:rPr>
          <w:sz w:val="20"/>
          <w:szCs w:val="20"/>
          <w:color w:val="auto"/>
        </w:rPr>
      </w:pPr>
      <w:r>
        <w:rPr>
          <w:rFonts w:ascii="Courier New" w:cs="Courier New" w:eastAsia="Courier New" w:hAnsi="Courier New"/>
          <w:sz w:val="16"/>
          <w:szCs w:val="16"/>
          <w:color w:val="auto"/>
        </w:rPr>
        <w:t>6.12 Use of Proceeds. Use the proceeds of Extensions of Credit as represented herein.</w:t>
      </w:r>
    </w:p>
    <w:p>
      <w:pPr>
        <w:spacing w:after="0" w:line="183" w:lineRule="exact"/>
        <w:rPr>
          <w:sz w:val="20"/>
          <w:szCs w:val="20"/>
          <w:color w:val="auto"/>
        </w:rPr>
      </w:pPr>
    </w:p>
    <w:p>
      <w:pPr>
        <w:ind w:left="5" w:right="2779" w:firstLine="1674"/>
        <w:spacing w:after="0" w:line="236" w:lineRule="auto"/>
        <w:rPr>
          <w:sz w:val="20"/>
          <w:szCs w:val="20"/>
          <w:color w:val="auto"/>
        </w:rPr>
      </w:pPr>
      <w:r>
        <w:rPr>
          <w:rFonts w:ascii="Courier New" w:cs="Courier New" w:eastAsia="Courier New" w:hAnsi="Courier New"/>
          <w:sz w:val="16"/>
          <w:szCs w:val="16"/>
          <w:color w:val="auto"/>
        </w:rPr>
        <w:t>6.13 Designation of Unrestricted Subsidiaries. So long as no Default or Event of Default exists or arises as a result thereof and subject to the next succeeding sentence, Borrower may from time to time designate a Restricted Subsidiary as an Unrestricted Subsidiary or designate an Unrestricted Subsidiary as a Restricted Subsidiary; provided that Borrower shall (a) provide Administrative Agent written notification of such designation prior to or concurrently therewith (which written notification Administrative Agent will promptly forward to Lenders), and (b) if such designation is a 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Administrative Agent a certificate, in form reasonably acceptable to Administrative Agent, demonstrating pro-forma compliance (in accordance with Section 1.07) with Section 7.07 immediately prior to and after giving effect to such designation. Notwithstanding anything to the contrary contained herein, (x) each Guarantor shall at all times be a Restricted Subsidiary for all purposes hereunder, and Borrower shall not designate a Guarantor as an Unrestricted Subsidiary, (y) unless designated as an Unrestricted Subsidiary in compliance with clause (z) below, each Cable Subsidiary shall at all times be a Restricted Subsidiary for all purposes hereunder, and (z) Borrower may designate a Cable Subsidiary as an Unrestricted Subsidiary</w:t>
      </w:r>
    </w:p>
    <w:p>
      <w:pPr>
        <w:sectPr>
          <w:pgSz w:w="11900" w:h="16838" w:orient="portrait"/>
          <w:cols w:equalWidth="0" w:num="1">
            <w:col w:w="10224"/>
          </w:cols>
          <w:pgMar w:left="235" w:top="469" w:right="1440" w:bottom="1440" w:gutter="0" w:footer="0" w:header="0"/>
        </w:sectPr>
      </w:pPr>
    </w:p>
    <w:bookmarkStart w:id="72" w:name="page73"/>
    <w:bookmarkEnd w:id="72"/>
    <w:p>
      <w:pPr>
        <w:ind w:left="3620"/>
        <w:spacing w:after="0"/>
        <w:rPr>
          <w:sz w:val="20"/>
          <w:szCs w:val="20"/>
          <w:color w:val="auto"/>
        </w:rPr>
      </w:pPr>
      <w:r>
        <w:rPr>
          <w:rFonts w:ascii="Courier New" w:cs="Courier New" w:eastAsia="Courier New" w:hAnsi="Courier New"/>
          <w:sz w:val="16"/>
          <w:szCs w:val="16"/>
          <w:color w:val="auto"/>
        </w:rPr>
        <w:t>41</w:t>
      </w:r>
    </w:p>
    <w:p>
      <w:pPr>
        <w:spacing w:after="0" w:line="200" w:lineRule="exact"/>
        <w:rPr>
          <w:sz w:val="20"/>
          <w:szCs w:val="20"/>
          <w:color w:val="auto"/>
        </w:rPr>
      </w:pPr>
    </w:p>
    <w:p>
      <w:pPr>
        <w:spacing w:after="0" w:line="340"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at any time when the Leverage Ratio (calculated after giving pro forma effect to such designation) is less than or equal to 4.50 to 1.00. Borrower hereby designates Comcast Holdings Corporation and each of its Subsidiaries (other than Comcast Cable Communications, Inc. and its Subsidiaries) as Unrestricted Subsidiaries.</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SECTION 7</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NEGATIVE COVENANTS</w:t>
      </w:r>
    </w:p>
    <w:p>
      <w:pPr>
        <w:spacing w:after="0" w:line="183" w:lineRule="exact"/>
        <w:rPr>
          <w:sz w:val="20"/>
          <w:szCs w:val="20"/>
          <w:color w:val="auto"/>
        </w:rPr>
      </w:pPr>
    </w:p>
    <w:p>
      <w:pPr>
        <w:ind w:right="3059" w:firstLine="1674"/>
        <w:spacing w:after="0" w:line="234" w:lineRule="auto"/>
        <w:rPr>
          <w:sz w:val="20"/>
          <w:szCs w:val="20"/>
          <w:color w:val="auto"/>
        </w:rPr>
      </w:pPr>
      <w:r>
        <w:rPr>
          <w:rFonts w:ascii="Courier New" w:cs="Courier New" w:eastAsia="Courier New" w:hAnsi="Courier New"/>
          <w:sz w:val="16"/>
          <w:szCs w:val="16"/>
          <w:color w:val="auto"/>
        </w:rPr>
        <w:t>So long as any Obligations remain unpaid or unperformed, or any portion of the Revolving Commitments remains outstanding:</w:t>
      </w:r>
    </w:p>
    <w:p>
      <w:pPr>
        <w:spacing w:after="0" w:line="183"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7.01 Liens. Borrower shall not, nor shall it permit any Restricted Subsidiary to, directly or indirectly, incur, assume or suffer to exist, any Lien upon any of its property, assets or revenues, whether now owned or hereafter acquired, except:</w:t>
      </w:r>
    </w:p>
    <w:p>
      <w:pPr>
        <w:spacing w:after="0" w:line="178" w:lineRule="exact"/>
        <w:rPr>
          <w:sz w:val="20"/>
          <w:szCs w:val="20"/>
          <w:color w:val="auto"/>
        </w:rPr>
      </w:pPr>
    </w:p>
    <w:p>
      <w:pPr>
        <w:ind w:left="2040" w:hanging="370"/>
        <w:spacing w:after="0"/>
        <w:tabs>
          <w:tab w:leader="none" w:pos="20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pursuant to any Loan Document;</w:t>
      </w:r>
    </w:p>
    <w:p>
      <w:pPr>
        <w:spacing w:after="0" w:line="182" w:lineRule="exact"/>
        <w:rPr>
          <w:rFonts w:ascii="Courier New" w:cs="Courier New" w:eastAsia="Courier New" w:hAnsi="Courier New"/>
          <w:sz w:val="16"/>
          <w:szCs w:val="16"/>
          <w:color w:val="auto"/>
        </w:rPr>
      </w:pPr>
    </w:p>
    <w:p>
      <w:pPr>
        <w:ind w:right="2779" w:firstLine="1670"/>
        <w:spacing w:after="0" w:line="235" w:lineRule="auto"/>
        <w:tabs>
          <w:tab w:leader="none" w:pos="2047"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existing on the date hereof securing Indebtedness which does not exceed $500,000,000 in the aggregate, and any renewals or extensions thereof, provided that such Liens are not extended to cover any other property, assets or revenues;</w:t>
      </w:r>
    </w:p>
    <w:p>
      <w:pPr>
        <w:spacing w:after="0" w:line="184" w:lineRule="exact"/>
        <w:rPr>
          <w:rFonts w:ascii="Courier New" w:cs="Courier New" w:eastAsia="Courier New" w:hAnsi="Courier New"/>
          <w:sz w:val="16"/>
          <w:szCs w:val="16"/>
          <w:color w:val="auto"/>
        </w:rPr>
      </w:pPr>
    </w:p>
    <w:p>
      <w:pPr>
        <w:ind w:right="2879" w:firstLine="1670"/>
        <w:spacing w:after="0" w:line="279" w:lineRule="auto"/>
        <w:tabs>
          <w:tab w:leader="none" w:pos="204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not yet due or which are being contested in good faith and by appropriate proceedings, if adequate reserves with respect thereto are maintained on the books of the applicable Person in accordance with GAAP or such Liens are otherwise permitted under Section 6.03;</w:t>
      </w:r>
    </w:p>
    <w:p>
      <w:pPr>
        <w:spacing w:after="0" w:line="156" w:lineRule="exact"/>
        <w:rPr>
          <w:rFonts w:ascii="Courier New" w:cs="Courier New" w:eastAsia="Courier New" w:hAnsi="Courier New"/>
          <w:sz w:val="14"/>
          <w:szCs w:val="14"/>
          <w:color w:val="auto"/>
        </w:rPr>
      </w:pPr>
    </w:p>
    <w:p>
      <w:pPr>
        <w:ind w:right="2779" w:firstLine="1670"/>
        <w:spacing w:after="0" w:line="279" w:lineRule="auto"/>
        <w:tabs>
          <w:tab w:leader="none" w:pos="204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Carriers', warehousemen's, mechanics', materialmen's, repairmen's or other like Liens arising in the ordinary course of business which are not overdue for a period of more than 30 days or which are being contested or intended to be timely contested in good faith and by appropriate proceedings;</w:t>
      </w:r>
    </w:p>
    <w:p>
      <w:pPr>
        <w:spacing w:after="0" w:line="156" w:lineRule="exact"/>
        <w:rPr>
          <w:rFonts w:ascii="Courier New" w:cs="Courier New" w:eastAsia="Courier New" w:hAnsi="Courier New"/>
          <w:sz w:val="14"/>
          <w:szCs w:val="14"/>
          <w:color w:val="auto"/>
        </w:rPr>
      </w:pPr>
    </w:p>
    <w:p>
      <w:pPr>
        <w:ind w:right="3239" w:firstLine="1670"/>
        <w:spacing w:after="0" w:line="295" w:lineRule="auto"/>
        <w:tabs>
          <w:tab w:leader="none" w:pos="204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Pledges or deposits in connection with worker's compensation, unemployment insurance and other social security legislation;</w:t>
      </w:r>
    </w:p>
    <w:p>
      <w:pPr>
        <w:spacing w:after="0" w:line="146" w:lineRule="exact"/>
        <w:rPr>
          <w:rFonts w:ascii="Courier New" w:cs="Courier New" w:eastAsia="Courier New" w:hAnsi="Courier New"/>
          <w:sz w:val="14"/>
          <w:szCs w:val="14"/>
          <w:color w:val="auto"/>
        </w:rPr>
      </w:pPr>
    </w:p>
    <w:p>
      <w:pPr>
        <w:ind w:right="2779" w:firstLine="1670"/>
        <w:spacing w:after="0" w:line="235" w:lineRule="auto"/>
        <w:tabs>
          <w:tab w:leader="none" w:pos="2047"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184" w:lineRule="exact"/>
        <w:rPr>
          <w:rFonts w:ascii="Courier New" w:cs="Courier New" w:eastAsia="Courier New" w:hAnsi="Courier New"/>
          <w:sz w:val="16"/>
          <w:szCs w:val="16"/>
          <w:color w:val="auto"/>
        </w:rPr>
      </w:pPr>
    </w:p>
    <w:p>
      <w:pPr>
        <w:ind w:right="2779" w:firstLine="1670"/>
        <w:spacing w:after="0" w:line="235" w:lineRule="auto"/>
        <w:tabs>
          <w:tab w:leader="none" w:pos="2047"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rights-of-way, restrictions and other similar encumbrances affecting real property which do not in any case materially detract from the value of the property subject thereto or materially interfere with the ordinary conduct of the business of the applicable Person;</w:t>
      </w:r>
    </w:p>
    <w:p>
      <w:pPr>
        <w:spacing w:after="0" w:line="184" w:lineRule="exact"/>
        <w:rPr>
          <w:rFonts w:ascii="Courier New" w:cs="Courier New" w:eastAsia="Courier New" w:hAnsi="Courier New"/>
          <w:sz w:val="16"/>
          <w:szCs w:val="16"/>
          <w:color w:val="auto"/>
        </w:rPr>
      </w:pPr>
    </w:p>
    <w:p>
      <w:pPr>
        <w:ind w:right="2879" w:firstLine="1670"/>
        <w:spacing w:after="0" w:line="236" w:lineRule="auto"/>
        <w:tabs>
          <w:tab w:leader="none" w:pos="2047"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Attachment, judgment or other similar Liens arising in connection with litigation or other legal proceedings (and not otherwise a Default hereunder) that are currently being contested in good faith by appropriate proceedings or are intended to be timely contested in good faith by appropriate proceedings, if adequate reserves with respect thereto are maintained on the books of the applicable Person in accordance with GAAP;</w:t>
      </w:r>
    </w:p>
    <w:p>
      <w:pPr>
        <w:spacing w:after="0" w:line="176"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favor of Borrower or any Restricted Subsidiary;</w:t>
      </w:r>
    </w:p>
    <w:p>
      <w:pPr>
        <w:sectPr>
          <w:pgSz w:w="11900" w:h="16838" w:orient="portrait"/>
          <w:cols w:equalWidth="0" w:num="1">
            <w:col w:w="10219"/>
          </w:cols>
          <w:pgMar w:left="240" w:top="469" w:right="1440" w:bottom="1440" w:gutter="0" w:footer="0" w:header="0"/>
        </w:sectPr>
      </w:pPr>
    </w:p>
    <w:bookmarkStart w:id="73" w:name="page74"/>
    <w:bookmarkEnd w:id="73"/>
    <w:p>
      <w:pPr>
        <w:ind w:left="3620"/>
        <w:spacing w:after="0"/>
        <w:rPr>
          <w:sz w:val="20"/>
          <w:szCs w:val="20"/>
          <w:color w:val="auto"/>
        </w:rPr>
      </w:pPr>
      <w:r>
        <w:rPr>
          <w:rFonts w:ascii="Courier New" w:cs="Courier New" w:eastAsia="Courier New" w:hAnsi="Courier New"/>
          <w:sz w:val="16"/>
          <w:szCs w:val="16"/>
          <w:color w:val="auto"/>
        </w:rPr>
        <w:t>42</w:t>
      </w:r>
    </w:p>
    <w:p>
      <w:pPr>
        <w:spacing w:after="0" w:line="200" w:lineRule="exact"/>
        <w:rPr>
          <w:sz w:val="20"/>
          <w:szCs w:val="20"/>
          <w:color w:val="auto"/>
        </w:rPr>
      </w:pPr>
    </w:p>
    <w:p>
      <w:pPr>
        <w:spacing w:after="0" w:line="340" w:lineRule="exact"/>
        <w:rPr>
          <w:sz w:val="20"/>
          <w:szCs w:val="20"/>
          <w:color w:val="auto"/>
        </w:rPr>
      </w:pPr>
    </w:p>
    <w:p>
      <w:pPr>
        <w:ind w:right="2779" w:firstLine="1670"/>
        <w:spacing w:after="0" w:line="234" w:lineRule="auto"/>
        <w:tabs>
          <w:tab w:leader="none" w:pos="204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"margin stock" (as defined in Regulation U of the Board of Governors of the Federal Reserve System);</w:t>
      </w:r>
    </w:p>
    <w:p>
      <w:pPr>
        <w:spacing w:after="0" w:line="183" w:lineRule="exact"/>
        <w:rPr>
          <w:rFonts w:ascii="Courier New" w:cs="Courier New" w:eastAsia="Courier New" w:hAnsi="Courier New"/>
          <w:sz w:val="16"/>
          <w:szCs w:val="16"/>
          <w:color w:val="auto"/>
        </w:rPr>
      </w:pPr>
    </w:p>
    <w:p>
      <w:pPr>
        <w:ind w:right="2879" w:firstLine="1670"/>
        <w:spacing w:after="0" w:line="274" w:lineRule="auto"/>
        <w:tabs>
          <w:tab w:leader="none" w:pos="204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property acquired (by purchase, merger or otherwise) after the date hereof, existing at the time of acquisition thereof (but not created in anticipation thereof), or placed thereon (at the time of such acquisition or within 180 days of such acquisition to secure a portion of the purchase price thereof), and any renewals or extensions thereof, so long as the Indebtedness secured thereby is permitted hereby; provided that such Liens do not and are not extended to cover any other property;</w:t>
      </w:r>
    </w:p>
    <w:p>
      <w:pPr>
        <w:spacing w:after="0" w:line="163" w:lineRule="exact"/>
        <w:rPr>
          <w:rFonts w:ascii="Courier New" w:cs="Courier New" w:eastAsia="Courier New" w:hAnsi="Courier New"/>
          <w:sz w:val="14"/>
          <w:szCs w:val="14"/>
          <w:color w:val="auto"/>
        </w:rPr>
      </w:pPr>
    </w:p>
    <w:p>
      <w:pPr>
        <w:ind w:right="2879" w:firstLine="1670"/>
        <w:spacing w:after="0" w:line="235" w:lineRule="auto"/>
        <w:tabs>
          <w:tab w:leader="none" w:pos="204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under Sale-Leaseback Transactions, and any renewals or extensions thereof, so long as the Indebtedness secured thereby does not exceed $500,000,000 in the aggregate;</w:t>
      </w:r>
    </w:p>
    <w:p>
      <w:pPr>
        <w:spacing w:after="0" w:line="183" w:lineRule="exact"/>
        <w:rPr>
          <w:rFonts w:ascii="Courier New" w:cs="Courier New" w:eastAsia="Courier New" w:hAnsi="Courier New"/>
          <w:sz w:val="16"/>
          <w:szCs w:val="16"/>
          <w:color w:val="auto"/>
        </w:rPr>
      </w:pPr>
    </w:p>
    <w:p>
      <w:pPr>
        <w:ind w:right="3239" w:firstLine="1670"/>
        <w:spacing w:after="0" w:line="283" w:lineRule="auto"/>
        <w:tabs>
          <w:tab w:leader="none" w:pos="204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arising in connection with asset securitization transactions, so long as the aggregate outstanding principal amount of the obligations secured thereby does not exceed $300,000,000 at any one time;</w:t>
      </w:r>
    </w:p>
    <w:p>
      <w:pPr>
        <w:spacing w:after="0" w:line="154" w:lineRule="exact"/>
        <w:rPr>
          <w:rFonts w:ascii="Courier New" w:cs="Courier New" w:eastAsia="Courier New" w:hAnsi="Courier New"/>
          <w:sz w:val="14"/>
          <w:szCs w:val="14"/>
          <w:color w:val="auto"/>
        </w:rPr>
      </w:pPr>
    </w:p>
    <w:p>
      <w:pPr>
        <w:ind w:right="2959" w:firstLine="1670"/>
        <w:spacing w:after="0" w:line="235" w:lineRule="auto"/>
        <w:tabs>
          <w:tab w:leader="none" w:pos="204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not otherwise permitted hereby which do not secure any Indebtedness or which secure Indebtedness incurred pursuant to Asset Monetization Transactions; and</w:t>
      </w:r>
    </w:p>
    <w:p>
      <w:pPr>
        <w:spacing w:after="0" w:line="183" w:lineRule="exact"/>
        <w:rPr>
          <w:rFonts w:ascii="Courier New" w:cs="Courier New" w:eastAsia="Courier New" w:hAnsi="Courier New"/>
          <w:sz w:val="16"/>
          <w:szCs w:val="16"/>
          <w:color w:val="auto"/>
        </w:rPr>
      </w:pPr>
    </w:p>
    <w:p>
      <w:pPr>
        <w:ind w:right="2779" w:firstLine="1670"/>
        <w:spacing w:after="0" w:line="235" w:lineRule="auto"/>
        <w:tabs>
          <w:tab w:leader="none" w:pos="204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Liens, so long as the aggregate outstanding principal amount of the obligations secured thereby does not exceed at any time an amount equal to (x) $2,500,000,000 less (y) the amount, if any, of any unsecured Indebtedness incurred by any Restricted Subsidiary pursuant to Section 7.02(d).</w:t>
      </w:r>
    </w:p>
    <w:p>
      <w:pPr>
        <w:spacing w:after="0" w:line="186"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7.02 Subsidiary Indebtedness. Borrower shall not permit any of its Restricted Subsidiaries to create, incur, assume or permit to exist any Indebtedness, except:</w:t>
      </w:r>
    </w:p>
    <w:p>
      <w:pPr>
        <w:spacing w:after="0" w:line="183" w:lineRule="exact"/>
        <w:rPr>
          <w:sz w:val="20"/>
          <w:szCs w:val="20"/>
          <w:color w:val="auto"/>
        </w:rPr>
      </w:pPr>
    </w:p>
    <w:p>
      <w:pPr>
        <w:ind w:right="2879" w:firstLine="1670"/>
        <w:spacing w:after="0" w:line="235" w:lineRule="auto"/>
        <w:tabs>
          <w:tab w:leader="none" w:pos="2047"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existing on the date hereof, in an aggregate amount not in excess of (i) the aggregate amount of the Asset Monetization Transactions set forth on Schedule A plus (ii) $2,000,000,000, and extensions, renewals and replacements of such Indebtedness that do not increase the outstanding principal amount thereof;</w:t>
      </w:r>
    </w:p>
    <w:p>
      <w:pPr>
        <w:spacing w:after="0" w:line="185" w:lineRule="exact"/>
        <w:rPr>
          <w:rFonts w:ascii="Courier New" w:cs="Courier New" w:eastAsia="Courier New" w:hAnsi="Courier New"/>
          <w:sz w:val="16"/>
          <w:szCs w:val="16"/>
          <w:color w:val="auto"/>
        </w:rPr>
      </w:pPr>
    </w:p>
    <w:p>
      <w:pPr>
        <w:ind w:right="2959" w:firstLine="1670"/>
        <w:spacing w:after="0" w:line="234" w:lineRule="auto"/>
        <w:tabs>
          <w:tab w:leader="none" w:pos="2047"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any Restricted Subsidiary to Borrower or any other Restricted Subsidiary;</w:t>
      </w:r>
    </w:p>
    <w:p>
      <w:pPr>
        <w:spacing w:after="0" w:line="183" w:lineRule="exact"/>
        <w:rPr>
          <w:rFonts w:ascii="Courier New" w:cs="Courier New" w:eastAsia="Courier New" w:hAnsi="Courier New"/>
          <w:sz w:val="16"/>
          <w:szCs w:val="16"/>
          <w:color w:val="auto"/>
        </w:rPr>
      </w:pPr>
    </w:p>
    <w:p>
      <w:pPr>
        <w:ind w:right="2959" w:firstLine="1670"/>
        <w:spacing w:after="0" w:line="279" w:lineRule="auto"/>
        <w:tabs>
          <w:tab w:leader="none" w:pos="2047"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any Restricted Subsidiary that is a Guarantor (and, if requested by Administrative Agent as to any Restricted Subsidiary that becomes a Guarantor after the Effective Date, a satisfactory opinion of counsel is delivered to Administrative Agent relating thereto); and</w:t>
      </w:r>
    </w:p>
    <w:p>
      <w:pPr>
        <w:spacing w:after="0" w:line="156" w:lineRule="exact"/>
        <w:rPr>
          <w:rFonts w:ascii="Courier New" w:cs="Courier New" w:eastAsia="Courier New" w:hAnsi="Courier New"/>
          <w:sz w:val="14"/>
          <w:szCs w:val="14"/>
          <w:color w:val="auto"/>
        </w:rPr>
      </w:pPr>
    </w:p>
    <w:p>
      <w:pPr>
        <w:ind w:right="2779" w:firstLine="1670"/>
        <w:spacing w:after="0" w:line="236" w:lineRule="auto"/>
        <w:tabs>
          <w:tab w:leader="none" w:pos="2047"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Indebtedness of a Restricted Subsidiary that is not a Guarantor in an aggregate principal amount for all Restricted Subsidiaries not exceeding $2,500,000,000 at any time (it being understood that any Indebtedness incurred pursuant to Section 7.01(m) or Section 7.02(c) shall not be counted in determining such $2,500,000,000 limit); provided that such $2,500,000,000 limit shall be reduced on a dollar-for-dollar basis by the amount, if any, of any obligations secured pursuant to Section 7.01(o).</w:t>
      </w:r>
    </w:p>
    <w:p>
      <w:pPr>
        <w:spacing w:after="0" w:line="184"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7.03 Fundamental Changes. (a) Borrower shall not (A) merge or consolidate with or into any Person or (B) liquidate, wind-up or dissolve itself or (C) sell, transfer or dispose of all or substantially all of its assets, provided, nothing in this Section 7.03 shall be construed to prohibit Borrower from reincorporating in another jurisdiction, changing its form of organization or merging into, or transferring all or substantially all of its assets to, another Person so long as:</w:t>
      </w:r>
    </w:p>
    <w:p>
      <w:pPr>
        <w:sectPr>
          <w:pgSz w:w="11900" w:h="16838" w:orient="portrait"/>
          <w:cols w:equalWidth="0" w:num="1">
            <w:col w:w="10219"/>
          </w:cols>
          <w:pgMar w:left="240" w:top="469" w:right="1440" w:bottom="1440" w:gutter="0" w:footer="0" w:header="0"/>
        </w:sectPr>
      </w:pPr>
    </w:p>
    <w:bookmarkStart w:id="74" w:name="page75"/>
    <w:bookmarkEnd w:id="74"/>
    <w:p>
      <w:pPr>
        <w:ind w:left="3625"/>
        <w:spacing w:after="0"/>
        <w:rPr>
          <w:sz w:val="20"/>
          <w:szCs w:val="20"/>
          <w:color w:val="auto"/>
        </w:rPr>
      </w:pPr>
      <w:r>
        <w:rPr>
          <w:rFonts w:ascii="Courier New" w:cs="Courier New" w:eastAsia="Courier New" w:hAnsi="Courier New"/>
          <w:sz w:val="16"/>
          <w:szCs w:val="16"/>
          <w:color w:val="auto"/>
        </w:rPr>
        <w:t>43</w:t>
      </w:r>
    </w:p>
    <w:p>
      <w:pPr>
        <w:spacing w:after="0" w:line="200" w:lineRule="exact"/>
        <w:rPr>
          <w:sz w:val="20"/>
          <w:szCs w:val="20"/>
          <w:color w:val="auto"/>
        </w:rPr>
      </w:pPr>
    </w:p>
    <w:p>
      <w:pPr>
        <w:spacing w:after="0" w:line="340" w:lineRule="exact"/>
        <w:rPr>
          <w:sz w:val="20"/>
          <w:szCs w:val="20"/>
          <w:color w:val="auto"/>
        </w:rPr>
      </w:pPr>
    </w:p>
    <w:p>
      <w:pPr>
        <w:ind w:left="2505" w:right="3059" w:hanging="830"/>
        <w:spacing w:after="0" w:line="270" w:lineRule="auto"/>
        <w:tabs>
          <w:tab w:leader="none" w:pos="250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(x) Borrower shall be the surviving entity with substantially the same assets immediately following the reincorporation or reorganization or</w:t>
      </w:r>
    </w:p>
    <w:p>
      <w:pPr>
        <w:spacing w:after="0" w:line="1" w:lineRule="exact"/>
        <w:rPr>
          <w:rFonts w:ascii="Courier New" w:cs="Courier New" w:eastAsia="Courier New" w:hAnsi="Courier New"/>
          <w:sz w:val="14"/>
          <w:szCs w:val="14"/>
          <w:color w:val="auto"/>
        </w:rPr>
      </w:pPr>
    </w:p>
    <w:p>
      <w:pPr>
        <w:ind w:left="2505" w:right="2779" w:firstLine="7"/>
        <w:spacing w:after="0" w:line="236" w:lineRule="auto"/>
        <w:tabs>
          <w:tab w:leader="none" w:pos="2877"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surviving entity or transferee (the "Successor Corporation") shall, immediately following the merger or transfer, as the case may be, (A) have substantially all of the assets of Borrower immediately preceding the merger or transfer, as the case may be, (B) have duly assumed all of Borrower's obligations hereunder and under the other Loan Documents in form and substance satisfactory to Administrative Agent (and, if requested by Administrative Agent, the Successor Corporation shall have delivered an opinion of counsel as to the assumption of such obligations) and (C) either (I) have then-effective ratings (or implied ratings) published by Moody's or S&amp;P applicable to such Successor Corporation's senior, unsecured, non-credit-enhanced, long term indebtedness for borrowed money, which ratings shall be either Baa3 or higher (if assigned by Moody's) or BBB- or higher (if assigned by S&amp;P) or (II) be acceptable to Required Lenders; and</w:t>
      </w:r>
    </w:p>
    <w:p>
      <w:pPr>
        <w:spacing w:after="0" w:line="192" w:lineRule="exact"/>
        <w:rPr>
          <w:sz w:val="20"/>
          <w:szCs w:val="20"/>
          <w:color w:val="auto"/>
        </w:rPr>
      </w:pPr>
    </w:p>
    <w:p>
      <w:pPr>
        <w:ind w:left="2505" w:right="2959" w:hanging="830"/>
        <w:spacing w:after="0" w:line="235" w:lineRule="auto"/>
        <w:tabs>
          <w:tab w:leader="none" w:pos="250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no Default or Event of Default shall have occurred and be continuing.</w:t>
      </w:r>
    </w:p>
    <w:p>
      <w:pPr>
        <w:spacing w:after="0" w:line="183" w:lineRule="exact"/>
        <w:rPr>
          <w:sz w:val="20"/>
          <w:szCs w:val="20"/>
          <w:color w:val="auto"/>
        </w:rPr>
      </w:pPr>
    </w:p>
    <w:p>
      <w:pPr>
        <w:ind w:left="5" w:right="2959" w:firstLine="1670"/>
        <w:spacing w:after="0" w:line="235" w:lineRule="auto"/>
        <w:tabs>
          <w:tab w:leader="none" w:pos="205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and its Restricted Subsidiaries, taken as a whole, shall continue to maintain cable and other communications businesses as its primary lines of business.</w:t>
      </w:r>
    </w:p>
    <w:p>
      <w:pPr>
        <w:spacing w:after="0" w:line="183" w:lineRule="exact"/>
        <w:rPr>
          <w:sz w:val="20"/>
          <w:szCs w:val="20"/>
          <w:color w:val="auto"/>
        </w:rPr>
      </w:pPr>
    </w:p>
    <w:p>
      <w:pPr>
        <w:ind w:left="5" w:right="2959" w:firstLine="1674"/>
        <w:spacing w:after="0" w:line="236" w:lineRule="auto"/>
        <w:rPr>
          <w:sz w:val="20"/>
          <w:szCs w:val="20"/>
          <w:color w:val="auto"/>
        </w:rPr>
      </w:pPr>
      <w:r>
        <w:rPr>
          <w:rFonts w:ascii="Courier New" w:cs="Courier New" w:eastAsia="Courier New" w:hAnsi="Courier New"/>
          <w:sz w:val="16"/>
          <w:szCs w:val="16"/>
          <w:color w:val="auto"/>
        </w:rPr>
        <w:t>7.04 ERISA. Borrower shall not, nor shall it permit any Restricted Subsidiary to, directly or indirectly, at any time permit (a) any Plan to (i) engage in any non-exempt "prohibited transaction" (as defined in Section 4975 of the Code); (ii) fail to comply with ERISA or any other Laws applicable to a Plan; or (iii) incur any material "accumulated funding deficiency" (as defined in Section 302 of ERISA) or (b) the occurrence of any ERISA Event; which, with respect to each event described in clauses (a) or (b) above, has a Material Adverse Effect.</w:t>
      </w:r>
    </w:p>
    <w:p>
      <w:pPr>
        <w:spacing w:after="0" w:line="184" w:lineRule="exact"/>
        <w:rPr>
          <w:sz w:val="20"/>
          <w:szCs w:val="20"/>
          <w:color w:val="auto"/>
        </w:rPr>
      </w:pPr>
    </w:p>
    <w:p>
      <w:pPr>
        <w:ind w:left="5" w:right="2779" w:firstLine="1674"/>
        <w:spacing w:after="0" w:line="270" w:lineRule="auto"/>
        <w:rPr>
          <w:sz w:val="20"/>
          <w:szCs w:val="20"/>
          <w:color w:val="auto"/>
        </w:rPr>
      </w:pPr>
      <w:r>
        <w:rPr>
          <w:rFonts w:ascii="Courier New" w:cs="Courier New" w:eastAsia="Courier New" w:hAnsi="Courier New"/>
          <w:sz w:val="14"/>
          <w:szCs w:val="14"/>
          <w:color w:val="auto"/>
        </w:rPr>
        <w:t>7.05 Limitations on Upstreaming. Borrower shall not, nor shall it permit any Restricted Subsidiary to, directly or indirectly agree to any restriction or limitation on the making of dividends, distributions, loans or advances, the repaying of loans or advances or the transferring of assets from any Restricted Subsidiary to Borrower or any other Restricted Subsidiary, except</w:t>
      </w:r>
    </w:p>
    <w:p>
      <w:pPr>
        <w:spacing w:after="0" w:line="2" w:lineRule="exact"/>
        <w:rPr>
          <w:sz w:val="20"/>
          <w:szCs w:val="20"/>
          <w:color w:val="auto"/>
        </w:rPr>
      </w:pPr>
    </w:p>
    <w:p>
      <w:pPr>
        <w:ind w:left="5" w:right="2779" w:hanging="5"/>
        <w:spacing w:after="0" w:line="235" w:lineRule="auto"/>
        <w:tabs>
          <w:tab w:leader="none" w:pos="377"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and limitations imposed by Law or by the Loan Documents, (b) customary restrictions and limitations contained in agreements relating to the sale of a Subsidiary or its assets that is permitted hereunder and (c) any other restrictions that could not reasonably be expected to impair Borrower's ability to repay the Obligations as and when due.</w:t>
      </w:r>
    </w:p>
    <w:p>
      <w:pPr>
        <w:spacing w:after="0" w:line="186" w:lineRule="exact"/>
        <w:rPr>
          <w:sz w:val="20"/>
          <w:szCs w:val="20"/>
          <w:color w:val="auto"/>
        </w:rPr>
      </w:pPr>
    </w:p>
    <w:p>
      <w:pPr>
        <w:ind w:left="5" w:right="2779" w:firstLine="1674"/>
        <w:spacing w:after="0" w:line="275" w:lineRule="auto"/>
        <w:rPr>
          <w:sz w:val="20"/>
          <w:szCs w:val="20"/>
          <w:color w:val="auto"/>
        </w:rPr>
      </w:pPr>
      <w:r>
        <w:rPr>
          <w:rFonts w:ascii="Courier New" w:cs="Courier New" w:eastAsia="Courier New" w:hAnsi="Courier New"/>
          <w:sz w:val="14"/>
          <w:szCs w:val="14"/>
          <w:color w:val="auto"/>
        </w:rPr>
        <w:t>7.06 Margin Regulations. Borrower shall not, nor shall it permit any Restricted Subsidiary to, directly or indirectly, use the proceeds of any Extensions of Credit hereunder for "purchasing" or "carrying" "margin stock" (as such terms are defined in Regulation U of the Board of Governors of the Federal Reserve System), if such use would violate, or would be inconsistent with, the provisions of Regulations T, U, or X of such Board of Governors.</w:t>
      </w:r>
    </w:p>
    <w:p>
      <w:pPr>
        <w:spacing w:after="0" w:line="156"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7.07 Financial Covenants.</w:t>
      </w:r>
    </w:p>
    <w:p>
      <w:pPr>
        <w:spacing w:after="0" w:line="183" w:lineRule="exact"/>
        <w:rPr>
          <w:sz w:val="20"/>
          <w:szCs w:val="20"/>
          <w:color w:val="auto"/>
        </w:rPr>
      </w:pPr>
    </w:p>
    <w:p>
      <w:pPr>
        <w:ind w:left="5" w:right="3059" w:firstLine="1670"/>
        <w:spacing w:after="0" w:line="235" w:lineRule="auto"/>
        <w:tabs>
          <w:tab w:leader="none" w:pos="205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Coverage Ratio. Borrower shall not permit the Interest Coverage Ratio as of the end of any fiscal quarter of Borrower to be less than 2.50 to 1.00.</w:t>
      </w:r>
    </w:p>
    <w:p>
      <w:pPr>
        <w:spacing w:after="0" w:line="183" w:lineRule="exact"/>
        <w:rPr>
          <w:rFonts w:ascii="Courier New" w:cs="Courier New" w:eastAsia="Courier New" w:hAnsi="Courier New"/>
          <w:sz w:val="16"/>
          <w:szCs w:val="16"/>
          <w:color w:val="auto"/>
        </w:rPr>
      </w:pPr>
    </w:p>
    <w:p>
      <w:pPr>
        <w:ind w:left="5" w:right="2779" w:firstLine="1670"/>
        <w:spacing w:after="0" w:line="235" w:lineRule="auto"/>
        <w:tabs>
          <w:tab w:leader="none" w:pos="205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Leverage Ratio. Borrower shall not permit the Leverage Ratio as of the end of any fiscal quarter of Borrower to be greater than 5.50 to 1.00.</w:t>
      </w:r>
    </w:p>
    <w:p>
      <w:pPr>
        <w:sectPr>
          <w:pgSz w:w="11900" w:h="16838" w:orient="portrait"/>
          <w:cols w:equalWidth="0" w:num="1">
            <w:col w:w="10224"/>
          </w:cols>
          <w:pgMar w:left="235" w:top="469" w:right="1440" w:bottom="1440" w:gutter="0" w:footer="0" w:header="0"/>
        </w:sectPr>
      </w:pPr>
    </w:p>
    <w:bookmarkStart w:id="75" w:name="page76"/>
    <w:bookmarkEnd w:id="75"/>
    <w:p>
      <w:pPr>
        <w:ind w:left="3620"/>
        <w:spacing w:after="0"/>
        <w:rPr>
          <w:sz w:val="20"/>
          <w:szCs w:val="20"/>
          <w:color w:val="auto"/>
        </w:rPr>
      </w:pPr>
      <w:r>
        <w:rPr>
          <w:rFonts w:ascii="Courier New" w:cs="Courier New" w:eastAsia="Courier New" w:hAnsi="Courier New"/>
          <w:sz w:val="16"/>
          <w:szCs w:val="16"/>
          <w:color w:val="auto"/>
        </w:rPr>
        <w:t>44</w:t>
      </w:r>
    </w:p>
    <w:p>
      <w:pPr>
        <w:spacing w:after="0" w:line="200" w:lineRule="exact"/>
        <w:rPr>
          <w:sz w:val="20"/>
          <w:szCs w:val="20"/>
          <w:color w:val="auto"/>
        </w:rPr>
      </w:pPr>
    </w:p>
    <w:p>
      <w:pPr>
        <w:spacing w:after="0" w:line="33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SECTION 8</w:t>
      </w:r>
    </w:p>
    <w:p>
      <w:pPr>
        <w:jc w:val="center"/>
        <w:ind w:right="2779"/>
        <w:spacing w:after="0" w:line="236" w:lineRule="auto"/>
        <w:rPr>
          <w:sz w:val="20"/>
          <w:szCs w:val="20"/>
          <w:color w:val="auto"/>
        </w:rPr>
      </w:pPr>
      <w:r>
        <w:rPr>
          <w:rFonts w:ascii="Courier New" w:cs="Courier New" w:eastAsia="Courier New" w:hAnsi="Courier New"/>
          <w:sz w:val="16"/>
          <w:szCs w:val="16"/>
          <w:color w:val="auto"/>
        </w:rPr>
        <w:t>EVENTS OF DEFAULT AND REMEDIES</w:t>
      </w:r>
    </w:p>
    <w:p>
      <w:pPr>
        <w:spacing w:after="0" w:line="183" w:lineRule="exact"/>
        <w:rPr>
          <w:sz w:val="20"/>
          <w:szCs w:val="20"/>
          <w:color w:val="auto"/>
        </w:rPr>
      </w:pPr>
    </w:p>
    <w:p>
      <w:pPr>
        <w:ind w:right="3339" w:firstLine="1674"/>
        <w:spacing w:after="0" w:line="234" w:lineRule="auto"/>
        <w:rPr>
          <w:sz w:val="20"/>
          <w:szCs w:val="20"/>
          <w:color w:val="auto"/>
        </w:rPr>
      </w:pPr>
      <w:r>
        <w:rPr>
          <w:rFonts w:ascii="Courier New" w:cs="Courier New" w:eastAsia="Courier New" w:hAnsi="Courier New"/>
          <w:sz w:val="16"/>
          <w:szCs w:val="16"/>
          <w:color w:val="auto"/>
        </w:rPr>
        <w:t>8.01 Events of Default. Any one or more of the following events shall constitute an Event of Default:</w:t>
      </w:r>
    </w:p>
    <w:p>
      <w:pPr>
        <w:spacing w:after="0" w:line="183" w:lineRule="exact"/>
        <w:rPr>
          <w:sz w:val="20"/>
          <w:szCs w:val="20"/>
          <w:color w:val="auto"/>
        </w:rPr>
      </w:pPr>
    </w:p>
    <w:p>
      <w:pPr>
        <w:ind w:right="2879" w:firstLine="1670"/>
        <w:spacing w:after="0" w:line="235" w:lineRule="auto"/>
        <w:tabs>
          <w:tab w:leader="none" w:pos="204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Co-Borrower fails to pay any principal on any of its Outstanding Revolving Obligations or Competitive Loans (other than fees) on the date when due; or</w:t>
      </w:r>
    </w:p>
    <w:p>
      <w:pPr>
        <w:spacing w:after="0" w:line="183" w:lineRule="exact"/>
        <w:rPr>
          <w:rFonts w:ascii="Courier New" w:cs="Courier New" w:eastAsia="Courier New" w:hAnsi="Courier New"/>
          <w:sz w:val="16"/>
          <w:szCs w:val="16"/>
          <w:color w:val="auto"/>
        </w:rPr>
      </w:pPr>
    </w:p>
    <w:p>
      <w:pPr>
        <w:ind w:right="2879" w:firstLine="1670"/>
        <w:spacing w:after="0" w:line="236" w:lineRule="auto"/>
        <w:tabs>
          <w:tab w:leader="none" w:pos="204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Co-Borrower fails to pay any interest on any of its Outstanding Revolving Obligations or Competitive Loans, or any commitment or utilization fees, within five days after the date when due; or fails to pay any other fees or amount payable to Administrative Agent or any Lender under any Loan Document within five days after the date when due or, if applicable, after demand is made for the payment thereof; or</w:t>
      </w:r>
    </w:p>
    <w:p>
      <w:pPr>
        <w:spacing w:after="0" w:line="182"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default occurs in the observance or performance of any</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agreement contained in Section 6.02(c), 6.12, 7.03 or 7.07; or</w:t>
      </w:r>
    </w:p>
    <w:p>
      <w:pPr>
        <w:spacing w:after="0" w:line="183" w:lineRule="exact"/>
        <w:rPr>
          <w:rFonts w:ascii="Courier New" w:cs="Courier New" w:eastAsia="Courier New" w:hAnsi="Courier New"/>
          <w:sz w:val="14"/>
          <w:szCs w:val="14"/>
          <w:color w:val="auto"/>
        </w:rPr>
      </w:pPr>
    </w:p>
    <w:p>
      <w:pPr>
        <w:ind w:right="2879" w:firstLine="1670"/>
        <w:spacing w:after="0" w:line="235" w:lineRule="auto"/>
        <w:tabs>
          <w:tab w:leader="none" w:pos="204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Party fails to perform or observe any other covenant or agreement (not specified in subsections (a), (b) or (c) above) contained in any Loan Document on its part to be performed or observed and such failure continues for 30 days after notice thereof to Borrower from Administrative Agent or any Lender; or</w:t>
      </w:r>
    </w:p>
    <w:p>
      <w:pPr>
        <w:spacing w:after="0" w:line="185" w:lineRule="exact"/>
        <w:rPr>
          <w:rFonts w:ascii="Courier New" w:cs="Courier New" w:eastAsia="Courier New" w:hAnsi="Courier New"/>
          <w:sz w:val="16"/>
          <w:szCs w:val="16"/>
          <w:color w:val="auto"/>
        </w:rPr>
      </w:pPr>
    </w:p>
    <w:p>
      <w:pPr>
        <w:ind w:right="2959" w:firstLine="1670"/>
        <w:spacing w:after="0" w:line="283" w:lineRule="auto"/>
        <w:tabs>
          <w:tab w:leader="none" w:pos="2047"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by any Loan Party in this Agreement or any other Loan Document or any Compliance Certificate proves to have been incorrect in any material respect when made or deemed made; or</w:t>
      </w:r>
    </w:p>
    <w:p>
      <w:pPr>
        <w:spacing w:after="0" w:line="154" w:lineRule="exact"/>
        <w:rPr>
          <w:rFonts w:ascii="Courier New" w:cs="Courier New" w:eastAsia="Courier New" w:hAnsi="Courier New"/>
          <w:sz w:val="14"/>
          <w:szCs w:val="14"/>
          <w:color w:val="auto"/>
        </w:rPr>
      </w:pPr>
    </w:p>
    <w:p>
      <w:pPr>
        <w:ind w:right="2779" w:firstLine="1670"/>
        <w:spacing w:after="0" w:line="272" w:lineRule="auto"/>
        <w:tabs>
          <w:tab w:leader="none" w:pos="2047"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Borrower or any Restricted Subsidiary (x) defaults in any payment when due (including any stated grace periods) of principal of or interest on any Indebtedness (other than the Obligations) having an aggregate principal amount in excess of the Threshold Amount or (y) defaults in the observance or performance of any other agreement or condition relating to any Indebtedness (other than the Obligations) or contained in any instrument or agreement evidencing, securing or relating thereto, or any other event shall occur, the effect of which default or other event (after giving effect to any applicable stated grace periods) is to cause, or to permit the holder or holders of such Indebtedness (or a trustee or agent on behalf of such holder or holders or beneficiary or beneficiaries) to cause, with the giving of notice if required, Indebtedness having an aggregate principal amount in excess of the Threshold Amount to be demanded or become due (automatically or otherwise) or to become subject to mandatory redemption prior to its stated maturity, or any Guaranty Obligation in such amount to become payable or cash collateral in respect thereof to be demanded (provided that to the extent that any default referred to in the preceding provisions of this Section 8.01(f) is cured or duly waived by the required holders of the applicable Indebtedness, such default shall cease to be an Event of Default hereunder, unless and except to the extent that Administrative Agent has theretofore exercised remedies hereunder pursuant to Section 8.02), or (ii) Borrower or any Guarantor is unable or admits in writing its inability to pay its debts as they mature; or</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right="2879" w:firstLine="1670"/>
        <w:spacing w:after="0" w:line="236" w:lineRule="auto"/>
        <w:tabs>
          <w:tab w:leader="none" w:pos="204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Document, at any time after its execution and delivery and for any reason other than the agreement of Required Lenders or all Lenders, as may be required hereunder, or satisfaction in full of all the Obligations, ceases to be in full force and effect or is declared by a court of competent jurisdiction to be null and void, invalid or unenforceable in any material respect; or Borrower denies that it has any or further liability or obligation under any Loan Document, or purports to revoke, terminate or rescind any Loan Document; or</w:t>
      </w:r>
    </w:p>
    <w:p>
      <w:pPr>
        <w:sectPr>
          <w:pgSz w:w="11900" w:h="16838" w:orient="portrait"/>
          <w:cols w:equalWidth="0" w:num="1">
            <w:col w:w="10219"/>
          </w:cols>
          <w:pgMar w:left="240" w:top="470" w:right="1440" w:bottom="1440" w:gutter="0" w:footer="0" w:header="0"/>
        </w:sectPr>
      </w:pPr>
    </w:p>
    <w:bookmarkStart w:id="76" w:name="page77"/>
    <w:bookmarkEnd w:id="76"/>
    <w:p>
      <w:pPr>
        <w:ind w:left="3620"/>
        <w:spacing w:after="0"/>
        <w:rPr>
          <w:sz w:val="20"/>
          <w:szCs w:val="20"/>
          <w:color w:val="auto"/>
        </w:rPr>
      </w:pPr>
      <w:r>
        <w:rPr>
          <w:rFonts w:ascii="Courier New" w:cs="Courier New" w:eastAsia="Courier New" w:hAnsi="Courier New"/>
          <w:sz w:val="16"/>
          <w:szCs w:val="16"/>
          <w:color w:val="auto"/>
        </w:rPr>
        <w:t>45</w:t>
      </w:r>
    </w:p>
    <w:p>
      <w:pPr>
        <w:spacing w:after="0" w:line="200" w:lineRule="exact"/>
        <w:rPr>
          <w:sz w:val="20"/>
          <w:szCs w:val="20"/>
          <w:color w:val="auto"/>
        </w:rPr>
      </w:pPr>
    </w:p>
    <w:p>
      <w:pPr>
        <w:spacing w:after="0" w:line="340" w:lineRule="exact"/>
        <w:rPr>
          <w:sz w:val="20"/>
          <w:szCs w:val="20"/>
          <w:color w:val="auto"/>
        </w:rPr>
      </w:pPr>
    </w:p>
    <w:p>
      <w:pPr>
        <w:ind w:right="2779" w:firstLine="1670"/>
        <w:spacing w:after="0" w:line="273" w:lineRule="auto"/>
        <w:tabs>
          <w:tab w:leader="none" w:pos="204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 final non-appealable judgment against Borrower, any of its Significant Subsidiaries or any Guarantor is entered for the payment of money (which is not covered by insurance) in excess of the Threshold Amount, or any non-monetary final judgment is entered against Borrower, any of its Significant Subsidiaries or any Guarantor which has a Material Adverse Effect if, in each case, such judgment remains unsatisfied without procurement of a stay of execution for (A) 30 calendar days after the date of entry of such judgment or, (B) if earlier, five days prior to the date of any possible execution sale, or (ii) any writ or warrant of attachment or execution or similar process is issued or levied against all or any material part of the property of any such Person and is not released, vacated, stayed or fully bonded within 30 calendar days after its issue or levy; or</w:t>
      </w:r>
    </w:p>
    <w:p>
      <w:pPr>
        <w:spacing w:after="0" w:line="341" w:lineRule="exact"/>
        <w:rPr>
          <w:rFonts w:ascii="Courier New" w:cs="Courier New" w:eastAsia="Courier New" w:hAnsi="Courier New"/>
          <w:sz w:val="14"/>
          <w:szCs w:val="14"/>
          <w:color w:val="auto"/>
        </w:rPr>
      </w:pPr>
    </w:p>
    <w:p>
      <w:pPr>
        <w:ind w:right="2779" w:firstLine="1670"/>
        <w:spacing w:after="0" w:line="236" w:lineRule="auto"/>
        <w:tabs>
          <w:tab w:leader="none" w:pos="2047"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any of its Significant Subsidiaries or any Guarantor institutes or consents to the institution of any proceeding under Debtor Relief Laws,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60 calendar days, or an order for relief is entered in any such proceeding; or</w:t>
      </w:r>
    </w:p>
    <w:p>
      <w:pPr>
        <w:spacing w:after="0" w:line="181"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occurs any Change of Control.</w:t>
      </w:r>
    </w:p>
    <w:p>
      <w:pPr>
        <w:spacing w:after="0" w:line="183"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8.02 Remedies Upon Event of Default. Without limiting any other rights or remedies of Administrative Agent or Lenders provided for elsewhere in this Agreement, or the other Loan Documents, or by applicable Law, or in equity, or otherwise:</w:t>
      </w:r>
    </w:p>
    <w:p>
      <w:pPr>
        <w:spacing w:after="0" w:line="185" w:lineRule="exact"/>
        <w:rPr>
          <w:sz w:val="20"/>
          <w:szCs w:val="20"/>
          <w:color w:val="auto"/>
        </w:rPr>
      </w:pPr>
    </w:p>
    <w:p>
      <w:pPr>
        <w:jc w:val="both"/>
        <w:ind w:right="3059" w:firstLine="1670"/>
        <w:spacing w:after="0" w:line="295" w:lineRule="auto"/>
        <w:tabs>
          <w:tab w:leader="none" w:pos="2047"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and during the continuance, of any Event of Default other than an Event of Default described in Section 8.01(i):</w:t>
      </w:r>
    </w:p>
    <w:p>
      <w:pPr>
        <w:spacing w:after="0" w:line="147" w:lineRule="exact"/>
        <w:rPr>
          <w:sz w:val="20"/>
          <w:szCs w:val="20"/>
          <w:color w:val="auto"/>
        </w:rPr>
      </w:pPr>
    </w:p>
    <w:p>
      <w:pPr>
        <w:ind w:left="2500" w:right="2779" w:hanging="830"/>
        <w:spacing w:after="0" w:line="236" w:lineRule="auto"/>
        <w:tabs>
          <w:tab w:leader="none" w:pos="250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 Agent may (and, subject to the terms of Section 9, shall upon the request of Required Lenders) terminate the Revolving Commitments and/or declare all or any part of the unpaid principal of all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each Co-Borrower; and</w:t>
      </w:r>
    </w:p>
    <w:p>
      <w:pPr>
        <w:spacing w:after="0" w:line="186" w:lineRule="exact"/>
        <w:rPr>
          <w:rFonts w:ascii="Courier New" w:cs="Courier New" w:eastAsia="Courier New" w:hAnsi="Courier New"/>
          <w:sz w:val="16"/>
          <w:szCs w:val="16"/>
          <w:color w:val="auto"/>
        </w:rPr>
      </w:pPr>
    </w:p>
    <w:p>
      <w:pPr>
        <w:ind w:left="2500" w:right="2879" w:hanging="830"/>
        <w:spacing w:after="0" w:line="275" w:lineRule="auto"/>
        <w:tabs>
          <w:tab w:leader="none" w:pos="250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may (and, subject to the terms of Section 9, shall upon the request of Required Lenders) demand immediate payment by Co-Borrowers of an amount equal to the aggregate amount of all outstanding Letter of Credit Usage to be held in a Letter of Credit Cash Collateral Account.</w:t>
      </w:r>
    </w:p>
    <w:p>
      <w:pPr>
        <w:spacing w:after="0" w:line="15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(b) Upon the occurrence of any Event of Default described in</w:t>
      </w:r>
    </w:p>
    <w:p>
      <w:pPr>
        <w:spacing w:after="0" w:line="236" w:lineRule="auto"/>
        <w:rPr>
          <w:sz w:val="20"/>
          <w:szCs w:val="20"/>
          <w:color w:val="auto"/>
        </w:rPr>
      </w:pPr>
      <w:r>
        <w:rPr>
          <w:rFonts w:ascii="Courier New" w:cs="Courier New" w:eastAsia="Courier New" w:hAnsi="Courier New"/>
          <w:sz w:val="16"/>
          <w:szCs w:val="16"/>
          <w:color w:val="auto"/>
        </w:rPr>
        <w:t>Section 8.01(i):</w:t>
      </w:r>
    </w:p>
    <w:p>
      <w:pPr>
        <w:spacing w:after="0" w:line="183" w:lineRule="exact"/>
        <w:rPr>
          <w:sz w:val="20"/>
          <w:szCs w:val="20"/>
          <w:color w:val="auto"/>
        </w:rPr>
      </w:pPr>
    </w:p>
    <w:p>
      <w:pPr>
        <w:ind w:left="2500" w:right="2959" w:hanging="830"/>
        <w:spacing w:after="0" w:line="235" w:lineRule="auto"/>
        <w:tabs>
          <w:tab w:leader="none" w:pos="250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Revolving Commitments and all other obligations of Administrative Agent or Lenders shall automatically terminate without notice to or demand upon either Co-Borrower, which are expressly waived by each Co-Borrower;</w:t>
      </w:r>
    </w:p>
    <w:p>
      <w:pPr>
        <w:spacing w:after="0" w:line="185" w:lineRule="exact"/>
        <w:rPr>
          <w:rFonts w:ascii="Courier New" w:cs="Courier New" w:eastAsia="Courier New" w:hAnsi="Courier New"/>
          <w:sz w:val="16"/>
          <w:szCs w:val="16"/>
          <w:color w:val="auto"/>
        </w:rPr>
      </w:pPr>
    </w:p>
    <w:p>
      <w:pPr>
        <w:ind w:left="2500" w:right="2779" w:hanging="830"/>
        <w:spacing w:after="0" w:line="236" w:lineRule="auto"/>
        <w:tabs>
          <w:tab w:leader="none" w:pos="250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unpaid principal of all Loans, all interest accrued and unpaid thereon and all other amounts payable under the Loan Documents shall be immediately due and payable, without protest, presentment, notice of dishonor, demand or further notice of any kind, all of which are expressly waived by each Co-Borrower; and</w:t>
      </w:r>
    </w:p>
    <w:p>
      <w:pPr>
        <w:spacing w:after="0" w:line="183" w:lineRule="exact"/>
        <w:rPr>
          <w:rFonts w:ascii="Courier New" w:cs="Courier New" w:eastAsia="Courier New" w:hAnsi="Courier New"/>
          <w:sz w:val="16"/>
          <w:szCs w:val="16"/>
          <w:color w:val="auto"/>
        </w:rPr>
      </w:pPr>
    </w:p>
    <w:p>
      <w:pPr>
        <w:ind w:left="2500" w:right="3439" w:hanging="830"/>
        <w:spacing w:after="0" w:line="235" w:lineRule="auto"/>
        <w:tabs>
          <w:tab w:leader="none" w:pos="250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aggregate amount of all outstanding Letter of Credit Usage shall be immediately due</w:t>
      </w:r>
    </w:p>
    <w:p>
      <w:pPr>
        <w:sectPr>
          <w:pgSz w:w="11900" w:h="16838" w:orient="portrait"/>
          <w:cols w:equalWidth="0" w:num="1">
            <w:col w:w="10219"/>
          </w:cols>
          <w:pgMar w:left="240" w:top="469" w:right="1440" w:bottom="1440" w:gutter="0" w:footer="0" w:header="0"/>
        </w:sectPr>
      </w:pPr>
    </w:p>
    <w:bookmarkStart w:id="77" w:name="page78"/>
    <w:bookmarkEnd w:id="77"/>
    <w:p>
      <w:pPr>
        <w:ind w:left="3620"/>
        <w:spacing w:after="0"/>
        <w:rPr>
          <w:sz w:val="20"/>
          <w:szCs w:val="20"/>
          <w:color w:val="auto"/>
        </w:rPr>
      </w:pPr>
      <w:r>
        <w:rPr>
          <w:rFonts w:ascii="Courier New" w:cs="Courier New" w:eastAsia="Courier New" w:hAnsi="Courier New"/>
          <w:sz w:val="16"/>
          <w:szCs w:val="16"/>
          <w:color w:val="auto"/>
        </w:rPr>
        <w:t>46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and payable to Administrative Agent</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without notice to or demand upon either Co-Borrower,</w:t>
      </w:r>
    </w:p>
    <w:p>
      <w:pPr>
        <w:spacing w:after="0" w:line="2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which are expressly waived by each Co-Borrower, to be</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held in a Letter of Credit Cash Collateral Account.</w:t>
      </w:r>
    </w:p>
    <w:p>
      <w:pPr>
        <w:spacing w:after="0" w:line="183" w:lineRule="exact"/>
        <w:rPr>
          <w:sz w:val="20"/>
          <w:szCs w:val="20"/>
          <w:color w:val="auto"/>
        </w:rPr>
      </w:pPr>
    </w:p>
    <w:p>
      <w:pPr>
        <w:ind w:right="2879" w:firstLine="1670"/>
        <w:spacing w:after="0" w:line="235" w:lineRule="auto"/>
        <w:tabs>
          <w:tab w:leader="none" w:pos="2047"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any Event of Default, Administrative Agent may proceed to protect, exercise and enforce against Co-Borrowers the rights and remedies of Administrative Agent and Lenders under the Loan Documents and such other rights and remedies as are provided by Law or equity.</w:t>
      </w:r>
    </w:p>
    <w:p>
      <w:pPr>
        <w:spacing w:after="0" w:line="185" w:lineRule="exact"/>
        <w:rPr>
          <w:rFonts w:ascii="Courier New" w:cs="Courier New" w:eastAsia="Courier New" w:hAnsi="Courier New"/>
          <w:sz w:val="16"/>
          <w:szCs w:val="16"/>
          <w:color w:val="auto"/>
        </w:rPr>
      </w:pPr>
    </w:p>
    <w:p>
      <w:pPr>
        <w:ind w:right="2779" w:firstLine="1670"/>
        <w:spacing w:after="0" w:line="272" w:lineRule="auto"/>
        <w:tabs>
          <w:tab w:leader="none" w:pos="2047"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order and manner in which Administrative Agent's and Lenders' rights and remedies are to be exercised shall be determined by Administrative Agent or Required Lenders in their sole and absolute discretion. Regardless of how a Lender may treat payments for the purpose of its own accounting, for the purpose of computing the Obligations hereunder, payments received during the existence of an Event of Default shall be applied first, to costs and expenses (including Attorney Costs) incurred by Administrative Agent and each Lender (to the extent that each Lender has a right to reimbursement thereof pursuant to the Loan Documents), second, to the payment of accrued and unpaid interest on the Obligations to and including the date of such application, third, to the payment of, or as cash collateral for, the unpaid principal of the Obligations, and fourth, to the payment of all other amounts (including fees) then owing to Administrative Agent and Lenders under the Loan Documents, in each case paid pro rata to each Lender in the same proportions that the aggregate Obligations owed to each Lender under the Loan Documents bear to the aggregate Obligations owed under the Loan Documents to all Lenders, without priority or preference among Lenders.</w:t>
      </w:r>
    </w:p>
    <w:p>
      <w:pPr>
        <w:spacing w:after="0" w:line="200" w:lineRule="exact"/>
        <w:rPr>
          <w:sz w:val="20"/>
          <w:szCs w:val="20"/>
          <w:color w:val="auto"/>
        </w:rPr>
      </w:pPr>
    </w:p>
    <w:p>
      <w:pPr>
        <w:spacing w:after="0" w:line="31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SECTION 9</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THE AGENTS</w:t>
      </w:r>
    </w:p>
    <w:p>
      <w:pPr>
        <w:spacing w:after="0" w:line="183" w:lineRule="exact"/>
        <w:rPr>
          <w:sz w:val="20"/>
          <w:szCs w:val="20"/>
          <w:color w:val="auto"/>
        </w:rPr>
      </w:pPr>
    </w:p>
    <w:p>
      <w:pPr>
        <w:ind w:right="2779" w:firstLine="1674"/>
        <w:spacing w:after="0" w:line="272" w:lineRule="auto"/>
        <w:rPr>
          <w:sz w:val="20"/>
          <w:szCs w:val="20"/>
          <w:color w:val="auto"/>
        </w:rPr>
      </w:pPr>
      <w:r>
        <w:rPr>
          <w:rFonts w:ascii="Courier New" w:cs="Courier New" w:eastAsia="Courier New" w:hAnsi="Courier New"/>
          <w:sz w:val="14"/>
          <w:szCs w:val="14"/>
          <w:color w:val="auto"/>
        </w:rPr>
        <w:t>9.01 Appointment. Each Lender hereby irrevocably designates and appoints Administrative Agent as the agent of such Lender under this Agreement and the other Loan Documents, and each such Lender irrevocably authorizes Administrative Agent, in such capacity, to take such action on its behalf under the provisions of this Agreement and the other Loan Documents and to exercise such powers and perform such duties as are expressly delegated to Administrative Agent by the terms of this Agreement and the other Loan Documents, together with such other powers as are reasonably incidental thereto. Notwithstanding any provision to the contrary elsewhere in this Agreement,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Administrative Agent.</w:t>
      </w:r>
    </w:p>
    <w:p>
      <w:pPr>
        <w:spacing w:after="0" w:line="347"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9.02 Delegation of Duties. Administrative Agent may execute any of its duties under this Agreement and the other Loan Documents by or through agents or attorneys-in-fact and shall be entitled to advice of counsel concerning all matters pertaining to such duties. Administrative Agent shall not be responsible for the negligence or misconduct of any agents or attorneys in-fact selected by it with reasonable care.</w:t>
      </w:r>
    </w:p>
    <w:p>
      <w:pPr>
        <w:spacing w:after="0" w:line="183" w:lineRule="exact"/>
        <w:rPr>
          <w:sz w:val="20"/>
          <w:szCs w:val="20"/>
          <w:color w:val="auto"/>
        </w:rPr>
      </w:pPr>
    </w:p>
    <w:p>
      <w:pPr>
        <w:ind w:right="3059" w:firstLine="1674"/>
        <w:spacing w:after="0" w:line="235" w:lineRule="auto"/>
        <w:rPr>
          <w:sz w:val="20"/>
          <w:szCs w:val="20"/>
          <w:color w:val="auto"/>
        </w:rPr>
      </w:pPr>
      <w:r>
        <w:rPr>
          <w:rFonts w:ascii="Courier New" w:cs="Courier New" w:eastAsia="Courier New" w:hAnsi="Courier New"/>
          <w:sz w:val="16"/>
          <w:szCs w:val="16"/>
          <w:color w:val="auto"/>
        </w:rPr>
        <w:t>9.03 Exculpatory Provisions. Neither any Agent nor any of their respective officers, directors, employees, agents, attorneys-in-fact or affiliates shall be (i) liable for any action lawfully taken</w:t>
      </w:r>
    </w:p>
    <w:p>
      <w:pPr>
        <w:sectPr>
          <w:pgSz w:w="11900" w:h="16838" w:orient="portrait"/>
          <w:cols w:equalWidth="0" w:num="1">
            <w:col w:w="10219"/>
          </w:cols>
          <w:pgMar w:left="240" w:top="469" w:right="1440" w:bottom="1440" w:gutter="0" w:footer="0" w:header="0"/>
        </w:sectPr>
      </w:pPr>
    </w:p>
    <w:bookmarkStart w:id="78" w:name="page79"/>
    <w:bookmarkEnd w:id="78"/>
    <w:p>
      <w:pPr>
        <w:ind w:left="3620"/>
        <w:spacing w:after="0"/>
        <w:rPr>
          <w:sz w:val="20"/>
          <w:szCs w:val="20"/>
          <w:color w:val="auto"/>
        </w:rPr>
      </w:pPr>
      <w:r>
        <w:rPr>
          <w:rFonts w:ascii="Courier New" w:cs="Courier New" w:eastAsia="Courier New" w:hAnsi="Courier New"/>
          <w:sz w:val="16"/>
          <w:szCs w:val="16"/>
          <w:color w:val="auto"/>
        </w:rPr>
        <w:t>47</w:t>
      </w:r>
    </w:p>
    <w:p>
      <w:pPr>
        <w:spacing w:after="0" w:line="200" w:lineRule="exact"/>
        <w:rPr>
          <w:sz w:val="20"/>
          <w:szCs w:val="20"/>
          <w:color w:val="auto"/>
        </w:rPr>
      </w:pPr>
    </w:p>
    <w:p>
      <w:pPr>
        <w:spacing w:after="0" w:line="340"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90"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9.04 Reliance by Administrative Agent. (a)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Lenders against any and all liability and expense that may be incurred by it by reason of taking or continuing to take any such action.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Lenders and all future holders of the Loans.</w:t>
      </w:r>
    </w:p>
    <w:p>
      <w:pPr>
        <w:spacing w:after="0" w:line="192" w:lineRule="exact"/>
        <w:rPr>
          <w:sz w:val="20"/>
          <w:szCs w:val="20"/>
          <w:color w:val="auto"/>
        </w:rPr>
      </w:pPr>
    </w:p>
    <w:p>
      <w:pPr>
        <w:ind w:right="2779" w:firstLine="1670"/>
        <w:spacing w:after="0" w:line="236" w:lineRule="auto"/>
        <w:tabs>
          <w:tab w:leader="none" w:pos="2047"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compliance with the conditions specified in Section 4.01, absent Requisite Notice by such Lender to Administrative Agent to the contrary, each Lender shall be deemed to have consented to, approved or accepted or to be satisfied with, each document or other matter either sent by Administrative Agent to each Lender for consent, approval, acceptance or satisfaction, or required thereunder to be consented to or approved by or acceptable or satisfactory to a Lender.</w:t>
      </w:r>
    </w:p>
    <w:p>
      <w:pPr>
        <w:spacing w:after="0" w:line="184" w:lineRule="exact"/>
        <w:rPr>
          <w:sz w:val="20"/>
          <w:szCs w:val="20"/>
          <w:color w:val="auto"/>
        </w:rPr>
      </w:pPr>
    </w:p>
    <w:p>
      <w:pPr>
        <w:ind w:right="2779" w:firstLine="1674"/>
        <w:spacing w:after="0" w:line="273" w:lineRule="auto"/>
        <w:rPr>
          <w:sz w:val="20"/>
          <w:szCs w:val="20"/>
          <w:color w:val="auto"/>
        </w:rPr>
      </w:pPr>
      <w:r>
        <w:rPr>
          <w:rFonts w:ascii="Courier New" w:cs="Courier New" w:eastAsia="Courier New" w:hAnsi="Courier New"/>
          <w:sz w:val="14"/>
          <w:szCs w:val="14"/>
          <w:color w:val="auto"/>
        </w:rPr>
        <w:t>9.05 Notice of Default. Administrative Agent shall not be deemed to have knowledge or notice of the occurrence of any Default or Event of Default unless Administrative Agent has received notice from a Lender or either Co-Borrower referring to this Agreement, describing such Default or Event of Default and stating that such notice is a "notice of default". In the event that Administrative Agent receives such a notice, Administrative Agent shall give notice thereof to Lenders. Administrative Agent shall take such action with respect to such Default or Event of Default as shall be reasonably directed by the Required Lenders (or, if so specified by this Agreement, all Lenders); provided that unless and until Administrative Agent shall have received such directions, Administrative Agent may (but shall not be obligated to) take such action, or refrain from taking such action, with respect to such Default or Event of Default as it shall deem advisable in the best interests of Lenders.</w:t>
      </w:r>
    </w:p>
    <w:p>
      <w:pPr>
        <w:spacing w:after="0" w:line="340" w:lineRule="exact"/>
        <w:rPr>
          <w:sz w:val="20"/>
          <w:szCs w:val="20"/>
          <w:color w:val="auto"/>
        </w:rPr>
      </w:pPr>
    </w:p>
    <w:p>
      <w:pPr>
        <w:ind w:right="3159" w:firstLine="1674"/>
        <w:spacing w:after="0" w:line="279" w:lineRule="auto"/>
        <w:rPr>
          <w:sz w:val="20"/>
          <w:szCs w:val="20"/>
          <w:color w:val="auto"/>
        </w:rPr>
      </w:pPr>
      <w:r>
        <w:rPr>
          <w:rFonts w:ascii="Courier New" w:cs="Courier New" w:eastAsia="Courier New" w:hAnsi="Courier New"/>
          <w:sz w:val="14"/>
          <w:szCs w:val="14"/>
          <w:color w:val="auto"/>
        </w:rPr>
        <w:t>9.06 Non-Reliance on Agents and Other Lenders. Each Lender expressly acknowledges that neither the Agents nor any of their respective officers, directors, employees, agents, attorneys-in-fact or affiliates have made any representations or warranties to it and that no act by any</w:t>
      </w:r>
    </w:p>
    <w:p>
      <w:pPr>
        <w:sectPr>
          <w:pgSz w:w="11900" w:h="16838" w:orient="portrait"/>
          <w:cols w:equalWidth="0" w:num="1">
            <w:col w:w="10219"/>
          </w:cols>
          <w:pgMar w:left="240" w:top="469" w:right="1440" w:bottom="1440" w:gutter="0" w:footer="0" w:header="0"/>
        </w:sectPr>
      </w:pPr>
    </w:p>
    <w:bookmarkStart w:id="79" w:name="page80"/>
    <w:bookmarkEnd w:id="79"/>
    <w:p>
      <w:pPr>
        <w:ind w:left="3620"/>
        <w:spacing w:after="0"/>
        <w:rPr>
          <w:sz w:val="20"/>
          <w:szCs w:val="20"/>
          <w:color w:val="auto"/>
        </w:rPr>
      </w:pPr>
      <w:r>
        <w:rPr>
          <w:rFonts w:ascii="Courier New" w:cs="Courier New" w:eastAsia="Courier New" w:hAnsi="Courier New"/>
          <w:sz w:val="16"/>
          <w:szCs w:val="16"/>
          <w:color w:val="auto"/>
        </w:rPr>
        <w:t>48</w:t>
      </w:r>
    </w:p>
    <w:p>
      <w:pPr>
        <w:spacing w:after="0" w:line="200" w:lineRule="exact"/>
        <w:rPr>
          <w:sz w:val="20"/>
          <w:szCs w:val="20"/>
          <w:color w:val="auto"/>
        </w:rPr>
      </w:pPr>
    </w:p>
    <w:p>
      <w:pPr>
        <w:spacing w:after="0" w:line="340"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4"/>
          <w:szCs w:val="14"/>
          <w:color w:val="auto"/>
        </w:rPr>
        <w:t>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Lenders by Administrative Agent hereunder,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Administrative Agent or any of its officers, directors, employees, agents, attorneys-in-fact or affiliates.</w:t>
      </w:r>
    </w:p>
    <w:p>
      <w:pPr>
        <w:spacing w:after="0" w:line="200" w:lineRule="exact"/>
        <w:rPr>
          <w:sz w:val="20"/>
          <w:szCs w:val="20"/>
          <w:color w:val="auto"/>
        </w:rPr>
      </w:pPr>
    </w:p>
    <w:p>
      <w:pPr>
        <w:spacing w:after="0" w:line="333" w:lineRule="exact"/>
        <w:rPr>
          <w:sz w:val="20"/>
          <w:szCs w:val="20"/>
          <w:color w:val="auto"/>
        </w:rPr>
      </w:pPr>
    </w:p>
    <w:p>
      <w:pPr>
        <w:ind w:right="2779" w:firstLine="1674"/>
        <w:spacing w:after="0" w:line="272" w:lineRule="auto"/>
        <w:rPr>
          <w:sz w:val="20"/>
          <w:szCs w:val="20"/>
          <w:color w:val="auto"/>
        </w:rPr>
      </w:pPr>
      <w:r>
        <w:rPr>
          <w:rFonts w:ascii="Courier New" w:cs="Courier New" w:eastAsia="Courier New" w:hAnsi="Courier New"/>
          <w:sz w:val="14"/>
          <w:szCs w:val="14"/>
          <w:color w:val="auto"/>
        </w:rPr>
        <w:t>9.07 Indemnification. Lenders agree to indemnify each Agent and Issuing Bank in its capacity as such (to the extent not reimbursed by the Loan Parties and without limiting the obligation of any Loan Party to do so), ratably according to their respective Aggregate Exposure Percentage in effect on the date on which indemnification is sought under this Section (or, if indemnification is sought after the date upon which the Revolving Commitments shall have terminated and the Loans shall have been paid in full, ratably in accordance with such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Revolving Commitments, this Agreement, any of the other Loan Documents or any documents contemplated by or referred to herein or therein or the transactions contemplated hereby or thereby or any action taken or omitted by such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200" w:lineRule="exact"/>
        <w:rPr>
          <w:sz w:val="20"/>
          <w:szCs w:val="20"/>
          <w:color w:val="auto"/>
        </w:rPr>
      </w:pPr>
    </w:p>
    <w:p>
      <w:pPr>
        <w:spacing w:after="0" w:line="320" w:lineRule="exact"/>
        <w:rPr>
          <w:sz w:val="20"/>
          <w:szCs w:val="20"/>
          <w:color w:val="auto"/>
        </w:rPr>
      </w:pPr>
    </w:p>
    <w:p>
      <w:pPr>
        <w:ind w:right="2779" w:firstLine="1674"/>
        <w:spacing w:after="0" w:line="274" w:lineRule="auto"/>
        <w:rPr>
          <w:sz w:val="20"/>
          <w:szCs w:val="20"/>
          <w:color w:val="auto"/>
        </w:rPr>
      </w:pPr>
      <w:r>
        <w:rPr>
          <w:rFonts w:ascii="Courier New" w:cs="Courier New" w:eastAsia="Courier New" w:hAnsi="Courier New"/>
          <w:sz w:val="14"/>
          <w:szCs w:val="14"/>
          <w:color w:val="auto"/>
        </w:rPr>
        <w:t>9.08 Agent in Its Individual Capacity. Each Agent and its affiliates may make loans to, accept deposits from and generally engage in any kind of business with any Loan Party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62" w:lineRule="exact"/>
        <w:rPr>
          <w:sz w:val="20"/>
          <w:szCs w:val="20"/>
          <w:color w:val="auto"/>
        </w:rPr>
      </w:pPr>
    </w:p>
    <w:p>
      <w:pPr>
        <w:ind w:right="2779" w:firstLine="1674"/>
        <w:spacing w:after="0" w:line="274" w:lineRule="auto"/>
        <w:rPr>
          <w:sz w:val="20"/>
          <w:szCs w:val="20"/>
          <w:color w:val="auto"/>
        </w:rPr>
      </w:pPr>
      <w:r>
        <w:rPr>
          <w:rFonts w:ascii="Courier New" w:cs="Courier New" w:eastAsia="Courier New" w:hAnsi="Courier New"/>
          <w:sz w:val="14"/>
          <w:szCs w:val="14"/>
          <w:color w:val="auto"/>
        </w:rPr>
        <w:t>9.09 Successor Administrative Agent. Administrative Agent may resign as Administrative Agent upon 30 days' notice to Lenders and Borrower. If Administrative Agent shall resign as Administrative Agent under this Agreement and the other Loan Documents, then the Required Lenders shall appoint from among Lenders a successor agent for Lenders, which successor agent shall (unless an Event of Default under Section 8.01(a), Section 8.01(b) or Section 8.01(i) with respect to Borrower shall have occurred and be continuing) be subject to approval by Borrower (which approval shall not be unreasonably withheld or delayed), whereupon such successor agent shall succeed to the</w:t>
      </w:r>
    </w:p>
    <w:p>
      <w:pPr>
        <w:sectPr>
          <w:pgSz w:w="11900" w:h="16838" w:orient="portrait"/>
          <w:cols w:equalWidth="0" w:num="1">
            <w:col w:w="10219"/>
          </w:cols>
          <w:pgMar w:left="240" w:top="469" w:right="1440" w:bottom="1440" w:gutter="0" w:footer="0" w:header="0"/>
        </w:sectPr>
      </w:pPr>
    </w:p>
    <w:bookmarkStart w:id="80" w:name="page81"/>
    <w:bookmarkEnd w:id="80"/>
    <w:p>
      <w:pPr>
        <w:ind w:left="3620"/>
        <w:spacing w:after="0"/>
        <w:rPr>
          <w:sz w:val="20"/>
          <w:szCs w:val="20"/>
          <w:color w:val="auto"/>
        </w:rPr>
      </w:pPr>
      <w:r>
        <w:rPr>
          <w:rFonts w:ascii="Courier New" w:cs="Courier New" w:eastAsia="Courier New" w:hAnsi="Courier New"/>
          <w:sz w:val="16"/>
          <w:szCs w:val="16"/>
          <w:color w:val="auto"/>
        </w:rPr>
        <w:t>49</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rights, powers and duties of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Agent's resignation shall nevertheless thereupon become effective, and Lenders shall assume and perform all of the duties of Administrative Agent hereunder until such time, if any, as the Required Lenders appoint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90"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9.10 Co-Documentation Agents and Syndication Agent. None of Co-Documentation Agents nor Syndication Agent shall have any right, power, obligation, liability, responsibility or duty hereunder in its capacity as such. Without limiting the foregoing, none of Co-Documentation Agents or Syndication Agent in its capacity as such shall have or be deemed to have any fiduciary relationship with any Lender. Each Lender acknowledges that it has not relied, and will not rely, on any of Co-Documentation Agents or Syndication Agent in deciding to enter into this Agreement or in taking or not taking action hereunder.</w:t>
      </w:r>
    </w:p>
    <w:p>
      <w:pPr>
        <w:spacing w:after="0" w:line="179"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SECTION 10</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MISCELLANEOUS</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10.01 Amendments; Consents. No amendment, modification, supplement, extension, termination or waiver of any provision of this Agreement or any other Loan Document, no approval or consent thereunder, and no consent to any departure by any Loan Party therefrom shall be effective unless in writing signed by each Loan Party party thereto and Required Lenders and acknowledged by Administrative Agent (or signed by Administrative Agent with the prior written consent of Required Lenders), and each such waiver or consent shall be effective only in the specific instance and for the specific purpose for which given. Notwithstanding the foregoing sentence, without the approval in writing of each Co-Borrower, Administrative Agent and each Lender affected thereby, no amendment, modification, supplement, termination, waiver, approval, or consent may be effective to:</w:t>
      </w:r>
    </w:p>
    <w:p>
      <w:pPr>
        <w:spacing w:after="0" w:line="187" w:lineRule="exact"/>
        <w:rPr>
          <w:sz w:val="20"/>
          <w:szCs w:val="20"/>
          <w:color w:val="auto"/>
        </w:rPr>
      </w:pPr>
    </w:p>
    <w:p>
      <w:pPr>
        <w:ind w:right="3619" w:firstLine="1670"/>
        <w:spacing w:after="0" w:line="234" w:lineRule="auto"/>
        <w:tabs>
          <w:tab w:leader="none" w:pos="2047"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amount of principal of any Outstanding Revolving Obligations owed to such Lender;</w:t>
      </w:r>
    </w:p>
    <w:p>
      <w:pPr>
        <w:spacing w:after="0" w:line="183" w:lineRule="exact"/>
        <w:rPr>
          <w:rFonts w:ascii="Courier New" w:cs="Courier New" w:eastAsia="Courier New" w:hAnsi="Courier New"/>
          <w:sz w:val="16"/>
          <w:szCs w:val="16"/>
          <w:color w:val="auto"/>
        </w:rPr>
      </w:pPr>
    </w:p>
    <w:p>
      <w:pPr>
        <w:ind w:right="3059" w:firstLine="1670"/>
        <w:spacing w:after="0" w:line="279" w:lineRule="auto"/>
        <w:tabs>
          <w:tab w:leader="none" w:pos="204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rate of interest payable on any Outstanding Revolving Obligations owed to such Lender or the amount or rate of any fee or other amount payable to such Lender under the Loan Documents, except that Required Lenders may waive or defer the imposition of the Default Rate;</w:t>
      </w:r>
    </w:p>
    <w:p>
      <w:pPr>
        <w:spacing w:after="0" w:line="156" w:lineRule="exact"/>
        <w:rPr>
          <w:rFonts w:ascii="Courier New" w:cs="Courier New" w:eastAsia="Courier New" w:hAnsi="Courier New"/>
          <w:sz w:val="14"/>
          <w:szCs w:val="14"/>
          <w:color w:val="auto"/>
        </w:rPr>
      </w:pPr>
    </w:p>
    <w:p>
      <w:pPr>
        <w:jc w:val="both"/>
        <w:ind w:right="2959" w:firstLine="1670"/>
        <w:spacing w:after="0" w:line="283" w:lineRule="auto"/>
        <w:tabs>
          <w:tab w:leader="none" w:pos="204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an Event of Default consisting of the failure of a Co-Borrower to pay when due principal, interest, any commitment or utilization fee, or any other amount payable to such Lender under the Loan Documents;</w:t>
      </w:r>
    </w:p>
    <w:p>
      <w:pPr>
        <w:spacing w:after="0" w:line="154" w:lineRule="exact"/>
        <w:rPr>
          <w:rFonts w:ascii="Courier New" w:cs="Courier New" w:eastAsia="Courier New" w:hAnsi="Courier New"/>
          <w:sz w:val="14"/>
          <w:szCs w:val="14"/>
          <w:color w:val="auto"/>
        </w:rPr>
      </w:pPr>
    </w:p>
    <w:p>
      <w:pPr>
        <w:ind w:right="2779" w:firstLine="1670"/>
        <w:spacing w:after="0" w:line="236" w:lineRule="auto"/>
        <w:tabs>
          <w:tab w:leader="none" w:pos="2047"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Postpone any date scheduled for the payment of principal of, or interest on, any Loan or any Letter of Credit reimbursement obligation or for the payment of any commitment or utilization fee or for the payment of any other amount, in each case payable to such Lender under the Loan Documents, or extend the term of, or increase the amount of, such Lender's Revolving Commitment (it being</w:t>
      </w:r>
    </w:p>
    <w:p>
      <w:pPr>
        <w:sectPr>
          <w:pgSz w:w="11900" w:h="16838" w:orient="portrait"/>
          <w:cols w:equalWidth="0" w:num="1">
            <w:col w:w="10219"/>
          </w:cols>
          <w:pgMar w:left="240" w:top="469" w:right="1440" w:bottom="1440" w:gutter="0" w:footer="0" w:header="0"/>
        </w:sectPr>
      </w:pPr>
    </w:p>
    <w:bookmarkStart w:id="81" w:name="page82"/>
    <w:bookmarkEnd w:id="81"/>
    <w:p>
      <w:pPr>
        <w:ind w:left="3625"/>
        <w:spacing w:after="0"/>
        <w:rPr>
          <w:sz w:val="20"/>
          <w:szCs w:val="20"/>
          <w:color w:val="auto"/>
        </w:rPr>
      </w:pPr>
      <w:r>
        <w:rPr>
          <w:rFonts w:ascii="Courier New" w:cs="Courier New" w:eastAsia="Courier New" w:hAnsi="Courier New"/>
          <w:sz w:val="16"/>
          <w:szCs w:val="16"/>
          <w:color w:val="auto"/>
        </w:rPr>
        <w:t>50</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understood that a waiver of any Event of Default not referred to in subsection</w:t>
      </w:r>
    </w:p>
    <w:p>
      <w:pPr>
        <w:spacing w:after="0" w:line="20" w:lineRule="exact"/>
        <w:rPr>
          <w:sz w:val="20"/>
          <w:szCs w:val="20"/>
          <w:color w:val="auto"/>
        </w:rPr>
      </w:pPr>
    </w:p>
    <w:p>
      <w:pPr>
        <w:jc w:val="both"/>
        <w:ind w:left="5" w:right="3159" w:hanging="5"/>
        <w:spacing w:after="0" w:line="295" w:lineRule="auto"/>
        <w:tabs>
          <w:tab w:leader="none" w:pos="37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shall require only the consent of Required Lenders) or modify such Lender's share of the Revolving Commitments (except as contemplated hereby);</w:t>
      </w:r>
    </w:p>
    <w:p>
      <w:pPr>
        <w:spacing w:after="0" w:line="146" w:lineRule="exact"/>
        <w:rPr>
          <w:rFonts w:ascii="Courier New" w:cs="Courier New" w:eastAsia="Courier New" w:hAnsi="Courier New"/>
          <w:sz w:val="14"/>
          <w:szCs w:val="14"/>
          <w:color w:val="auto"/>
        </w:rPr>
      </w:pPr>
    </w:p>
    <w:p>
      <w:pPr>
        <w:ind w:left="5" w:right="2779" w:firstLine="1670"/>
        <w:spacing w:after="0" w:line="234" w:lineRule="auto"/>
        <w:tabs>
          <w:tab w:leader="none" w:pos="2051"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or waive the definition of "Required Lenders" or the provisions of this Section 10.01 or Section 10.06; or</w:t>
      </w:r>
    </w:p>
    <w:p>
      <w:pPr>
        <w:spacing w:after="0" w:line="177" w:lineRule="exact"/>
        <w:rPr>
          <w:rFonts w:ascii="Courier New" w:cs="Courier New" w:eastAsia="Courier New" w:hAnsi="Courier New"/>
          <w:sz w:val="16"/>
          <w:szCs w:val="16"/>
          <w:color w:val="auto"/>
        </w:rPr>
      </w:pPr>
    </w:p>
    <w:p>
      <w:pPr>
        <w:ind w:left="2045" w:hanging="370"/>
        <w:spacing w:after="0"/>
        <w:tabs>
          <w:tab w:leader="none" w:pos="2045"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or waive any provision of this Agreement that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expressly requires the consent or approval of such Lender;</w:t>
      </w:r>
    </w:p>
    <w:p>
      <w:pPr>
        <w:spacing w:after="0" w:line="183" w:lineRule="exact"/>
        <w:rPr>
          <w:sz w:val="20"/>
          <w:szCs w:val="20"/>
          <w:color w:val="auto"/>
        </w:rPr>
      </w:pPr>
    </w:p>
    <w:p>
      <w:pPr>
        <w:ind w:left="5" w:right="2779"/>
        <w:spacing w:after="0" w:line="272" w:lineRule="auto"/>
        <w:rPr>
          <w:sz w:val="20"/>
          <w:szCs w:val="20"/>
          <w:color w:val="auto"/>
        </w:rPr>
      </w:pPr>
      <w:r>
        <w:rPr>
          <w:rFonts w:ascii="Courier New" w:cs="Courier New" w:eastAsia="Courier New" w:hAnsi="Courier New"/>
          <w:sz w:val="14"/>
          <w:szCs w:val="14"/>
          <w:color w:val="auto"/>
        </w:rPr>
        <w:t>provided, however, that (i) no amendment, waiver or consent shall, unless in writing and signed by the affected Issuing Lender in addition to Required Lenders or each affected Lender, as the case may be, affect the rights or duties of such Issuing Lender, (ii) no amendment, waiver or consent shall, unless in writing and signed by Administrative Agent in addition to Required Lenders or each affected Lender, as the case may be, affect the rights or duties of Administrative Agent, (iii) any fee letters may be amended, or rights or privileges thereunder waived, in a writing executed by the parties thereto; (iv) any amendment, waiver, or consent to a Letter of Credit Application which is not inconsistent with Section 2.03 shall require only the written approval of the relevant Co-Borrower, Administrative Agent and the applicable Issuing Lender; and (v) without the written consent of all Lenders, no amendment, waiver or consent shall release (x) all or substantially all of Guarantors from their obligations under the Guarantee Agreement or (y) Borrower from its obligations under the Guarantee Agreement. Any amendment, modification, supplement, termination, waiver or consent pursuant to this Section shall apply equally to, and shall be binding upon, all Lenders and Administrative Agent.</w:t>
      </w:r>
    </w:p>
    <w:p>
      <w:pPr>
        <w:spacing w:after="0" w:line="200" w:lineRule="exact"/>
        <w:rPr>
          <w:sz w:val="20"/>
          <w:szCs w:val="20"/>
          <w:color w:val="auto"/>
        </w:rPr>
      </w:pPr>
    </w:p>
    <w:p>
      <w:pPr>
        <w:spacing w:after="0" w:line="318"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10.02 Requisite Notice; Effectiveness of Signatures and</w:t>
      </w:r>
    </w:p>
    <w:p>
      <w:pPr>
        <w:ind w:left="5"/>
        <w:spacing w:after="0" w:line="236" w:lineRule="auto"/>
        <w:rPr>
          <w:sz w:val="20"/>
          <w:szCs w:val="20"/>
          <w:color w:val="auto"/>
        </w:rPr>
      </w:pPr>
      <w:r>
        <w:rPr>
          <w:rFonts w:ascii="Courier New" w:cs="Courier New" w:eastAsia="Courier New" w:hAnsi="Courier New"/>
          <w:sz w:val="16"/>
          <w:szCs w:val="16"/>
          <w:color w:val="auto"/>
        </w:rPr>
        <w:t>Electronic Mail.</w:t>
      </w:r>
    </w:p>
    <w:p>
      <w:pPr>
        <w:spacing w:after="0" w:line="183" w:lineRule="exact"/>
        <w:rPr>
          <w:sz w:val="20"/>
          <w:szCs w:val="20"/>
          <w:color w:val="auto"/>
        </w:rPr>
      </w:pPr>
    </w:p>
    <w:p>
      <w:pPr>
        <w:ind w:left="5" w:right="2779" w:firstLine="1670"/>
        <w:spacing w:after="0" w:line="274" w:lineRule="auto"/>
        <w:tabs>
          <w:tab w:leader="none" w:pos="205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Requisite Notice. Notices given in connection with any Loan Document shall be delivered to the intended recipient at the number and/or address set forth on the Administrative Questionnaire (or as otherwise specified from time to time by such recipient in writing to Administrative Agent) and shall be given by (i) irrevocable written notice or (ii) except as otherwise provided, irrevocable telephonic (not voicemail) notice. Such notices may be delivered, must be confirmed and shall be effective as follows:</w:t>
      </w:r>
    </w:p>
    <w:p>
      <w:pPr>
        <w:spacing w:after="0" w:line="15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Mode of Delivery</w:t>
      </w:r>
    </w:p>
    <w:p>
      <w:pPr>
        <w:ind w:left="5"/>
        <w:spacing w:after="0" w:line="236" w:lineRule="auto"/>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4"/>
          </w:cols>
          <w:pgMar w:left="235" w:top="469" w:right="1440" w:bottom="1440" w:gutter="0" w:footer="0" w:header="0"/>
        </w:sectPr>
      </w:pPr>
    </w:p>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Mail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on earlier of actual receipt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fourth Business Day after deposit in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Mail, first class postage pre-paid</w:t>
      </w:r>
    </w:p>
    <w:p>
      <w:pPr>
        <w:spacing w:after="0" w:line="199" w:lineRule="exact"/>
        <w:rPr>
          <w:sz w:val="20"/>
          <w:szCs w:val="20"/>
          <w:color w:val="auto"/>
        </w:rPr>
      </w:pPr>
    </w:p>
    <w:p>
      <w:pPr>
        <w:sectPr>
          <w:pgSz w:w="11900" w:h="16838" w:orient="portrait"/>
          <w:cols w:equalWidth="0" w:num="2">
            <w:col w:w="3005" w:space="720"/>
            <w:col w:w="6499"/>
          </w:cols>
          <w:pgMar w:left="235" w:top="469"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Courier or hand delivery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When signed for by recipient</w:t>
      </w:r>
    </w:p>
    <w:p>
      <w:pPr>
        <w:spacing w:after="0" w:line="199" w:lineRule="exact"/>
        <w:rPr>
          <w:sz w:val="20"/>
          <w:szCs w:val="20"/>
          <w:color w:val="auto"/>
        </w:rPr>
      </w:pPr>
    </w:p>
    <w:p>
      <w:pPr>
        <w:sectPr>
          <w:pgSz w:w="11900" w:h="16838" w:orient="portrait"/>
          <w:cols w:equalWidth="0" w:num="2">
            <w:col w:w="3005" w:space="720"/>
            <w:col w:w="6499"/>
          </w:cols>
          <w:pgMar w:left="235" w:top="469"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Telephone (not voicemail)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When conversation completed (must be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confirmed in writing)</w:t>
      </w:r>
    </w:p>
    <w:p>
      <w:pPr>
        <w:spacing w:after="0" w:line="183" w:lineRule="exact"/>
        <w:rPr>
          <w:sz w:val="20"/>
          <w:szCs w:val="20"/>
          <w:color w:val="auto"/>
        </w:rPr>
      </w:pPr>
    </w:p>
    <w:p>
      <w:pPr>
        <w:sectPr>
          <w:pgSz w:w="11900" w:h="16838" w:orient="portrait"/>
          <w:cols w:equalWidth="0" w:num="2">
            <w:col w:w="3005" w:space="720"/>
            <w:col w:w="6499"/>
          </w:cols>
          <w:pgMar w:left="235" w:top="469"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When confirmed by telephone (not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voicemail)</w:t>
      </w:r>
    </w:p>
    <w:p>
      <w:pPr>
        <w:spacing w:after="0" w:line="183" w:lineRule="exact"/>
        <w:rPr>
          <w:sz w:val="20"/>
          <w:szCs w:val="20"/>
          <w:color w:val="auto"/>
        </w:rPr>
      </w:pPr>
    </w:p>
    <w:p>
      <w:pPr>
        <w:sectPr>
          <w:pgSz w:w="11900" w:h="16838" w:orient="portrait"/>
          <w:cols w:equalWidth="0" w:num="2">
            <w:col w:w="3005" w:space="720"/>
            <w:col w:w="6499"/>
          </w:cols>
          <w:pgMar w:left="235" w:top="469"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Electronic 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When delivered (usage subject to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subsection (c) below)</w:t>
      </w:r>
    </w:p>
    <w:p>
      <w:pPr>
        <w:spacing w:after="0" w:line="183" w:lineRule="exact"/>
        <w:rPr>
          <w:sz w:val="20"/>
          <w:szCs w:val="20"/>
          <w:color w:val="auto"/>
        </w:rPr>
      </w:pPr>
    </w:p>
    <w:p>
      <w:pPr>
        <w:sectPr>
          <w:pgSz w:w="11900" w:h="16838" w:orient="portrait"/>
          <w:cols w:equalWidth="0" w:num="2">
            <w:col w:w="3005" w:space="720"/>
            <w:col w:w="6499"/>
          </w:cols>
          <w:pgMar w:left="235" w:top="469" w:right="1440" w:bottom="1440" w:gutter="0" w:footer="0" w:header="0"/>
          <w:type w:val="continuous"/>
        </w:sectPr>
      </w:pPr>
    </w:p>
    <w:p>
      <w:pPr>
        <w:ind w:left="5" w:right="3059"/>
        <w:spacing w:after="0" w:line="235" w:lineRule="auto"/>
        <w:rPr>
          <w:sz w:val="20"/>
          <w:szCs w:val="20"/>
          <w:color w:val="auto"/>
        </w:rPr>
      </w:pPr>
      <w:r>
        <w:rPr>
          <w:rFonts w:ascii="Courier New" w:cs="Courier New" w:eastAsia="Courier New" w:hAnsi="Courier New"/>
          <w:sz w:val="16"/>
          <w:szCs w:val="16"/>
          <w:color w:val="auto"/>
        </w:rPr>
        <w:t>provided, however, that notices delivered to Administrative Agent pursuant to Section 2 shall not be effective until actually received by Administrative Agent;</w:t>
      </w:r>
    </w:p>
    <w:p>
      <w:pPr>
        <w:sectPr>
          <w:pgSz w:w="11900" w:h="16838" w:orient="portrait"/>
          <w:cols w:equalWidth="0" w:num="1">
            <w:col w:w="10224"/>
          </w:cols>
          <w:pgMar w:left="235" w:top="469" w:right="1440" w:bottom="1440" w:gutter="0" w:footer="0" w:header="0"/>
          <w:type w:val="continuous"/>
        </w:sectPr>
      </w:pPr>
    </w:p>
    <w:bookmarkStart w:id="82" w:name="page83"/>
    <w:bookmarkEnd w:id="82"/>
    <w:p>
      <w:pPr>
        <w:ind w:left="3620"/>
        <w:spacing w:after="0"/>
        <w:rPr>
          <w:sz w:val="20"/>
          <w:szCs w:val="20"/>
          <w:color w:val="auto"/>
        </w:rPr>
      </w:pPr>
      <w:r>
        <w:rPr>
          <w:rFonts w:ascii="Courier New" w:cs="Courier New" w:eastAsia="Courier New" w:hAnsi="Courier New"/>
          <w:sz w:val="16"/>
          <w:szCs w:val="16"/>
          <w:color w:val="auto"/>
        </w:rPr>
        <w:t>51</w:t>
      </w:r>
    </w:p>
    <w:p>
      <w:pPr>
        <w:spacing w:after="0" w:line="200" w:lineRule="exact"/>
        <w:rPr>
          <w:sz w:val="20"/>
          <w:szCs w:val="20"/>
          <w:color w:val="auto"/>
        </w:rPr>
      </w:pPr>
    </w:p>
    <w:p>
      <w:pPr>
        <w:spacing w:after="0" w:line="340"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provided, further, that Administrative Agent may require that any notice be confirmed or followed by a manually-signed hard copy thereof. Notices shall be in any form prescribed herein and, if sent by a Co-Borrower, shall be made by a Responsible Officer of such Co-Borrower. Notices delivered and, if required, confirmed in accordance with this subsection shall be deemed to have been delivered by Requisite Notice.</w:t>
      </w:r>
    </w:p>
    <w:p>
      <w:pPr>
        <w:spacing w:after="0" w:line="183" w:lineRule="exact"/>
        <w:rPr>
          <w:sz w:val="20"/>
          <w:szCs w:val="20"/>
          <w:color w:val="auto"/>
        </w:rPr>
      </w:pPr>
    </w:p>
    <w:p>
      <w:pPr>
        <w:ind w:right="2879" w:firstLine="1670"/>
        <w:spacing w:after="0" w:line="236" w:lineRule="auto"/>
        <w:tabs>
          <w:tab w:leader="none" w:pos="2047"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of Facsimile Documents and Signatures. Loan Documents may be transmitted and/or signed by facsimile. The effectiveness of any such documents and signatures shall, subject to applicable Law, have the same force and effect as manually-signed hard copies and shall be binding on each Co-Borrower, Administrative Agent and Lenders. Administrative Agent may also require that any such documents and signatures be confirmed by a manually-signed hard copy thereof; provided, however, that the failure to request or deliver the same shall not limit the effectiveness of any facsimile document or signature.</w:t>
      </w:r>
    </w:p>
    <w:p>
      <w:pPr>
        <w:spacing w:after="0" w:line="184" w:lineRule="exact"/>
        <w:rPr>
          <w:rFonts w:ascii="Courier New" w:cs="Courier New" w:eastAsia="Courier New" w:hAnsi="Courier New"/>
          <w:sz w:val="16"/>
          <w:szCs w:val="16"/>
          <w:color w:val="auto"/>
        </w:rPr>
      </w:pPr>
    </w:p>
    <w:p>
      <w:pPr>
        <w:ind w:right="2779" w:firstLine="1670"/>
        <w:spacing w:after="0" w:line="274" w:lineRule="auto"/>
        <w:tabs>
          <w:tab w:leader="none" w:pos="2047"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Usage of Electronic Mail. Electronic mail and internet and intranet websites may be used to distribute routine communications, such as financial statements and other information, and to distribute agreements and other documents to be signed by Administrative Agent, Lenders and Co-Borrowers. No other legally-binding and/or time-sensitive communication or Request for Extension of Credit may be sent by electronic mail without the consent of, or confirmation to, the intended recipient in each instance.</w:t>
      </w:r>
    </w:p>
    <w:p>
      <w:pPr>
        <w:spacing w:after="0" w:line="163" w:lineRule="exact"/>
        <w:rPr>
          <w:rFonts w:ascii="Courier New" w:cs="Courier New" w:eastAsia="Courier New" w:hAnsi="Courier New"/>
          <w:sz w:val="14"/>
          <w:szCs w:val="14"/>
          <w:color w:val="auto"/>
        </w:rPr>
      </w:pPr>
    </w:p>
    <w:p>
      <w:pPr>
        <w:ind w:right="2879" w:firstLine="1670"/>
        <w:spacing w:after="0" w:line="273" w:lineRule="auto"/>
        <w:tabs>
          <w:tab w:leader="none" w:pos="2047"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Reliance by Administrative Agent and Lenders. Administrative Agent and Lenders shall be entitled to rely and act upon any notices purportedly given by or on behalf of a Co-Borrower even if (i) such notices were not made in a manner specified herein, were incomplete or were not preceded or followed by any other notice specified herein, or (ii) the terms thereof, as understood by the recipient, varied from any confirmation thereof. Borrower shall indemnify Administrative Agent-Related Persons and Lenders from any loss, cost, expense or liability as a result of relying on any notices purportedly given by or on behalf of a Co-Borrower absent the gross negligence or willful misconduct of the Person seeking indemnification.</w:t>
      </w:r>
    </w:p>
    <w:p>
      <w:pPr>
        <w:spacing w:after="0" w:line="344" w:lineRule="exact"/>
        <w:rPr>
          <w:sz w:val="20"/>
          <w:szCs w:val="20"/>
          <w:color w:val="auto"/>
        </w:rPr>
      </w:pPr>
    </w:p>
    <w:p>
      <w:pPr>
        <w:ind w:right="2779" w:firstLine="1674"/>
        <w:spacing w:after="0" w:line="272" w:lineRule="auto"/>
        <w:rPr>
          <w:sz w:val="20"/>
          <w:szCs w:val="20"/>
          <w:color w:val="auto"/>
        </w:rPr>
      </w:pPr>
      <w:r>
        <w:rPr>
          <w:rFonts w:ascii="Courier New" w:cs="Courier New" w:eastAsia="Courier New" w:hAnsi="Courier New"/>
          <w:sz w:val="14"/>
          <w:szCs w:val="14"/>
          <w:color w:val="auto"/>
        </w:rPr>
        <w:t>10.03 Attorney Costs, Expenses and Taxes. Borrower agrees (a) to pay or reimburse Administrative Agent and Syndication Agent for all reasonable costs and expenses incurred in connection with the development, preparation, negotiation and execution of the Loan Documents, and to pay or reimburse Administrative Agent for all reasonable costs and expenses incurred in connection with the development, preparation, negotiation and execution of any amendment, waiver, consent, supplement or modification to, any Loan Documents, and any other documents prepared in connection herewith or therewith, and the consummation and administration of the transactions contemplated hereby and thereby, including all Attorney Costs of Administrative Agent and (b) to pay or reimburse Administrative Agent and each Lender for all costs and expenses incurred in connection with any restructuring, reorganization (including a bankruptcy reorganization) or enforcement or attempted enforcement of, or preservation of 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The agreements in this Section shall survive repayment of all Obligations.</w:t>
      </w:r>
    </w:p>
    <w:p>
      <w:pPr>
        <w:spacing w:after="0" w:line="33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10.04 Binding Effect; Assignment.</w:t>
      </w:r>
    </w:p>
    <w:p>
      <w:pPr>
        <w:spacing w:after="0" w:line="183" w:lineRule="exact"/>
        <w:rPr>
          <w:sz w:val="20"/>
          <w:szCs w:val="20"/>
          <w:color w:val="auto"/>
        </w:rPr>
      </w:pPr>
    </w:p>
    <w:p>
      <w:pPr>
        <w:ind w:right="2879" w:firstLine="1670"/>
        <w:spacing w:after="0" w:line="236" w:lineRule="auto"/>
        <w:tabs>
          <w:tab w:leader="none" w:pos="2047"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other Loan Documents to which Borrower is a party will be binding upon and inure to the benefit of Co-Borrowers, Administrative Agent, Lenders and their respective successors and assigns, except that, a Co-Borrower may not, except as permitted by Section 7.03, assign its rights hereunder or thereunder or any interest herein or therein without the prior written consent of all Lenders and any such attempted assignment shall be void. Any Lender may at any time</w:t>
      </w:r>
    </w:p>
    <w:p>
      <w:pPr>
        <w:sectPr>
          <w:pgSz w:w="11900" w:h="16838" w:orient="portrait"/>
          <w:cols w:equalWidth="0" w:num="1">
            <w:col w:w="10219"/>
          </w:cols>
          <w:pgMar w:left="240" w:top="469" w:right="1440" w:bottom="1440" w:gutter="0" w:footer="0" w:header="0"/>
        </w:sectPr>
      </w:pPr>
    </w:p>
    <w:bookmarkStart w:id="83" w:name="page84"/>
    <w:bookmarkEnd w:id="83"/>
    <w:p>
      <w:pPr>
        <w:ind w:left="3625"/>
        <w:spacing w:after="0"/>
        <w:rPr>
          <w:sz w:val="20"/>
          <w:szCs w:val="20"/>
          <w:color w:val="auto"/>
        </w:rPr>
      </w:pPr>
      <w:r>
        <w:rPr>
          <w:rFonts w:ascii="Courier New" w:cs="Courier New" w:eastAsia="Courier New" w:hAnsi="Courier New"/>
          <w:sz w:val="16"/>
          <w:szCs w:val="16"/>
          <w:color w:val="auto"/>
        </w:rPr>
        <w:t>52</w:t>
      </w:r>
    </w:p>
    <w:p>
      <w:pPr>
        <w:spacing w:after="0" w:line="200" w:lineRule="exact"/>
        <w:rPr>
          <w:sz w:val="20"/>
          <w:szCs w:val="20"/>
          <w:color w:val="auto"/>
        </w:rPr>
      </w:pPr>
    </w:p>
    <w:p>
      <w:pPr>
        <w:spacing w:after="0" w:line="340"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pledge a Note or any other instrument evidencing its rights as a Lender under this Agreement to a Federal Reserve Bank or, if such Lender is a fund, to any trustee or to any other representative of holders of obligations owed or securities issued by such fund as security for such obligations or securities, but no such pledge shall release such Lender from its obligations hereunder or grant to such Federal Reserve Bank or trust or other representative the rights of a Lender hereunder absent foreclosure of such pledge, and any transfer to any Person upon the enforcement of such pledge shall be subject to this Section 10.04.</w:t>
      </w:r>
    </w:p>
    <w:p>
      <w:pPr>
        <w:spacing w:after="0" w:line="185" w:lineRule="exact"/>
        <w:rPr>
          <w:sz w:val="20"/>
          <w:szCs w:val="20"/>
          <w:color w:val="auto"/>
        </w:rPr>
      </w:pPr>
    </w:p>
    <w:p>
      <w:pPr>
        <w:ind w:left="5" w:right="2779" w:firstLine="1670"/>
        <w:spacing w:after="0" w:line="270" w:lineRule="auto"/>
        <w:tabs>
          <w:tab w:leader="none" w:pos="2051"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following the date of this Agreement, each Lender may assign to one or more banks, financial institutions or other entities (with any such bank, financial institution or other entity that is not an Affiliate of the assigning Lender being required to have a combined capital and surplus of at least $250,000,000 (such qualifications being subject to waiver by Borrower and Administrative Agent)), all or any portion of its rights and obligations under this Agreement and the other Loan Documents; provided that</w:t>
      </w:r>
    </w:p>
    <w:p>
      <w:pPr>
        <w:spacing w:after="0" w:line="3" w:lineRule="exact"/>
        <w:rPr>
          <w:rFonts w:ascii="Courier New" w:cs="Courier New" w:eastAsia="Courier New" w:hAnsi="Courier New"/>
          <w:sz w:val="14"/>
          <w:szCs w:val="14"/>
          <w:color w:val="auto"/>
        </w:rPr>
      </w:pPr>
    </w:p>
    <w:p>
      <w:pPr>
        <w:ind w:left="5" w:right="2779" w:hanging="5"/>
        <w:spacing w:after="0" w:line="271" w:lineRule="auto"/>
        <w:tabs>
          <w:tab w:leader="none" w:pos="37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assignment, if not to a Lender or an Affiliate of a Lender, shall be consented to (which consents shall not be unreasonably withheld) by Borrower at all times other than during the existence of an Event of Default and by Administrative Agent, (ii) a copy of a duly signed and completed Assignment and Acceptance shall be delivered to Administrative Agent, (iii) except in the case of an assignment (A) to an Affiliate of a Lender or to another Lender or (B) of the entire remaining Revolving Commitment of the assigning Lender, such assignment shall be in an aggregate principal amount not less than the Minimum Amount therefor, and (iv) the effective date of any such assignment shall be as specified in the Assignment and Acceptance, but not earlier than the date which is five Business Days after the date Administrative Agent has received the Assignment and Acceptance. Upon obtaining any consent required as set forth in the prior sentence, any forms required by Section 10.20 and payment of the requisite fee described below, the assignee named therein shall be a Lender for all purposes of this Agreement to the extent of the Assigned Interest (as defined in such Assignment and Acceptance), and, except for rights and obligations which by their terms survive termination of any Revolving Commitments, the assigning Lender shall be released from any further obligations under this Agreement to the extent of such Assigned Interest. Upon request, Co-Borrowers shall execute and deliver new or replacement Notes to the assigning Lender and the assignee Lender to evidence Loans made by them. Administrative Agent's consent to any assignment shall not be deemed to constitute any representation or warranty by any Administrative Agent-Related Person as to any matter. Administrative Agent shall record the information contained in the Assignment and Acceptance in the Register.</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1" w:lineRule="exact"/>
        <w:rPr>
          <w:rFonts w:ascii="Courier New" w:cs="Courier New" w:eastAsia="Courier New" w:hAnsi="Courier New"/>
          <w:sz w:val="14"/>
          <w:szCs w:val="14"/>
          <w:color w:val="auto"/>
        </w:rPr>
      </w:pPr>
    </w:p>
    <w:p>
      <w:pPr>
        <w:ind w:left="5" w:right="2959" w:firstLine="1670"/>
        <w:spacing w:after="0" w:line="236" w:lineRule="auto"/>
        <w:tabs>
          <w:tab w:leader="none" w:pos="2051"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receipt of a completed Assignment and Acceptance, and receipt of an assignment fee of $3,500 from such assignee and/or such assigning Lender (including in the case of assignments to Affiliates of assigning Lenders), Administrative Agent shall promptly accept such Assignment and Acceptance and record the information contained therein in the Register on the effective date determined pursuant thereto.</w:t>
      </w:r>
    </w:p>
    <w:p>
      <w:pPr>
        <w:spacing w:after="0" w:line="182" w:lineRule="exact"/>
        <w:rPr>
          <w:rFonts w:ascii="Courier New" w:cs="Courier New" w:eastAsia="Courier New" w:hAnsi="Courier New"/>
          <w:sz w:val="16"/>
          <w:szCs w:val="16"/>
          <w:color w:val="auto"/>
        </w:rPr>
      </w:pPr>
    </w:p>
    <w:p>
      <w:pPr>
        <w:ind w:left="5" w:right="2779" w:firstLine="1670"/>
        <w:spacing w:after="0" w:line="270" w:lineRule="auto"/>
        <w:tabs>
          <w:tab w:leader="none" w:pos="2051"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from time to time, without the consent of any other Person, grant participations to one or more other Persons (including another Lender) in all or any portion of its Revolving Commitments, Extensions of Credit or any other interest of such Lender hereunder and under the other Loan Documents; provided, however, that (i) such Lender's obligations under this Agreement shall remain unchanged, (ii) such Lender shall remain solely responsible to the other parties hereto for the performance of such obligations,</w:t>
      </w:r>
    </w:p>
    <w:p>
      <w:pPr>
        <w:spacing w:after="0" w:line="3" w:lineRule="exact"/>
        <w:rPr>
          <w:rFonts w:ascii="Courier New" w:cs="Courier New" w:eastAsia="Courier New" w:hAnsi="Courier New"/>
          <w:sz w:val="14"/>
          <w:szCs w:val="14"/>
          <w:color w:val="auto"/>
        </w:rPr>
      </w:pPr>
    </w:p>
    <w:p>
      <w:pPr>
        <w:ind w:left="5" w:right="2779" w:hanging="5"/>
        <w:spacing w:after="0" w:line="236" w:lineRule="auto"/>
        <w:tabs>
          <w:tab w:leader="none" w:pos="563"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participating bank or other financial institution shall not be a Lender hereunder for any purpose except, if the participation agreement so provides, for the purposes of the increased cost provisions of Section 3 (but only to the extent that the cost of such benefits to Borrower does not exceed the cost which Borrower would have incurred in respect of such Lender absent the participation) and for purposes of Section 10.06, (iv) Borrower, Administrative Agent and the other Lenders shall continue to deal solely and directly with such Lender in connection with such Lender's rights and obligations under this Agreement, and (v) the consent of the holder of such participation interest shall not be required for amendments or waivers of provisions of the Loan Documents; provided,</w:t>
      </w:r>
    </w:p>
    <w:p>
      <w:pPr>
        <w:sectPr>
          <w:pgSz w:w="11900" w:h="16838" w:orient="portrait"/>
          <w:cols w:equalWidth="0" w:num="1">
            <w:col w:w="10224"/>
          </w:cols>
          <w:pgMar w:left="235" w:top="469" w:right="1440" w:bottom="1440" w:gutter="0" w:footer="0" w:header="0"/>
        </w:sectPr>
      </w:pPr>
    </w:p>
    <w:bookmarkStart w:id="84" w:name="page85"/>
    <w:bookmarkEnd w:id="84"/>
    <w:p>
      <w:pPr>
        <w:ind w:left="3620"/>
        <w:spacing w:after="0"/>
        <w:rPr>
          <w:sz w:val="20"/>
          <w:szCs w:val="20"/>
          <w:color w:val="auto"/>
        </w:rPr>
      </w:pPr>
      <w:r>
        <w:rPr>
          <w:rFonts w:ascii="Courier New" w:cs="Courier New" w:eastAsia="Courier New" w:hAnsi="Courier New"/>
          <w:sz w:val="16"/>
          <w:szCs w:val="16"/>
          <w:color w:val="auto"/>
        </w:rPr>
        <w:t>53</w:t>
      </w:r>
    </w:p>
    <w:p>
      <w:pPr>
        <w:spacing w:after="0" w:line="200" w:lineRule="exact"/>
        <w:rPr>
          <w:sz w:val="20"/>
          <w:szCs w:val="20"/>
          <w:color w:val="auto"/>
        </w:rPr>
      </w:pPr>
    </w:p>
    <w:p>
      <w:pPr>
        <w:spacing w:after="0" w:line="340"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however, that the assigning Lender may, in any agreement with a participant, give such participant the right to consent (as between the assigning Lender and such participant) to any matter which (A) extends the Revolving Termination Date as to such participant or any other date upon which any payment of money is due to such participant, (B) reduces the rate of interest owing to such participant or any fee or any other monetary amount owing to such participant, or (C) reduces the amount of any scheduled payment of principal owing to such participant. Any Lender that sells a participation to any Person that is a "foreign corporation, partnership or trust" within the meaning of the Code shall include in its participation agreement with such Person a covenant by such Person that such Person will comply with the provisions of Section 10.20 as if such Person were a Lender and provide that Administrative Agent and Borrower shall be third party beneficiaries of such covenant. Each Lender that sells or grants a participation shall (a) withhold or deduct from each payment to the holder of such participation the amount of any tax required under applicable law to be withheld or deducted from such payment and not withheld or deducted therefrom by Borrower or Administrative Agent, (b) pay the tax so withheld or deducted by it to the appropriate taxing authority in accordance with applicable law and (c) indemnify Borrower and Administrative Agent for any losses, cost and expenses that they may incur as a result of any failure to so withhold or deduct and pay such tax.</w:t>
      </w:r>
    </w:p>
    <w:p>
      <w:pPr>
        <w:spacing w:after="0" w:line="19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10.05 Set-off. In addition to any rights and remedies of Administrative Agent and Lenders or any assignee of any Lender or any Affiliate thereof (each, a "Proceeding Party") provided by law, upon the occurrence and during the continuance of any Event of Default, each Proceeding Party is authorized at any time and from time to time, without prior notice to Co-Borrowers, any such notice being waived by Co-Borrowers to the fullest extent permitted by law, to proceed directly, by right of set-off, banker's lien or otherwise, against any assets of the Co-Borrowers which may be in the hands of such Proceeding Party (including all general or special, time or demand, provisional or other deposits and other indebtedness owing by such Proceeding Party to or for the credit or the account of the Co-Borrowers) and apply such assets against the Obligations then due and payable, irrespective of whether such Proceeding Party shall have made any demand therefor. Each Lender agrees promptly to notify the Co-Borrower and Administrative Agent after any such set-off and application made by such Lender; provided, however, that the failure to give such notice shall not affect the validity of such set-off and application.</w:t>
      </w:r>
    </w:p>
    <w:p>
      <w:pPr>
        <w:spacing w:after="0" w:line="190" w:lineRule="exact"/>
        <w:rPr>
          <w:sz w:val="20"/>
          <w:szCs w:val="20"/>
          <w:color w:val="auto"/>
        </w:rPr>
      </w:pPr>
    </w:p>
    <w:p>
      <w:pPr>
        <w:ind w:right="2779" w:firstLine="1674"/>
        <w:spacing w:after="0" w:line="271" w:lineRule="auto"/>
        <w:rPr>
          <w:sz w:val="20"/>
          <w:szCs w:val="20"/>
          <w:color w:val="auto"/>
        </w:rPr>
      </w:pPr>
      <w:r>
        <w:rPr>
          <w:rFonts w:ascii="Courier New" w:cs="Courier New" w:eastAsia="Courier New" w:hAnsi="Courier New"/>
          <w:sz w:val="14"/>
          <w:szCs w:val="14"/>
          <w:color w:val="auto"/>
        </w:rPr>
        <w:t>10.06 Sharing of Payments. Each Lender severally agrees that if it, through the exercise of any right of setoff, banker's lien or counterclaim against a Co-Borrower or otherwise, receives payment of the Obligations held by it that is ratably more than any other Lender receives in payment of the Obligations held by such other Lender, then, subject to applicable Laws, (a) such Lender exercising the right of setoff, banker's lien or counterclaim or otherwise receiving such payment shall purchase, and shall be deemed to have simultaneously purchased, from the other Lender a participation in the Obligations held by the other Lender and shall pay to the other Lender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Lenders share any payment obtained in respect of the Obligations ratably in accordance with each Lender's share of the Obligations immediately prior to, and without taking into account, the payment; provided that, if all or any portion of a disproportionate payment obtained as a result of the exercise of the right of setoff, banker's lien, counterclaim or otherwise is thereafter recovered from the purchasing Lender by a Co-Borrower or any Person claiming through or succeeding to the rights of a Co-Borrower, the purchase of a participation shall be rescinded and the purchase price thereof shall be restored to the extent of the recovery, but without interest. Each Lender that purchases a 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w:t>
      </w:r>
    </w:p>
    <w:p>
      <w:pPr>
        <w:sectPr>
          <w:pgSz w:w="11900" w:h="16838" w:orient="portrait"/>
          <w:cols w:equalWidth="0" w:num="1">
            <w:col w:w="10219"/>
          </w:cols>
          <w:pgMar w:left="240" w:top="469" w:right="1440" w:bottom="1440" w:gutter="0" w:footer="0" w:header="0"/>
        </w:sectPr>
      </w:pPr>
    </w:p>
    <w:bookmarkStart w:id="85" w:name="page86"/>
    <w:bookmarkEnd w:id="85"/>
    <w:p>
      <w:pPr>
        <w:ind w:left="3620"/>
        <w:spacing w:after="0"/>
        <w:rPr>
          <w:sz w:val="20"/>
          <w:szCs w:val="20"/>
          <w:color w:val="auto"/>
        </w:rPr>
      </w:pPr>
      <w:r>
        <w:rPr>
          <w:rFonts w:ascii="Courier New" w:cs="Courier New" w:eastAsia="Courier New" w:hAnsi="Courier New"/>
          <w:sz w:val="16"/>
          <w:szCs w:val="16"/>
          <w:color w:val="auto"/>
        </w:rPr>
        <w:t>54</w:t>
      </w:r>
    </w:p>
    <w:p>
      <w:pPr>
        <w:spacing w:after="0" w:line="200" w:lineRule="exact"/>
        <w:rPr>
          <w:sz w:val="20"/>
          <w:szCs w:val="20"/>
          <w:color w:val="auto"/>
        </w:rPr>
      </w:pPr>
    </w:p>
    <w:p>
      <w:pPr>
        <w:spacing w:after="0" w:line="340"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purchased. Each Co-Borrower expressly consents to the foregoing arrangements and agrees that 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180"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10.07 No Waiver; Cumulative Remedies.</w:t>
      </w:r>
    </w:p>
    <w:p>
      <w:pPr>
        <w:spacing w:after="0" w:line="183" w:lineRule="exact"/>
        <w:rPr>
          <w:sz w:val="20"/>
          <w:szCs w:val="20"/>
          <w:color w:val="auto"/>
        </w:rPr>
      </w:pPr>
    </w:p>
    <w:p>
      <w:pPr>
        <w:ind w:right="2779" w:firstLine="1670"/>
        <w:spacing w:after="0" w:line="236" w:lineRule="auto"/>
        <w:tabs>
          <w:tab w:leader="none" w:pos="204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spacing w:after="0" w:line="182"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remedies, powers and privileges herein or therein provided are cumulative and not exclusive of any rights, remedies, powers and privileges provided by Law. Any decision by Administrative Agent or any Lender not to require payment of any interest (including interest at the Default Rate), fee, cost or other amount payable under any Loan Document or to calculate any amount payable by a particular method on any occasion shall in no way limit or be deemed a waiver of Administrative Agent's or such Lender's right to require full payment thereof, or to calculate an amount payable by another method that is not inconsistent with this Agreement, on any other or subsequent occasion.</w:t>
      </w:r>
    </w:p>
    <w:p>
      <w:pPr>
        <w:spacing w:after="0" w:line="185" w:lineRule="exact"/>
        <w:rPr>
          <w:rFonts w:ascii="Courier New" w:cs="Courier New" w:eastAsia="Courier New" w:hAnsi="Courier New"/>
          <w:sz w:val="16"/>
          <w:szCs w:val="16"/>
          <w:color w:val="auto"/>
        </w:rPr>
      </w:pPr>
    </w:p>
    <w:p>
      <w:pPr>
        <w:ind w:right="3239" w:firstLine="1670"/>
        <w:spacing w:after="0" w:line="295" w:lineRule="auto"/>
        <w:tabs>
          <w:tab w:leader="none" w:pos="204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Section 9.09, the terms and conditions of Section 9 are for the sole benefit of the Agents and Lenders.</w:t>
      </w:r>
    </w:p>
    <w:p>
      <w:pPr>
        <w:spacing w:after="0" w:line="147" w:lineRule="exact"/>
        <w:rPr>
          <w:sz w:val="20"/>
          <w:szCs w:val="20"/>
          <w:color w:val="auto"/>
        </w:rPr>
      </w:pPr>
    </w:p>
    <w:p>
      <w:pPr>
        <w:ind w:right="2779" w:firstLine="1674"/>
        <w:spacing w:after="0" w:line="272" w:lineRule="auto"/>
        <w:rPr>
          <w:sz w:val="20"/>
          <w:szCs w:val="20"/>
          <w:color w:val="auto"/>
        </w:rPr>
      </w:pPr>
      <w:r>
        <w:rPr>
          <w:rFonts w:ascii="Courier New" w:cs="Courier New" w:eastAsia="Courier New" w:hAnsi="Courier New"/>
          <w:sz w:val="14"/>
          <w:szCs w:val="14"/>
          <w:color w:val="auto"/>
        </w:rPr>
        <w:t>10.08 Usury.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excessive interest shall be applied to the principal of the Outstanding Revolving Obligations or, if it exceeds the unpaid principal, refunded to the applicable Co-Borrower.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347" w:lineRule="exact"/>
        <w:rPr>
          <w:sz w:val="20"/>
          <w:szCs w:val="20"/>
          <w:color w:val="auto"/>
        </w:rPr>
      </w:pPr>
    </w:p>
    <w:p>
      <w:pPr>
        <w:jc w:val="both"/>
        <w:ind w:right="2959" w:firstLine="1674"/>
        <w:spacing w:after="0" w:line="235" w:lineRule="auto"/>
        <w:rPr>
          <w:sz w:val="20"/>
          <w:szCs w:val="20"/>
          <w:color w:val="auto"/>
        </w:rPr>
      </w:pPr>
      <w:r>
        <w:rPr>
          <w:rFonts w:ascii="Courier New" w:cs="Courier New" w:eastAsia="Courier New" w:hAnsi="Courier New"/>
          <w:sz w:val="16"/>
          <w:szCs w:val="16"/>
          <w:color w:val="auto"/>
        </w:rPr>
        <w:t>10.09 Counterparts. This Agreement may be executed in one or more counterparts, each of which shall be deemed an original, but all of which together shall constitute one and the same instrument.</w:t>
      </w:r>
    </w:p>
    <w:p>
      <w:pPr>
        <w:spacing w:after="0" w:line="183" w:lineRule="exact"/>
        <w:rPr>
          <w:sz w:val="20"/>
          <w:szCs w:val="20"/>
          <w:color w:val="auto"/>
        </w:rPr>
      </w:pPr>
    </w:p>
    <w:p>
      <w:pPr>
        <w:ind w:right="2779" w:firstLine="1674"/>
        <w:spacing w:after="0" w:line="273" w:lineRule="auto"/>
        <w:rPr>
          <w:sz w:val="20"/>
          <w:szCs w:val="20"/>
          <w:color w:val="auto"/>
        </w:rPr>
      </w:pPr>
      <w:r>
        <w:rPr>
          <w:rFonts w:ascii="Courier New" w:cs="Courier New" w:eastAsia="Courier New" w:hAnsi="Courier New"/>
          <w:sz w:val="14"/>
          <w:szCs w:val="14"/>
          <w:color w:val="auto"/>
        </w:rPr>
        <w:t>10.10 Integration. This Agreement, together with the other Loan Documents and any letter agreements referred to herein, comprises the complete and integrated agreement of the parties regarding the subject matter hereof and supersedes all prior agreements, written or oral, on the subject matter hereof. In the event of any conflict between the provisions of this Agreement and those of any other Loan Document, the provisions of this Agreement shall control and govern; provided that the inclusion of supplemental rights or remedies in favor of Administrative Agent or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THE LOAN DOCUMENTS REPRESENT THE FINAL AGREEMENT BETWEEN THE PARTIES THERETO AND MAY NOT</w:t>
      </w:r>
    </w:p>
    <w:p>
      <w:pPr>
        <w:sectPr>
          <w:pgSz w:w="11900" w:h="16838" w:orient="portrait"/>
          <w:cols w:equalWidth="0" w:num="1">
            <w:col w:w="10219"/>
          </w:cols>
          <w:pgMar w:left="240" w:top="469" w:right="1440" w:bottom="1440" w:gutter="0" w:footer="0" w:header="0"/>
        </w:sectPr>
      </w:pPr>
    </w:p>
    <w:bookmarkStart w:id="86" w:name="page87"/>
    <w:bookmarkEnd w:id="86"/>
    <w:p>
      <w:pPr>
        <w:ind w:left="3625"/>
        <w:spacing w:after="0"/>
        <w:rPr>
          <w:sz w:val="20"/>
          <w:szCs w:val="20"/>
          <w:color w:val="auto"/>
        </w:rPr>
      </w:pPr>
      <w:r>
        <w:rPr>
          <w:rFonts w:ascii="Courier New" w:cs="Courier New" w:eastAsia="Courier New" w:hAnsi="Courier New"/>
          <w:sz w:val="16"/>
          <w:szCs w:val="16"/>
          <w:color w:val="auto"/>
        </w:rPr>
        <w:t>55</w:t>
      </w:r>
    </w:p>
    <w:p>
      <w:pPr>
        <w:spacing w:after="0" w:line="200" w:lineRule="exact"/>
        <w:rPr>
          <w:sz w:val="20"/>
          <w:szCs w:val="20"/>
          <w:color w:val="auto"/>
        </w:rPr>
      </w:pPr>
    </w:p>
    <w:p>
      <w:pPr>
        <w:spacing w:after="0" w:line="340"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BE CONTRADICTED BY EVIDENCE OF PRIOR, CONTEMPORANEOUS, OR SUBSEQUENT ORAL AGREEMENTS BY SUCH PARTIES. THERE ARE NO UNWRITTEN ORAL AGREEMENTS BETWEEN SUCH PARTIES.</w:t>
      </w:r>
    </w:p>
    <w:p>
      <w:pPr>
        <w:spacing w:after="0" w:line="183" w:lineRule="exact"/>
        <w:rPr>
          <w:sz w:val="20"/>
          <w:szCs w:val="20"/>
          <w:color w:val="auto"/>
        </w:rPr>
      </w:pPr>
    </w:p>
    <w:p>
      <w:pPr>
        <w:ind w:left="5" w:right="2779" w:firstLine="1674"/>
        <w:spacing w:after="0" w:line="274" w:lineRule="auto"/>
        <w:rPr>
          <w:sz w:val="20"/>
          <w:szCs w:val="20"/>
          <w:color w:val="auto"/>
        </w:rPr>
      </w:pPr>
      <w:r>
        <w:rPr>
          <w:rFonts w:ascii="Courier New" w:cs="Courier New" w:eastAsia="Courier New" w:hAnsi="Courier New"/>
          <w:sz w:val="14"/>
          <w:szCs w:val="14"/>
          <w:color w:val="auto"/>
        </w:rPr>
        <w:t>10.11 Nature of Lenders' Obligations. Nothing contained in this Agreement or any other Loan Document and no action taken by Administrative Agent or Lenders or any of them pursuant hereto or thereto may, or may be deemed to, make Lenders a partnership, an association, a joint venture or other entity, either among themselves or with Borrower or any Subsidiary or Affiliate of Borrower. Each Lender's obligation to make any Extension of Credit pursuant hereto is several and not joint or joint and several. A default by any Lender will not increase the Revolving Commitments attributable to any other Lender.</w:t>
      </w:r>
    </w:p>
    <w:p>
      <w:pPr>
        <w:spacing w:after="0" w:line="162" w:lineRule="exact"/>
        <w:rPr>
          <w:sz w:val="20"/>
          <w:szCs w:val="20"/>
          <w:color w:val="auto"/>
        </w:rPr>
      </w:pPr>
    </w:p>
    <w:p>
      <w:pPr>
        <w:ind w:left="5" w:right="3059" w:firstLine="1674"/>
        <w:spacing w:after="0" w:line="236" w:lineRule="auto"/>
        <w:rPr>
          <w:sz w:val="20"/>
          <w:szCs w:val="20"/>
          <w:color w:val="auto"/>
        </w:rPr>
      </w:pPr>
      <w:r>
        <w:rPr>
          <w:rFonts w:ascii="Courier New" w:cs="Courier New" w:eastAsia="Courier New" w:hAnsi="Courier New"/>
          <w:sz w:val="16"/>
          <w:szCs w:val="16"/>
          <w:color w:val="auto"/>
        </w:rPr>
        <w:t>10.12 Survival of Representations and Warranties. All representations and warranties made hereunder and in any other Loan Document shall survive the execution and delivery thereof. Such representations and warranties have been or will be relied upon by Administrative Agent and each Lender, notwithstanding any investigation made by Administrative Agent or any Lender or on their behalf.</w:t>
      </w:r>
    </w:p>
    <w:p>
      <w:pPr>
        <w:spacing w:after="0" w:line="183" w:lineRule="exact"/>
        <w:rPr>
          <w:sz w:val="20"/>
          <w:szCs w:val="20"/>
          <w:color w:val="auto"/>
        </w:rPr>
      </w:pPr>
    </w:p>
    <w:p>
      <w:pPr>
        <w:ind w:left="5" w:right="2779" w:firstLine="1674"/>
        <w:spacing w:after="0" w:line="272" w:lineRule="auto"/>
        <w:rPr>
          <w:sz w:val="20"/>
          <w:szCs w:val="20"/>
          <w:color w:val="auto"/>
        </w:rPr>
      </w:pPr>
      <w:r>
        <w:rPr>
          <w:rFonts w:ascii="Courier New" w:cs="Courier New" w:eastAsia="Courier New" w:hAnsi="Courier New"/>
          <w:sz w:val="14"/>
          <w:szCs w:val="14"/>
          <w:color w:val="auto"/>
        </w:rPr>
        <w:t>10.13 Indemnity by Co-Borrowers. Whether or not the transactions contemplated hereby are consummated, the Co-Borrowers jointly and severally agree to indemnify, save and hold harmless each Administrative Agent-Related Person and each Lender and their respective Affiliates, directors, officers, agents, attorneys and employees (collectively the "Indemnitees") from and against: (i) any and all claims, demands, actions or causes of action that are asserted against any Indemnitee by any Person (other than Administrative Agent or any Lender) relating directly or indirectly to a claim, demand, action or cause of action that such Person asserts or may assert against a Co-Borrower, any of its Affiliates or any of its officers or directors; (ii) any and all claims, demands, actions or causes of action arising out of or relating to the Loan Documents, the Revolving Commitments, the use or contemplated use of the proceeds of any Extension of Credit, or the relationship of the Co-Borrowers, Administrative Agent and Lenders under this Agreement; (iii) any administrative or investigative proceeding by any Governmental Authority arising out of or related to a claim, demand, action or cause of action described in subsection</w:t>
      </w:r>
    </w:p>
    <w:p>
      <w:pPr>
        <w:spacing w:after="0" w:line="166" w:lineRule="exact"/>
        <w:rPr>
          <w:sz w:val="20"/>
          <w:szCs w:val="20"/>
          <w:color w:val="auto"/>
        </w:rPr>
      </w:pPr>
    </w:p>
    <w:p>
      <w:pPr>
        <w:ind w:left="5" w:right="2779" w:hanging="5"/>
        <w:spacing w:after="0" w:line="236" w:lineRule="auto"/>
        <w:tabs>
          <w:tab w:leader="none" w:pos="377"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(ii) above; and (iv) any and all liabilities (including liabilities under indemnities), losses, costs or expenses (including Attorney Costs (limited to one law firm for Lenders unless Lenders have differing interests or defenses that preclude the engagement of one law firm to represent Lenders))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including settlement costs incurred with the prior written consent of Borrower (which consent shall not be unreasonably withheld), whether or not arising out of the negligence of an Indemnitee, and whether or not an Indemnitee is a party to such claim, demand, action, cause of action or proceeding (all the foregoing, collectively, the "Indemnified Liabilities"); provided that no Indemnitee shall be entitled to indemnification for any loss caused by its own gross negligence or willful misconduct. The agreements in this Section shall survive repayment of all Obligations. 10.14 Nonliability of Lenders. Each Co-Borrower acknowledges and agrees that:</w:t>
      </w:r>
    </w:p>
    <w:p>
      <w:pPr>
        <w:spacing w:after="0" w:line="190" w:lineRule="exact"/>
        <w:rPr>
          <w:rFonts w:ascii="Courier New" w:cs="Courier New" w:eastAsia="Courier New" w:hAnsi="Courier New"/>
          <w:sz w:val="16"/>
          <w:szCs w:val="16"/>
          <w:color w:val="auto"/>
        </w:rPr>
      </w:pPr>
    </w:p>
    <w:p>
      <w:pPr>
        <w:jc w:val="both"/>
        <w:ind w:left="5" w:right="2779" w:firstLine="1670"/>
        <w:spacing w:after="0" w:line="279" w:lineRule="auto"/>
        <w:tabs>
          <w:tab w:leader="none" w:pos="2051"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inspections of any property of any Co-Borrower made by or through Administrative Agent or Lenders are for purposes of administration of the Loan Documents only, and neither Co-Borrower is entitled to rely upon the same (whether or not such inspections are at the expense of a Co-Borrower);</w:t>
      </w:r>
    </w:p>
    <w:p>
      <w:pPr>
        <w:sectPr>
          <w:pgSz w:w="11900" w:h="16838" w:orient="portrait"/>
          <w:cols w:equalWidth="0" w:num="1">
            <w:col w:w="10224"/>
          </w:cols>
          <w:pgMar w:left="235" w:top="469" w:right="1440" w:bottom="1440" w:gutter="0" w:footer="0" w:header="0"/>
        </w:sectPr>
      </w:pPr>
    </w:p>
    <w:bookmarkStart w:id="87" w:name="page88"/>
    <w:bookmarkEnd w:id="87"/>
    <w:p>
      <w:pPr>
        <w:ind w:left="3620"/>
        <w:spacing w:after="0"/>
        <w:rPr>
          <w:sz w:val="20"/>
          <w:szCs w:val="20"/>
          <w:color w:val="auto"/>
        </w:rPr>
      </w:pPr>
      <w:r>
        <w:rPr>
          <w:rFonts w:ascii="Courier New" w:cs="Courier New" w:eastAsia="Courier New" w:hAnsi="Courier New"/>
          <w:sz w:val="16"/>
          <w:szCs w:val="16"/>
          <w:color w:val="auto"/>
        </w:rPr>
        <w:t>56</w:t>
      </w:r>
    </w:p>
    <w:p>
      <w:pPr>
        <w:spacing w:after="0" w:line="200" w:lineRule="exact"/>
        <w:rPr>
          <w:sz w:val="20"/>
          <w:szCs w:val="20"/>
          <w:color w:val="auto"/>
        </w:rPr>
      </w:pPr>
    </w:p>
    <w:p>
      <w:pPr>
        <w:spacing w:after="0" w:line="340" w:lineRule="exact"/>
        <w:rPr>
          <w:sz w:val="20"/>
          <w:szCs w:val="20"/>
          <w:color w:val="auto"/>
        </w:rPr>
      </w:pPr>
    </w:p>
    <w:p>
      <w:pPr>
        <w:ind w:right="2879" w:firstLine="1670"/>
        <w:spacing w:after="0" w:line="236" w:lineRule="auto"/>
        <w:tabs>
          <w:tab w:leader="none" w:pos="2047"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84" w:lineRule="exact"/>
        <w:rPr>
          <w:rFonts w:ascii="Courier New" w:cs="Courier New" w:eastAsia="Courier New" w:hAnsi="Courier New"/>
          <w:sz w:val="16"/>
          <w:szCs w:val="16"/>
          <w:color w:val="auto"/>
        </w:rPr>
      </w:pPr>
    </w:p>
    <w:p>
      <w:pPr>
        <w:ind w:right="2779" w:firstLine="1670"/>
        <w:spacing w:after="0" w:line="272" w:lineRule="auto"/>
        <w:tabs>
          <w:tab w:leader="none" w:pos="2047"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relationship between the Co-Borrowers and Administrative Agent and Lenders is, and shall at all times remain, solely that of borrower and lenders; neither Administrative Agent nor any Lender shall under any circumstance be deemed to be in a relationship of confidence or trust or a fiduciary relationship with Borrower or its Affiliates, or to owe any fiduciary duty to Borrower or its Affiliates; neither Administrative Agent nor any Lender undertakes or assumes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Administrative Agent or any Lender in connection with such matters is solely for the protection of Administrative Agent and Lenders and neither Borrower nor any other Person is entitled to rely thereon; and</w:t>
      </w:r>
    </w:p>
    <w:p>
      <w:pPr>
        <w:spacing w:after="0" w:line="345" w:lineRule="exact"/>
        <w:rPr>
          <w:rFonts w:ascii="Courier New" w:cs="Courier New" w:eastAsia="Courier New" w:hAnsi="Courier New"/>
          <w:sz w:val="14"/>
          <w:szCs w:val="14"/>
          <w:color w:val="auto"/>
        </w:rPr>
      </w:pPr>
    </w:p>
    <w:p>
      <w:pPr>
        <w:ind w:right="2879" w:firstLine="1670"/>
        <w:spacing w:after="0" w:line="236" w:lineRule="auto"/>
        <w:tabs>
          <w:tab w:leader="none" w:pos="2047"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Administrative Agent nor any Lender shall be responsible or liable to any Person for any loss, damage, liability or claim of any kind relating to injury or death to Persons or damage to property caused by the actions, inaction or negligence of Borrower and/or its Affiliates and Borrower hereby indemnifies and holds Administrative Agent and Lenders harmless from any such loss, damage, liability or claim.</w:t>
      </w:r>
    </w:p>
    <w:p>
      <w:pPr>
        <w:spacing w:after="0" w:line="183" w:lineRule="exact"/>
        <w:rPr>
          <w:sz w:val="20"/>
          <w:szCs w:val="20"/>
          <w:color w:val="auto"/>
        </w:rPr>
      </w:pPr>
    </w:p>
    <w:p>
      <w:pPr>
        <w:ind w:right="2779" w:firstLine="1674"/>
        <w:spacing w:after="0" w:line="274" w:lineRule="auto"/>
        <w:rPr>
          <w:sz w:val="20"/>
          <w:szCs w:val="20"/>
          <w:color w:val="auto"/>
        </w:rPr>
      </w:pPr>
      <w:r>
        <w:rPr>
          <w:rFonts w:ascii="Courier New" w:cs="Courier New" w:eastAsia="Courier New" w:hAnsi="Courier New"/>
          <w:sz w:val="14"/>
          <w:szCs w:val="14"/>
          <w:color w:val="auto"/>
        </w:rPr>
        <w:t>10.15 No Third Parties Benefitted. This Agreement is made for the purpose of defining and setting forth certain obligations, rights and duties of the Co-Borrowers, Administrative Agent and Lenders in connection with the Extensions of Credit, and is made for the sole benefit of the Co-Borrowers, Administrative Agent and Lenders, Administrative Agent's and Lenders' successors and permitted assigns. Except as provided in Section 10.04, no other Person shall have any rights of any nature hereunder or by reason hereof.</w:t>
      </w:r>
    </w:p>
    <w:p>
      <w:pPr>
        <w:spacing w:after="0" w:line="164"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10.16 Severability. Any provision of the Loan Documents that is prohibited or unenforceable in any jurisdiction shall, as to such jurisdiction, be ineffective and severable to the extent of such prohibition or unenforceability without invalidating the remaining provisions thereof, and any such prohibition or unenforceability in any jurisdiction shall not invalidate or render unenforceable such provision in any other jurisdiction. Administrative Agent, Lenders and Borrower agree to negotiate, in good faith, the terms of a replacement provision as similar to the severed provision as may be possible and be legal, valid, and enforceable.</w:t>
      </w:r>
    </w:p>
    <w:p>
      <w:pPr>
        <w:spacing w:after="0" w:line="185" w:lineRule="exact"/>
        <w:rPr>
          <w:sz w:val="20"/>
          <w:szCs w:val="20"/>
          <w:color w:val="auto"/>
        </w:rPr>
      </w:pPr>
    </w:p>
    <w:p>
      <w:pPr>
        <w:ind w:right="2779" w:firstLine="1674"/>
        <w:spacing w:after="0" w:line="273" w:lineRule="auto"/>
        <w:rPr>
          <w:sz w:val="20"/>
          <w:szCs w:val="20"/>
          <w:color w:val="auto"/>
        </w:rPr>
      </w:pPr>
      <w:r>
        <w:rPr>
          <w:rFonts w:ascii="Courier New" w:cs="Courier New" w:eastAsia="Courier New" w:hAnsi="Courier New"/>
          <w:sz w:val="14"/>
          <w:szCs w:val="14"/>
          <w:color w:val="auto"/>
        </w:rPr>
        <w:t>10.17 Confidentiality. Administrative Agent and each Lender shall use any confidential non-public information concerning Borrower and its Subsidiaries and Affiliates that is furnished to Administrative Agent or such Lender by or on behalf of Borrower and its Subsidiaries in connection with the Loan Documents (collectively, "Confidential Information") solely for the purpose of administering and enforcing the Loan Documents, and it will hold the Confidential Information in confidence. Notwithstanding the foregoing, Administrative Agent and each Lender may disclose Confidential Information (a) to their affiliates or any of their or their affiliates' directors, officers, employees, auditors, counsel, advisors, or representatives (collectively, the "Representatives") who need to know such information for the purposes set forth in this Section and who have been advised of and acknowledge their obligation to keep such information confidential in accordance with this Section, (b) to</w:t>
      </w:r>
    </w:p>
    <w:p>
      <w:pPr>
        <w:sectPr>
          <w:pgSz w:w="11900" w:h="16838" w:orient="portrait"/>
          <w:cols w:equalWidth="0" w:num="1">
            <w:col w:w="10219"/>
          </w:cols>
          <w:pgMar w:left="240" w:top="469" w:right="1440" w:bottom="1440" w:gutter="0" w:footer="0" w:header="0"/>
        </w:sectPr>
      </w:pPr>
    </w:p>
    <w:bookmarkStart w:id="88" w:name="page89"/>
    <w:bookmarkEnd w:id="88"/>
    <w:p>
      <w:pPr>
        <w:ind w:left="3620"/>
        <w:spacing w:after="0"/>
        <w:rPr>
          <w:sz w:val="20"/>
          <w:szCs w:val="20"/>
          <w:color w:val="auto"/>
        </w:rPr>
      </w:pPr>
      <w:r>
        <w:rPr>
          <w:rFonts w:ascii="Courier New" w:cs="Courier New" w:eastAsia="Courier New" w:hAnsi="Courier New"/>
          <w:sz w:val="16"/>
          <w:szCs w:val="16"/>
          <w:color w:val="auto"/>
        </w:rPr>
        <w:t>57</w:t>
      </w:r>
    </w:p>
    <w:p>
      <w:pPr>
        <w:spacing w:after="0" w:line="200" w:lineRule="exact"/>
        <w:rPr>
          <w:sz w:val="20"/>
          <w:szCs w:val="20"/>
          <w:color w:val="auto"/>
        </w:rPr>
      </w:pPr>
    </w:p>
    <w:p>
      <w:pPr>
        <w:spacing w:after="0" w:line="340"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4"/>
          <w:szCs w:val="14"/>
          <w:color w:val="auto"/>
        </w:rPr>
        <w:t>any bank or financial institution or other entity to which such Lender has assigned or desires to assign an interest or participation in the Loan Documents or the Obligations, provided that any such foregoing recipient of such Confidential Information agrees to keep such Confidential Information confidential as specified herein, (c) to any governmental agency or regulatory body having or claiming to have authority to regulate or oversee any aspect of Administrative Agent's or such Lender's business or that of their Representatives in connection with the exercise of such authority or claimed authority, (d) to the extent necessary or appropriate to enforce any right or remedy or in connection with any claims asserted by or against Administrative Agent or such Lender or any of their Representatives, and (e) pursuant to any subpoena or any similar legal process. For purposes hereof, the term "Confidential Information" shall not include information that (x) is in Administrative Agent's or a Lender's possession prior to its being provided by or on behalf of Borrower or any of its Subsidiaries or Affiliates, provided that such information is not known by Administrative Agent or such Lender to be subject to another confidentiality agreement with, or other legal or contractual obligation of confidentiality to, Borrower or any of its Subsidiaries or Affiliates, (y) is or becomes publicly available (other than through a breach hereof by Administrative Agent or such Lender), or (z) becomes available to Administrative Agent or such Lender on a nonconfidential basis, provided that the source of such information was not known by Administrative Agent or such Lender to be bound by a confidentiality agreement or other legal or contractual obligation of confidentiality with respect to such information.</w:t>
      </w:r>
    </w:p>
    <w:p>
      <w:pPr>
        <w:spacing w:after="0" w:line="200" w:lineRule="exact"/>
        <w:rPr>
          <w:sz w:val="20"/>
          <w:szCs w:val="20"/>
          <w:color w:val="auto"/>
        </w:rPr>
      </w:pPr>
    </w:p>
    <w:p>
      <w:pPr>
        <w:spacing w:after="0" w:line="332" w:lineRule="exact"/>
        <w:rPr>
          <w:sz w:val="20"/>
          <w:szCs w:val="20"/>
          <w:color w:val="auto"/>
        </w:rPr>
      </w:pPr>
    </w:p>
    <w:p>
      <w:pPr>
        <w:ind w:right="2959" w:firstLine="1674"/>
        <w:spacing w:after="0" w:line="236" w:lineRule="auto"/>
        <w:rPr>
          <w:sz w:val="20"/>
          <w:szCs w:val="20"/>
          <w:color w:val="auto"/>
        </w:rPr>
      </w:pPr>
      <w:r>
        <w:rPr>
          <w:rFonts w:ascii="Courier New" w:cs="Courier New" w:eastAsia="Courier New" w:hAnsi="Courier New"/>
          <w:sz w:val="16"/>
          <w:szCs w:val="16"/>
          <w:color w:val="auto"/>
        </w:rPr>
        <w:t>Notwithstanding anything herein to the contrary, any party subject to confidentiality obligations hereunder or under any other related document (and any employee, representative or other agent of such party) may disclose to any and all persons, without limitation of any kind, the tax treatment and tax structure of this Agreement and all materials of any kind, including opinions or other tax analyses, that have been provided to it by any other party relating to such tax treatment and tax structure.</w:t>
      </w:r>
    </w:p>
    <w:p>
      <w:pPr>
        <w:spacing w:after="0" w:line="184" w:lineRule="exact"/>
        <w:rPr>
          <w:sz w:val="20"/>
          <w:szCs w:val="20"/>
          <w:color w:val="auto"/>
        </w:rPr>
      </w:pPr>
    </w:p>
    <w:p>
      <w:pPr>
        <w:ind w:right="2879" w:firstLine="1674"/>
        <w:spacing w:after="0" w:line="283" w:lineRule="auto"/>
        <w:rPr>
          <w:sz w:val="20"/>
          <w:szCs w:val="20"/>
          <w:color w:val="auto"/>
        </w:rPr>
      </w:pPr>
      <w:r>
        <w:rPr>
          <w:rFonts w:ascii="Courier New" w:cs="Courier New" w:eastAsia="Courier New" w:hAnsi="Courier New"/>
          <w:sz w:val="14"/>
          <w:szCs w:val="14"/>
          <w:color w:val="auto"/>
        </w:rPr>
        <w:t>10.18 Headings. Section headings in this Agreement and the other Loan Documents are included for convenience of reference only and are not part of this Agreement or the other Loan Documents for any other purpose.</w:t>
      </w:r>
    </w:p>
    <w:p>
      <w:pPr>
        <w:spacing w:after="0" w:line="15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10.19 Time of the Essence. Time is of the essence of the Loan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Documents.</w:t>
      </w:r>
    </w:p>
    <w:p>
      <w:pPr>
        <w:spacing w:after="0" w:line="183" w:lineRule="exact"/>
        <w:rPr>
          <w:sz w:val="20"/>
          <w:szCs w:val="20"/>
          <w:color w:val="auto"/>
        </w:rPr>
      </w:pPr>
    </w:p>
    <w:p>
      <w:pPr>
        <w:ind w:right="2779" w:firstLine="1674"/>
        <w:spacing w:after="0" w:line="271" w:lineRule="auto"/>
        <w:rPr>
          <w:sz w:val="20"/>
          <w:szCs w:val="20"/>
          <w:color w:val="auto"/>
        </w:rPr>
      </w:pPr>
      <w:r>
        <w:rPr>
          <w:rFonts w:ascii="Courier New" w:cs="Courier New" w:eastAsia="Courier New" w:hAnsi="Courier New"/>
          <w:sz w:val="14"/>
          <w:szCs w:val="14"/>
          <w:color w:val="auto"/>
        </w:rPr>
        <w:t>10.20 Foreign Lenders. Each Lender organized under the Laws of a jurisdiction outside the United States, on or prior to the date of this Agreement in the case of each Lender listed on the signature pages hereof and on or prior to the date on which it becomes a Lender in the case of each other Lender, and from time to time thereafter if requested in writing by Borrower or Administrative Agent (but only so long as such Lender remains lawfully able to do so), shall provide Borrower and Administrative Agent with (i) if such Lender is a "bank" within the meaning of Section 881(c)(3)(A) of the Code, IRS Form W-8ECI or W-8BEN, as appropriate, or any successor form prescribed by the IRS, certifying that such Lender is entitled to benefits under an income tax treaty to which the United States is a party which reduces the rate of withholding tax on payments of interest or certifying that the income receivable pursuant to the Loan Documents is effectively connected with the conduct of a trade or business in the United States, or (ii) if such Lender is not a "bank" within the meaning of Section 881(c)(3)(A) of the Code and intends to claim an exemption from United States withholding tax under Section 871(h) or 881(c) of the Code with respect to payments of "portfolio interest," IRS Form W-8, or any successor form prescribed by the IRS, and a certificate representing that such Lender is not a bank for purposes of Section 881(c) of the Code, is not a ten-percent shareholder (within the meaning of Section 871(h)(3)(B) of the Code) of Borrower, and is not a controlled foreign corporation related to Borrower (within the meaning of Section 864(d)(4) of the Code). Thereafter and from time to time, each such Person shall (a) promptly submit to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w:t>
      </w:r>
    </w:p>
    <w:p>
      <w:pPr>
        <w:sectPr>
          <w:pgSz w:w="11900" w:h="16838" w:orient="portrait"/>
          <w:cols w:equalWidth="0" w:num="1">
            <w:col w:w="10219"/>
          </w:cols>
          <w:pgMar w:left="240" w:top="469" w:right="1440" w:bottom="1440" w:gutter="0" w:footer="0" w:header="0"/>
        </w:sectPr>
      </w:pPr>
    </w:p>
    <w:bookmarkStart w:id="89" w:name="page90"/>
    <w:bookmarkEnd w:id="89"/>
    <w:p>
      <w:pPr>
        <w:ind w:left="3620"/>
        <w:spacing w:after="0"/>
        <w:rPr>
          <w:sz w:val="20"/>
          <w:szCs w:val="20"/>
          <w:color w:val="auto"/>
        </w:rPr>
      </w:pPr>
      <w:r>
        <w:rPr>
          <w:rFonts w:ascii="Courier New" w:cs="Courier New" w:eastAsia="Courier New" w:hAnsi="Courier New"/>
          <w:sz w:val="16"/>
          <w:szCs w:val="16"/>
          <w:color w:val="auto"/>
        </w:rPr>
        <w:t>58</w:t>
      </w:r>
    </w:p>
    <w:p>
      <w:pPr>
        <w:spacing w:after="0" w:line="200" w:lineRule="exact"/>
        <w:rPr>
          <w:sz w:val="20"/>
          <w:szCs w:val="20"/>
          <w:color w:val="auto"/>
        </w:rPr>
      </w:pPr>
    </w:p>
    <w:p>
      <w:pPr>
        <w:spacing w:after="0" w:line="340"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avoid, or such evidence as is satisfactory to Borrower and Administrative Agent of any available exemption from or reduction of, United States withholding taxes in respect of all payments to be made to such Person by Borrower pursuant to this Agreement, (b) promptly notify Administrative Agent of any change in circumstances which would modify or render invalid any claimed exemption or reduction, and (c) take such steps as shall not be materially disadvantageous to it, in the reasonable judgment of such Lender, and as may be reasonably necessary (including the re-designation of its Lending Office) to avoid any requirement of applicable Laws that a Co-Borrower make any deduction or withholding for taxes from amounts payable to such Person. If such Person fails to deliver the above forms or other documentation, then Administrative Agent may withhold from any interest payment to such Person an amount equivalent to the applicable withholding tax imposed by Sections 1441 and 1442 of the Code, without reduction. If any Governmental Authority asserts that Administrative Agent did not properly withhold any tax or other amount from payments made in respect of such Person, such Person shall indemnify Administrative Agent therefor, including all penalties and interest, any taxes imposed by any jurisdiction on the amounts payable to the Agent under this Section, and costs and expenses (including Attorney Costs) of Administrative Agent. The obligation of Lenders under this Section shall survive the payment of all Obligations and the resignation of Administrative Agent.</w:t>
      </w:r>
    </w:p>
    <w:p>
      <w:pPr>
        <w:spacing w:after="0" w:line="200" w:lineRule="exact"/>
        <w:rPr>
          <w:sz w:val="20"/>
          <w:szCs w:val="20"/>
          <w:color w:val="auto"/>
        </w:rPr>
      </w:pPr>
    </w:p>
    <w:p>
      <w:pPr>
        <w:spacing w:after="0" w:line="31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10.21 Removal and Replacement of Lenders.</w:t>
      </w:r>
    </w:p>
    <w:p>
      <w:pPr>
        <w:spacing w:after="0" w:line="183" w:lineRule="exact"/>
        <w:rPr>
          <w:sz w:val="20"/>
          <w:szCs w:val="20"/>
          <w:color w:val="auto"/>
        </w:rPr>
      </w:pPr>
    </w:p>
    <w:p>
      <w:pPr>
        <w:ind w:right="2779" w:firstLine="1670"/>
        <w:spacing w:after="0" w:line="271" w:lineRule="auto"/>
        <w:tabs>
          <w:tab w:leader="none" w:pos="2047"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any circumstances set forth in this Agreement providing that Borrower shall have the right to remove or replace a Lender (other than with respect to any outstanding Competitive Loan held by it) as a party to this Agreement, Borrower may, upon notice to such Lender and Administrative Agent, remove such Lender by (i) non ratably terminating such Lender's Revolving Commitment and/or (ii) causing such Lender to assign its Revolving Commitment pursuant to Section 10.04(b) to one or more other Lenders or eligible assignees procured by Borrower. Each Co-Borrower shall, in the case of a termination of such Lender's Revolving Commitment pursuant to clause (i) preceding, (x) pay in full all principal, interest, fees and other amounts owing to such Lender (other than with respect to any outstanding Competitive Loan held by it) through the date of termination (including any amounts payable pursuant to Section 3), (y) provide appropriate assurances and indemnities (which may include letters of credit) to such Lender and Issuing Lender as each may reasonably require with respect to any continuing risk participation interest in any Letters of Credit then outstanding and (z) release such Lender from its obligations under the Loan Documents from and after the date of termination. Each Co-Borrower shall, in the case of an assignment pursuant to clause (ii) preceding, cause to be paid the assignment fee payable to Administrative Agent pursuant to Section 10.04(c). Any such Lender whose Revolving Commitment is being assigned shall execute and deliver an Assignment and Acceptance covering such Lender's Revolving Commitment. Administrative Agent shall distribute an amended Schedule 2.01, which shall be deemed incorporated into this Agreement, to reflect adjustments to Lenders and their Revolving Commitments.</w:t>
      </w:r>
    </w:p>
    <w:p>
      <w:pPr>
        <w:spacing w:after="0" w:line="200" w:lineRule="exact"/>
        <w:rPr>
          <w:rFonts w:ascii="Courier New" w:cs="Courier New" w:eastAsia="Courier New" w:hAnsi="Courier New"/>
          <w:sz w:val="14"/>
          <w:szCs w:val="14"/>
          <w:color w:val="auto"/>
        </w:rPr>
      </w:pPr>
    </w:p>
    <w:p>
      <w:pPr>
        <w:spacing w:after="0" w:line="326" w:lineRule="exact"/>
        <w:rPr>
          <w:rFonts w:ascii="Courier New" w:cs="Courier New" w:eastAsia="Courier New" w:hAnsi="Courier New"/>
          <w:sz w:val="14"/>
          <w:szCs w:val="14"/>
          <w:color w:val="auto"/>
        </w:rPr>
      </w:pPr>
    </w:p>
    <w:p>
      <w:pPr>
        <w:ind w:left="2040" w:hanging="370"/>
        <w:spacing w:after="0"/>
        <w:tabs>
          <w:tab w:leader="none" w:pos="204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shall supercede any provisions in Section</w:t>
      </w:r>
    </w:p>
    <w:p>
      <w:pPr>
        <w:spacing w:after="0" w:line="236" w:lineRule="auto"/>
        <w:rPr>
          <w:sz w:val="20"/>
          <w:szCs w:val="20"/>
          <w:color w:val="auto"/>
        </w:rPr>
      </w:pPr>
      <w:r>
        <w:rPr>
          <w:rFonts w:ascii="Courier New" w:cs="Courier New" w:eastAsia="Courier New" w:hAnsi="Courier New"/>
          <w:sz w:val="16"/>
          <w:szCs w:val="16"/>
          <w:color w:val="auto"/>
        </w:rPr>
        <w:t>10.01 to the contrary.</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10.22 Governing Law; Submission to Jurisdiction; Waivers.</w:t>
      </w:r>
    </w:p>
    <w:p>
      <w:pPr>
        <w:spacing w:after="0" w:line="183" w:lineRule="exact"/>
        <w:rPr>
          <w:sz w:val="20"/>
          <w:szCs w:val="20"/>
          <w:color w:val="auto"/>
        </w:rPr>
      </w:pPr>
    </w:p>
    <w:p>
      <w:pPr>
        <w:ind w:right="2779" w:firstLine="1670"/>
        <w:spacing w:after="0" w:line="235" w:lineRule="auto"/>
        <w:tabs>
          <w:tab w:leader="none" w:pos="2047"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RIGHTS AND OBLIGATIONS OF THE PARTIES UNDER THIS AGREEMENT SHALL BE GOVERNED BY, AND CONSTRUED AND INTERPRETED IN ACCORDANCE WITH, THE LAW OF THE STATE OF NEW YORK.</w:t>
      </w:r>
    </w:p>
    <w:p>
      <w:pPr>
        <w:spacing w:after="0" w:line="177"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to this Agreement irrevocably and</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unconditionally:</w:t>
      </w:r>
    </w:p>
    <w:p>
      <w:pPr>
        <w:spacing w:after="0" w:line="183" w:lineRule="exact"/>
        <w:rPr>
          <w:sz w:val="20"/>
          <w:szCs w:val="20"/>
          <w:color w:val="auto"/>
        </w:rPr>
      </w:pPr>
    </w:p>
    <w:p>
      <w:pPr>
        <w:ind w:left="2500" w:right="2959" w:hanging="830"/>
        <w:spacing w:after="0" w:line="235" w:lineRule="auto"/>
        <w:tabs>
          <w:tab w:leader="none" w:pos="250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submits for itself and its property in any legal action or proceeding relating to this Agreement and the other Loan Documents to which it is a party, or for recognition</w:t>
      </w:r>
    </w:p>
    <w:p>
      <w:pPr>
        <w:sectPr>
          <w:pgSz w:w="11900" w:h="16838" w:orient="portrait"/>
          <w:cols w:equalWidth="0" w:num="1">
            <w:col w:w="10219"/>
          </w:cols>
          <w:pgMar w:left="240" w:top="469" w:right="1440" w:bottom="1440" w:gutter="0" w:footer="0" w:header="0"/>
        </w:sectPr>
      </w:pPr>
    </w:p>
    <w:bookmarkStart w:id="90" w:name="page91"/>
    <w:bookmarkEnd w:id="90"/>
    <w:p>
      <w:pPr>
        <w:ind w:left="3620"/>
        <w:spacing w:after="0"/>
        <w:rPr>
          <w:sz w:val="20"/>
          <w:szCs w:val="20"/>
          <w:color w:val="auto"/>
        </w:rPr>
      </w:pPr>
      <w:r>
        <w:rPr>
          <w:rFonts w:ascii="Courier New" w:cs="Courier New" w:eastAsia="Courier New" w:hAnsi="Courier New"/>
          <w:sz w:val="16"/>
          <w:szCs w:val="16"/>
          <w:color w:val="auto"/>
        </w:rPr>
        <w:t>59</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and enforcement of any judgment in respect thereof,</w:t>
      </w:r>
    </w:p>
    <w:p>
      <w:pPr>
        <w:ind w:left="2500"/>
        <w:spacing w:after="0" w:line="236" w:lineRule="auto"/>
        <w:rPr>
          <w:sz w:val="20"/>
          <w:szCs w:val="20"/>
          <w:color w:val="auto"/>
        </w:rPr>
      </w:pPr>
      <w:r>
        <w:rPr>
          <w:rFonts w:ascii="Courier New" w:cs="Courier New" w:eastAsia="Courier New" w:hAnsi="Courier New"/>
          <w:sz w:val="16"/>
          <w:szCs w:val="16"/>
          <w:color w:val="auto"/>
        </w:rPr>
        <w:t>to the non-exclusive general jurisdiction of the</w:t>
      </w:r>
    </w:p>
    <w:p>
      <w:pPr>
        <w:ind w:left="2500"/>
        <w:spacing w:after="0" w:line="237" w:lineRule="auto"/>
        <w:rPr>
          <w:sz w:val="20"/>
          <w:szCs w:val="20"/>
          <w:color w:val="auto"/>
        </w:rPr>
      </w:pPr>
      <w:r>
        <w:rPr>
          <w:rFonts w:ascii="Courier New" w:cs="Courier New" w:eastAsia="Courier New" w:hAnsi="Courier New"/>
          <w:sz w:val="16"/>
          <w:szCs w:val="16"/>
          <w:color w:val="auto"/>
        </w:rPr>
        <w:t>courts of the State of New York, the courts of the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United States for the Southern District of New York,</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and appellate courts from any thereof;</w:t>
      </w:r>
    </w:p>
    <w:p>
      <w:pPr>
        <w:spacing w:after="0" w:line="183" w:lineRule="exact"/>
        <w:rPr>
          <w:sz w:val="20"/>
          <w:szCs w:val="20"/>
          <w:color w:val="auto"/>
        </w:rPr>
      </w:pPr>
    </w:p>
    <w:p>
      <w:pPr>
        <w:ind w:left="2500" w:right="2779" w:hanging="830"/>
        <w:spacing w:after="0" w:line="275" w:lineRule="auto"/>
        <w:tabs>
          <w:tab w:leader="none" w:pos="25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61" w:lineRule="exact"/>
        <w:rPr>
          <w:rFonts w:ascii="Courier New" w:cs="Courier New" w:eastAsia="Courier New" w:hAnsi="Courier New"/>
          <w:sz w:val="14"/>
          <w:szCs w:val="14"/>
          <w:color w:val="auto"/>
        </w:rPr>
      </w:pPr>
    </w:p>
    <w:p>
      <w:pPr>
        <w:ind w:left="2500" w:right="2779" w:hanging="830"/>
        <w:spacing w:after="0" w:line="276" w:lineRule="auto"/>
        <w:tabs>
          <w:tab w:leader="none" w:pos="25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service of process in any such action or proceeding may be effected by mailing a copy thereof by registered or certified mail (or any substantially similar form of mail), postage prepaid, to it at its address provided for in Section 10.02;</w:t>
      </w:r>
    </w:p>
    <w:p>
      <w:pPr>
        <w:spacing w:after="0" w:line="161" w:lineRule="exact"/>
        <w:rPr>
          <w:rFonts w:ascii="Courier New" w:cs="Courier New" w:eastAsia="Courier New" w:hAnsi="Courier New"/>
          <w:sz w:val="14"/>
          <w:szCs w:val="14"/>
          <w:color w:val="auto"/>
        </w:rPr>
      </w:pPr>
    </w:p>
    <w:p>
      <w:pPr>
        <w:ind w:left="2500" w:right="2879" w:hanging="830"/>
        <w:spacing w:after="0" w:line="235" w:lineRule="auto"/>
        <w:tabs>
          <w:tab w:leader="none" w:pos="250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agrees that nothing herein shall affect the right to effect service of process in any other manner permitted by law or shall limit the right to sue in any other jurisdiction; and</w:t>
      </w:r>
    </w:p>
    <w:p>
      <w:pPr>
        <w:spacing w:after="0" w:line="184" w:lineRule="exact"/>
        <w:rPr>
          <w:rFonts w:ascii="Courier New" w:cs="Courier New" w:eastAsia="Courier New" w:hAnsi="Courier New"/>
          <w:sz w:val="16"/>
          <w:szCs w:val="16"/>
          <w:color w:val="auto"/>
        </w:rPr>
      </w:pPr>
    </w:p>
    <w:p>
      <w:pPr>
        <w:ind w:left="2500" w:right="2879" w:hanging="830"/>
        <w:spacing w:after="0" w:line="235" w:lineRule="auto"/>
        <w:tabs>
          <w:tab w:leader="none" w:pos="250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waives, to the maximum extent not prohibited by law, any right it may have to claim or recover in any legal action or proceeding referred to in this Section any special, exemplary, punitive or consequential damages.</w:t>
      </w:r>
    </w:p>
    <w:p>
      <w:pPr>
        <w:spacing w:after="0" w:line="186"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10.23 Waiver of Right to Trial by Jury.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[REMAINDER OF PAGE INTENTIONALLY BLANK.</w:t>
      </w:r>
    </w:p>
    <w:p>
      <w:pPr>
        <w:ind w:left="2600"/>
        <w:spacing w:after="0" w:line="236" w:lineRule="auto"/>
        <w:rPr>
          <w:sz w:val="20"/>
          <w:szCs w:val="20"/>
          <w:color w:val="auto"/>
        </w:rPr>
      </w:pPr>
      <w:r>
        <w:rPr>
          <w:rFonts w:ascii="Courier New" w:cs="Courier New" w:eastAsia="Courier New" w:hAnsi="Courier New"/>
          <w:sz w:val="16"/>
          <w:szCs w:val="16"/>
          <w:color w:val="auto"/>
        </w:rPr>
        <w:t>SIGNATURE PAGES FOLLOW.]</w:t>
      </w:r>
    </w:p>
    <w:p>
      <w:pPr>
        <w:sectPr>
          <w:pgSz w:w="11900" w:h="16838" w:orient="portrait"/>
          <w:cols w:equalWidth="0" w:num="1">
            <w:col w:w="10219"/>
          </w:cols>
          <w:pgMar w:left="240" w:top="469" w:right="1440" w:bottom="1440" w:gutter="0" w:footer="0" w:header="0"/>
        </w:sectPr>
      </w:pPr>
    </w:p>
    <w:bookmarkStart w:id="91" w:name="page92"/>
    <w:bookmarkEnd w:id="91"/>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Comcast Corporation</w:t>
      </w:r>
    </w:p>
    <w:p>
      <w:pPr>
        <w:spacing w:after="0" w:line="35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 Kenneth Mikalauskas</w:t>
      </w:r>
    </w:p>
    <w:p>
      <w:pPr>
        <w:ind w:left="3800"/>
        <w:spacing w:after="0" w:line="236" w:lineRule="auto"/>
        <w:rPr>
          <w:sz w:val="20"/>
          <w:szCs w:val="20"/>
          <w:color w:val="auto"/>
        </w:rPr>
      </w:pPr>
      <w:r>
        <w:rPr>
          <w:rFonts w:ascii="Courier New" w:cs="Courier New" w:eastAsia="Courier New" w:hAnsi="Courier New"/>
          <w:sz w:val="16"/>
          <w:szCs w:val="16"/>
          <w:color w:val="auto"/>
        </w:rPr>
        <w:t>--------------------------------</w:t>
      </w:r>
    </w:p>
    <w:p>
      <w:pPr>
        <w:ind w:left="3800"/>
        <w:spacing w:after="0" w:line="237" w:lineRule="auto"/>
        <w:rPr>
          <w:sz w:val="20"/>
          <w:szCs w:val="20"/>
          <w:color w:val="auto"/>
        </w:rPr>
      </w:pPr>
      <w:r>
        <w:rPr>
          <w:rFonts w:ascii="Courier New" w:cs="Courier New" w:eastAsia="Courier New" w:hAnsi="Courier New"/>
          <w:sz w:val="16"/>
          <w:szCs w:val="16"/>
          <w:color w:val="auto"/>
        </w:rPr>
        <w:t>Name: Kenneth Mikalauskas</w:t>
      </w:r>
    </w:p>
    <w:p>
      <w:pPr>
        <w:ind w:left="3800"/>
        <w:spacing w:after="0"/>
        <w:tabs>
          <w:tab w:leader="none" w:pos="45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 - Finance</w:t>
      </w:r>
    </w:p>
    <w:p>
      <w:pPr>
        <w:spacing w:after="0" w:line="200" w:lineRule="exact"/>
        <w:rPr>
          <w:sz w:val="20"/>
          <w:szCs w:val="20"/>
          <w:color w:val="auto"/>
        </w:rPr>
      </w:pPr>
    </w:p>
    <w:p>
      <w:pPr>
        <w:spacing w:after="0" w:line="335"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6"/>
          <w:szCs w:val="16"/>
          <w:color w:val="auto"/>
        </w:rPr>
        <w:t>COMCAST CABLE COMMUNICATIONS HOLDINGS, INC.</w:t>
      </w:r>
    </w:p>
    <w:p>
      <w:pPr>
        <w:spacing w:after="0" w:line="35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 Kenneth Mikalauskas</w:t>
      </w:r>
    </w:p>
    <w:p>
      <w:pPr>
        <w:ind w:left="3800"/>
        <w:spacing w:after="0" w:line="236" w:lineRule="auto"/>
        <w:rPr>
          <w:sz w:val="20"/>
          <w:szCs w:val="20"/>
          <w:color w:val="auto"/>
        </w:rPr>
      </w:pPr>
      <w:r>
        <w:rPr>
          <w:rFonts w:ascii="Courier New" w:cs="Courier New" w:eastAsia="Courier New" w:hAnsi="Courier New"/>
          <w:sz w:val="16"/>
          <w:szCs w:val="16"/>
          <w:color w:val="auto"/>
        </w:rPr>
        <w:t>--------------------------------</w:t>
      </w:r>
    </w:p>
    <w:p>
      <w:pPr>
        <w:ind w:left="3800"/>
        <w:spacing w:after="0" w:line="237" w:lineRule="auto"/>
        <w:rPr>
          <w:sz w:val="20"/>
          <w:szCs w:val="20"/>
          <w:color w:val="auto"/>
        </w:rPr>
      </w:pPr>
      <w:r>
        <w:rPr>
          <w:rFonts w:ascii="Courier New" w:cs="Courier New" w:eastAsia="Courier New" w:hAnsi="Courier New"/>
          <w:sz w:val="16"/>
          <w:szCs w:val="16"/>
          <w:color w:val="auto"/>
        </w:rPr>
        <w:t>Name: Kenneth Mikalauskas</w:t>
      </w:r>
    </w:p>
    <w:p>
      <w:pPr>
        <w:ind w:left="3800"/>
        <w:spacing w:after="0"/>
        <w:tabs>
          <w:tab w:leader="none" w:pos="45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 - Finance</w:t>
      </w:r>
    </w:p>
    <w:p>
      <w:pPr>
        <w:sectPr>
          <w:pgSz w:w="11900" w:h="16838" w:orient="portrait"/>
          <w:cols w:equalWidth="0" w:num="1">
            <w:col w:w="10219"/>
          </w:cols>
          <w:pgMar w:left="240" w:top="1191" w:right="1440" w:bottom="1440" w:gutter="0" w:footer="0" w:header="0"/>
        </w:sectPr>
      </w:pPr>
    </w:p>
    <w:bookmarkStart w:id="92" w:name="page93"/>
    <w:bookmarkEnd w:id="92"/>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JPMorgan Chase Bank, as Administrative Agent,</w:t>
      </w:r>
    </w:p>
    <w:p>
      <w:pPr>
        <w:ind w:left="3440"/>
        <w:spacing w:after="0" w:line="236" w:lineRule="auto"/>
        <w:rPr>
          <w:sz w:val="20"/>
          <w:szCs w:val="20"/>
          <w:color w:val="auto"/>
        </w:rPr>
      </w:pPr>
      <w:r>
        <w:rPr>
          <w:rFonts w:ascii="Courier New" w:cs="Courier New" w:eastAsia="Courier New" w:hAnsi="Courier New"/>
          <w:sz w:val="16"/>
          <w:szCs w:val="16"/>
          <w:color w:val="auto"/>
        </w:rPr>
        <w:t>an Issuing Lender, and as a Lender</w:t>
      </w:r>
    </w:p>
    <w:p>
      <w:pPr>
        <w:spacing w:after="0" w:line="356"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Tracy Navin Ewing</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800"/>
        <w:spacing w:after="0"/>
        <w:tabs>
          <w:tab w:leader="none" w:pos="44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Tracy Navin Ewing</w:t>
      </w:r>
    </w:p>
    <w:p>
      <w:pPr>
        <w:ind w:left="3800"/>
        <w:spacing w:after="0" w:line="236" w:lineRule="auto"/>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833" w:right="1440" w:bottom="1440" w:gutter="0" w:footer="0" w:header="0"/>
        </w:sectPr>
      </w:pPr>
    </w:p>
    <w:bookmarkStart w:id="93" w:name="page94"/>
    <w:bookmarkEnd w:id="93"/>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CITIBANK, N.A., as Syndication Agent and</w:t>
      </w:r>
    </w:p>
    <w:p>
      <w:pPr>
        <w:ind w:left="3440"/>
        <w:spacing w:after="0" w:line="236" w:lineRule="auto"/>
        <w:rPr>
          <w:sz w:val="20"/>
          <w:szCs w:val="20"/>
          <w:color w:val="auto"/>
        </w:rPr>
      </w:pPr>
      <w:r>
        <w:rPr>
          <w:rFonts w:ascii="Courier New" w:cs="Courier New" w:eastAsia="Courier New" w:hAnsi="Courier New"/>
          <w:sz w:val="16"/>
          <w:szCs w:val="16"/>
          <w:color w:val="auto"/>
        </w:rPr>
        <w:t>as a Lender</w:t>
      </w:r>
    </w:p>
    <w:p>
      <w:pPr>
        <w:spacing w:after="0" w:line="356" w:lineRule="exact"/>
        <w:rPr>
          <w:sz w:val="20"/>
          <w:szCs w:val="20"/>
          <w:color w:val="auto"/>
        </w:rPr>
      </w:pPr>
    </w:p>
    <w:p>
      <w:pPr>
        <w:ind w:left="3440"/>
        <w:spacing w:after="0"/>
        <w:tabs>
          <w:tab w:leader="none" w:pos="38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Carolyn A. Kee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440"/>
        <w:spacing w:after="0"/>
        <w:tabs>
          <w:tab w:leader="none" w:pos="40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Carolyn A. Kee</w:t>
      </w:r>
    </w:p>
    <w:p>
      <w:pPr>
        <w:ind w:left="3440"/>
        <w:spacing w:after="0" w:line="236" w:lineRule="auto"/>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833" w:right="1440" w:bottom="1440" w:gutter="0" w:footer="0" w:header="0"/>
        </w:sectPr>
      </w:pPr>
    </w:p>
    <w:bookmarkStart w:id="94" w:name="page95"/>
    <w:bookmarkEnd w:id="94"/>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jc w:val="center"/>
        <w:spacing w:after="0"/>
        <w:tabs>
          <w:tab w:leader="none" w:pos="16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Bank of America, N.A.</w:t>
      </w:r>
    </w:p>
    <w:p>
      <w:pPr>
        <w:spacing w:after="0" w:line="355"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Todd Shipley</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Todd Shipley</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Managing Director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95" w:name="page96"/>
    <w:bookmarkEnd w:id="95"/>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jc w:val="center"/>
        <w:ind w:right="379"/>
        <w:spacing w:after="0"/>
        <w:tabs>
          <w:tab w:leader="none" w:pos="16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Barclays Bank PLC</w:t>
      </w:r>
    </w:p>
    <w:p>
      <w:pPr>
        <w:spacing w:after="0" w:line="355"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L. Peter Yetman</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L. Peter Yetman</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Director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96" w:name="page97"/>
    <w:bookmarkEnd w:id="96"/>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340"/>
        <w:spacing w:after="0"/>
        <w:tabs>
          <w:tab w:leader="none" w:pos="490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Deutsche Bank AG</w:t>
      </w:r>
    </w:p>
    <w:p>
      <w:pPr>
        <w:ind w:left="3340"/>
        <w:spacing w:after="0" w:line="236" w:lineRule="auto"/>
        <w:rPr>
          <w:sz w:val="20"/>
          <w:szCs w:val="20"/>
          <w:color w:val="auto"/>
        </w:rPr>
      </w:pPr>
      <w:r>
        <w:rPr>
          <w:rFonts w:ascii="Courier New" w:cs="Courier New" w:eastAsia="Courier New" w:hAnsi="Courier New"/>
          <w:sz w:val="16"/>
          <w:szCs w:val="16"/>
          <w:color w:val="auto"/>
        </w:rPr>
        <w:t>New York Branch</w:t>
      </w:r>
    </w:p>
    <w:p>
      <w:pPr>
        <w:spacing w:after="0" w:line="356"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William W. McGinty</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William W. McGinty</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Director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David G. Dickinson, Jr.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David G. Dickinson, Jr.</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97" w:name="page98"/>
    <w:bookmarkEnd w:id="97"/>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jc w:val="center"/>
        <w:ind w:right="279"/>
        <w:spacing w:after="0"/>
        <w:tabs>
          <w:tab w:leader="none" w:pos="16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ABN AMRO Bank N.V.</w:t>
      </w:r>
    </w:p>
    <w:p>
      <w:pPr>
        <w:spacing w:after="0" w:line="355"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David Carrington</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David Carrington</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Director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Richard R. Stone</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Richard R. Stone</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Assistant Vice President</w:t>
      </w:r>
    </w:p>
    <w:p>
      <w:pPr>
        <w:sectPr>
          <w:pgSz w:w="11900" w:h="16838" w:orient="portrait"/>
          <w:cols w:equalWidth="0" w:num="1">
            <w:col w:w="10219"/>
          </w:cols>
          <w:pgMar w:left="240" w:top="833" w:right="1440" w:bottom="1440" w:gutter="0" w:footer="0" w:header="0"/>
        </w:sectPr>
      </w:pPr>
    </w:p>
    <w:bookmarkStart w:id="98" w:name="page99"/>
    <w:bookmarkEnd w:id="98"/>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340"/>
        <w:spacing w:after="0"/>
        <w:tabs>
          <w:tab w:leader="none" w:pos="490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The Bank of</w:t>
      </w:r>
    </w:p>
    <w:p>
      <w:pPr>
        <w:ind w:left="3340"/>
        <w:spacing w:after="0" w:line="236" w:lineRule="auto"/>
        <w:rPr>
          <w:sz w:val="20"/>
          <w:szCs w:val="20"/>
          <w:color w:val="auto"/>
        </w:rPr>
      </w:pPr>
      <w:r>
        <w:rPr>
          <w:rFonts w:ascii="Courier New" w:cs="Courier New" w:eastAsia="Courier New" w:hAnsi="Courier New"/>
          <w:sz w:val="16"/>
          <w:szCs w:val="16"/>
          <w:color w:val="auto"/>
        </w:rPr>
        <w:t>Tokyo-Mitsubishi Trust,</w:t>
      </w:r>
    </w:p>
    <w:p>
      <w:pPr>
        <w:ind w:left="3340"/>
        <w:spacing w:after="0" w:line="237" w:lineRule="auto"/>
        <w:rPr>
          <w:sz w:val="20"/>
          <w:szCs w:val="20"/>
          <w:color w:val="auto"/>
        </w:rPr>
      </w:pPr>
      <w:r>
        <w:rPr>
          <w:rFonts w:ascii="Courier New" w:cs="Courier New" w:eastAsia="Courier New" w:hAnsi="Courier New"/>
          <w:sz w:val="16"/>
          <w:szCs w:val="16"/>
          <w:color w:val="auto"/>
        </w:rPr>
        <w:t>Ltd., New York Branch</w:t>
      </w:r>
    </w:p>
    <w:p>
      <w:pPr>
        <w:spacing w:after="0" w:line="356"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Karen Ossolinski</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Karen Ossolinski</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Authorized Signatory</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99" w:name="page100"/>
    <w:bookmarkEnd w:id="99"/>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Name of Lender: Bank One, NA</w:t>
      </w:r>
    </w:p>
    <w:p>
      <w:pPr>
        <w:spacing w:after="0" w:line="355" w:lineRule="exact"/>
        <w:rPr>
          <w:sz w:val="20"/>
          <w:szCs w:val="20"/>
          <w:color w:val="auto"/>
        </w:rPr>
      </w:pPr>
    </w:p>
    <w:p>
      <w:pPr>
        <w:ind w:left="3440"/>
        <w:spacing w:after="0"/>
        <w:tabs>
          <w:tab w:leader="none" w:pos="38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Matthew J. Reilly</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440"/>
        <w:spacing w:after="0"/>
        <w:tabs>
          <w:tab w:leader="none" w:pos="40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Matthew J. Reilly</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440"/>
        <w:spacing w:after="0"/>
        <w:tabs>
          <w:tab w:leader="none" w:pos="41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Director</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00" w:name="page101"/>
    <w:bookmarkEnd w:id="100"/>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Name of Lender: BNP Paribas</w:t>
      </w:r>
    </w:p>
    <w:p>
      <w:pPr>
        <w:spacing w:after="0" w:line="355"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Nuala Marley</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Nuala Marley</w:t>
      </w: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Director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Todd Rodgers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Todd Rodgers</w:t>
      </w: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01" w:name="page102"/>
    <w:bookmarkEnd w:id="101"/>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2320"/>
        <w:spacing w:after="0"/>
        <w:tabs>
          <w:tab w:leader="none" w:pos="388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Credit Suisse First Boston</w:t>
      </w:r>
    </w:p>
    <w:p>
      <w:pPr>
        <w:ind w:left="2320"/>
        <w:spacing w:after="0" w:line="236" w:lineRule="auto"/>
        <w:rPr>
          <w:sz w:val="20"/>
          <w:szCs w:val="20"/>
          <w:color w:val="auto"/>
        </w:rPr>
      </w:pPr>
      <w:r>
        <w:rPr>
          <w:rFonts w:ascii="Courier New" w:cs="Courier New" w:eastAsia="Courier New" w:hAnsi="Courier New"/>
          <w:sz w:val="16"/>
          <w:szCs w:val="16"/>
          <w:color w:val="auto"/>
        </w:rPr>
        <w:t>acting through its Cayman Islands</w:t>
      </w:r>
    </w:p>
    <w:p>
      <w:pPr>
        <w:ind w:left="2320"/>
        <w:spacing w:after="0" w:line="237" w:lineRule="auto"/>
        <w:rPr>
          <w:sz w:val="20"/>
          <w:szCs w:val="20"/>
          <w:color w:val="auto"/>
        </w:rPr>
      </w:pPr>
      <w:r>
        <w:rPr>
          <w:rFonts w:ascii="Courier New" w:cs="Courier New" w:eastAsia="Courier New" w:hAnsi="Courier New"/>
          <w:sz w:val="16"/>
          <w:szCs w:val="16"/>
          <w:color w:val="auto"/>
        </w:rPr>
        <w:t>Branch</w:t>
      </w:r>
    </w:p>
    <w:p>
      <w:pPr>
        <w:sectPr>
          <w:pgSz w:w="11900" w:h="16838" w:orient="portrait"/>
          <w:cols w:equalWidth="0" w:num="1">
            <w:col w:w="10219"/>
          </w:cols>
          <w:pgMar w:left="240" w:top="833" w:right="1440" w:bottom="1440" w:gutter="0" w:footer="0" w:header="0"/>
        </w:sectPr>
      </w:pPr>
    </w:p>
    <w:p>
      <w:pPr>
        <w:spacing w:after="0" w:line="362"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/s/ James P. Moran /s/ Cassandra Droogan ------------------------------------------------</w:t>
      </w:r>
    </w:p>
    <w:p>
      <w:pPr>
        <w:spacing w:after="0" w:line="177" w:lineRule="exact"/>
        <w:rPr>
          <w:sz w:val="20"/>
          <w:szCs w:val="20"/>
          <w:color w:val="auto"/>
        </w:rPr>
      </w:pPr>
    </w:p>
    <w:p>
      <w:pPr>
        <w:sectPr>
          <w:pgSz w:w="11900" w:h="16838" w:orient="portrait"/>
          <w:cols w:equalWidth="0" w:num="2">
            <w:col w:w="2600" w:space="180"/>
            <w:col w:w="7439"/>
          </w:cols>
          <w:pgMar w:left="240" w:top="833" w:right="1440" w:bottom="1440" w:gutter="0" w:footer="0" w:header="0"/>
          <w:type w:val="continuous"/>
        </w:sectPr>
      </w:pPr>
    </w:p>
    <w:p>
      <w:pPr>
        <w:ind w:left="232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00"/>
        <w:spacing w:after="0"/>
        <w:tabs>
          <w:tab w:leader="none" w:pos="2580" w:val="left"/>
        </w:tabs>
        <w:rPr>
          <w:sz w:val="20"/>
          <w:szCs w:val="20"/>
          <w:color w:val="auto"/>
        </w:rPr>
      </w:pPr>
      <w:r>
        <w:rPr>
          <w:rFonts w:ascii="Courier New" w:cs="Courier New" w:eastAsia="Courier New" w:hAnsi="Courier New"/>
          <w:sz w:val="16"/>
          <w:szCs w:val="16"/>
          <w:color w:val="auto"/>
        </w:rPr>
        <w:t>James P. Moran</w:t>
      </w:r>
      <w:r>
        <w:rPr>
          <w:sz w:val="20"/>
          <w:szCs w:val="20"/>
          <w:color w:val="auto"/>
        </w:rPr>
        <w:tab/>
      </w:r>
      <w:r>
        <w:rPr>
          <w:rFonts w:ascii="Courier New" w:cs="Courier New" w:eastAsia="Courier New" w:hAnsi="Courier New"/>
          <w:sz w:val="14"/>
          <w:szCs w:val="14"/>
          <w:color w:val="auto"/>
        </w:rPr>
        <w:t>Cassandra Droogan</w:t>
      </w:r>
    </w:p>
    <w:p>
      <w:pPr>
        <w:ind w:left="180"/>
        <w:spacing w:after="0" w:line="236" w:lineRule="auto"/>
        <w:tabs>
          <w:tab w:leader="none" w:pos="2680" w:val="left"/>
        </w:tabs>
        <w:rPr>
          <w:sz w:val="20"/>
          <w:szCs w:val="20"/>
          <w:color w:val="auto"/>
        </w:rPr>
      </w:pP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Associate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2880" w:space="0"/>
            <w:col w:w="7339"/>
          </w:cols>
          <w:pgMar w:left="240" w:top="833" w:right="1440" w:bottom="1440" w:gutter="0" w:footer="0" w:header="0"/>
          <w:type w:val="continuous"/>
        </w:sectPr>
      </w:pPr>
    </w:p>
    <w:bookmarkStart w:id="102" w:name="page103"/>
    <w:bookmarkEnd w:id="102"/>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340"/>
        <w:spacing w:after="0"/>
        <w:tabs>
          <w:tab w:leader="none" w:pos="490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Dresdner Bank AG, New York</w:t>
      </w:r>
    </w:p>
    <w:p>
      <w:pPr>
        <w:ind w:left="3440"/>
        <w:spacing w:after="0" w:line="236" w:lineRule="auto"/>
        <w:rPr>
          <w:sz w:val="20"/>
          <w:szCs w:val="20"/>
          <w:color w:val="auto"/>
        </w:rPr>
      </w:pPr>
      <w:r>
        <w:rPr>
          <w:rFonts w:ascii="Courier New" w:cs="Courier New" w:eastAsia="Courier New" w:hAnsi="Courier New"/>
          <w:sz w:val="16"/>
          <w:szCs w:val="16"/>
          <w:color w:val="auto"/>
        </w:rPr>
        <w:t>and Grand Cayman Branches</w:t>
      </w:r>
    </w:p>
    <w:p>
      <w:pPr>
        <w:spacing w:after="0" w:line="356"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Brian Smith</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Brian Smith</w:t>
      </w: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Director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Brian Schneider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Brian Schneider</w:t>
      </w: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03" w:name="page104"/>
    <w:bookmarkEnd w:id="103"/>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340"/>
        <w:spacing w:after="0"/>
        <w:tabs>
          <w:tab w:leader="none" w:pos="490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Lehman Brothers Bank, FSB</w:t>
      </w:r>
    </w:p>
    <w:p>
      <w:pPr>
        <w:spacing w:after="0" w:line="355"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Gary T. Taylor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Gary T. Taylor</w:t>
      </w: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04" w:name="page105"/>
    <w:bookmarkEnd w:id="104"/>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jc w:val="center"/>
        <w:ind w:right="-280"/>
        <w:spacing w:after="0"/>
        <w:tabs>
          <w:tab w:leader="none" w:pos="16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Merrill Lynch Bank USA</w:t>
      </w:r>
    </w:p>
    <w:p>
      <w:pPr>
        <w:spacing w:after="0" w:line="355" w:lineRule="exact"/>
        <w:rPr>
          <w:sz w:val="20"/>
          <w:szCs w:val="20"/>
          <w:color w:val="auto"/>
        </w:rPr>
      </w:pPr>
    </w:p>
    <w:p>
      <w:pPr>
        <w:ind w:left="3440"/>
        <w:spacing w:after="0"/>
        <w:tabs>
          <w:tab w:leader="none" w:pos="38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David Millett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440"/>
        <w:spacing w:after="0"/>
        <w:tabs>
          <w:tab w:leader="none" w:pos="41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David Millett</w:t>
      </w:r>
    </w:p>
    <w:p>
      <w:pPr>
        <w:ind w:left="3440"/>
        <w:spacing w:after="0"/>
        <w:tabs>
          <w:tab w:leader="none" w:pos="41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05" w:name="page106"/>
    <w:bookmarkEnd w:id="105"/>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jc w:val="center"/>
        <w:ind w:right="179"/>
        <w:spacing w:after="0"/>
        <w:tabs>
          <w:tab w:leader="none" w:pos="16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Morgan Stanley Bank</w:t>
      </w:r>
    </w:p>
    <w:p>
      <w:pPr>
        <w:spacing w:after="0" w:line="355"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Jaap L. Tonckens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Jaap L. Tonckens</w:t>
      </w: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06" w:name="page107"/>
    <w:bookmarkEnd w:id="106"/>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340"/>
        <w:spacing w:after="0"/>
        <w:tabs>
          <w:tab w:leader="none" w:pos="490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The Royal Bank of</w:t>
      </w:r>
    </w:p>
    <w:p>
      <w:pPr>
        <w:ind w:left="3340"/>
        <w:spacing w:after="0" w:line="236" w:lineRule="auto"/>
        <w:rPr>
          <w:sz w:val="20"/>
          <w:szCs w:val="20"/>
          <w:color w:val="auto"/>
        </w:rPr>
      </w:pPr>
      <w:r>
        <w:rPr>
          <w:rFonts w:ascii="Courier New" w:cs="Courier New" w:eastAsia="Courier New" w:hAnsi="Courier New"/>
          <w:sz w:val="16"/>
          <w:szCs w:val="16"/>
          <w:color w:val="auto"/>
        </w:rPr>
        <w:t>Scotland plc</w:t>
      </w:r>
    </w:p>
    <w:p>
      <w:pPr>
        <w:spacing w:after="0" w:line="356"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Maria Amaral-LeBlanc</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Maria Amaral-LeBlanc</w:t>
      </w: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Senior Vice-President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07" w:name="page108"/>
    <w:bookmarkEnd w:id="107"/>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340"/>
        <w:spacing w:after="0"/>
        <w:tabs>
          <w:tab w:leader="none" w:pos="490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Sumitomo Mitsui Banking</w:t>
      </w:r>
    </w:p>
    <w:p>
      <w:pPr>
        <w:ind w:left="3340"/>
        <w:spacing w:after="0" w:line="236" w:lineRule="auto"/>
        <w:rPr>
          <w:sz w:val="20"/>
          <w:szCs w:val="20"/>
          <w:color w:val="auto"/>
        </w:rPr>
      </w:pPr>
      <w:r>
        <w:rPr>
          <w:rFonts w:ascii="Courier New" w:cs="Courier New" w:eastAsia="Courier New" w:hAnsi="Courier New"/>
          <w:sz w:val="16"/>
          <w:szCs w:val="16"/>
          <w:color w:val="auto"/>
        </w:rPr>
        <w:t>Corporation</w:t>
      </w:r>
    </w:p>
    <w:p>
      <w:pPr>
        <w:spacing w:after="0" w:line="356"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Leo E. Pagarigan</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Leo E. Pagarigan</w:t>
      </w: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Senior Vice President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08" w:name="page109"/>
    <w:bookmarkEnd w:id="108"/>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tbl>
      <w:tblPr>
        <w:tblLayout w:type="fixed"/>
        <w:tblInd w:w="3440" w:type="dxa"/>
        <w:tblCellMar>
          <w:top w:w="0" w:type="dxa"/>
          <w:left w:w="0" w:type="dxa"/>
          <w:bottom w:w="0" w:type="dxa"/>
          <w:right w:w="0" w:type="dxa"/>
        </w:tblCellMar>
      </w:tblPr>
      <w:tr>
        <w:trPr>
          <w:trHeight w:val="181"/>
        </w:trPr>
        <w:tc>
          <w:tcPr>
            <w:tcW w:w="4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080" w:type="dxa"/>
            <w:vAlign w:val="bottom"/>
          </w:tcPr>
          <w:p>
            <w:pPr>
              <w:spacing w:after="0"/>
              <w:rPr>
                <w:sz w:val="20"/>
                <w:szCs w:val="20"/>
                <w:color w:val="auto"/>
              </w:rPr>
            </w:pPr>
            <w:r>
              <w:rPr>
                <w:rFonts w:ascii="Courier New" w:cs="Courier New" w:eastAsia="Courier New" w:hAnsi="Courier New"/>
                <w:sz w:val="16"/>
                <w:szCs w:val="16"/>
                <w:color w:val="auto"/>
              </w:rPr>
              <w:t>of Lender:</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rPr>
              <w:t>UBS Loan Finance LLC</w:t>
            </w:r>
          </w:p>
        </w:tc>
      </w:tr>
      <w:tr>
        <w:trPr>
          <w:trHeight w:val="537"/>
        </w:trPr>
        <w:tc>
          <w:tcPr>
            <w:tcW w:w="4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rPr>
              <w:t>/s/ Patricia O'Kicki</w:t>
            </w:r>
          </w:p>
        </w:tc>
      </w:tr>
      <w:tr>
        <w:trPr>
          <w:trHeight w:val="179"/>
        </w:trPr>
        <w:tc>
          <w:tcPr>
            <w:tcW w:w="460" w:type="dxa"/>
            <w:vAlign w:val="bottom"/>
          </w:tcPr>
          <w:p>
            <w:pPr>
              <w:spacing w:after="0"/>
              <w:rPr>
                <w:sz w:val="15"/>
                <w:szCs w:val="15"/>
                <w:color w:val="auto"/>
              </w:rPr>
            </w:pPr>
          </w:p>
        </w:tc>
        <w:tc>
          <w:tcPr>
            <w:tcW w:w="35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Name:</w:t>
            </w:r>
          </w:p>
        </w:tc>
        <w:tc>
          <w:tcPr>
            <w:tcW w:w="3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Patricia O'Kicki</w:t>
            </w:r>
          </w:p>
        </w:tc>
      </w:tr>
      <w:tr>
        <w:trPr>
          <w:trHeight w:val="179"/>
        </w:trPr>
        <w:tc>
          <w:tcPr>
            <w:tcW w:w="1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Title:  Director</w:t>
            </w:r>
          </w:p>
        </w:tc>
        <w:tc>
          <w:tcPr>
            <w:tcW w:w="2460" w:type="dxa"/>
            <w:vAlign w:val="bottom"/>
          </w:tcPr>
          <w:p>
            <w:pPr>
              <w:spacing w:after="0"/>
              <w:rPr>
                <w:sz w:val="15"/>
                <w:szCs w:val="15"/>
                <w:color w:val="auto"/>
              </w:rPr>
            </w:pPr>
          </w:p>
        </w:tc>
      </w:tr>
      <w:tr>
        <w:trPr>
          <w:trHeight w:val="179"/>
        </w:trPr>
        <w:tc>
          <w:tcPr>
            <w:tcW w:w="460" w:type="dxa"/>
            <w:vAlign w:val="bottom"/>
          </w:tcPr>
          <w:p>
            <w:pPr>
              <w:spacing w:after="0"/>
              <w:rPr>
                <w:sz w:val="15"/>
                <w:szCs w:val="15"/>
                <w:color w:val="auto"/>
              </w:rPr>
            </w:pPr>
          </w:p>
        </w:tc>
        <w:tc>
          <w:tcPr>
            <w:tcW w:w="35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537"/>
        </w:trPr>
        <w:tc>
          <w:tcPr>
            <w:tcW w:w="4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080" w:type="dxa"/>
            <w:vAlign w:val="bottom"/>
          </w:tcPr>
          <w:p>
            <w:pPr>
              <w:spacing w:after="0"/>
              <w:rPr>
                <w:sz w:val="20"/>
                <w:szCs w:val="20"/>
                <w:color w:val="auto"/>
              </w:rPr>
            </w:pPr>
            <w:r>
              <w:rPr>
                <w:rFonts w:ascii="Courier New" w:cs="Courier New" w:eastAsia="Courier New" w:hAnsi="Courier New"/>
                <w:sz w:val="16"/>
                <w:szCs w:val="16"/>
                <w:color w:val="auto"/>
              </w:rPr>
              <w:t>/s/ Wilfred</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rPr>
              <w:t>V. Saint</w:t>
            </w:r>
          </w:p>
        </w:tc>
      </w:tr>
      <w:tr>
        <w:trPr>
          <w:trHeight w:val="179"/>
        </w:trPr>
        <w:tc>
          <w:tcPr>
            <w:tcW w:w="460" w:type="dxa"/>
            <w:vAlign w:val="bottom"/>
          </w:tcPr>
          <w:p>
            <w:pPr>
              <w:spacing w:after="0"/>
              <w:rPr>
                <w:sz w:val="15"/>
                <w:szCs w:val="15"/>
                <w:color w:val="auto"/>
              </w:rPr>
            </w:pPr>
          </w:p>
        </w:tc>
        <w:tc>
          <w:tcPr>
            <w:tcW w:w="35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Name:</w:t>
            </w:r>
          </w:p>
        </w:tc>
        <w:tc>
          <w:tcPr>
            <w:tcW w:w="3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Wilfred V. Saint</w:t>
            </w:r>
          </w:p>
        </w:tc>
      </w:tr>
      <w:tr>
        <w:trPr>
          <w:trHeight w:val="179"/>
        </w:trPr>
        <w:tc>
          <w:tcPr>
            <w:tcW w:w="1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Title: Associate</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Director Banking Products</w:t>
            </w:r>
          </w:p>
        </w:tc>
      </w:tr>
      <w:tr>
        <w:trPr>
          <w:trHeight w:val="179"/>
        </w:trPr>
        <w:tc>
          <w:tcPr>
            <w:tcW w:w="460" w:type="dxa"/>
            <w:vAlign w:val="bottom"/>
          </w:tcPr>
          <w:p>
            <w:pPr>
              <w:spacing w:after="0"/>
              <w:rPr>
                <w:sz w:val="15"/>
                <w:szCs w:val="15"/>
                <w:color w:val="auto"/>
              </w:rPr>
            </w:pPr>
          </w:p>
        </w:tc>
        <w:tc>
          <w:tcPr>
            <w:tcW w:w="10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Services,</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US</w:t>
            </w:r>
          </w:p>
        </w:tc>
      </w:tr>
    </w:tbl>
    <w:p>
      <w:pPr>
        <w:sectPr>
          <w:pgSz w:w="11900" w:h="16838" w:orient="portrait"/>
          <w:cols w:equalWidth="0" w:num="1">
            <w:col w:w="10219"/>
          </w:cols>
          <w:pgMar w:left="240" w:top="833" w:right="1440" w:bottom="1440" w:gutter="0" w:footer="0" w:header="0"/>
        </w:sectPr>
      </w:pPr>
    </w:p>
    <w:bookmarkStart w:id="109" w:name="page110"/>
    <w:bookmarkEnd w:id="109"/>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340"/>
        <w:spacing w:after="0"/>
        <w:tabs>
          <w:tab w:leader="none" w:pos="490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The Bank of New York</w:t>
      </w:r>
    </w:p>
    <w:p>
      <w:pPr>
        <w:ind w:left="3340"/>
        <w:spacing w:after="0" w:line="236" w:lineRule="auto"/>
        <w:rPr>
          <w:sz w:val="20"/>
          <w:szCs w:val="20"/>
          <w:color w:val="auto"/>
        </w:rPr>
      </w:pPr>
      <w:r>
        <w:rPr>
          <w:rFonts w:ascii="Courier New" w:cs="Courier New" w:eastAsia="Courier New" w:hAnsi="Courier New"/>
          <w:sz w:val="16"/>
          <w:szCs w:val="16"/>
          <w:color w:val="auto"/>
        </w:rPr>
        <w:t>Company Inc.</w:t>
      </w:r>
    </w:p>
    <w:p>
      <w:pPr>
        <w:spacing w:after="0" w:line="356"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John R. Ciulla</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John R. Ciulla</w:t>
      </w: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Authorized Signer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10" w:name="page111"/>
    <w:bookmarkEnd w:id="110"/>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jc w:val="center"/>
        <w:ind w:right="179"/>
        <w:spacing w:after="0"/>
        <w:tabs>
          <w:tab w:leader="none" w:pos="16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Fleet National Bank</w:t>
      </w:r>
    </w:p>
    <w:p>
      <w:pPr>
        <w:spacing w:after="0" w:line="355"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Michael D. Elwell</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Michael D. Elwell</w:t>
      </w: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11" w:name="page112"/>
    <w:bookmarkEnd w:id="111"/>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Name of Lender: SunTrust Bank</w:t>
      </w:r>
    </w:p>
    <w:p>
      <w:pPr>
        <w:spacing w:after="0" w:line="355"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Jeffrey Hauser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Jeffrey Hauser</w:t>
      </w: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Director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12" w:name="page113"/>
    <w:bookmarkEnd w:id="112"/>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340"/>
        <w:spacing w:after="0"/>
        <w:tabs>
          <w:tab w:leader="none" w:pos="490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Wachovia Bank,</w:t>
      </w:r>
    </w:p>
    <w:p>
      <w:pPr>
        <w:ind w:left="3340"/>
        <w:spacing w:after="0" w:line="236" w:lineRule="auto"/>
        <w:rPr>
          <w:sz w:val="20"/>
          <w:szCs w:val="20"/>
          <w:color w:val="auto"/>
        </w:rPr>
      </w:pPr>
      <w:r>
        <w:rPr>
          <w:rFonts w:ascii="Courier New" w:cs="Courier New" w:eastAsia="Courier New" w:hAnsi="Courier New"/>
          <w:sz w:val="16"/>
          <w:szCs w:val="16"/>
          <w:color w:val="auto"/>
        </w:rPr>
        <w:t>National Association</w:t>
      </w:r>
    </w:p>
    <w:p>
      <w:pPr>
        <w:spacing w:after="0" w:line="356"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John D. Brady</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John D. Brady</w:t>
      </w: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Director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13" w:name="page114"/>
    <w:bookmarkEnd w:id="113"/>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440"/>
        <w:spacing w:after="0"/>
        <w:tabs>
          <w:tab w:leader="none" w:pos="500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Bayerische Landesbank</w:t>
      </w:r>
    </w:p>
    <w:p>
      <w:pPr>
        <w:ind w:left="3440"/>
        <w:spacing w:after="0" w:line="236" w:lineRule="auto"/>
        <w:rPr>
          <w:sz w:val="20"/>
          <w:szCs w:val="20"/>
          <w:color w:val="auto"/>
        </w:rPr>
      </w:pPr>
      <w:r>
        <w:rPr>
          <w:rFonts w:ascii="Courier New" w:cs="Courier New" w:eastAsia="Courier New" w:hAnsi="Courier New"/>
          <w:sz w:val="16"/>
          <w:szCs w:val="16"/>
          <w:color w:val="auto"/>
        </w:rPr>
        <w:t>Cayman Islands Branch</w:t>
      </w:r>
    </w:p>
    <w:p>
      <w:pPr>
        <w:spacing w:after="0" w:line="356" w:lineRule="exact"/>
        <w:rPr>
          <w:sz w:val="20"/>
          <w:szCs w:val="20"/>
          <w:color w:val="auto"/>
        </w:rPr>
      </w:pPr>
    </w:p>
    <w:p>
      <w:pPr>
        <w:ind w:left="3440"/>
        <w:spacing w:after="0"/>
        <w:tabs>
          <w:tab w:leader="none" w:pos="38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Dietmar Rieg</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440"/>
        <w:spacing w:after="0"/>
        <w:tabs>
          <w:tab w:leader="none" w:pos="41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Dietmar Rieg</w:t>
      </w:r>
    </w:p>
    <w:p>
      <w:pPr>
        <w:ind w:left="3440"/>
        <w:spacing w:after="0"/>
        <w:tabs>
          <w:tab w:leader="none" w:pos="41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First Vice President</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ind w:left="3440"/>
        <w:spacing w:after="0"/>
        <w:tabs>
          <w:tab w:leader="none" w:pos="38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James H. Boyle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440"/>
        <w:spacing w:after="0"/>
        <w:tabs>
          <w:tab w:leader="none" w:pos="40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James H. Boyle</w:t>
      </w:r>
    </w:p>
    <w:p>
      <w:pPr>
        <w:ind w:left="3440"/>
        <w:spacing w:after="0"/>
        <w:tabs>
          <w:tab w:leader="none" w:pos="41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14" w:name="page115"/>
    <w:bookmarkEnd w:id="114"/>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540"/>
        <w:spacing w:after="0"/>
        <w:tabs>
          <w:tab w:leader="none" w:pos="510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U.S. Bank National</w:t>
      </w:r>
    </w:p>
    <w:p>
      <w:pPr>
        <w:ind w:left="3540"/>
        <w:spacing w:after="0" w:line="236" w:lineRule="auto"/>
        <w:rPr>
          <w:sz w:val="20"/>
          <w:szCs w:val="20"/>
          <w:color w:val="auto"/>
        </w:rPr>
      </w:pPr>
      <w:r>
        <w:rPr>
          <w:rFonts w:ascii="Courier New" w:cs="Courier New" w:eastAsia="Courier New" w:hAnsi="Courier New"/>
          <w:sz w:val="16"/>
          <w:szCs w:val="16"/>
          <w:color w:val="auto"/>
        </w:rPr>
        <w:t>Association</w:t>
      </w:r>
    </w:p>
    <w:p>
      <w:pPr>
        <w:spacing w:after="0" w:line="356" w:lineRule="exact"/>
        <w:rPr>
          <w:sz w:val="20"/>
          <w:szCs w:val="20"/>
          <w:color w:val="auto"/>
        </w:rPr>
      </w:pPr>
    </w:p>
    <w:p>
      <w:pPr>
        <w:ind w:left="3540"/>
        <w:spacing w:after="0"/>
        <w:tabs>
          <w:tab w:leader="none" w:pos="39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Jaycee A. Earll</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540"/>
        <w:spacing w:after="0"/>
        <w:tabs>
          <w:tab w:leader="none" w:pos="42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Jaycee A. Earll</w:t>
      </w:r>
    </w:p>
    <w:p>
      <w:pPr>
        <w:ind w:left="3540"/>
        <w:spacing w:after="0" w:line="236" w:lineRule="auto"/>
        <w:tabs>
          <w:tab w:leader="none" w:pos="4260" w:val="left"/>
        </w:tabs>
        <w:rPr>
          <w:sz w:val="20"/>
          <w:szCs w:val="20"/>
          <w:color w:val="auto"/>
        </w:rPr>
      </w:pPr>
      <w:r>
        <w:rPr>
          <w:rFonts w:ascii="Courier New" w:cs="Courier New" w:eastAsia="Courier New" w:hAnsi="Courier New"/>
          <w:sz w:val="16"/>
          <w:szCs w:val="16"/>
          <w:color w:val="auto"/>
        </w:rPr>
        <w:t>Title:</w:t>
        <w:tab/>
        <w:t>Vice President</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15" w:name="page116"/>
    <w:bookmarkEnd w:id="115"/>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340"/>
        <w:spacing w:after="0"/>
        <w:tabs>
          <w:tab w:leader="none" w:pos="490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UFJ Bank Limited</w:t>
      </w:r>
    </w:p>
    <w:p>
      <w:pPr>
        <w:spacing w:after="0" w:line="355"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Russell Bohner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Russell Bohner</w:t>
      </w: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16" w:name="page117"/>
    <w:bookmarkEnd w:id="116"/>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340"/>
        <w:spacing w:after="0"/>
        <w:tabs>
          <w:tab w:leader="none" w:pos="490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Manufacturers and Traders</w:t>
      </w:r>
    </w:p>
    <w:p>
      <w:pPr>
        <w:ind w:left="3340"/>
        <w:spacing w:after="0" w:line="236" w:lineRule="auto"/>
        <w:rPr>
          <w:sz w:val="20"/>
          <w:szCs w:val="20"/>
          <w:color w:val="auto"/>
        </w:rPr>
      </w:pPr>
      <w:r>
        <w:rPr>
          <w:rFonts w:ascii="Courier New" w:cs="Courier New" w:eastAsia="Courier New" w:hAnsi="Courier New"/>
          <w:sz w:val="16"/>
          <w:szCs w:val="16"/>
          <w:color w:val="auto"/>
        </w:rPr>
        <w:t>Trust Company</w:t>
      </w:r>
    </w:p>
    <w:p>
      <w:pPr>
        <w:spacing w:after="0" w:line="356"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W. Blake Hampson</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W. Blake Hampson</w:t>
      </w: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17" w:name="page118"/>
    <w:bookmarkEnd w:id="117"/>
    <w:p>
      <w:pPr>
        <w:ind w:right="295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Comcast Corporation and Comcast Cable Communications Holdings, Inc., as Co-Borrowers, each Lender, JPMorgan Chase Bank, as Administrative Agent and an Issuing Lender, Citibank, N.A., as Syndication Agent, and Bank of America, N.A., Barclays Bank PLC and Deutsche Bank Securities Inc., as Co-Documentation Agents.</w:t>
      </w:r>
    </w:p>
    <w:p>
      <w:pPr>
        <w:spacing w:after="0" w:line="200" w:lineRule="exact"/>
        <w:rPr>
          <w:sz w:val="20"/>
          <w:szCs w:val="20"/>
          <w:color w:val="auto"/>
        </w:rPr>
      </w:pPr>
    </w:p>
    <w:p>
      <w:pPr>
        <w:spacing w:after="0" w:line="335" w:lineRule="exact"/>
        <w:rPr>
          <w:sz w:val="20"/>
          <w:szCs w:val="20"/>
          <w:color w:val="auto"/>
        </w:rPr>
      </w:pPr>
    </w:p>
    <w:p>
      <w:pPr>
        <w:ind w:left="3340"/>
        <w:spacing w:after="0"/>
        <w:tabs>
          <w:tab w:leader="none" w:pos="4900" w:val="left"/>
        </w:tabs>
        <w:rPr>
          <w:sz w:val="20"/>
          <w:szCs w:val="20"/>
          <w:color w:val="auto"/>
        </w:rPr>
      </w:pPr>
      <w:r>
        <w:rPr>
          <w:rFonts w:ascii="Courier New" w:cs="Courier New" w:eastAsia="Courier New" w:hAnsi="Courier New"/>
          <w:sz w:val="16"/>
          <w:szCs w:val="16"/>
          <w:color w:val="auto"/>
        </w:rPr>
        <w:t>Name of Lender:</w:t>
      </w:r>
      <w:r>
        <w:rPr>
          <w:sz w:val="20"/>
          <w:szCs w:val="20"/>
          <w:color w:val="auto"/>
        </w:rPr>
        <w:tab/>
      </w:r>
      <w:r>
        <w:rPr>
          <w:rFonts w:ascii="Courier New" w:cs="Courier New" w:eastAsia="Courier New" w:hAnsi="Courier New"/>
          <w:sz w:val="14"/>
          <w:szCs w:val="14"/>
          <w:color w:val="auto"/>
        </w:rPr>
        <w:t>First Tennessee Bank</w:t>
      </w:r>
    </w:p>
    <w:p>
      <w:pPr>
        <w:ind w:left="3340"/>
        <w:spacing w:after="0" w:line="236" w:lineRule="auto"/>
        <w:rPr>
          <w:sz w:val="20"/>
          <w:szCs w:val="20"/>
          <w:color w:val="auto"/>
        </w:rPr>
      </w:pPr>
      <w:r>
        <w:rPr>
          <w:rFonts w:ascii="Courier New" w:cs="Courier New" w:eastAsia="Courier New" w:hAnsi="Courier New"/>
          <w:sz w:val="16"/>
          <w:szCs w:val="16"/>
          <w:color w:val="auto"/>
        </w:rPr>
        <w:t>National Association</w:t>
      </w:r>
    </w:p>
    <w:p>
      <w:pPr>
        <w:spacing w:after="0" w:line="356" w:lineRule="exact"/>
        <w:rPr>
          <w:sz w:val="20"/>
          <w:szCs w:val="20"/>
          <w:color w:val="auto"/>
        </w:rPr>
      </w:pPr>
    </w:p>
    <w:p>
      <w:pPr>
        <w:ind w:left="334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James H. Atchley</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James H. Atchley</w:t>
      </w:r>
    </w:p>
    <w:p>
      <w:pPr>
        <w:ind w:left="3340"/>
        <w:spacing w:after="0"/>
        <w:tabs>
          <w:tab w:leader="none" w:pos="40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Senior Vice President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118" w:name="page119"/>
    <w:bookmarkEnd w:id="118"/>
    <w:p>
      <w:pPr>
        <w:jc w:val="right"/>
        <w:ind w:right="2779"/>
        <w:spacing w:after="0"/>
        <w:rPr>
          <w:sz w:val="20"/>
          <w:szCs w:val="20"/>
          <w:color w:val="auto"/>
        </w:rPr>
      </w:pPr>
      <w:r>
        <w:rPr>
          <w:rFonts w:ascii="Courier New" w:cs="Courier New" w:eastAsia="Courier New" w:hAnsi="Courier New"/>
          <w:sz w:val="16"/>
          <w:szCs w:val="16"/>
          <w:color w:val="auto"/>
        </w:rPr>
        <w:t>Exhibit 10.1</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INSURANCE PREMIUM TERMINATION AGREEMENT</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This is an Insurance Premium Termination Agreement ("Agreement") by and between Comcast Corporation ("Comcast") and Ralph J. Roberts (the "Employee"), effective as of January 30, 2004.</w:t>
      </w:r>
    </w:p>
    <w:p>
      <w:pPr>
        <w:spacing w:after="0" w:line="183"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WHEREAS, Comcast and the Employee are parties to a Compensation Agreement in effect as of the date hereof, which requires that Comcast continue to provide and to maintain the split-dollar life insurance provided to the Employee under previous agreements, and in addition to provide additional survivorship split-dollar life insurance to the Employee and his spouse (collectively "Employee's split-dollar life insurance policies");</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WHEREAS, because of concerns raised by the Sarbanes-Oxley Act of 2002 relating to prohibitions on loans to executive officers, as of July 30, 2002, Comcast ceased to pay that portion of the premiums associated with the Employee's split-dollar life insurance policies which would have represented Comcast's investment therein;</w:t>
      </w:r>
    </w:p>
    <w:p>
      <w:pPr>
        <w:spacing w:after="0" w:line="186"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WHEREAS, Comcast has determined that based on reasonable interest and mortality assumptions, Comcast will save $14,572,551 if it is relieved from its obligation to pay that portion of the premiums associated with the Employee's split-dollar life insurance policies which would represent Comcast's investment therein retroactively to July 30, 2002, and prospectively, as hereinafter provided;</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WHEREAS, based on the closing price for Class A Common stock of Comcast Corporation on January 30, 2004, 423,347 shares have a fair market value of $14,572,551; and</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WHEREAS, Comcast and the Employee wish to terminate Comcast's contractual obligation to pay that portion of the premiums associated with the Employee's split-dollar life insurance policies which would represent Comcast's investment therein, effective as of July 30, 2002, subject to the following terms and conditions;</w:t>
      </w:r>
    </w:p>
    <w:p>
      <w:pPr>
        <w:spacing w:after="0" w:line="186"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NOW, THEREFORE, intending to be legally bound hereby, and in consideration of the premises and of the mutual promises contained herein, the parties hereto agree as follows:</w:t>
      </w:r>
    </w:p>
    <w:p>
      <w:pPr>
        <w:spacing w:after="0" w:line="183" w:lineRule="exact"/>
        <w:rPr>
          <w:sz w:val="20"/>
          <w:szCs w:val="20"/>
          <w:color w:val="auto"/>
        </w:rPr>
      </w:pPr>
    </w:p>
    <w:p>
      <w:pPr>
        <w:ind w:right="2779" w:firstLine="833"/>
        <w:spacing w:after="0" w:line="273" w:lineRule="auto"/>
        <w:tabs>
          <w:tab w:leader="none" w:pos="1116"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Comcast Premium Payment Obligation. The Employee waives and relinquishes his right to enforce Comcast's contractual obligation to pay that portion of the premiums associated with the Employee's split-dollar life insurance policies which would have represented Comcast's investment therein for the period commencing on July 30, 2002 and ending on January 30, 2004, and Comcast's contractual obligation to pay that portion of the premiums associated with the Employee's split-dollar life insurance policies which would have represented Comcast's investment therein that Comcast would, but for this Agreement, become contractually obligated to pay on and after January 30, 2004.</w:t>
      </w:r>
    </w:p>
    <w:p>
      <w:pPr>
        <w:spacing w:after="0" w:line="165" w:lineRule="exact"/>
        <w:rPr>
          <w:rFonts w:ascii="Courier New" w:cs="Courier New" w:eastAsia="Courier New" w:hAnsi="Courier New"/>
          <w:sz w:val="14"/>
          <w:szCs w:val="14"/>
          <w:color w:val="auto"/>
        </w:rPr>
      </w:pPr>
    </w:p>
    <w:p>
      <w:pPr>
        <w:ind w:right="2779" w:firstLine="833"/>
        <w:spacing w:after="0" w:line="235" w:lineRule="auto"/>
        <w:tabs>
          <w:tab w:leader="none" w:pos="1116"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Consideration for Termination of Comcast Premium Payment Obligation. In exchange for the Employee's waiver of Comcast's contractual obligations as described in Paragraph 1, pursuant to the Comcast Corporation 2002 Restricted Stock Plan (as amended and restated, effective January 30, 2004) (the "Restricted Stock Plan") Comcast grants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423,347 Restricted Stock Units for the Class A Common Stock of Comcast Corporation in the form of the Restricted Stock Unit Award attached as Exhibit A to this Agreement.</w:t>
      </w:r>
    </w:p>
    <w:p>
      <w:pPr>
        <w:spacing w:after="0" w:line="183" w:lineRule="exact"/>
        <w:rPr>
          <w:sz w:val="20"/>
          <w:szCs w:val="20"/>
          <w:color w:val="auto"/>
        </w:rPr>
      </w:pPr>
    </w:p>
    <w:p>
      <w:pPr>
        <w:ind w:right="2879" w:firstLine="833"/>
        <w:spacing w:after="0" w:line="235" w:lineRule="auto"/>
        <w:tabs>
          <w:tab w:leader="none" w:pos="1116"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Assurances. Comcast and the Employee agree to cooperate and execute such other documents, if any, as may be reasonably necessary to effect the transactions described in this agreement.</w:t>
      </w:r>
    </w:p>
    <w:p>
      <w:pPr>
        <w:spacing w:after="0" w:line="183" w:lineRule="exact"/>
        <w:rPr>
          <w:rFonts w:ascii="Courier New" w:cs="Courier New" w:eastAsia="Courier New" w:hAnsi="Courier New"/>
          <w:sz w:val="16"/>
          <w:szCs w:val="16"/>
          <w:color w:val="auto"/>
        </w:rPr>
      </w:pPr>
    </w:p>
    <w:p>
      <w:pPr>
        <w:ind w:right="2879" w:firstLine="833"/>
        <w:spacing w:after="0" w:line="235" w:lineRule="auto"/>
        <w:tabs>
          <w:tab w:leader="none" w:pos="1116"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Not to Affect Employment. This Agreement shall not confer upon the Employee any right to continue in the employment of Comcast or any subsidiary or affiliate of Comcast.</w:t>
      </w:r>
    </w:p>
    <w:p>
      <w:pPr>
        <w:spacing w:after="0" w:line="177" w:lineRule="exact"/>
        <w:rPr>
          <w:rFonts w:ascii="Courier New" w:cs="Courier New" w:eastAsia="Courier New" w:hAnsi="Courier New"/>
          <w:sz w:val="16"/>
          <w:szCs w:val="16"/>
          <w:color w:val="auto"/>
        </w:rPr>
      </w:pPr>
    </w:p>
    <w:p>
      <w:pPr>
        <w:ind w:left="1120" w:hanging="287"/>
        <w:spacing w:after="0"/>
        <w:tabs>
          <w:tab w:leader="none" w:pos="11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82" w:lineRule="exact"/>
        <w:rPr>
          <w:rFonts w:ascii="Courier New" w:cs="Courier New" w:eastAsia="Courier New" w:hAnsi="Courier New"/>
          <w:sz w:val="16"/>
          <w:szCs w:val="16"/>
          <w:color w:val="auto"/>
        </w:rPr>
      </w:pPr>
    </w:p>
    <w:p>
      <w:pPr>
        <w:ind w:right="2779" w:firstLine="1670"/>
        <w:spacing w:after="0" w:line="295" w:lineRule="auto"/>
        <w:tabs>
          <w:tab w:leader="none" w:pos="2047"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executed in one or more counterparts all of which taken together will constitute one and the same instrument.</w:t>
      </w:r>
    </w:p>
    <w:p>
      <w:pPr>
        <w:spacing w:after="0" w:line="146" w:lineRule="exact"/>
        <w:rPr>
          <w:rFonts w:ascii="Courier New" w:cs="Courier New" w:eastAsia="Courier New" w:hAnsi="Courier New"/>
          <w:sz w:val="14"/>
          <w:szCs w:val="14"/>
          <w:color w:val="auto"/>
        </w:rPr>
      </w:pPr>
    </w:p>
    <w:p>
      <w:pPr>
        <w:ind w:right="2779" w:firstLine="1670"/>
        <w:spacing w:after="0" w:line="235" w:lineRule="auto"/>
        <w:tabs>
          <w:tab w:leader="none" w:pos="2047"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validity, performance, construction and effect of this Agreement shall be governed by the laws of the Commonwealth of Pennsylvania, without giving effect to principles of conflicts of law.</w:t>
      </w:r>
    </w:p>
    <w:p>
      <w:pPr>
        <w:spacing w:after="0" w:line="183" w:lineRule="exact"/>
        <w:rPr>
          <w:sz w:val="20"/>
          <w:szCs w:val="20"/>
          <w:color w:val="auto"/>
        </w:rPr>
      </w:pPr>
    </w:p>
    <w:p>
      <w:pPr>
        <w:ind w:right="3519" w:firstLine="837"/>
        <w:spacing w:after="0" w:line="234" w:lineRule="auto"/>
        <w:rPr>
          <w:sz w:val="20"/>
          <w:szCs w:val="20"/>
          <w:color w:val="auto"/>
        </w:rPr>
      </w:pPr>
      <w:r>
        <w:rPr>
          <w:rFonts w:ascii="Courier New" w:cs="Courier New" w:eastAsia="Courier New" w:hAnsi="Courier New"/>
          <w:sz w:val="16"/>
          <w:szCs w:val="16"/>
          <w:color w:val="auto"/>
        </w:rPr>
        <w:t>IN WITNESS WHEREOF, Comcast and the Employee have executed this Agreement as of the date written below.</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COMCAST CORPORATION</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Lawrence S. Smith</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ATTEST: /s/ Arthur R. Block</w:t>
      </w:r>
    </w:p>
    <w:p>
      <w:pPr>
        <w:sectPr>
          <w:pgSz w:w="11900" w:h="16838" w:orient="portrait"/>
          <w:cols w:equalWidth="0" w:num="1">
            <w:col w:w="10219"/>
          </w:cols>
          <w:pgMar w:left="240" w:top="135" w:right="1440" w:bottom="0" w:gutter="0" w:footer="0" w:header="0"/>
        </w:sectPr>
      </w:pPr>
    </w:p>
    <w:bookmarkStart w:id="119" w:name="page120"/>
    <w:bookmarkEnd w:id="119"/>
    <w:p>
      <w:pPr>
        <w:ind w:left="242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1/30/2004</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[Date]</w:t>
      </w:r>
    </w:p>
    <w:p>
      <w:pPr>
        <w:spacing w:after="0" w:line="177"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RALPH J. ROBERTS</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[Signature]</w:t>
      </w:r>
    </w:p>
    <w:p>
      <w:pPr>
        <w:spacing w:after="0" w:line="177"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1/30/2004</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[Date]</w:t>
      </w:r>
    </w:p>
    <w:p>
      <w:pPr>
        <w:sectPr>
          <w:pgSz w:w="11900" w:h="16838" w:orient="portrait"/>
          <w:cols w:equalWidth="0" w:num="1">
            <w:col w:w="9019"/>
          </w:cols>
          <w:pgMar w:left="1440" w:top="142" w:right="1440" w:bottom="1440" w:gutter="0" w:footer="0" w:header="0"/>
        </w:sectPr>
      </w:pPr>
    </w:p>
    <w:bookmarkStart w:id="120" w:name="page121"/>
    <w:bookmarkEnd w:id="120"/>
    <w:p>
      <w:pPr>
        <w:jc w:val="right"/>
        <w:ind w:right="2779"/>
        <w:spacing w:after="0"/>
        <w:rPr>
          <w:sz w:val="20"/>
          <w:szCs w:val="20"/>
          <w:color w:val="auto"/>
        </w:rPr>
      </w:pPr>
      <w:r>
        <w:rPr>
          <w:rFonts w:ascii="Courier New" w:cs="Courier New" w:eastAsia="Courier New" w:hAnsi="Courier New"/>
          <w:sz w:val="16"/>
          <w:szCs w:val="16"/>
          <w:color w:val="auto"/>
        </w:rPr>
        <w:t>Exhibit 10.2</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EMPLOYMENT AGREEMENT</w:t>
      </w:r>
    </w:p>
    <w:p>
      <w:pPr>
        <w:ind w:left="278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This EMPLOYMENT AGREEMENT is made as of the 1st day of January, 2004, between COMCAST CORPORATION, a Pennsylvania corporation (together with its subsidiaries, the "Company"), and STEPHEN B. BURKE ("Employee").</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BACKGROUND</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Employee desires to have Employee's employment relationship with the Company be governed by the terms and conditions of this Agreement, which include material benefits favorable to the Employee. In return for such favorable benefits, Employee is agreeing to the terms and conditions contained in this Agreement which include material obligations on Employee.</w:t>
      </w:r>
    </w:p>
    <w:p>
      <w:pPr>
        <w:spacing w:after="0" w:line="180"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AGREEMENT</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Intending to be legally bound, the Company and Employee agree as</w:t>
      </w:r>
    </w:p>
    <w:p>
      <w:pPr>
        <w:spacing w:after="0" w:line="236" w:lineRule="auto"/>
        <w:rPr>
          <w:sz w:val="20"/>
          <w:szCs w:val="20"/>
          <w:color w:val="auto"/>
        </w:rPr>
      </w:pPr>
      <w:r>
        <w:rPr>
          <w:rFonts w:ascii="Courier New" w:cs="Courier New" w:eastAsia="Courier New" w:hAnsi="Courier New"/>
          <w:sz w:val="16"/>
          <w:szCs w:val="16"/>
          <w:color w:val="auto"/>
        </w:rPr>
        <w:t>follows:</w:t>
      </w:r>
    </w:p>
    <w:p>
      <w:pPr>
        <w:spacing w:after="0" w:line="177" w:lineRule="exact"/>
        <w:rPr>
          <w:sz w:val="20"/>
          <w:szCs w:val="20"/>
          <w:color w:val="auto"/>
        </w:rPr>
      </w:pPr>
    </w:p>
    <w:p>
      <w:pPr>
        <w:ind w:left="1120" w:hanging="287"/>
        <w:spacing w:after="0"/>
        <w:tabs>
          <w:tab w:leader="none" w:pos="112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Position and Duties.</w:t>
      </w:r>
    </w:p>
    <w:p>
      <w:pPr>
        <w:spacing w:after="0" w:line="182" w:lineRule="exact"/>
        <w:rPr>
          <w:rFonts w:ascii="Courier New" w:cs="Courier New" w:eastAsia="Courier New" w:hAnsi="Courier New"/>
          <w:sz w:val="16"/>
          <w:szCs w:val="16"/>
          <w:color w:val="auto"/>
        </w:rPr>
      </w:pPr>
    </w:p>
    <w:p>
      <w:pPr>
        <w:ind w:right="2779" w:firstLine="1670"/>
        <w:spacing w:after="0" w:line="276" w:lineRule="auto"/>
        <w:tabs>
          <w:tab w:leader="none" w:pos="2047"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shall serve and the Company shall employ Employee in the position set forth on Schedule 1. Employee shall report directly to Brian L. Roberts, President of the Company, in Philadelphia, Pennsylvania. The duties of Employee will be those assigned by Brian L. Roberts from time to time commensurate with Employee's education, skills and experience.</w:t>
      </w:r>
    </w:p>
    <w:p>
      <w:pPr>
        <w:spacing w:after="0" w:line="161" w:lineRule="exact"/>
        <w:rPr>
          <w:rFonts w:ascii="Courier New" w:cs="Courier New" w:eastAsia="Courier New" w:hAnsi="Courier New"/>
          <w:sz w:val="14"/>
          <w:szCs w:val="14"/>
          <w:color w:val="auto"/>
        </w:rPr>
      </w:pPr>
    </w:p>
    <w:p>
      <w:pPr>
        <w:ind w:right="2779" w:firstLine="1670"/>
        <w:spacing w:after="0" w:line="272" w:lineRule="auto"/>
        <w:tabs>
          <w:tab w:leader="none" w:pos="2047"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shall work full-time and devote Employee's reasonable best efforts to the business of the Company in a manner which will further the interests of the Company. Without the prior written consent of the Company, Employee shall not, directly or indirectly, work for or on behalf of any person or business, other than the Company. Nothing herein shall restrict Employee from engaging in non-compensatory civic and charitable activities with the consent of the Company, which consent shall not be unreasonably withheld or delayed. The Company shall be entitled to receive and own all of the results and proceeds of Employee's services hereunder (including, without limitation, inventions, patent rights, copyrights, trademark rights, literary material and any other intellectual property) produced or created by Employee during the Term (as defined in Paragraph 2). Employee will, at the request of the Company, execute such instruments as the Company may from time to time deem necessary or desirable to evidence, establish, maintain, protect, enforce and defend its right or title in or to any such items.</w:t>
      </w:r>
    </w:p>
    <w:p>
      <w:pPr>
        <w:spacing w:after="0" w:line="345" w:lineRule="exact"/>
        <w:rPr>
          <w:rFonts w:ascii="Courier New" w:cs="Courier New" w:eastAsia="Courier New" w:hAnsi="Courier New"/>
          <w:sz w:val="14"/>
          <w:szCs w:val="14"/>
          <w:color w:val="auto"/>
        </w:rPr>
      </w:pPr>
    </w:p>
    <w:p>
      <w:pPr>
        <w:jc w:val="both"/>
        <w:ind w:right="2779" w:firstLine="833"/>
        <w:spacing w:after="0" w:line="270" w:lineRule="auto"/>
        <w:tabs>
          <w:tab w:leader="none" w:pos="1116"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The term of this Agreement (the "Term") shall be from the date first-above written (the "Commencement Date") through the first to occur of: (i) the date this Agreement is terminated in accordance with Paragraph 6; or (ii)</w:t>
      </w:r>
    </w:p>
    <w:p>
      <w:pPr>
        <w:spacing w:after="0" w:line="1" w:lineRule="exact"/>
        <w:rPr>
          <w:rFonts w:ascii="Courier New" w:cs="Courier New" w:eastAsia="Courier New" w:hAnsi="Courier New"/>
          <w:sz w:val="14"/>
          <w:szCs w:val="14"/>
          <w:color w:val="auto"/>
        </w:rPr>
      </w:pPr>
    </w:p>
    <w:p>
      <w:pPr>
        <w:ind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December 31, 2008. Notwithstanding the end of the Term, certain provisions of this Agreement, including, but not limited to, any payments to be made after the Term and the covenants contained in Paragraph 8, shall be enforceable after the end of the Term.</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7" w:lineRule="exact"/>
        <w:rPr>
          <w:rFonts w:ascii="Courier New" w:cs="Courier New" w:eastAsia="Courier New" w:hAnsi="Courier New"/>
          <w:sz w:val="14"/>
          <w:szCs w:val="14"/>
          <w:color w:val="auto"/>
        </w:rPr>
      </w:pPr>
    </w:p>
    <w:p>
      <w:pPr>
        <w:ind w:left="1120" w:hanging="287"/>
        <w:spacing w:after="0"/>
        <w:tabs>
          <w:tab w:leader="none" w:pos="112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w:t>
      </w:r>
    </w:p>
    <w:p>
      <w:pPr>
        <w:spacing w:after="0" w:line="182" w:lineRule="exact"/>
        <w:rPr>
          <w:rFonts w:ascii="Courier New" w:cs="Courier New" w:eastAsia="Courier New" w:hAnsi="Courier New"/>
          <w:sz w:val="16"/>
          <w:szCs w:val="16"/>
          <w:color w:val="auto"/>
        </w:rPr>
      </w:pPr>
    </w:p>
    <w:p>
      <w:pPr>
        <w:ind w:right="2879" w:firstLine="1670"/>
        <w:spacing w:after="0" w:line="275" w:lineRule="auto"/>
        <w:tabs>
          <w:tab w:leader="none" w:pos="2047"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Employee's salary from the Commencement Date through December 31, 2004 shall be at the annual rate set forth on Schedule 1 ("Base Salary"). Base Salary, less normal deductions, shall be paid to Employee in accordance with the Company's regular payroll practices in effect from time to time. Base Salary shall be increased for each subsequent calendar year (or portion thereof) in the Term as set forth on Schedule 1.</w:t>
      </w:r>
    </w:p>
    <w:p>
      <w:pPr>
        <w:spacing w:after="0" w:line="161" w:lineRule="exact"/>
        <w:rPr>
          <w:rFonts w:ascii="Courier New" w:cs="Courier New" w:eastAsia="Courier New" w:hAnsi="Courier New"/>
          <w:sz w:val="14"/>
          <w:szCs w:val="14"/>
          <w:color w:val="auto"/>
        </w:rPr>
      </w:pPr>
    </w:p>
    <w:p>
      <w:pPr>
        <w:ind w:right="2779" w:firstLine="1670"/>
        <w:spacing w:after="0" w:line="295" w:lineRule="auto"/>
        <w:tabs>
          <w:tab w:leader="none" w:pos="2047"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Bonus/Restricted Stock Grants. Employee shall receive cash bonus/restricted stock grants on the terms set forth in Schedule 1.</w:t>
      </w:r>
    </w:p>
    <w:p>
      <w:pPr>
        <w:spacing w:after="0" w:line="146" w:lineRule="exact"/>
        <w:rPr>
          <w:rFonts w:ascii="Courier New" w:cs="Courier New" w:eastAsia="Courier New" w:hAnsi="Courier New"/>
          <w:sz w:val="14"/>
          <w:szCs w:val="14"/>
          <w:color w:val="auto"/>
        </w:rPr>
      </w:pPr>
    </w:p>
    <w:p>
      <w:pPr>
        <w:ind w:right="3239" w:firstLine="1670"/>
        <w:spacing w:after="0" w:line="234" w:lineRule="auto"/>
        <w:tabs>
          <w:tab w:leader="none" w:pos="2047"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All compensation under this Agreement is subject to applicable tax withholding requirements.</w:t>
      </w:r>
    </w:p>
    <w:p>
      <w:pPr>
        <w:spacing w:after="0" w:line="183"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162(m). If any part of the total compensation paid to Employee for the Company's taxable year in which such compensation would be paid would not be deductible by the Company for federal income tax purposes by reason of the limitation in Section 162(m) of the Internal Revenue Code of 1986, as amended, the compensation payable in such taxable year shall be paid only to the extent so deductible, assuming that it was the last compensation paid during such taxable year. The balance of the compensation shall be added to an unfunded account maintained on behalf of Employee substantially equivalent to those under the Company's Deferred Compensation Plan, to be paid to Employee in a subsequent tax year as if it were defined in accordance with the terms of the Deferred Compensation Plan and this subparagraph. The application or potential application of such Section 162(m) shall be determined in good faith by the Company based on available information prior to the date on which any compensation would otherwise be paid. The provisions of the subparagraph may be waived from time to time, in whole or in part, with the prior consent of the Company.</w:t>
      </w:r>
    </w:p>
    <w:p>
      <w:pPr>
        <w:sectPr>
          <w:pgSz w:w="11900" w:h="16838" w:orient="portrait"/>
          <w:cols w:equalWidth="0" w:num="1">
            <w:col w:w="10219"/>
          </w:cols>
          <w:pgMar w:left="240" w:top="135" w:right="1440" w:bottom="0" w:gutter="0" w:footer="0" w:header="0"/>
        </w:sectPr>
      </w:pPr>
    </w:p>
    <w:bookmarkStart w:id="121" w:name="page122"/>
    <w:bookmarkEnd w:id="121"/>
    <w:p>
      <w:pPr>
        <w:ind w:left="-833" w:right="2779" w:firstLine="833"/>
        <w:spacing w:after="0" w:line="272" w:lineRule="auto"/>
        <w:tabs>
          <w:tab w:leader="none" w:pos="284"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Benefits. Employee shall be entitled to participate in the Company's benefit plans and programs (including deferred compensation, relocation benefits, group insurance programs, vacation benefits and applicable directors and officers liability insurance and indemnification and advancement of expenses provisions relating to claims made by third parties against Employee in Employee's role as an employee, officer or director of the Company), on the same terms and at the same cost to the Company and Employee as the Company's other executives at Employee's level receive from time to time, in accordance with the terms of such plans and programs. Nothing in this Agreement shall limit the Company's right to modify or discontinue any plans or programs at any time, provided no such action may adversely affect any vested rights of Employee thereunder. The provisions of this Paragraph 4 shall not apply to benefits and programs (including, without limitation, salary continuation) addressed in this Agreement, in which case the applicable terms of this Agreement shall apply.</w:t>
      </w:r>
    </w:p>
    <w:p>
      <w:pPr>
        <w:spacing w:after="0" w:line="346" w:lineRule="exact"/>
        <w:rPr>
          <w:rFonts w:ascii="Courier New" w:cs="Courier New" w:eastAsia="Courier New" w:hAnsi="Courier New"/>
          <w:sz w:val="14"/>
          <w:szCs w:val="14"/>
          <w:color w:val="auto"/>
        </w:rPr>
      </w:pPr>
    </w:p>
    <w:p>
      <w:pPr>
        <w:ind w:left="-833" w:right="2959" w:firstLine="833"/>
        <w:spacing w:after="0" w:line="235" w:lineRule="auto"/>
        <w:tabs>
          <w:tab w:leader="none" w:pos="28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Expenses. The Company shall pay or reimburse Employee for reasonable travel, entertainment and other expenses incurred by Employee in connection with the performance of Employee's duties upon receipt of vouchers therefor submitted to the Company</w:t>
      </w:r>
    </w:p>
    <w:p>
      <w:pPr>
        <w:ind w:left="2787"/>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387"/>
          </w:cols>
          <w:pgMar w:left="1073" w:top="142" w:right="1440" w:bottom="1440" w:gutter="0" w:footer="0" w:header="0"/>
        </w:sectPr>
      </w:pPr>
    </w:p>
    <w:bookmarkStart w:id="122" w:name="page123"/>
    <w:bookmarkEnd w:id="122"/>
    <w:p>
      <w:pPr>
        <w:ind w:right="2779"/>
        <w:spacing w:after="0" w:line="234" w:lineRule="auto"/>
        <w:rPr>
          <w:sz w:val="20"/>
          <w:szCs w:val="20"/>
          <w:color w:val="auto"/>
        </w:rPr>
      </w:pPr>
      <w:r>
        <w:rPr>
          <w:rFonts w:ascii="Courier New" w:cs="Courier New" w:eastAsia="Courier New" w:hAnsi="Courier New"/>
          <w:sz w:val="16"/>
          <w:szCs w:val="16"/>
          <w:color w:val="auto"/>
        </w:rPr>
        <w:t>on a timely basis and in accordance with the Company's regular procedures and practices in effect from time to time.</w:t>
      </w:r>
    </w:p>
    <w:p>
      <w:pPr>
        <w:spacing w:after="0" w:line="362" w:lineRule="exact"/>
        <w:rPr>
          <w:sz w:val="20"/>
          <w:szCs w:val="20"/>
          <w:color w:val="auto"/>
        </w:rPr>
      </w:pPr>
    </w:p>
    <w:p>
      <w:pPr>
        <w:ind w:right="2879" w:firstLine="833"/>
        <w:spacing w:after="0" w:line="235" w:lineRule="auto"/>
        <w:tabs>
          <w:tab w:leader="none" w:pos="1116"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The Company or Employee may terminate Employee's employment and the Company's obligations or liabilities under this Agreement, excluding any obligations the Company may have under Paragraph 7, in any of the following circumstances:</w:t>
      </w:r>
    </w:p>
    <w:p>
      <w:pPr>
        <w:spacing w:after="0" w:line="178" w:lineRule="exact"/>
        <w:rPr>
          <w:rFonts w:ascii="Courier New" w:cs="Courier New" w:eastAsia="Courier New" w:hAnsi="Courier New"/>
          <w:sz w:val="16"/>
          <w:szCs w:val="16"/>
          <w:color w:val="auto"/>
        </w:rPr>
      </w:pPr>
    </w:p>
    <w:p>
      <w:pPr>
        <w:ind w:left="2040" w:hanging="370"/>
        <w:spacing w:after="0"/>
        <w:tabs>
          <w:tab w:leader="none" w:pos="2040"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of Employee. In the event of Employee's death.</w:t>
      </w:r>
    </w:p>
    <w:p>
      <w:pPr>
        <w:spacing w:after="0" w:line="182"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In the event Employee becomes substantially unable to perform Employee's duties hereunder due to partial or total disability or incapacity resulting from a mental or physical illness, injury or other health-related cause ("Disability") for a period of nine (9) consecutive months or for a cumulative period of fifty-two (52) weeks during the term of this Agreement.</w:t>
      </w:r>
    </w:p>
    <w:p>
      <w:pPr>
        <w:spacing w:after="0" w:line="182" w:lineRule="exact"/>
        <w:rPr>
          <w:rFonts w:ascii="Courier New" w:cs="Courier New" w:eastAsia="Courier New" w:hAnsi="Courier New"/>
          <w:sz w:val="16"/>
          <w:szCs w:val="16"/>
          <w:color w:val="auto"/>
        </w:rPr>
      </w:pPr>
    </w:p>
    <w:p>
      <w:pPr>
        <w:ind w:right="3239" w:firstLine="1670"/>
        <w:spacing w:after="0" w:line="234" w:lineRule="auto"/>
        <w:tabs>
          <w:tab w:leader="none" w:pos="2047"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Discharge With Cause by the Company or Termination by Employee Without Good Reason.</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2"/>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terminate this Agreement in any</w:t>
      </w:r>
    </w:p>
    <w:p>
      <w:pPr>
        <w:spacing w:after="0" w:line="3" w:lineRule="exact"/>
        <w:rPr>
          <w:rFonts w:ascii="Courier New" w:cs="Courier New" w:eastAsia="Courier New" w:hAnsi="Courier New"/>
          <w:sz w:val="16"/>
          <w:szCs w:val="16"/>
          <w:color w:val="auto"/>
        </w:rPr>
      </w:pPr>
    </w:p>
    <w:p>
      <w:pPr>
        <w:ind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following events ("Discharge With Cause"): Employee's fraud; misappropriation; embezzlement; gross negligence in the performance of Employee's duties; self-dealing; dishonesty; misrepresentation; conviction of a crime of a felony; material violation of any Company policy; material violation of the Company's Code of Ethics and Business Conduct; or material breach of any provision of this Agreement (which, as to the last three items, if capable of being cured, shall remain uncured following thirty (30) days written notice thereof).</w:t>
      </w:r>
    </w:p>
    <w:p>
      <w:pPr>
        <w:spacing w:after="0" w:line="184" w:lineRule="exact"/>
        <w:rPr>
          <w:rFonts w:ascii="Courier New" w:cs="Courier New" w:eastAsia="Courier New" w:hAnsi="Courier New"/>
          <w:sz w:val="16"/>
          <w:szCs w:val="16"/>
          <w:color w:val="auto"/>
        </w:rPr>
      </w:pPr>
    </w:p>
    <w:p>
      <w:pPr>
        <w:ind w:right="3059" w:firstLine="2507"/>
        <w:spacing w:after="0" w:line="235" w:lineRule="auto"/>
        <w:tabs>
          <w:tab w:leader="none" w:pos="2977" w:val="left"/>
        </w:tabs>
        <w:numPr>
          <w:ilvl w:val="2"/>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may terminate this Agreement without Good Reason (as defined in subparagraph (d)(ii) below) at any time ("Without Good Reason").</w:t>
      </w:r>
    </w:p>
    <w:p>
      <w:pPr>
        <w:spacing w:after="0" w:line="183" w:lineRule="exact"/>
        <w:rPr>
          <w:rFonts w:ascii="Courier New" w:cs="Courier New" w:eastAsia="Courier New" w:hAnsi="Courier New"/>
          <w:sz w:val="16"/>
          <w:szCs w:val="16"/>
          <w:color w:val="auto"/>
        </w:rPr>
      </w:pPr>
    </w:p>
    <w:p>
      <w:pPr>
        <w:ind w:right="2959" w:firstLine="1670"/>
        <w:spacing w:after="0" w:line="234" w:lineRule="auto"/>
        <w:tabs>
          <w:tab w:leader="none" w:pos="2047"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Discharge Without Cause by the Company or Termination by Employee With Good Reason.</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2"/>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terminate this Agreement other</w:t>
      </w:r>
    </w:p>
    <w:p>
      <w:pPr>
        <w:spacing w:after="0" w:line="3" w:lineRule="exact"/>
        <w:rPr>
          <w:rFonts w:ascii="Courier New" w:cs="Courier New" w:eastAsia="Courier New" w:hAnsi="Courier New"/>
          <w:sz w:val="16"/>
          <w:szCs w:val="16"/>
          <w:color w:val="auto"/>
        </w:rPr>
      </w:pPr>
    </w:p>
    <w:p>
      <w:pPr>
        <w:ind w:right="343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on account of a Discharge With Cause at any time ("Discharge Without Cause").</w:t>
      </w:r>
    </w:p>
    <w:p>
      <w:pPr>
        <w:spacing w:after="0" w:line="183" w:lineRule="exact"/>
        <w:rPr>
          <w:rFonts w:ascii="Courier New" w:cs="Courier New" w:eastAsia="Courier New" w:hAnsi="Courier New"/>
          <w:sz w:val="16"/>
          <w:szCs w:val="16"/>
          <w:color w:val="auto"/>
        </w:rPr>
      </w:pPr>
    </w:p>
    <w:p>
      <w:pPr>
        <w:ind w:right="2779" w:firstLine="2507"/>
        <w:spacing w:after="0" w:line="274" w:lineRule="auto"/>
        <w:tabs>
          <w:tab w:leader="none" w:pos="2977" w:val="left"/>
        </w:tabs>
        <w:numPr>
          <w:ilvl w:val="2"/>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may terminate this Agreement in any of the following events ("With Good Reason"): assignment to Employee of any duties inconsistent in any material respect with Employee's education, skills and experience or any other action by the Company that results in a substantial diminution in Employee's position and duties; or material breach of any provision of this Agreement (which, as to either such items, if capable of being cured, shall remain uncured following thirty (30) days written notice thereof).</w:t>
      </w:r>
    </w:p>
    <w:p>
      <w:pPr>
        <w:spacing w:after="0" w:line="163" w:lineRule="exact"/>
        <w:rPr>
          <w:rFonts w:ascii="Courier New" w:cs="Courier New" w:eastAsia="Courier New" w:hAnsi="Courier New"/>
          <w:sz w:val="14"/>
          <w:szCs w:val="14"/>
          <w:color w:val="auto"/>
        </w:rPr>
      </w:pPr>
    </w:p>
    <w:p>
      <w:pPr>
        <w:ind w:right="3159" w:firstLine="833"/>
        <w:spacing w:after="0" w:line="235" w:lineRule="auto"/>
        <w:tabs>
          <w:tab w:leader="none" w:pos="1116"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Upon Termination. Other than with respect to vested benefits, Employee's sole entitlement in the case of termination shall be as follows: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123" w:name="page124"/>
    <w:bookmarkEnd w:id="123"/>
    <w:p>
      <w:pPr>
        <w:ind w:right="2879" w:firstLine="1670"/>
        <w:spacing w:after="0" w:line="236" w:lineRule="auto"/>
        <w:tabs>
          <w:tab w:leader="none" w:pos="2047"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Upon termination due to death or Disability, Employee (or Employee's estate, as applicable) will be entitled to payment of Employee's then-current Base Salary for the period prior to termination and for the period of three (3) months thereafter, amounts payable on account of death or Disability under any benefit plans and programs, and any accrued but unused vacation time.</w:t>
      </w:r>
    </w:p>
    <w:p>
      <w:pPr>
        <w:spacing w:after="0" w:line="182" w:lineRule="exact"/>
        <w:rPr>
          <w:rFonts w:ascii="Courier New" w:cs="Courier New" w:eastAsia="Courier New" w:hAnsi="Courier New"/>
          <w:sz w:val="16"/>
          <w:szCs w:val="16"/>
          <w:color w:val="auto"/>
        </w:rPr>
      </w:pPr>
    </w:p>
    <w:p>
      <w:pPr>
        <w:ind w:right="2959" w:firstLine="1670"/>
        <w:spacing w:after="0" w:line="279" w:lineRule="auto"/>
        <w:tabs>
          <w:tab w:leader="none" w:pos="2047"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Discharge With Cause by the Company or Termination by Employee Without Good Reason. If Employee is Discharged With Cause or Employee terminates Without Good Reason, Employee will be entitled to payment of Employee's then-current Base Salary for the period prior to termination.</w:t>
      </w:r>
    </w:p>
    <w:p>
      <w:pPr>
        <w:spacing w:after="0" w:line="156" w:lineRule="exact"/>
        <w:rPr>
          <w:rFonts w:ascii="Courier New" w:cs="Courier New" w:eastAsia="Courier New" w:hAnsi="Courier New"/>
          <w:sz w:val="14"/>
          <w:szCs w:val="14"/>
          <w:color w:val="auto"/>
        </w:rPr>
      </w:pPr>
    </w:p>
    <w:p>
      <w:pPr>
        <w:jc w:val="both"/>
        <w:ind w:right="2959" w:firstLine="1670"/>
        <w:spacing w:after="0" w:line="235" w:lineRule="auto"/>
        <w:tabs>
          <w:tab w:leader="none" w:pos="2047"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Discharge Without Cause by the Company or Termination by Employee With Good Reason. If Employee is Discharged Without Cause or Employee terminates With Good Reason:</w:t>
      </w:r>
    </w:p>
    <w:p>
      <w:pPr>
        <w:spacing w:after="0" w:line="177" w:lineRule="exact"/>
        <w:rPr>
          <w:rFonts w:ascii="Courier New" w:cs="Courier New" w:eastAsia="Courier New" w:hAnsi="Courier New"/>
          <w:sz w:val="16"/>
          <w:szCs w:val="16"/>
          <w:color w:val="auto"/>
        </w:rPr>
      </w:pPr>
    </w:p>
    <w:p>
      <w:pPr>
        <w:ind w:left="2880" w:hanging="373"/>
        <w:spacing w:after="0"/>
        <w:tabs>
          <w:tab w:leader="none" w:pos="2880" w:val="left"/>
        </w:tabs>
        <w:numPr>
          <w:ilvl w:val="2"/>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shall continue to receive Employee's</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then-current Base Salary and "health and welfare" benefit plans and programs for the period of time set forth on Schedule 1 from the date of Discharge Without Cause or termination by Employee With Good Reason, in exchange for a release by Employee of the Company with respect to all matters relating to Employee's employment (other than with respect to Employee's rights to vested benefits and under this Agreement). Employee shall also receive any accrued but unused vacation time.</w:t>
      </w:r>
    </w:p>
    <w:p>
      <w:pPr>
        <w:spacing w:after="0" w:line="177" w:lineRule="exact"/>
        <w:rPr>
          <w:rFonts w:ascii="Courier New" w:cs="Courier New" w:eastAsia="Courier New" w:hAnsi="Courier New"/>
          <w:sz w:val="16"/>
          <w:szCs w:val="16"/>
          <w:color w:val="auto"/>
        </w:rPr>
      </w:pPr>
    </w:p>
    <w:p>
      <w:pPr>
        <w:ind w:left="2980" w:hanging="473"/>
        <w:spacing w:after="0"/>
        <w:tabs>
          <w:tab w:leader="none" w:pos="2980" w:val="left"/>
        </w:tabs>
        <w:numPr>
          <w:ilvl w:val="2"/>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shall have no obligation to obtain</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during the period in which Employee receives post-termination payments from the Company under this subparagraph (c). However, the Company's obligation for Base Salary under subparagraph (i) above shall be offset by any cash compensation from employment earned by Employee with another employer during such period, and its obligation to continue "health and welfare" benefits and programs shall cease upon Employee's eligibility for similar benefits from such other employer.</w:t>
      </w:r>
    </w:p>
    <w:p>
      <w:pPr>
        <w:spacing w:after="0" w:line="177" w:lineRule="exact"/>
        <w:rPr>
          <w:rFonts w:ascii="Courier New" w:cs="Courier New" w:eastAsia="Courier New" w:hAnsi="Courier New"/>
          <w:sz w:val="16"/>
          <w:szCs w:val="16"/>
          <w:color w:val="auto"/>
        </w:rPr>
      </w:pPr>
    </w:p>
    <w:p>
      <w:pPr>
        <w:ind w:left="3060" w:hanging="553"/>
        <w:spacing w:after="0"/>
        <w:tabs>
          <w:tab w:leader="none" w:pos="3060" w:val="left"/>
        </w:tabs>
        <w:numPr>
          <w:ilvl w:val="2"/>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shall receive that portion of cash</w:t>
      </w:r>
    </w:p>
    <w:p>
      <w:pPr>
        <w:spacing w:after="0" w:line="3" w:lineRule="exact"/>
        <w:rPr>
          <w:rFonts w:ascii="Courier New" w:cs="Courier New" w:eastAsia="Courier New" w:hAnsi="Courier New"/>
          <w:sz w:val="16"/>
          <w:szCs w:val="16"/>
          <w:color w:val="auto"/>
        </w:rPr>
      </w:pPr>
    </w:p>
    <w:p>
      <w:pPr>
        <w:ind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bonus/restricted stock grants which would have vested within the period of time set forth on Schedule 1 from the date of Discharge Without Cause, as if there had been no termination of employment.</w:t>
      </w:r>
    </w:p>
    <w:p>
      <w:pPr>
        <w:spacing w:after="0" w:line="183" w:lineRule="exact"/>
        <w:rPr>
          <w:rFonts w:ascii="Courier New" w:cs="Courier New" w:eastAsia="Courier New" w:hAnsi="Courier New"/>
          <w:sz w:val="16"/>
          <w:szCs w:val="16"/>
          <w:color w:val="auto"/>
        </w:rPr>
      </w:pPr>
    </w:p>
    <w:p>
      <w:pPr>
        <w:ind w:right="2879" w:firstLine="1670"/>
        <w:spacing w:after="0" w:line="235" w:lineRule="auto"/>
        <w:tabs>
          <w:tab w:leader="none" w:pos="2047"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COBRA Rights. Nothing herein shall constitute a waiver by Employee of "COBRA" rights under federal law in connection with termination of employment.</w:t>
      </w:r>
    </w:p>
    <w:p>
      <w:pPr>
        <w:spacing w:after="0" w:line="177" w:lineRule="exact"/>
        <w:rPr>
          <w:rFonts w:ascii="Courier New" w:cs="Courier New" w:eastAsia="Courier New" w:hAnsi="Courier New"/>
          <w:sz w:val="16"/>
          <w:szCs w:val="16"/>
          <w:color w:val="auto"/>
        </w:rPr>
      </w:pPr>
    </w:p>
    <w:p>
      <w:pPr>
        <w:ind w:left="1120" w:hanging="287"/>
        <w:spacing w:after="0"/>
        <w:tabs>
          <w:tab w:leader="none" w:pos="112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Non-Competition and Confidentiality.</w:t>
      </w:r>
    </w:p>
    <w:p>
      <w:pPr>
        <w:spacing w:after="0" w:line="182" w:lineRule="exact"/>
        <w:rPr>
          <w:rFonts w:ascii="Courier New" w:cs="Courier New" w:eastAsia="Courier New" w:hAnsi="Courier New"/>
          <w:sz w:val="16"/>
          <w:szCs w:val="16"/>
          <w:color w:val="auto"/>
        </w:rPr>
      </w:pPr>
    </w:p>
    <w:p>
      <w:pPr>
        <w:ind w:right="2779" w:firstLine="1670"/>
        <w:spacing w:after="0" w:line="235" w:lineRule="auto"/>
        <w:tabs>
          <w:tab w:leader="none" w:pos="2047"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and Employee's continued employment by the Company, and for a period of one year after termination of Employee's employment by the company for any reason (whether during or after the Term), Employee shall not, directly or indirectly, solicit, induce, encourage or attempt to influence any customer, employee, consultant, independent</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124" w:name="page125"/>
    <w:bookmarkEnd w:id="124"/>
    <w:p>
      <w:pPr>
        <w:ind w:right="2779"/>
        <w:spacing w:after="0" w:line="295" w:lineRule="auto"/>
        <w:rPr>
          <w:sz w:val="20"/>
          <w:szCs w:val="20"/>
          <w:color w:val="auto"/>
        </w:rPr>
      </w:pPr>
      <w:r>
        <w:rPr>
          <w:rFonts w:ascii="Courier New" w:cs="Courier New" w:eastAsia="Courier New" w:hAnsi="Courier New"/>
          <w:sz w:val="14"/>
          <w:szCs w:val="14"/>
          <w:color w:val="auto"/>
        </w:rPr>
        <w:t>contractor, service provider or supplier of the Company to cease to do business or to terminate the employment or other relationship with the Company.</w:t>
      </w:r>
    </w:p>
    <w:p>
      <w:pPr>
        <w:spacing w:after="0" w:line="147" w:lineRule="exact"/>
        <w:rPr>
          <w:sz w:val="20"/>
          <w:szCs w:val="20"/>
          <w:color w:val="auto"/>
        </w:rPr>
      </w:pPr>
    </w:p>
    <w:p>
      <w:pPr>
        <w:ind w:right="2779" w:firstLine="1670"/>
        <w:spacing w:after="0" w:line="271" w:lineRule="auto"/>
        <w:tabs>
          <w:tab w:leader="none" w:pos="204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WHILE EMPLOYED BY THE COMPANY DURING THE TERM, AND FOR A PERIOD OF ONE YEAR AFTER TERMINATION OF EMPLOYEE'S EMPLOYMENT FOR ANY REASON (OTHER THAN AS A RESULT OF A DISCHARGE WITHOUT CAUSE) PRIOR TO THE EXPIRATION OF THE TERM (BUT NOT FOLLOWING TERMINATION OF EMPLOYEE'S EMPLOYMENT IN THE EVENT EMPLOYEE HAS REMAINED EMPLOYED FOR THE ENTIRE TERM), EMPLOYEE SHALL NOT, DIRECTLY OR INDIRECTLY, ENGAGE IN (AS A PRINCIPAL, PARTNER, DIRECTOR, OFFICER, AGENT, EMPLOYEE, CONSULTANT, OWNER, INDEPENDENT CONTRACTOR OR OTHERWISE), ANY ACTIVITIES FOR A COMPETITIVE BUSINESS. A "COMPETITIVE BUSINESS" SHALL BE DEFINED AS A BUSINESS (WHETHER CONDUCTED BY AN ENTITY OR INDIVIDUALS, INCLUDING EMPLOYEE IN SELF-EMPLOYMENT) THAT IS ENGAGED IN COMPETITION, DIRECTLY OR INDIRECTLY THROUGH ANY PARENT, SUBSIDIARY, AFFILIATE, JOINT VENTURE, PARTNERSHIP OR OTHERWISE, WITH ANY OF THE BUSINESS ACTIVITIES CARRIED ON BY THE COMPANY (OR BY THE SPECIFIC DIVISION OR ENTITY OF THE COMPANY IN WHICH EMPLOYEE IS EMPLOYED) OR ANY BUSINESS ACTIVITIES BEING PLANNED BY THE COMPANY OR EMPLOYEE'S DIVISION OR ENTITY (WITH EMPLOYEE'S KNOWLEDGE) AT THE TIME OF EMPLOYEE'S TERMINATION OF EMPLOYMENT. TO APPROPRIATELY TAKE ACCOUNT OF THE COMPETITIVE ENVIRONMENT IN THE CABLE TELEVISION INDUSTRY, THE COMPANY AND EMPLOYEE AGREE THAT BUSINESSES ENGAGED IN THE FOLLOWING ACTIVITIES SHALL BE DEEMED TO BE "COMPETITIVE BUSINESSES" HEREUNDER: THE DISTRIBUTION OF VIDEO PROGRAMMING TO RESIDENTIAL OR COMMERCIAL SUBSCRIBERS BY ANY TECHNOLOGY, INCLUDING, BUT NOT LIMITED TO, COAXIAL OR FIBER OPTIC CABLE, DIGITAL SUBSCRIBER LINE OR SMATV, SATELLITE OR WIRELESS DISTRIBUTION SYSTEMS; AS OF THE DATE HEREOF, SUCH BUSINESSES INCLUDE THE FOLLOWING COMPANIES AND THEIR PARENTS, CONTROLLED AFFILIATES AND SUCCESSORS: ADELPHIA COMMUNICATIONS CORPORATION; CHARTER COMMUNICATIONS, INC.; COX COMMUNICATIONS, INC.; DIRECTTV, INC.; ECHOSTAR COMMUNICATIONS CORPORATION; KNOLOGY HOLDINGS, INC.; RCN CORPORATION; TIME WARNER INC.; AND WIDE OPEN WEST.</w:t>
      </w:r>
    </w:p>
    <w:p>
      <w:pPr>
        <w:spacing w:after="0" w:line="200" w:lineRule="exact"/>
        <w:rPr>
          <w:rFonts w:ascii="Courier New" w:cs="Courier New" w:eastAsia="Courier New" w:hAnsi="Courier New"/>
          <w:sz w:val="14"/>
          <w:szCs w:val="14"/>
          <w:color w:val="auto"/>
        </w:rPr>
      </w:pPr>
    </w:p>
    <w:p>
      <w:pPr>
        <w:spacing w:after="0" w:line="325" w:lineRule="exact"/>
        <w:rPr>
          <w:rFonts w:ascii="Courier New" w:cs="Courier New" w:eastAsia="Courier New" w:hAnsi="Courier New"/>
          <w:sz w:val="14"/>
          <w:szCs w:val="14"/>
          <w:color w:val="auto"/>
        </w:rPr>
      </w:pPr>
    </w:p>
    <w:p>
      <w:pPr>
        <w:ind w:left="2980" w:hanging="473"/>
        <w:spacing w:after="0"/>
        <w:tabs>
          <w:tab w:leader="none" w:pos="2980"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ONE YEAR AFTER TERMINATION OF</w:t>
      </w:r>
    </w:p>
    <w:p>
      <w:pPr>
        <w:spacing w:after="0" w:line="3" w:lineRule="exact"/>
        <w:rPr>
          <w:rFonts w:ascii="Courier New" w:cs="Courier New" w:eastAsia="Courier New" w:hAnsi="Courier New"/>
          <w:sz w:val="16"/>
          <w:szCs w:val="16"/>
          <w:color w:val="auto"/>
        </w:rPr>
      </w:pPr>
    </w:p>
    <w:p>
      <w:pPr>
        <w:ind w:right="2779"/>
        <w:spacing w:after="0" w:line="27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EMPLOYEE'S EMPLOYMENT FOLLOWING THE EXPIRATION OF THE TERM (IN THE EVENT EMPLOYEE HAS REMAINED EMPLOYED FOR THE ENTIRE TERM), EMPLOYEE SHALL NOT, DIRECTLY OR INDIRECTLY, ENGAGE IN (AS A PRINCIPAL, PARTNER, DIRECTOR, OFFICER, AGENT, EMPLOYEE, CONSULTANT, OWNER, INDEPENDENT CONTRACTOR OR OTHERWISE), ANY ACTIVITIES FOR ANY OF THE FOLLOWING ENTITIES (OR THEIR SUCCESSORS) THAT IS ENGAGED IN COMPETITION WITH THE COMPANY'S VIDEO PROGRAMMING DISTRIBUTION OR HIGH SPEED DATA BUSINESSES, DIRECTLY OR INDIRECTLY THROUGH ANY PARENT, SUBSIDIARY, AFFILIATE, JOINT VENTURE, PARTNERSHIP OR</w:t>
      </w:r>
    </w:p>
    <w:p>
      <w:pPr>
        <w:spacing w:after="0" w:line="33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sectPr>
      </w:pPr>
    </w:p>
    <w:bookmarkStart w:id="125" w:name="page126"/>
    <w:bookmarkEnd w:id="125"/>
    <w:p>
      <w:pPr>
        <w:jc w:val="both"/>
        <w:ind w:left="5" w:right="2779"/>
        <w:spacing w:after="0" w:line="235" w:lineRule="auto"/>
        <w:rPr>
          <w:sz w:val="20"/>
          <w:szCs w:val="20"/>
          <w:color w:val="auto"/>
        </w:rPr>
      </w:pPr>
      <w:r>
        <w:rPr>
          <w:rFonts w:ascii="Courier New" w:cs="Courier New" w:eastAsia="Courier New" w:hAnsi="Courier New"/>
          <w:sz w:val="16"/>
          <w:szCs w:val="16"/>
          <w:color w:val="auto"/>
        </w:rPr>
        <w:t>OTHERWISE: BELLSOUTH CORP.; DIRECTTV,INC., ECHOSTAR COMMUNICATIONS CORPORATION; QWEST COMMUNICATIONS INTERNATIONAL, INC.; SBC COMMUNICATIONS, INC., AND VERIZON COMMUNICATIONS, INC.</w:t>
      </w:r>
    </w:p>
    <w:p>
      <w:pPr>
        <w:spacing w:after="0" w:line="177" w:lineRule="exact"/>
        <w:rPr>
          <w:sz w:val="20"/>
          <w:szCs w:val="20"/>
          <w:color w:val="auto"/>
        </w:rPr>
      </w:pPr>
    </w:p>
    <w:p>
      <w:pPr>
        <w:ind w:left="3065" w:hanging="553"/>
        <w:spacing w:after="0"/>
        <w:tabs>
          <w:tab w:leader="none" w:pos="3065" w:val="left"/>
        </w:tabs>
        <w:numPr>
          <w:ilvl w:val="2"/>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RESTRICTIONS SHALL APPLY IN ANY</w:t>
      </w:r>
    </w:p>
    <w:p>
      <w:pPr>
        <w:spacing w:after="0" w:line="3" w:lineRule="exact"/>
        <w:rPr>
          <w:rFonts w:ascii="Courier New" w:cs="Courier New" w:eastAsia="Courier New" w:hAnsi="Courier New"/>
          <w:sz w:val="16"/>
          <w:szCs w:val="16"/>
          <w:color w:val="auto"/>
        </w:rPr>
      </w:pPr>
    </w:p>
    <w:p>
      <w:pPr>
        <w:ind w:left="5" w:right="27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GEOGRAPHICAL AREA OF THE UNITED STATES IN WHICH THE COMPANY CARRIES OUT BUSINESS ACTIVITIES.</w:t>
      </w:r>
    </w:p>
    <w:p>
      <w:pPr>
        <w:spacing w:after="0" w:line="177" w:lineRule="exact"/>
        <w:rPr>
          <w:rFonts w:ascii="Courier New" w:cs="Courier New" w:eastAsia="Courier New" w:hAnsi="Courier New"/>
          <w:sz w:val="16"/>
          <w:szCs w:val="16"/>
          <w:color w:val="auto"/>
        </w:rPr>
      </w:pPr>
    </w:p>
    <w:p>
      <w:pPr>
        <w:ind w:left="2985" w:hanging="473"/>
        <w:spacing w:after="0"/>
        <w:tabs>
          <w:tab w:leader="none" w:pos="2985" w:val="left"/>
        </w:tabs>
        <w:numPr>
          <w:ilvl w:val="2"/>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limited exception to the foregoing,</w:t>
      </w:r>
    </w:p>
    <w:p>
      <w:pPr>
        <w:spacing w:after="0" w:line="3" w:lineRule="exact"/>
        <w:rPr>
          <w:rFonts w:ascii="Courier New" w:cs="Courier New" w:eastAsia="Courier New" w:hAnsi="Courier New"/>
          <w:sz w:val="16"/>
          <w:szCs w:val="16"/>
          <w:color w:val="auto"/>
        </w:rPr>
      </w:pPr>
    </w:p>
    <w:p>
      <w:pPr>
        <w:ind w:left="5" w:right="287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Employee shall not be prohibited from engaging in activities for a Competitive Business if all of the following conditions are met: (A) Employee is engaged to perform activities which are materially inferior as to skill level and scope of responsibility to the skill level and scope of responsibility involved in the Employee's employment hereunder; (B) the activities engaged in by Employee are not directly competitive with the activities engaged in by the Company; (C) Employee provides the Company with at least thirty (30) days written notice prior to commencing performance of activities for the Competitive Business; and</w:t>
      </w:r>
    </w:p>
    <w:p>
      <w:pPr>
        <w:ind w:left="365" w:hanging="365"/>
        <w:spacing w:after="0" w:line="236" w:lineRule="auto"/>
        <w:tabs>
          <w:tab w:leader="none" w:pos="36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provides the Competitive Business with a copy of Paragraph 8 of</w:t>
      </w:r>
    </w:p>
    <w:p>
      <w:pPr>
        <w:spacing w:after="0" w:line="4" w:lineRule="exact"/>
        <w:rPr>
          <w:rFonts w:ascii="Courier New" w:cs="Courier New" w:eastAsia="Courier New" w:hAnsi="Courier New"/>
          <w:sz w:val="16"/>
          <w:szCs w:val="16"/>
          <w:color w:val="auto"/>
        </w:rPr>
      </w:pPr>
    </w:p>
    <w:p>
      <w:pPr>
        <w:ind w:left="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Competitive Business gives the Company written assurance that it will not allow Employee to engage in any activities which would cause Employee to violate this Agreement.</w:t>
      </w:r>
    </w:p>
    <w:p>
      <w:pPr>
        <w:spacing w:after="0" w:line="183" w:lineRule="exact"/>
        <w:rPr>
          <w:rFonts w:ascii="Courier New" w:cs="Courier New" w:eastAsia="Courier New" w:hAnsi="Courier New"/>
          <w:sz w:val="16"/>
          <w:szCs w:val="16"/>
          <w:color w:val="auto"/>
        </w:rPr>
      </w:pPr>
    </w:p>
    <w:p>
      <w:pPr>
        <w:ind w:left="2885" w:hanging="373"/>
        <w:spacing w:after="0"/>
        <w:tabs>
          <w:tab w:leader="none" w:pos="2885" w:val="left"/>
        </w:tabs>
        <w:numPr>
          <w:ilvl w:val="2"/>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herein shall prevent Employee from owning</w:t>
      </w:r>
    </w:p>
    <w:p>
      <w:pPr>
        <w:spacing w:after="0" w:line="20" w:lineRule="exact"/>
        <w:rPr>
          <w:rFonts w:ascii="Courier New" w:cs="Courier New" w:eastAsia="Courier New" w:hAnsi="Courier New"/>
          <w:sz w:val="14"/>
          <w:szCs w:val="14"/>
          <w:color w:val="auto"/>
        </w:rPr>
      </w:pPr>
    </w:p>
    <w:p>
      <w:pPr>
        <w:ind w:left="5"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for investment up to five percent (5%) of any class of equity security of an entity whose securities are traded on a national securities exchange or market. Further, if Employee is an attorney, Employee may engage in the practice of law in accordance with the canons of ethics of the state or states in which Employee is authorized or may be authorized to practice law.</w:t>
      </w:r>
    </w:p>
    <w:p>
      <w:pPr>
        <w:spacing w:after="0" w:line="179" w:lineRule="exact"/>
        <w:rPr>
          <w:rFonts w:ascii="Courier New" w:cs="Courier New" w:eastAsia="Courier New" w:hAnsi="Courier New"/>
          <w:sz w:val="14"/>
          <w:szCs w:val="14"/>
          <w:color w:val="auto"/>
        </w:rPr>
      </w:pPr>
    </w:p>
    <w:p>
      <w:pPr>
        <w:ind w:left="2985" w:hanging="473"/>
        <w:spacing w:after="0"/>
        <w:tabs>
          <w:tab w:leader="none" w:pos="2985" w:val="left"/>
        </w:tabs>
        <w:numPr>
          <w:ilvl w:val="2"/>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agrees that the lack of any specific</w:t>
      </w:r>
    </w:p>
    <w:p>
      <w:pPr>
        <w:spacing w:after="0" w:line="3" w:lineRule="exact"/>
        <w:rPr>
          <w:rFonts w:ascii="Courier New" w:cs="Courier New" w:eastAsia="Courier New" w:hAnsi="Courier New"/>
          <w:sz w:val="16"/>
          <w:szCs w:val="16"/>
          <w:color w:val="auto"/>
        </w:rPr>
      </w:pPr>
    </w:p>
    <w:p>
      <w:pPr>
        <w:ind w:left="5" w:right="287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geographical limitation herein is reasonable in light of the broad geographical scope of the activities carried out by the Company in the United States.</w:t>
      </w:r>
    </w:p>
    <w:p>
      <w:pPr>
        <w:spacing w:after="0" w:line="146" w:lineRule="exact"/>
        <w:rPr>
          <w:rFonts w:ascii="Courier New" w:cs="Courier New" w:eastAsia="Courier New" w:hAnsi="Courier New"/>
          <w:sz w:val="16"/>
          <w:szCs w:val="16"/>
          <w:color w:val="auto"/>
        </w:rPr>
      </w:pPr>
    </w:p>
    <w:p>
      <w:pPr>
        <w:ind w:left="5" w:right="2779" w:firstLine="1670"/>
        <w:spacing w:after="0" w:line="272" w:lineRule="auto"/>
        <w:tabs>
          <w:tab w:leader="none" w:pos="2051"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confidential information of the Company which Employee acquires in the course of Employee's employment, which is not otherwise lawfully known by and readily available to the general public. Confidential information includes, but is not limited to: business, marketing and accounting methods; policies, plans, procedures, strategies and techniques; research and development projects and results; software and firmware; trade secrets, know-how, processes and other intellectual property; names and addresses of employees and suppliers; and any data on or relating to past, present and prospective customers, including customer lists. Employee confirms that such information is confidential and constitutes the exclusive property of the Company, and agrees that, immediately upon Employee's termination of employment for any reason (whether during or after the Term), Employee shall deliver to the Company all correspondence, documents, books, records, lists and other materials relating to the Company's business, regardless of the medium in which such materials are maintained; and</w:t>
      </w:r>
    </w:p>
    <w:p>
      <w:pPr>
        <w:spacing w:after="0" w:line="33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654" w:right="1440" w:bottom="1440" w:gutter="0" w:footer="0" w:header="0"/>
        </w:sectPr>
      </w:pPr>
    </w:p>
    <w:bookmarkStart w:id="126" w:name="page127"/>
    <w:bookmarkEnd w:id="126"/>
    <w:p>
      <w:pPr>
        <w:ind w:left="5" w:right="2779"/>
        <w:spacing w:after="0" w:line="236" w:lineRule="auto"/>
        <w:rPr>
          <w:sz w:val="20"/>
          <w:szCs w:val="20"/>
          <w:color w:val="auto"/>
        </w:rPr>
      </w:pPr>
      <w:r>
        <w:rPr>
          <w:rFonts w:ascii="Courier New" w:cs="Courier New" w:eastAsia="Courier New" w:hAnsi="Courier New"/>
          <w:sz w:val="16"/>
          <w:szCs w:val="16"/>
          <w:color w:val="auto"/>
        </w:rPr>
        <w:t>Employee shall retain no copies in any medium (other than Employee's personal address book, electronic or otherwise), regardless of where or by whom such materials were kept or prepared. Nothing herein shall prevent Employee from complying with a valid subpoena or other legal requirement for disclosure of information; provided that Employee shall notify the Company promptly and in advance of disclosure if Employee believes Employee is under a legal requirement to disclose confidential information.</w:t>
      </w:r>
    </w:p>
    <w:p>
      <w:pPr>
        <w:spacing w:after="0" w:line="184" w:lineRule="exact"/>
        <w:rPr>
          <w:sz w:val="20"/>
          <w:szCs w:val="20"/>
          <w:color w:val="auto"/>
        </w:rPr>
      </w:pPr>
    </w:p>
    <w:p>
      <w:pPr>
        <w:ind w:left="5" w:right="2779" w:firstLine="1670"/>
        <w:spacing w:after="0" w:line="270" w:lineRule="auto"/>
        <w:tabs>
          <w:tab w:leader="none" w:pos="2051" w:val="left"/>
        </w:tabs>
        <w:numPr>
          <w:ilvl w:val="2"/>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acknowledges that the restrictions contained in this Paragraph 8, in light of the nature of the business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of any of these restrictions, the Company shall be entitled to seek from any court of competent jurisdiction: (i) preliminary and permanent injunctive relief against Employee;</w:t>
      </w:r>
    </w:p>
    <w:p>
      <w:pPr>
        <w:spacing w:after="0" w:line="3" w:lineRule="exact"/>
        <w:rPr>
          <w:rFonts w:ascii="Courier New" w:cs="Courier New" w:eastAsia="Courier New" w:hAnsi="Courier New"/>
          <w:sz w:val="14"/>
          <w:szCs w:val="14"/>
          <w:color w:val="auto"/>
        </w:rPr>
      </w:pPr>
    </w:p>
    <w:p>
      <w:pPr>
        <w:ind w:left="5" w:right="2959" w:hanging="5"/>
        <w:spacing w:after="0" w:line="236" w:lineRule="auto"/>
        <w:tabs>
          <w:tab w:leader="none" w:pos="47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damages from Employee (including the Company's reasonable legal fees and other costs and expenses); and (iii)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182" w:lineRule="exact"/>
        <w:rPr>
          <w:rFonts w:ascii="Courier New" w:cs="Courier New" w:eastAsia="Courier New" w:hAnsi="Courier New"/>
          <w:sz w:val="16"/>
          <w:szCs w:val="16"/>
          <w:color w:val="auto"/>
        </w:rPr>
      </w:pPr>
    </w:p>
    <w:p>
      <w:pPr>
        <w:ind w:left="5" w:right="2779" w:firstLine="1670"/>
        <w:spacing w:after="0" w:line="236" w:lineRule="auto"/>
        <w:tabs>
          <w:tab w:leader="none" w:pos="2051" w:val="left"/>
        </w:tabs>
        <w:numPr>
          <w:ilvl w:val="2"/>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agrees that if any portion of the restrictions contained in this Paragraph 8, or the application thereof, is construed to be invalid or unenforceable, the remainder of such restrictions or the application thereof shall not be affected and the remaining restrictions will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85" w:lineRule="exact"/>
        <w:rPr>
          <w:rFonts w:ascii="Courier New" w:cs="Courier New" w:eastAsia="Courier New" w:hAnsi="Courier New"/>
          <w:sz w:val="16"/>
          <w:szCs w:val="16"/>
          <w:color w:val="auto"/>
        </w:rPr>
      </w:pPr>
    </w:p>
    <w:p>
      <w:pPr>
        <w:ind w:left="5" w:right="2779" w:firstLine="1670"/>
        <w:spacing w:after="0" w:line="235" w:lineRule="auto"/>
        <w:tabs>
          <w:tab w:leader="none" w:pos="2051" w:val="left"/>
        </w:tabs>
        <w:numPr>
          <w:ilvl w:val="2"/>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Employee violates any such restrictions, the period of such violation (from the commencement of any such violation until such time as such violation shall be cured by Employee) shall not count toward or be included in the applicable restrictive period.</w:t>
      </w:r>
    </w:p>
    <w:p>
      <w:pPr>
        <w:spacing w:after="0" w:line="178" w:lineRule="exact"/>
        <w:rPr>
          <w:rFonts w:ascii="Courier New" w:cs="Courier New" w:eastAsia="Courier New" w:hAnsi="Courier New"/>
          <w:sz w:val="16"/>
          <w:szCs w:val="16"/>
          <w:color w:val="auto"/>
        </w:rPr>
      </w:pPr>
    </w:p>
    <w:p>
      <w:pPr>
        <w:ind w:left="1125" w:hanging="287"/>
        <w:spacing w:after="0"/>
        <w:tabs>
          <w:tab w:leader="none" w:pos="1125" w:val="left"/>
        </w:tabs>
        <w:numPr>
          <w:ilvl w:val="1"/>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w:t>
      </w:r>
    </w:p>
    <w:p>
      <w:pPr>
        <w:spacing w:after="0" w:line="176" w:lineRule="exact"/>
        <w:rPr>
          <w:rFonts w:ascii="Courier New" w:cs="Courier New" w:eastAsia="Courier New" w:hAnsi="Courier New"/>
          <w:sz w:val="16"/>
          <w:szCs w:val="16"/>
          <w:color w:val="auto"/>
        </w:rPr>
      </w:pPr>
    </w:p>
    <w:p>
      <w:pPr>
        <w:ind w:left="2045" w:hanging="370"/>
        <w:spacing w:after="0"/>
        <w:tabs>
          <w:tab w:leader="none" w:pos="2045" w:val="left"/>
        </w:tabs>
        <w:numPr>
          <w:ilvl w:val="2"/>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represents as follows:</w:t>
      </w:r>
    </w:p>
    <w:p>
      <w:pPr>
        <w:spacing w:after="0" w:line="182" w:lineRule="exact"/>
        <w:rPr>
          <w:rFonts w:ascii="Courier New" w:cs="Courier New" w:eastAsia="Courier New" w:hAnsi="Courier New"/>
          <w:sz w:val="16"/>
          <w:szCs w:val="16"/>
          <w:color w:val="auto"/>
        </w:rPr>
      </w:pPr>
    </w:p>
    <w:p>
      <w:pPr>
        <w:ind w:left="5" w:right="2959" w:firstLine="2507"/>
        <w:spacing w:after="0" w:line="235" w:lineRule="auto"/>
        <w:tabs>
          <w:tab w:leader="none" w:pos="2888" w:val="left"/>
        </w:tabs>
        <w:numPr>
          <w:ilvl w:val="3"/>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has had the opportunity to retain and consult with legal counsel and tax advisors of Employee's choice regarding the terms of this Agreement.</w:t>
      </w:r>
    </w:p>
    <w:p>
      <w:pPr>
        <w:spacing w:after="0" w:line="183" w:lineRule="exact"/>
        <w:rPr>
          <w:rFonts w:ascii="Courier New" w:cs="Courier New" w:eastAsia="Courier New" w:hAnsi="Courier New"/>
          <w:sz w:val="16"/>
          <w:szCs w:val="16"/>
          <w:color w:val="auto"/>
        </w:rPr>
      </w:pPr>
    </w:p>
    <w:p>
      <w:pPr>
        <w:ind w:left="2985" w:hanging="473"/>
        <w:spacing w:after="0"/>
        <w:tabs>
          <w:tab w:leader="none" w:pos="2985" w:val="left"/>
        </w:tabs>
        <w:numPr>
          <w:ilvl w:val="3"/>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equitable principles, this Agreement</w:t>
      </w:r>
    </w:p>
    <w:p>
      <w:pPr>
        <w:spacing w:after="0" w:line="16"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is enforceable against Employee in accordance with its terms.</w:t>
      </w:r>
    </w:p>
    <w:p>
      <w:pPr>
        <w:spacing w:after="0" w:line="183" w:lineRule="exact"/>
        <w:rPr>
          <w:rFonts w:ascii="Courier New" w:cs="Courier New" w:eastAsia="Courier New" w:hAnsi="Courier New"/>
          <w:sz w:val="14"/>
          <w:szCs w:val="14"/>
          <w:color w:val="auto"/>
        </w:rPr>
      </w:pPr>
    </w:p>
    <w:p>
      <w:pPr>
        <w:jc w:val="both"/>
        <w:ind w:left="5" w:right="2879" w:firstLine="2507"/>
        <w:spacing w:after="0" w:line="235" w:lineRule="auto"/>
        <w:tabs>
          <w:tab w:leader="none" w:pos="3074" w:val="left"/>
        </w:tabs>
        <w:numPr>
          <w:ilvl w:val="3"/>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does not conflict with, violate or give rise to any rights of third parties under, any agreement, order, decree or judgment to which Employee is a</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654" w:right="1440" w:bottom="1440" w:gutter="0" w:footer="0" w:header="0"/>
        </w:sectPr>
      </w:pPr>
    </w:p>
    <w:bookmarkStart w:id="127" w:name="page128"/>
    <w:bookmarkEnd w:id="127"/>
    <w:p>
      <w:pPr>
        <w:ind w:left="5"/>
        <w:spacing w:after="0"/>
        <w:rPr>
          <w:sz w:val="20"/>
          <w:szCs w:val="20"/>
          <w:color w:val="auto"/>
        </w:rPr>
      </w:pPr>
      <w:r>
        <w:rPr>
          <w:rFonts w:ascii="Courier New" w:cs="Courier New" w:eastAsia="Courier New" w:hAnsi="Courier New"/>
          <w:sz w:val="16"/>
          <w:szCs w:val="16"/>
          <w:color w:val="auto"/>
        </w:rPr>
        <w:t>party or by which Employee is bound.</w:t>
      </w:r>
    </w:p>
    <w:p>
      <w:pPr>
        <w:spacing w:after="0" w:line="355" w:lineRule="exact"/>
        <w:rPr>
          <w:sz w:val="20"/>
          <w:szCs w:val="20"/>
          <w:color w:val="auto"/>
        </w:rPr>
      </w:pPr>
    </w:p>
    <w:p>
      <w:pPr>
        <w:ind w:left="2045" w:hanging="370"/>
        <w:spacing w:after="0"/>
        <w:tabs>
          <w:tab w:leader="none" w:pos="2045" w:val="left"/>
        </w:tabs>
        <w:numPr>
          <w:ilvl w:val="2"/>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represents that:</w:t>
      </w:r>
    </w:p>
    <w:p>
      <w:pPr>
        <w:spacing w:after="0" w:line="176" w:lineRule="exact"/>
        <w:rPr>
          <w:rFonts w:ascii="Courier New" w:cs="Courier New" w:eastAsia="Courier New" w:hAnsi="Courier New"/>
          <w:sz w:val="16"/>
          <w:szCs w:val="16"/>
          <w:color w:val="auto"/>
        </w:rPr>
      </w:pPr>
    </w:p>
    <w:p>
      <w:pPr>
        <w:ind w:left="2885" w:hanging="373"/>
        <w:spacing w:after="0"/>
        <w:tabs>
          <w:tab w:leader="none" w:pos="2885" w:val="left"/>
        </w:tabs>
        <w:numPr>
          <w:ilvl w:val="3"/>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equitable principles, this Agreement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is enforceable against the Company in accordance with its terms.</w:t>
      </w:r>
    </w:p>
    <w:p>
      <w:pPr>
        <w:spacing w:after="0" w:line="177" w:lineRule="exact"/>
        <w:rPr>
          <w:rFonts w:ascii="Courier New" w:cs="Courier New" w:eastAsia="Courier New" w:hAnsi="Courier New"/>
          <w:sz w:val="16"/>
          <w:szCs w:val="16"/>
          <w:color w:val="auto"/>
        </w:rPr>
      </w:pPr>
    </w:p>
    <w:p>
      <w:pPr>
        <w:ind w:left="2985" w:hanging="473"/>
        <w:spacing w:after="0"/>
        <w:tabs>
          <w:tab w:leader="none" w:pos="2985" w:val="left"/>
        </w:tabs>
        <w:numPr>
          <w:ilvl w:val="3"/>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does not conflict with, violate</w:t>
      </w:r>
    </w:p>
    <w:p>
      <w:pPr>
        <w:spacing w:after="0" w:line="3" w:lineRule="exact"/>
        <w:rPr>
          <w:rFonts w:ascii="Courier New" w:cs="Courier New" w:eastAsia="Courier New" w:hAnsi="Courier New"/>
          <w:sz w:val="16"/>
          <w:szCs w:val="16"/>
          <w:color w:val="auto"/>
        </w:rPr>
      </w:pPr>
    </w:p>
    <w:p>
      <w:pPr>
        <w:ind w:left="5" w:right="28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give rise to any rights to third parties under, any agreement, order, decree or judgment to which the Company is a party or by which it is bound.</w:t>
      </w:r>
    </w:p>
    <w:p>
      <w:pPr>
        <w:spacing w:after="0" w:line="177" w:lineRule="exact"/>
        <w:rPr>
          <w:rFonts w:ascii="Courier New" w:cs="Courier New" w:eastAsia="Courier New" w:hAnsi="Courier New"/>
          <w:sz w:val="16"/>
          <w:szCs w:val="16"/>
          <w:color w:val="auto"/>
        </w:rPr>
      </w:pPr>
    </w:p>
    <w:p>
      <w:pPr>
        <w:ind w:left="1205" w:hanging="367"/>
        <w:spacing w:after="0"/>
        <w:tabs>
          <w:tab w:leader="none" w:pos="1205"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Acceleration Event. The Company shall give Employee at least ten</w:t>
      </w:r>
    </w:p>
    <w:p>
      <w:pPr>
        <w:spacing w:after="0" w:line="3" w:lineRule="exact"/>
        <w:rPr>
          <w:rFonts w:ascii="Courier New" w:cs="Courier New" w:eastAsia="Courier New" w:hAnsi="Courier New"/>
          <w:sz w:val="16"/>
          <w:szCs w:val="16"/>
          <w:color w:val="auto"/>
        </w:rPr>
      </w:pPr>
    </w:p>
    <w:p>
      <w:pPr>
        <w:ind w:left="5" w:right="2779" w:hanging="5"/>
        <w:spacing w:after="0" w:line="272" w:lineRule="auto"/>
        <w:tabs>
          <w:tab w:leader="none" w:pos="47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notice (or, if not practicable, such shorter notice as may be reasonably practicable) prior to the anticipated closing date of a transaction which the Board of Directors of the Company determines to be a change of control of the Company in circumstances where it is appropriate to accelerate the vesting of employee stock options. Upon receipt of such notice, all stock options of Employee shall become immediately exercisable in full, and until the day before such anticipated closing date (or such shorter period as the Company shall reasonably determine and so notify Employee), Employee shall be permitted to exercise all options with respect to up to the entire number of shares of the Company's common stock covered thereby. The Company may in such notice require that upon the close of the period described above during which an option may be so exercised such option shall terminate to the extent that it has not theretofore been exercised. Notwithstanding the foregoing, in the event the event which was the subject of such notice is not closed, options which were exercised shall be deemed not to have been exercised, any consideration received by the Company on account of the exercise price thereof shall be returned, and such options shall be exercisable thereafter (disregarding any acceleration of vesting as provided for above, which shall then be of no effect) to the same extent they would have been exercisable if no such notice had been given.</w:t>
      </w:r>
    </w:p>
    <w:p>
      <w:pPr>
        <w:spacing w:after="0" w:line="336" w:lineRule="exact"/>
        <w:rPr>
          <w:rFonts w:ascii="Courier New" w:cs="Courier New" w:eastAsia="Courier New" w:hAnsi="Courier New"/>
          <w:sz w:val="14"/>
          <w:szCs w:val="14"/>
          <w:color w:val="auto"/>
        </w:rPr>
      </w:pPr>
    </w:p>
    <w:p>
      <w:pPr>
        <w:ind w:left="1205" w:hanging="367"/>
        <w:spacing w:after="0"/>
        <w:tabs>
          <w:tab w:leader="none" w:pos="1205"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Etc.</w:t>
      </w:r>
    </w:p>
    <w:p>
      <w:pPr>
        <w:spacing w:after="0" w:line="182" w:lineRule="exact"/>
        <w:rPr>
          <w:rFonts w:ascii="Courier New" w:cs="Courier New" w:eastAsia="Courier New" w:hAnsi="Courier New"/>
          <w:sz w:val="16"/>
          <w:szCs w:val="16"/>
          <w:color w:val="auto"/>
        </w:rPr>
      </w:pPr>
    </w:p>
    <w:p>
      <w:pPr>
        <w:ind w:left="5" w:right="2779" w:firstLine="1670"/>
        <w:spacing w:after="0" w:line="275" w:lineRule="auto"/>
        <w:tabs>
          <w:tab w:leader="none" w:pos="2051"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merges with, or transfers all or substantially all of its assets to, or as part of a reorganization, restructuring or other transaction becomes a subsidiary of, another entity, such other entity shall be deemed to be the successor to the Company hereunder, and the term "Company" as used herein shall mean such other entity as is appropriate, and this Agreement shall continue in full force and effect.</w:t>
      </w:r>
    </w:p>
    <w:p>
      <w:pPr>
        <w:spacing w:after="0" w:line="161" w:lineRule="exact"/>
        <w:rPr>
          <w:rFonts w:ascii="Courier New" w:cs="Courier New" w:eastAsia="Courier New" w:hAnsi="Courier New"/>
          <w:sz w:val="14"/>
          <w:szCs w:val="14"/>
          <w:color w:val="auto"/>
        </w:rPr>
      </w:pPr>
    </w:p>
    <w:p>
      <w:pPr>
        <w:ind w:left="5" w:right="2779" w:firstLine="1670"/>
        <w:spacing w:after="0" w:line="275" w:lineRule="auto"/>
        <w:tabs>
          <w:tab w:leader="none" w:pos="2051"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transfers part of its assets to another entity owned by the shareholders of the Company (or any substantial portion of them), or distributes stock or other interests in a subsidiary or affiliate of the Company to the shareholders of the Company (or any substantial portion of them), and Employee works for the portion of the Company or the entity so transferred, then such other entity shall be deemed the successor to the Company hereunder, the term "Company" as used herein shall mean such other entity, and this Agreement shall continue in full force and effect.</w:t>
      </w:r>
    </w:p>
    <w:p>
      <w:pPr>
        <w:spacing w:after="0" w:line="332"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648" w:right="1440" w:bottom="1440" w:gutter="0" w:footer="0" w:header="0"/>
        </w:sectPr>
      </w:pPr>
    </w:p>
    <w:bookmarkStart w:id="128" w:name="page129"/>
    <w:bookmarkEnd w:id="128"/>
    <w:p>
      <w:pPr>
        <w:ind w:left="-833" w:right="2779" w:firstLine="833"/>
        <w:spacing w:after="0" w:line="272" w:lineRule="auto"/>
        <w:tabs>
          <w:tab w:leader="none" w:pos="377"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Jurisdiction; Governing Law. Litigation concerning this Agreement, if initiated by or on behalf of Employee, shall be brought only in a state or federal court in the Eastern District of Pennsylvania, or, if initiated by the Company, in such jurisdiction or in the jurisdiction in which Employee then resides or works. Employee consents to jurisdiction in the Eastern District of Pennsylvania without regard to Employee's residence or place of business. Employee and the Company irrevocably waive any objection, including any objection to the laying of venue or based on the grounds of forum non conveniens, which it may now or hereafter have to the bringing of any action or proceeding in such jurisdiction. Employee and the Company acknowledge and agree that any service of legal process by mail constitutes proper legal service of process under applicable law in any such action or proceeding. This Agreement shall be interpreted and enforced in accordance with the substantive law of the Commonwealth of Pennsylvania, without regard to any choice-of-law doctrines. In any litigation concerning this Agreement, the prevailing party shall be entitled to reimbursement from the other party for all costs of defending or maintain such action, including reasonable attorneys' fees.</w:t>
      </w:r>
    </w:p>
    <w:p>
      <w:pPr>
        <w:spacing w:after="0" w:line="344" w:lineRule="exact"/>
        <w:rPr>
          <w:rFonts w:ascii="Courier New" w:cs="Courier New" w:eastAsia="Courier New" w:hAnsi="Courier New"/>
          <w:sz w:val="14"/>
          <w:szCs w:val="14"/>
          <w:color w:val="auto"/>
        </w:rPr>
      </w:pPr>
    </w:p>
    <w:p>
      <w:pPr>
        <w:ind w:left="-833" w:right="2879" w:firstLine="833"/>
        <w:spacing w:after="0" w:line="276" w:lineRule="auto"/>
        <w:tabs>
          <w:tab w:leader="none" w:pos="377"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referred to in this Agreement shall be given in writing and shall be effective: (a) if given by facsimile, when transmitted to the telecopy number below and an appropriate facsimile confirmation is received; or (b) if given by registered or certified mail, when received at the following address (with an appropriate receipt received):</w:t>
      </w:r>
    </w:p>
    <w:p>
      <w:pPr>
        <w:spacing w:after="0" w:line="155" w:lineRule="exact"/>
        <w:rPr>
          <w:sz w:val="20"/>
          <w:szCs w:val="20"/>
          <w:color w:val="auto"/>
        </w:rPr>
      </w:pPr>
    </w:p>
    <w:p>
      <w:pPr>
        <w:ind w:left="827"/>
        <w:spacing w:after="0"/>
        <w:rPr>
          <w:sz w:val="20"/>
          <w:szCs w:val="20"/>
          <w:color w:val="auto"/>
        </w:rPr>
      </w:pPr>
      <w:r>
        <w:rPr>
          <w:rFonts w:ascii="Courier New" w:cs="Courier New" w:eastAsia="Courier New" w:hAnsi="Courier New"/>
          <w:sz w:val="16"/>
          <w:szCs w:val="16"/>
          <w:color w:val="auto"/>
        </w:rPr>
        <w:t>if to Company to:</w:t>
      </w:r>
    </w:p>
    <w:p>
      <w:pPr>
        <w:spacing w:after="0" w:line="177" w:lineRule="exact"/>
        <w:rPr>
          <w:sz w:val="20"/>
          <w:szCs w:val="20"/>
          <w:color w:val="auto"/>
        </w:rPr>
      </w:pPr>
    </w:p>
    <w:p>
      <w:pPr>
        <w:ind w:left="827"/>
        <w:spacing w:after="0"/>
        <w:rPr>
          <w:sz w:val="20"/>
          <w:szCs w:val="20"/>
          <w:color w:val="auto"/>
        </w:rPr>
      </w:pPr>
      <w:r>
        <w:rPr>
          <w:rFonts w:ascii="Courier New" w:cs="Courier New" w:eastAsia="Courier New" w:hAnsi="Courier New"/>
          <w:sz w:val="16"/>
          <w:szCs w:val="16"/>
          <w:color w:val="auto"/>
        </w:rPr>
        <w:t>c/o Comcast Corporation</w:t>
      </w:r>
    </w:p>
    <w:p>
      <w:pPr>
        <w:ind w:left="827"/>
        <w:spacing w:after="0" w:line="236" w:lineRule="auto"/>
        <w:rPr>
          <w:sz w:val="20"/>
          <w:szCs w:val="20"/>
          <w:color w:val="auto"/>
        </w:rPr>
      </w:pPr>
      <w:r>
        <w:rPr>
          <w:rFonts w:ascii="Courier New" w:cs="Courier New" w:eastAsia="Courier New" w:hAnsi="Courier New"/>
          <w:sz w:val="16"/>
          <w:szCs w:val="16"/>
          <w:color w:val="auto"/>
        </w:rPr>
        <w:t>1500 Market Street</w:t>
      </w:r>
    </w:p>
    <w:p>
      <w:pPr>
        <w:ind w:left="827"/>
        <w:spacing w:after="0"/>
        <w:tabs>
          <w:tab w:leader="none" w:pos="2487" w:val="left"/>
        </w:tabs>
        <w:rPr>
          <w:sz w:val="20"/>
          <w:szCs w:val="20"/>
          <w:color w:val="auto"/>
        </w:rPr>
      </w:pPr>
      <w:r>
        <w:rPr>
          <w:rFonts w:ascii="Courier New" w:cs="Courier New" w:eastAsia="Courier New" w:hAnsi="Courier New"/>
          <w:sz w:val="16"/>
          <w:szCs w:val="16"/>
          <w:color w:val="auto"/>
        </w:rPr>
        <w:t>Philadelphia, PA</w:t>
      </w:r>
      <w:r>
        <w:rPr>
          <w:sz w:val="20"/>
          <w:szCs w:val="20"/>
          <w:color w:val="auto"/>
        </w:rPr>
        <w:tab/>
      </w:r>
      <w:r>
        <w:rPr>
          <w:rFonts w:ascii="Courier New" w:cs="Courier New" w:eastAsia="Courier New" w:hAnsi="Courier New"/>
          <w:sz w:val="14"/>
          <w:szCs w:val="14"/>
          <w:color w:val="auto"/>
        </w:rPr>
        <w:t>19102</w:t>
      </w:r>
    </w:p>
    <w:p>
      <w:pPr>
        <w:ind w:left="827"/>
        <w:spacing w:after="0" w:line="237" w:lineRule="auto"/>
        <w:tabs>
          <w:tab w:leader="none" w:pos="1927" w:val="left"/>
        </w:tabs>
        <w:rPr>
          <w:sz w:val="20"/>
          <w:szCs w:val="20"/>
          <w:color w:val="auto"/>
        </w:rPr>
      </w:pPr>
      <w:r>
        <w:rPr>
          <w:rFonts w:ascii="Courier New" w:cs="Courier New" w:eastAsia="Courier New" w:hAnsi="Courier New"/>
          <w:sz w:val="16"/>
          <w:szCs w:val="16"/>
          <w:color w:val="auto"/>
        </w:rPr>
        <w:t>Attention:</w:t>
        <w:tab/>
        <w:t>General Counsel</w:t>
      </w:r>
    </w:p>
    <w:p>
      <w:pPr>
        <w:ind w:left="827"/>
        <w:spacing w:after="0" w:line="237" w:lineRule="auto"/>
        <w:rPr>
          <w:sz w:val="20"/>
          <w:szCs w:val="20"/>
          <w:color w:val="auto"/>
        </w:rPr>
      </w:pPr>
      <w:r>
        <w:rPr>
          <w:rFonts w:ascii="Courier New" w:cs="Courier New" w:eastAsia="Courier New" w:hAnsi="Courier New"/>
          <w:sz w:val="16"/>
          <w:szCs w:val="16"/>
          <w:color w:val="auto"/>
        </w:rPr>
        <w:t>FAX: (215) 981-7794; and</w:t>
      </w:r>
    </w:p>
    <w:p>
      <w:pPr>
        <w:spacing w:after="0" w:line="183" w:lineRule="exact"/>
        <w:rPr>
          <w:sz w:val="20"/>
          <w:szCs w:val="20"/>
          <w:color w:val="auto"/>
        </w:rPr>
      </w:pPr>
    </w:p>
    <w:p>
      <w:pPr>
        <w:ind w:left="827" w:right="2779"/>
        <w:spacing w:after="0" w:line="234" w:lineRule="auto"/>
        <w:rPr>
          <w:sz w:val="20"/>
          <w:szCs w:val="20"/>
          <w:color w:val="auto"/>
        </w:rPr>
      </w:pPr>
      <w:r>
        <w:rPr>
          <w:rFonts w:ascii="Courier New" w:cs="Courier New" w:eastAsia="Courier New" w:hAnsi="Courier New"/>
          <w:sz w:val="16"/>
          <w:szCs w:val="16"/>
          <w:color w:val="auto"/>
        </w:rPr>
        <w:t>if to Employee to: the Employee's address as indicated in the Company's records from time to time.</w:t>
      </w:r>
    </w:p>
    <w:p>
      <w:pPr>
        <w:spacing w:after="0" w:line="183" w:lineRule="exact"/>
        <w:rPr>
          <w:sz w:val="20"/>
          <w:szCs w:val="20"/>
          <w:color w:val="auto"/>
        </w:rPr>
      </w:pPr>
    </w:p>
    <w:p>
      <w:pPr>
        <w:ind w:left="-833" w:right="3239" w:firstLine="833"/>
        <w:spacing w:after="0" w:line="235" w:lineRule="auto"/>
        <w:tabs>
          <w:tab w:leader="none" w:pos="377"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Agreement. This Agreement supercedes in its entirety the Executive Employment Agreement between the parties dated May 31, 2000, as amended by First Amendment to Executive Employment Agreement dated July 30, 2001.</w:t>
      </w:r>
    </w:p>
    <w:p>
      <w:pPr>
        <w:spacing w:after="0" w:line="178" w:lineRule="exact"/>
        <w:rPr>
          <w:sz w:val="20"/>
          <w:szCs w:val="20"/>
          <w:color w:val="auto"/>
        </w:rPr>
      </w:pPr>
    </w:p>
    <w:p>
      <w:pPr>
        <w:ind w:left="2787"/>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387"/>
          </w:cols>
          <w:pgMar w:left="1073" w:top="654" w:right="1440" w:bottom="1440" w:gutter="0" w:footer="0" w:header="0"/>
        </w:sectPr>
      </w:pPr>
    </w:p>
    <w:bookmarkStart w:id="129" w:name="page130"/>
    <w:bookmarkEnd w:id="129"/>
    <w:p>
      <w:pPr>
        <w:ind w:right="3339" w:firstLine="1674"/>
        <w:spacing w:after="0" w:line="234" w:lineRule="auto"/>
        <w:rPr>
          <w:sz w:val="20"/>
          <w:szCs w:val="20"/>
          <w:color w:val="auto"/>
        </w:rPr>
      </w:pPr>
      <w:r>
        <w:rPr>
          <w:rFonts w:ascii="Courier New" w:cs="Courier New" w:eastAsia="Courier New" w:hAnsi="Courier New"/>
          <w:sz w:val="16"/>
          <w:szCs w:val="16"/>
          <w:color w:val="auto"/>
        </w:rPr>
        <w:t>IN WITNESS WHEREOF, the parties hereto have executed and delivered this Agreement as of the date first above written.</w:t>
      </w:r>
    </w:p>
    <w:p>
      <w:pPr>
        <w:spacing w:after="0" w:line="35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COMCAST CORPORATION</w:t>
      </w:r>
    </w:p>
    <w:p>
      <w:pPr>
        <w:spacing w:after="0" w:line="355"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By: /s/ Arthur R. Block</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EMPLOYEE:</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 Stephen B. Burke</w:t>
      </w:r>
    </w:p>
    <w:p>
      <w:pPr>
        <w:ind w:left="3900"/>
        <w:spacing w:after="0" w:line="236" w:lineRule="auto"/>
        <w:rPr>
          <w:sz w:val="20"/>
          <w:szCs w:val="20"/>
          <w:color w:val="auto"/>
        </w:rPr>
      </w:pPr>
      <w:r>
        <w:rPr>
          <w:rFonts w:ascii="Courier New" w:cs="Courier New" w:eastAsia="Courier New" w:hAnsi="Courier New"/>
          <w:sz w:val="16"/>
          <w:szCs w:val="16"/>
          <w:color w:val="auto"/>
        </w:rPr>
        <w:t>------------------------------</w:t>
      </w:r>
    </w:p>
    <w:p>
      <w:pPr>
        <w:ind w:left="3900"/>
        <w:spacing w:after="0" w:line="237" w:lineRule="auto"/>
        <w:rPr>
          <w:sz w:val="20"/>
          <w:szCs w:val="20"/>
          <w:color w:val="auto"/>
        </w:rPr>
      </w:pPr>
      <w:r>
        <w:rPr>
          <w:rFonts w:ascii="Courier New" w:cs="Courier New" w:eastAsia="Courier New" w:hAnsi="Courier New"/>
          <w:sz w:val="16"/>
          <w:szCs w:val="16"/>
          <w:color w:val="auto"/>
        </w:rPr>
        <w:t>Stephen B. Burke</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33" w:right="1440" w:bottom="1440" w:gutter="0" w:footer="0" w:header="0"/>
        </w:sectPr>
      </w:pPr>
    </w:p>
    <w:bookmarkStart w:id="130" w:name="page131"/>
    <w:bookmarkEnd w:id="130"/>
    <w:p>
      <w:pPr>
        <w:ind w:left="3265"/>
        <w:spacing w:after="0"/>
        <w:rPr>
          <w:sz w:val="20"/>
          <w:szCs w:val="20"/>
          <w:color w:val="auto"/>
        </w:rPr>
      </w:pPr>
      <w:r>
        <w:rPr>
          <w:rFonts w:ascii="Courier New" w:cs="Courier New" w:eastAsia="Courier New" w:hAnsi="Courier New"/>
          <w:sz w:val="16"/>
          <w:szCs w:val="16"/>
          <w:color w:val="auto"/>
        </w:rPr>
        <w:t>SCHEDULE 1</w:t>
      </w:r>
    </w:p>
    <w:p>
      <w:pPr>
        <w:ind w:left="3265"/>
        <w:spacing w:after="0" w:line="236" w:lineRule="auto"/>
        <w:rPr>
          <w:sz w:val="20"/>
          <w:szCs w:val="20"/>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ind w:left="845" w:right="2879" w:hanging="845"/>
        <w:spacing w:after="0" w:line="234" w:lineRule="auto"/>
        <w:tabs>
          <w:tab w:leader="none" w:pos="84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Position: Executive Vice President, Comcast Corporation; and President of the Cable Division of Comcast Corporation.</w:t>
      </w:r>
    </w:p>
    <w:p>
      <w:pPr>
        <w:spacing w:after="0" w:line="177" w:lineRule="exact"/>
        <w:rPr>
          <w:rFonts w:ascii="Courier New" w:cs="Courier New" w:eastAsia="Courier New" w:hAnsi="Courier New"/>
          <w:sz w:val="16"/>
          <w:szCs w:val="16"/>
          <w:color w:val="auto"/>
        </w:rPr>
      </w:pPr>
    </w:p>
    <w:p>
      <w:pPr>
        <w:ind w:left="845" w:hanging="845"/>
        <w:spacing w:after="0"/>
        <w:tabs>
          <w:tab w:leader="none" w:pos="84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$1,225,230.</w:t>
      </w:r>
    </w:p>
    <w:p>
      <w:pPr>
        <w:spacing w:after="0" w:line="182" w:lineRule="exact"/>
        <w:rPr>
          <w:rFonts w:ascii="Courier New" w:cs="Courier New" w:eastAsia="Courier New" w:hAnsi="Courier New"/>
          <w:sz w:val="16"/>
          <w:szCs w:val="16"/>
          <w:color w:val="auto"/>
        </w:rPr>
      </w:pPr>
    </w:p>
    <w:p>
      <w:pPr>
        <w:ind w:left="845" w:right="2779" w:hanging="845"/>
        <w:spacing w:after="0" w:line="235" w:lineRule="auto"/>
        <w:tabs>
          <w:tab w:leader="none" w:pos="84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Increases: The greater of (i) 5% of the previous year's Base Salary or (ii) the percentage increase during the previous year in the Consumer Price Index for all urban consumers published by the U.S. Department of Labor or (if such index is discontinued) the nearest equivalent index, up to a maximum of 10%.</w:t>
      </w:r>
    </w:p>
    <w:p>
      <w:pPr>
        <w:spacing w:after="0" w:line="179" w:lineRule="exact"/>
        <w:rPr>
          <w:rFonts w:ascii="Courier New" w:cs="Courier New" w:eastAsia="Courier New" w:hAnsi="Courier New"/>
          <w:sz w:val="16"/>
          <w:szCs w:val="16"/>
          <w:color w:val="auto"/>
        </w:rPr>
      </w:pPr>
    </w:p>
    <w:p>
      <w:pPr>
        <w:ind w:left="845" w:hanging="845"/>
        <w:spacing w:after="0"/>
        <w:tabs>
          <w:tab w:leader="none" w:pos="84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Bonus/ Restricted Stock Grant Terms:</w:t>
      </w:r>
    </w:p>
    <w:p>
      <w:pPr>
        <w:spacing w:after="0" w:line="182" w:lineRule="exact"/>
        <w:rPr>
          <w:rFonts w:ascii="Courier New" w:cs="Courier New" w:eastAsia="Courier New" w:hAnsi="Courier New"/>
          <w:sz w:val="16"/>
          <w:szCs w:val="16"/>
          <w:color w:val="auto"/>
        </w:rPr>
      </w:pPr>
    </w:p>
    <w:p>
      <w:pPr>
        <w:ind w:left="1665" w:right="3059" w:hanging="827"/>
        <w:spacing w:after="0" w:line="283" w:lineRule="auto"/>
        <w:tabs>
          <w:tab w:leader="none" w:pos="1665"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bonuses on account of 2003 (payable in 2004) under the Company's Supplemental Cash Bonus Plan and Executive Cash Bonus Plan will be paid pursuant to their existing terms.</w:t>
      </w:r>
    </w:p>
    <w:p>
      <w:pPr>
        <w:spacing w:after="0" w:line="154" w:lineRule="exact"/>
        <w:rPr>
          <w:rFonts w:ascii="Courier New" w:cs="Courier New" w:eastAsia="Courier New" w:hAnsi="Courier New"/>
          <w:sz w:val="14"/>
          <w:szCs w:val="14"/>
          <w:color w:val="auto"/>
        </w:rPr>
      </w:pPr>
    </w:p>
    <w:p>
      <w:pPr>
        <w:ind w:left="1665" w:right="2879" w:hanging="827"/>
        <w:spacing w:after="0" w:line="235" w:lineRule="auto"/>
        <w:tabs>
          <w:tab w:leader="none" w:pos="1665"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bonus of 50% of Base Salary, on account of 2004 (payable in 2005) and 2005 (payable in 2006), under the Company's Supplemental Cash Bonus Plan.</w:t>
      </w:r>
    </w:p>
    <w:p>
      <w:pPr>
        <w:spacing w:after="0" w:line="183" w:lineRule="exact"/>
        <w:rPr>
          <w:rFonts w:ascii="Courier New" w:cs="Courier New" w:eastAsia="Courier New" w:hAnsi="Courier New"/>
          <w:sz w:val="16"/>
          <w:szCs w:val="16"/>
          <w:color w:val="auto"/>
        </w:rPr>
      </w:pPr>
    </w:p>
    <w:p>
      <w:pPr>
        <w:ind w:left="1665" w:right="2879" w:hanging="827"/>
        <w:spacing w:after="0" w:line="235" w:lineRule="auto"/>
        <w:tabs>
          <w:tab w:leader="none" w:pos="1665"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bonus of 50% of Base Salary, on account of 2004 (payable in 2005) through 2008 (payable in 2009), under the Company's Executive Cash Bonus Plan.</w:t>
      </w:r>
    </w:p>
    <w:p>
      <w:pPr>
        <w:spacing w:after="0" w:line="177" w:lineRule="exact"/>
        <w:rPr>
          <w:rFonts w:ascii="Courier New" w:cs="Courier New" w:eastAsia="Courier New" w:hAnsi="Courier New"/>
          <w:sz w:val="16"/>
          <w:szCs w:val="16"/>
          <w:color w:val="auto"/>
        </w:rPr>
      </w:pPr>
    </w:p>
    <w:p>
      <w:pPr>
        <w:ind w:left="1665" w:hanging="827"/>
        <w:spacing w:after="0"/>
        <w:tabs>
          <w:tab w:leader="none" w:pos="1665"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signing bonus of $3,032,000, payable in January 2004.</w:t>
      </w:r>
    </w:p>
    <w:p>
      <w:pPr>
        <w:spacing w:after="0" w:line="182" w:lineRule="exact"/>
        <w:rPr>
          <w:rFonts w:ascii="Courier New" w:cs="Courier New" w:eastAsia="Courier New" w:hAnsi="Courier New"/>
          <w:sz w:val="16"/>
          <w:szCs w:val="16"/>
          <w:color w:val="auto"/>
        </w:rPr>
      </w:pPr>
    </w:p>
    <w:p>
      <w:pPr>
        <w:ind w:left="1665" w:right="2879" w:hanging="827"/>
        <w:spacing w:after="0" w:line="235" w:lineRule="auto"/>
        <w:tabs>
          <w:tab w:leader="none" w:pos="1665"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restricted stock to be made in January 2004, on the following terms: 300,000 shares of Class A Common Stock; vesting 100,000 shares in January 2005 and 50,000 shares each in January 2006 through January 2009.</w:t>
      </w:r>
    </w:p>
    <w:p>
      <w:pPr>
        <w:spacing w:after="0" w:line="184" w:lineRule="exact"/>
        <w:rPr>
          <w:rFonts w:ascii="Courier New" w:cs="Courier New" w:eastAsia="Courier New" w:hAnsi="Courier New"/>
          <w:sz w:val="16"/>
          <w:szCs w:val="16"/>
          <w:color w:val="auto"/>
        </w:rPr>
      </w:pPr>
    </w:p>
    <w:p>
      <w:pPr>
        <w:ind w:left="845" w:right="3059" w:hanging="845"/>
        <w:spacing w:after="0" w:line="295" w:lineRule="auto"/>
        <w:tabs>
          <w:tab w:leader="none" w:pos="84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Continuation Period following Discharge Without Cause by the Company or Termination by Employee with Good Reason: 24 months.</w:t>
      </w:r>
    </w:p>
    <w:p>
      <w:pPr>
        <w:spacing w:after="0" w:line="146" w:lineRule="exact"/>
        <w:rPr>
          <w:rFonts w:ascii="Courier New" w:cs="Courier New" w:eastAsia="Courier New" w:hAnsi="Courier New"/>
          <w:sz w:val="14"/>
          <w:szCs w:val="14"/>
          <w:color w:val="auto"/>
        </w:rPr>
      </w:pPr>
    </w:p>
    <w:p>
      <w:pPr>
        <w:ind w:left="845" w:right="3619" w:hanging="845"/>
        <w:spacing w:after="0" w:line="234" w:lineRule="auto"/>
        <w:tabs>
          <w:tab w:leader="none" w:pos="84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Bonus/Restricted Stock Continued Vesting Period following Discharge Without Cause: 12 months.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4"/>
          </w:cols>
          <w:pgMar w:left="235" w:top="827" w:right="1440" w:bottom="1440" w:gutter="0" w:footer="0" w:header="0"/>
        </w:sectPr>
      </w:pPr>
    </w:p>
    <w:bookmarkStart w:id="131" w:name="page132"/>
    <w:bookmarkEnd w:id="131"/>
    <w:p>
      <w:pPr>
        <w:jc w:val="right"/>
        <w:ind w:right="2779"/>
        <w:spacing w:after="0"/>
        <w:rPr>
          <w:sz w:val="20"/>
          <w:szCs w:val="20"/>
          <w:color w:val="auto"/>
        </w:rPr>
      </w:pPr>
      <w:r>
        <w:rPr>
          <w:rFonts w:ascii="Courier New" w:cs="Courier New" w:eastAsia="Courier New" w:hAnsi="Courier New"/>
          <w:sz w:val="16"/>
          <w:szCs w:val="16"/>
          <w:color w:val="auto"/>
        </w:rPr>
        <w:t>Exhibit 31</w:t>
      </w:r>
    </w:p>
    <w:p>
      <w:pPr>
        <w:spacing w:after="0" w:line="177"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CERTIFICATIONS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 Brian L. Roberts, certify that:</w:t>
      </w:r>
    </w:p>
    <w:p>
      <w:pPr>
        <w:spacing w:after="0" w:line="183" w:lineRule="exact"/>
        <w:rPr>
          <w:sz w:val="20"/>
          <w:szCs w:val="20"/>
          <w:color w:val="auto"/>
        </w:rPr>
      </w:pPr>
    </w:p>
    <w:p>
      <w:pPr>
        <w:ind w:left="465" w:hanging="465"/>
        <w:spacing w:after="0"/>
        <w:tabs>
          <w:tab w:leader="none" w:pos="46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Comcast Corporation;</w:t>
      </w:r>
    </w:p>
    <w:p>
      <w:pPr>
        <w:spacing w:after="0" w:line="199" w:lineRule="exact"/>
        <w:rPr>
          <w:rFonts w:ascii="Courier New" w:cs="Courier New" w:eastAsia="Courier New" w:hAnsi="Courier New"/>
          <w:sz w:val="14"/>
          <w:szCs w:val="14"/>
          <w:color w:val="auto"/>
        </w:rPr>
      </w:pPr>
    </w:p>
    <w:p>
      <w:pPr>
        <w:ind w:left="465" w:right="2779" w:hanging="465"/>
        <w:spacing w:after="0" w:line="235" w:lineRule="auto"/>
        <w:tabs>
          <w:tab w:leader="none" w:pos="465"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Courier New" w:cs="Courier New" w:eastAsia="Courier New" w:hAnsi="Courier New"/>
          <w:sz w:val="16"/>
          <w:szCs w:val="16"/>
          <w:color w:val="auto"/>
        </w:rPr>
      </w:pPr>
    </w:p>
    <w:p>
      <w:pPr>
        <w:ind w:left="465" w:right="2959" w:hanging="465"/>
        <w:spacing w:after="0" w:line="279" w:lineRule="auto"/>
        <w:tabs>
          <w:tab w:leader="none" w:pos="46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Courier New" w:cs="Courier New" w:eastAsia="Courier New" w:hAnsi="Courier New"/>
          <w:sz w:val="14"/>
          <w:szCs w:val="14"/>
          <w:color w:val="auto"/>
        </w:rPr>
      </w:pPr>
    </w:p>
    <w:p>
      <w:pPr>
        <w:ind w:left="465" w:right="2779" w:hanging="465"/>
        <w:spacing w:after="0" w:line="283" w:lineRule="auto"/>
        <w:tabs>
          <w:tab w:leader="none" w:pos="46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54" w:lineRule="exact"/>
        <w:rPr>
          <w:rFonts w:ascii="Courier New" w:cs="Courier New" w:eastAsia="Courier New" w:hAnsi="Courier New"/>
          <w:sz w:val="14"/>
          <w:szCs w:val="14"/>
          <w:color w:val="auto"/>
        </w:rPr>
      </w:pPr>
    </w:p>
    <w:p>
      <w:pPr>
        <w:ind w:left="845" w:right="2959" w:hanging="379"/>
        <w:spacing w:after="0" w:line="236" w:lineRule="auto"/>
        <w:tabs>
          <w:tab w:leader="none" w:pos="845"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omitted pursuant to SEC Release Nos. 33-8238 and 34-47986.]</w:t>
      </w:r>
    </w:p>
    <w:p>
      <w:pPr>
        <w:spacing w:after="0" w:line="199" w:lineRule="exact"/>
        <w:rPr>
          <w:rFonts w:ascii="Courier New" w:cs="Courier New" w:eastAsia="Courier New" w:hAnsi="Courier New"/>
          <w:sz w:val="14"/>
          <w:szCs w:val="14"/>
          <w:color w:val="auto"/>
        </w:rPr>
      </w:pPr>
    </w:p>
    <w:p>
      <w:pPr>
        <w:ind w:left="845" w:right="2779" w:hanging="379"/>
        <w:spacing w:after="0" w:line="279" w:lineRule="auto"/>
        <w:tabs>
          <w:tab w:leader="none" w:pos="845"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Courier New" w:cs="Courier New" w:eastAsia="Courier New" w:hAnsi="Courier New"/>
          <w:sz w:val="14"/>
          <w:szCs w:val="14"/>
          <w:color w:val="auto"/>
        </w:rPr>
      </w:pPr>
    </w:p>
    <w:p>
      <w:pPr>
        <w:ind w:left="845" w:right="2879" w:hanging="379"/>
        <w:spacing w:after="0" w:line="236" w:lineRule="auto"/>
        <w:tabs>
          <w:tab w:leader="none" w:pos="845"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Courier New" w:cs="Courier New" w:eastAsia="Courier New" w:hAnsi="Courier New"/>
          <w:sz w:val="16"/>
          <w:szCs w:val="16"/>
          <w:color w:val="auto"/>
        </w:rPr>
      </w:pPr>
    </w:p>
    <w:p>
      <w:pPr>
        <w:ind w:left="465" w:right="2779" w:hanging="465"/>
        <w:spacing w:after="0" w:line="279" w:lineRule="auto"/>
        <w:tabs>
          <w:tab w:leader="none" w:pos="46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Courier New" w:cs="Courier New" w:eastAsia="Courier New" w:hAnsi="Courier New"/>
          <w:sz w:val="14"/>
          <w:szCs w:val="14"/>
          <w:color w:val="auto"/>
        </w:rPr>
      </w:pPr>
    </w:p>
    <w:p>
      <w:pPr>
        <w:ind w:left="845" w:right="2959" w:hanging="379"/>
        <w:spacing w:after="0" w:line="279" w:lineRule="auto"/>
        <w:tabs>
          <w:tab w:leader="none" w:pos="845"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Courier New" w:cs="Courier New" w:eastAsia="Courier New" w:hAnsi="Courier New"/>
          <w:sz w:val="14"/>
          <w:szCs w:val="14"/>
          <w:color w:val="auto"/>
        </w:rPr>
      </w:pPr>
    </w:p>
    <w:p>
      <w:pPr>
        <w:ind w:left="845" w:right="2959" w:hanging="379"/>
        <w:spacing w:after="0" w:line="235" w:lineRule="auto"/>
        <w:tabs>
          <w:tab w:leader="none" w:pos="845"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Date: May 5, 2004</w:t>
      </w:r>
    </w:p>
    <w:p>
      <w:pPr>
        <w:spacing w:after="0" w:line="200" w:lineRule="exact"/>
        <w:rPr>
          <w:sz w:val="20"/>
          <w:szCs w:val="20"/>
          <w:color w:val="auto"/>
        </w:rPr>
      </w:pP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 Brian L. Roberts</w:t>
      </w:r>
    </w:p>
    <w:p>
      <w:pPr>
        <w:ind w:left="185" w:hanging="185"/>
        <w:spacing w:after="0" w:line="236" w:lineRule="auto"/>
        <w:tabs>
          <w:tab w:leader="none" w:pos="185"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5" w:right="807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Name: Brian L. Roberts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 Lawrence S. Smith, certify that:</w:t>
      </w:r>
    </w:p>
    <w:p>
      <w:pPr>
        <w:spacing w:after="0" w:line="183" w:lineRule="exact"/>
        <w:rPr>
          <w:sz w:val="20"/>
          <w:szCs w:val="20"/>
          <w:color w:val="auto"/>
        </w:rPr>
      </w:pPr>
    </w:p>
    <w:p>
      <w:pPr>
        <w:ind w:left="465" w:hanging="465"/>
        <w:spacing w:after="0"/>
        <w:tabs>
          <w:tab w:leader="none" w:pos="46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Comcast Corporation;</w:t>
      </w:r>
    </w:p>
    <w:p>
      <w:pPr>
        <w:spacing w:after="0" w:line="199" w:lineRule="exact"/>
        <w:rPr>
          <w:rFonts w:ascii="Courier New" w:cs="Courier New" w:eastAsia="Courier New" w:hAnsi="Courier New"/>
          <w:sz w:val="14"/>
          <w:szCs w:val="14"/>
          <w:color w:val="auto"/>
        </w:rPr>
      </w:pPr>
    </w:p>
    <w:p>
      <w:pPr>
        <w:ind w:left="465" w:right="2779" w:hanging="465"/>
        <w:spacing w:after="0" w:line="235" w:lineRule="auto"/>
        <w:tabs>
          <w:tab w:leader="none" w:pos="465"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Courier New" w:cs="Courier New" w:eastAsia="Courier New" w:hAnsi="Courier New"/>
          <w:sz w:val="16"/>
          <w:szCs w:val="16"/>
          <w:color w:val="auto"/>
        </w:rPr>
      </w:pPr>
    </w:p>
    <w:p>
      <w:pPr>
        <w:ind w:left="465" w:right="2959" w:hanging="465"/>
        <w:spacing w:after="0" w:line="279" w:lineRule="auto"/>
        <w:tabs>
          <w:tab w:leader="none" w:pos="46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ectPr>
          <w:pgSz w:w="11900" w:h="16838" w:orient="portrait"/>
          <w:cols w:equalWidth="0" w:num="1">
            <w:col w:w="10224"/>
          </w:cols>
          <w:pgMar w:left="235" w:top="135" w:right="1440" w:bottom="0" w:gutter="0" w:footer="0" w:header="0"/>
        </w:sectPr>
      </w:pPr>
    </w:p>
    <w:bookmarkStart w:id="132" w:name="page133"/>
    <w:bookmarkEnd w:id="132"/>
    <w:p>
      <w:pPr>
        <w:ind w:left="465" w:right="2779" w:hanging="465"/>
        <w:spacing w:after="0" w:line="283" w:lineRule="auto"/>
        <w:tabs>
          <w:tab w:leader="none" w:pos="46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54" w:lineRule="exact"/>
        <w:rPr>
          <w:rFonts w:ascii="Courier New" w:cs="Courier New" w:eastAsia="Courier New" w:hAnsi="Courier New"/>
          <w:sz w:val="14"/>
          <w:szCs w:val="14"/>
          <w:color w:val="auto"/>
        </w:rPr>
      </w:pPr>
    </w:p>
    <w:p>
      <w:pPr>
        <w:ind w:left="845" w:right="2959" w:hanging="379"/>
        <w:spacing w:after="0" w:line="236" w:lineRule="auto"/>
        <w:tabs>
          <w:tab w:leader="none" w:pos="845"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omitted pursuant to SEC Release Nos. 33-8238 and 34-47986.]</w:t>
      </w:r>
    </w:p>
    <w:p>
      <w:pPr>
        <w:spacing w:after="0" w:line="199" w:lineRule="exact"/>
        <w:rPr>
          <w:rFonts w:ascii="Courier New" w:cs="Courier New" w:eastAsia="Courier New" w:hAnsi="Courier New"/>
          <w:sz w:val="14"/>
          <w:szCs w:val="14"/>
          <w:color w:val="auto"/>
        </w:rPr>
      </w:pPr>
    </w:p>
    <w:p>
      <w:pPr>
        <w:ind w:left="845" w:right="2779" w:hanging="379"/>
        <w:spacing w:after="0" w:line="279" w:lineRule="auto"/>
        <w:tabs>
          <w:tab w:leader="none" w:pos="845"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Courier New" w:cs="Courier New" w:eastAsia="Courier New" w:hAnsi="Courier New"/>
          <w:sz w:val="14"/>
          <w:szCs w:val="14"/>
          <w:color w:val="auto"/>
        </w:rPr>
      </w:pPr>
    </w:p>
    <w:p>
      <w:pPr>
        <w:ind w:left="845" w:right="2879" w:hanging="379"/>
        <w:spacing w:after="0" w:line="236" w:lineRule="auto"/>
        <w:tabs>
          <w:tab w:leader="none" w:pos="845"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Courier New" w:cs="Courier New" w:eastAsia="Courier New" w:hAnsi="Courier New"/>
          <w:sz w:val="16"/>
          <w:szCs w:val="16"/>
          <w:color w:val="auto"/>
        </w:rPr>
      </w:pPr>
    </w:p>
    <w:p>
      <w:pPr>
        <w:ind w:left="465" w:right="2779" w:hanging="465"/>
        <w:spacing w:after="0" w:line="279" w:lineRule="auto"/>
        <w:tabs>
          <w:tab w:leader="none" w:pos="46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Courier New" w:cs="Courier New" w:eastAsia="Courier New" w:hAnsi="Courier New"/>
          <w:sz w:val="14"/>
          <w:szCs w:val="14"/>
          <w:color w:val="auto"/>
        </w:rPr>
      </w:pPr>
    </w:p>
    <w:p>
      <w:pPr>
        <w:ind w:left="845" w:right="2959" w:hanging="379"/>
        <w:spacing w:after="0" w:line="279" w:lineRule="auto"/>
        <w:tabs>
          <w:tab w:leader="none" w:pos="845"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Courier New" w:cs="Courier New" w:eastAsia="Courier New" w:hAnsi="Courier New"/>
          <w:sz w:val="14"/>
          <w:szCs w:val="14"/>
          <w:color w:val="auto"/>
        </w:rPr>
      </w:pPr>
    </w:p>
    <w:p>
      <w:pPr>
        <w:ind w:left="845" w:right="2959" w:hanging="379"/>
        <w:spacing w:after="0" w:line="235" w:lineRule="auto"/>
        <w:tabs>
          <w:tab w:leader="none" w:pos="845"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Date: May 5, 2004</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 Lawrence S. Smith</w:t>
      </w:r>
    </w:p>
    <w:p>
      <w:pPr>
        <w:ind w:left="185" w:hanging="185"/>
        <w:spacing w:after="0" w:line="236" w:lineRule="auto"/>
        <w:tabs>
          <w:tab w:leader="none" w:pos="185"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5" w:right="779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Name: Lawrence S. Smith Co-Chief Financial Officer</w:t>
      </w:r>
    </w:p>
    <w:p>
      <w:pPr>
        <w:sectPr>
          <w:pgSz w:w="11900" w:h="16838" w:orient="portrait"/>
          <w:cols w:equalWidth="0" w:num="1">
            <w:col w:w="10224"/>
          </w:cols>
          <w:pgMar w:left="235" w:top="321" w:right="1440" w:bottom="1440" w:gutter="0" w:footer="0" w:header="0"/>
        </w:sectPr>
      </w:pPr>
    </w:p>
    <w:bookmarkStart w:id="133" w:name="page134"/>
    <w:bookmarkEnd w:id="133"/>
    <w:p>
      <w:pPr>
        <w:ind w:left="5"/>
        <w:spacing w:after="0"/>
        <w:rPr>
          <w:sz w:val="20"/>
          <w:szCs w:val="20"/>
          <w:color w:val="auto"/>
        </w:rPr>
      </w:pPr>
      <w:r>
        <w:rPr>
          <w:rFonts w:ascii="Courier New" w:cs="Courier New" w:eastAsia="Courier New" w:hAnsi="Courier New"/>
          <w:sz w:val="16"/>
          <w:szCs w:val="16"/>
          <w:color w:val="auto"/>
        </w:rPr>
        <w:t>I, John R. Alchin, certify that:</w:t>
      </w:r>
    </w:p>
    <w:p>
      <w:pPr>
        <w:spacing w:after="0" w:line="183" w:lineRule="exact"/>
        <w:rPr>
          <w:sz w:val="20"/>
          <w:szCs w:val="20"/>
          <w:color w:val="auto"/>
        </w:rPr>
      </w:pPr>
    </w:p>
    <w:p>
      <w:pPr>
        <w:ind w:left="465" w:hanging="465"/>
        <w:spacing w:after="0"/>
        <w:tabs>
          <w:tab w:leader="none" w:pos="46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Comcast Corporation;</w:t>
      </w:r>
    </w:p>
    <w:p>
      <w:pPr>
        <w:spacing w:after="0" w:line="199" w:lineRule="exact"/>
        <w:rPr>
          <w:rFonts w:ascii="Courier New" w:cs="Courier New" w:eastAsia="Courier New" w:hAnsi="Courier New"/>
          <w:sz w:val="14"/>
          <w:szCs w:val="14"/>
          <w:color w:val="auto"/>
        </w:rPr>
      </w:pPr>
    </w:p>
    <w:p>
      <w:pPr>
        <w:ind w:left="465" w:right="2779" w:hanging="465"/>
        <w:spacing w:after="0" w:line="235" w:lineRule="auto"/>
        <w:tabs>
          <w:tab w:leader="none" w:pos="465"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Courier New" w:cs="Courier New" w:eastAsia="Courier New" w:hAnsi="Courier New"/>
          <w:sz w:val="16"/>
          <w:szCs w:val="16"/>
          <w:color w:val="auto"/>
        </w:rPr>
      </w:pPr>
    </w:p>
    <w:p>
      <w:pPr>
        <w:ind w:left="465" w:right="2959" w:hanging="465"/>
        <w:spacing w:after="0" w:line="279" w:lineRule="auto"/>
        <w:tabs>
          <w:tab w:leader="none" w:pos="46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Courier New" w:cs="Courier New" w:eastAsia="Courier New" w:hAnsi="Courier New"/>
          <w:sz w:val="14"/>
          <w:szCs w:val="14"/>
          <w:color w:val="auto"/>
        </w:rPr>
      </w:pPr>
    </w:p>
    <w:p>
      <w:pPr>
        <w:ind w:left="465" w:right="2779" w:hanging="465"/>
        <w:spacing w:after="0" w:line="283" w:lineRule="auto"/>
        <w:tabs>
          <w:tab w:leader="none" w:pos="46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54" w:lineRule="exact"/>
        <w:rPr>
          <w:rFonts w:ascii="Courier New" w:cs="Courier New" w:eastAsia="Courier New" w:hAnsi="Courier New"/>
          <w:sz w:val="14"/>
          <w:szCs w:val="14"/>
          <w:color w:val="auto"/>
        </w:rPr>
      </w:pPr>
    </w:p>
    <w:p>
      <w:pPr>
        <w:ind w:left="845" w:right="2959" w:hanging="379"/>
        <w:spacing w:after="0" w:line="236" w:lineRule="auto"/>
        <w:tabs>
          <w:tab w:leader="none" w:pos="845"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omitted pursuant to SEC Release Nos. 33-8238 and 34-47986.]</w:t>
      </w:r>
    </w:p>
    <w:p>
      <w:pPr>
        <w:spacing w:after="0" w:line="199" w:lineRule="exact"/>
        <w:rPr>
          <w:rFonts w:ascii="Courier New" w:cs="Courier New" w:eastAsia="Courier New" w:hAnsi="Courier New"/>
          <w:sz w:val="14"/>
          <w:szCs w:val="14"/>
          <w:color w:val="auto"/>
        </w:rPr>
      </w:pPr>
    </w:p>
    <w:p>
      <w:pPr>
        <w:ind w:left="845" w:right="2779" w:hanging="379"/>
        <w:spacing w:after="0" w:line="279" w:lineRule="auto"/>
        <w:tabs>
          <w:tab w:leader="none" w:pos="845"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Courier New" w:cs="Courier New" w:eastAsia="Courier New" w:hAnsi="Courier New"/>
          <w:sz w:val="14"/>
          <w:szCs w:val="14"/>
          <w:color w:val="auto"/>
        </w:rPr>
      </w:pPr>
    </w:p>
    <w:p>
      <w:pPr>
        <w:ind w:left="845" w:right="2879" w:hanging="379"/>
        <w:spacing w:after="0" w:line="236" w:lineRule="auto"/>
        <w:tabs>
          <w:tab w:leader="none" w:pos="845"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Courier New" w:cs="Courier New" w:eastAsia="Courier New" w:hAnsi="Courier New"/>
          <w:sz w:val="16"/>
          <w:szCs w:val="16"/>
          <w:color w:val="auto"/>
        </w:rPr>
      </w:pPr>
    </w:p>
    <w:p>
      <w:pPr>
        <w:ind w:left="465" w:right="2779" w:hanging="465"/>
        <w:spacing w:after="0" w:line="279" w:lineRule="auto"/>
        <w:tabs>
          <w:tab w:leader="none" w:pos="46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Courier New" w:cs="Courier New" w:eastAsia="Courier New" w:hAnsi="Courier New"/>
          <w:sz w:val="14"/>
          <w:szCs w:val="14"/>
          <w:color w:val="auto"/>
        </w:rPr>
      </w:pPr>
    </w:p>
    <w:p>
      <w:pPr>
        <w:ind w:left="845" w:right="2959" w:hanging="379"/>
        <w:spacing w:after="0" w:line="279" w:lineRule="auto"/>
        <w:tabs>
          <w:tab w:leader="none" w:pos="845"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Courier New" w:cs="Courier New" w:eastAsia="Courier New" w:hAnsi="Courier New"/>
          <w:sz w:val="14"/>
          <w:szCs w:val="14"/>
          <w:color w:val="auto"/>
        </w:rPr>
      </w:pPr>
    </w:p>
    <w:p>
      <w:pPr>
        <w:ind w:left="845" w:right="2959" w:hanging="379"/>
        <w:spacing w:after="0" w:line="235" w:lineRule="auto"/>
        <w:tabs>
          <w:tab w:leader="none" w:pos="845"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Date: May 5, 2004</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 John R. Alchin</w:t>
      </w:r>
    </w:p>
    <w:p>
      <w:pPr>
        <w:ind w:left="185" w:hanging="185"/>
        <w:spacing w:after="0" w:line="236" w:lineRule="auto"/>
        <w:tabs>
          <w:tab w:leader="none" w:pos="185"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5" w:right="779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John R. Alchin Co-Chief Financial Officer</w:t>
      </w:r>
    </w:p>
    <w:p>
      <w:pPr>
        <w:sectPr>
          <w:pgSz w:w="11900" w:h="16838" w:orient="portrait"/>
          <w:cols w:equalWidth="0" w:num="1">
            <w:col w:w="10224"/>
          </w:cols>
          <w:pgMar w:left="235" w:top="1185" w:right="1440" w:bottom="1440" w:gutter="0" w:footer="0" w:header="0"/>
        </w:sectPr>
      </w:pPr>
    </w:p>
    <w:bookmarkStart w:id="134" w:name="page135"/>
    <w:bookmarkEnd w:id="134"/>
    <w:p>
      <w:pPr>
        <w:jc w:val="right"/>
        <w:ind w:right="2779"/>
        <w:spacing w:after="0"/>
        <w:rPr>
          <w:sz w:val="20"/>
          <w:szCs w:val="20"/>
          <w:color w:val="auto"/>
        </w:rPr>
      </w:pPr>
      <w:r>
        <w:rPr>
          <w:rFonts w:ascii="Courier New" w:cs="Courier New" w:eastAsia="Courier New" w:hAnsi="Courier New"/>
          <w:sz w:val="16"/>
          <w:szCs w:val="16"/>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Certification Pursuant to Section 906 of the Sarbanes-Oxley Act</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May 5, 2004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36" w:lineRule="auto"/>
        <w:rPr>
          <w:sz w:val="20"/>
          <w:szCs w:val="20"/>
          <w:color w:val="auto"/>
        </w:rPr>
      </w:pPr>
      <w:r>
        <w:rPr>
          <w:rFonts w:ascii="Courier New" w:cs="Courier New" w:eastAsia="Courier New" w:hAnsi="Courier New"/>
          <w:sz w:val="16"/>
          <w:szCs w:val="16"/>
          <w:color w:val="auto"/>
        </w:rPr>
        <w:t>450 Fifth Street, N.W.</w:t>
      </w:r>
    </w:p>
    <w:p>
      <w:pPr>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3" w:lineRule="exact"/>
        <w:rPr>
          <w:sz w:val="20"/>
          <w:szCs w:val="20"/>
          <w:color w:val="auto"/>
        </w:rPr>
      </w:pPr>
    </w:p>
    <w:p>
      <w:pPr>
        <w:jc w:val="both"/>
        <w:ind w:right="3159"/>
        <w:spacing w:after="0" w:line="235" w:lineRule="auto"/>
        <w:rPr>
          <w:sz w:val="20"/>
          <w:szCs w:val="20"/>
          <w:color w:val="auto"/>
        </w:rPr>
      </w:pPr>
      <w:r>
        <w:rPr>
          <w:rFonts w:ascii="Courier New" w:cs="Courier New" w:eastAsia="Courier New" w:hAnsi="Courier New"/>
          <w:sz w:val="16"/>
          <w:szCs w:val="16"/>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86"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Brian L. Roberts, the Chief Executive Officer, Lawrence S. Smith, the Co-Chief Financial Officer and John R. Alchin, the Co-Chief Financial Officer of Comcast Corporation, each certifies that, to the best of his knowledge:</w:t>
      </w:r>
    </w:p>
    <w:p>
      <w:pPr>
        <w:spacing w:after="0" w:line="183" w:lineRule="exact"/>
        <w:rPr>
          <w:sz w:val="20"/>
          <w:szCs w:val="20"/>
          <w:color w:val="auto"/>
        </w:rPr>
      </w:pPr>
    </w:p>
    <w:p>
      <w:pPr>
        <w:ind w:left="920" w:right="2779" w:hanging="459"/>
        <w:spacing w:after="0" w:line="234" w:lineRule="auto"/>
        <w:tabs>
          <w:tab w:leader="none" w:pos="9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Exchange Act; and</w:t>
      </w:r>
    </w:p>
    <w:p>
      <w:pPr>
        <w:spacing w:after="0" w:line="183" w:lineRule="exact"/>
        <w:rPr>
          <w:rFonts w:ascii="Courier New" w:cs="Courier New" w:eastAsia="Courier New" w:hAnsi="Courier New"/>
          <w:sz w:val="16"/>
          <w:szCs w:val="16"/>
          <w:color w:val="auto"/>
        </w:rPr>
      </w:pPr>
    </w:p>
    <w:p>
      <w:pPr>
        <w:jc w:val="both"/>
        <w:ind w:left="920" w:right="2779" w:hanging="459"/>
        <w:spacing w:after="0" w:line="235" w:lineRule="auto"/>
        <w:tabs>
          <w:tab w:leader="none" w:pos="9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Comcast Corporation.</w:t>
      </w:r>
    </w:p>
    <w:p>
      <w:pPr>
        <w:spacing w:after="0" w:line="356"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/s/ Brian L. Roberts</w:t>
      </w:r>
    </w:p>
    <w:p>
      <w:pPr>
        <w:ind w:left="1940"/>
        <w:spacing w:after="0" w:line="236" w:lineRule="auto"/>
        <w:rPr>
          <w:sz w:val="20"/>
          <w:szCs w:val="20"/>
          <w:color w:val="auto"/>
        </w:rPr>
      </w:pPr>
      <w:r>
        <w:rPr>
          <w:rFonts w:ascii="Courier New" w:cs="Courier New" w:eastAsia="Courier New" w:hAnsi="Courier New"/>
          <w:sz w:val="16"/>
          <w:szCs w:val="16"/>
          <w:color w:val="auto"/>
        </w:rPr>
        <w:t>--------------------------------------</w:t>
      </w:r>
    </w:p>
    <w:p>
      <w:pPr>
        <w:ind w:left="1940"/>
        <w:spacing w:after="0" w:line="237" w:lineRule="auto"/>
        <w:rPr>
          <w:sz w:val="20"/>
          <w:szCs w:val="20"/>
          <w:color w:val="auto"/>
        </w:rPr>
      </w:pPr>
      <w:r>
        <w:rPr>
          <w:rFonts w:ascii="Courier New" w:cs="Courier New" w:eastAsia="Courier New" w:hAnsi="Courier New"/>
          <w:sz w:val="16"/>
          <w:szCs w:val="16"/>
          <w:color w:val="auto"/>
        </w:rPr>
        <w:t>Name: Brian L. Roberts</w:t>
      </w:r>
    </w:p>
    <w:p>
      <w:pPr>
        <w:ind w:left="1940"/>
        <w:spacing w:after="0" w:line="237" w:lineRule="auto"/>
        <w:rPr>
          <w:sz w:val="20"/>
          <w:szCs w:val="20"/>
          <w:color w:val="auto"/>
        </w:rPr>
      </w:pPr>
      <w:r>
        <w:rPr>
          <w:rFonts w:ascii="Courier New" w:cs="Courier New" w:eastAsia="Courier New" w:hAnsi="Courier New"/>
          <w:sz w:val="16"/>
          <w:szCs w:val="16"/>
          <w:color w:val="auto"/>
        </w:rPr>
        <w:t>Chief Executive Officer</w:t>
      </w:r>
    </w:p>
    <w:p>
      <w:pPr>
        <w:spacing w:after="0" w:line="356"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/s/ Lawrence S. Smith</w:t>
      </w:r>
    </w:p>
    <w:p>
      <w:pPr>
        <w:ind w:left="1940"/>
        <w:spacing w:after="0" w:line="236" w:lineRule="auto"/>
        <w:rPr>
          <w:sz w:val="20"/>
          <w:szCs w:val="20"/>
          <w:color w:val="auto"/>
        </w:rPr>
      </w:pPr>
      <w:r>
        <w:rPr>
          <w:rFonts w:ascii="Courier New" w:cs="Courier New" w:eastAsia="Courier New" w:hAnsi="Courier New"/>
          <w:sz w:val="16"/>
          <w:szCs w:val="16"/>
          <w:color w:val="auto"/>
        </w:rPr>
        <w:t>--------------------------------------</w:t>
      </w:r>
    </w:p>
    <w:p>
      <w:pPr>
        <w:ind w:left="1940"/>
        <w:spacing w:after="0" w:line="237" w:lineRule="auto"/>
        <w:rPr>
          <w:sz w:val="20"/>
          <w:szCs w:val="20"/>
          <w:color w:val="auto"/>
        </w:rPr>
      </w:pPr>
      <w:r>
        <w:rPr>
          <w:rFonts w:ascii="Courier New" w:cs="Courier New" w:eastAsia="Courier New" w:hAnsi="Courier New"/>
          <w:sz w:val="16"/>
          <w:szCs w:val="16"/>
          <w:color w:val="auto"/>
        </w:rPr>
        <w:t>Name: Lawrence S. Smith</w:t>
      </w:r>
    </w:p>
    <w:p>
      <w:pPr>
        <w:ind w:left="1940"/>
        <w:spacing w:after="0" w:line="237" w:lineRule="auto"/>
        <w:rPr>
          <w:sz w:val="20"/>
          <w:szCs w:val="20"/>
          <w:color w:val="auto"/>
        </w:rPr>
      </w:pPr>
      <w:r>
        <w:rPr>
          <w:rFonts w:ascii="Courier New" w:cs="Courier New" w:eastAsia="Courier New" w:hAnsi="Courier New"/>
          <w:sz w:val="16"/>
          <w:szCs w:val="16"/>
          <w:color w:val="auto"/>
        </w:rPr>
        <w:t>Co-Chief Financial Officer</w:t>
      </w:r>
    </w:p>
    <w:p>
      <w:pPr>
        <w:spacing w:after="0" w:line="356"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/s/ John R. Alchin</w:t>
      </w:r>
    </w:p>
    <w:p>
      <w:pPr>
        <w:ind w:left="1940"/>
        <w:spacing w:after="0" w:line="236" w:lineRule="auto"/>
        <w:rPr>
          <w:sz w:val="20"/>
          <w:szCs w:val="20"/>
          <w:color w:val="auto"/>
        </w:rPr>
      </w:pPr>
      <w:r>
        <w:rPr>
          <w:rFonts w:ascii="Courier New" w:cs="Courier New" w:eastAsia="Courier New" w:hAnsi="Courier New"/>
          <w:sz w:val="16"/>
          <w:szCs w:val="16"/>
          <w:color w:val="auto"/>
        </w:rPr>
        <w:t>--------------------------------------</w:t>
      </w:r>
    </w:p>
    <w:p>
      <w:pPr>
        <w:ind w:left="1940"/>
        <w:spacing w:after="0" w:line="237" w:lineRule="auto"/>
        <w:rPr>
          <w:sz w:val="20"/>
          <w:szCs w:val="20"/>
          <w:color w:val="auto"/>
        </w:rPr>
      </w:pPr>
      <w:r>
        <w:rPr>
          <w:rFonts w:ascii="Courier New" w:cs="Courier New" w:eastAsia="Courier New" w:hAnsi="Courier New"/>
          <w:sz w:val="16"/>
          <w:szCs w:val="16"/>
          <w:color w:val="auto"/>
        </w:rPr>
        <w:t>Name: John R. Alchin</w:t>
      </w:r>
    </w:p>
    <w:p>
      <w:pPr>
        <w:ind w:left="1940"/>
        <w:spacing w:after="0" w:line="237" w:lineRule="auto"/>
        <w:rPr>
          <w:sz w:val="20"/>
          <w:szCs w:val="20"/>
          <w:color w:val="auto"/>
        </w:rPr>
      </w:pPr>
      <w:r>
        <w:rPr>
          <w:rFonts w:ascii="Courier New" w:cs="Courier New" w:eastAsia="Courier New" w:hAnsi="Courier New"/>
          <w:sz w:val="16"/>
          <w:szCs w:val="16"/>
          <w:color w:val="auto"/>
        </w:rPr>
        <w:t>Co-Chief Financial Officer</w:t>
      </w:r>
    </w:p>
    <w:sectPr>
      <w:pgSz w:w="11900" w:h="16838" w:orient="portrait"/>
      <w:cols w:equalWidth="0" w:num="1">
        <w:col w:w="10219"/>
      </w:cols>
      <w:pgMar w:left="2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1)"/>
      <w:numFmt w:val="upperLetter"/>
      <w:start w:val="24"/>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1."/>
      <w:numFmt w:val="decimal"/>
      <w:start w:val="1"/>
    </w:lvl>
  </w:abstractNum>
  <w:abstractNum w:abstractNumId="4">
    <w:nsid w:val="661E3F1E"/>
    <w:multiLevelType w:val="hybridMultilevel"/>
    <w:lvl w:ilvl="0">
      <w:lvlJc w:val="left"/>
      <w:lvlText w:val="%1."/>
      <w:numFmt w:val="decimal"/>
      <w:start w:val="2"/>
    </w:lvl>
  </w:abstractNum>
  <w:abstractNum w:abstractNumId="5">
    <w:nsid w:val="5DC79EA8"/>
    <w:multiLevelType w:val="hybridMultilevel"/>
    <w:lvl w:ilvl="0">
      <w:lvlJc w:val="left"/>
      <w:lvlText w:val="%1."/>
      <w:numFmt w:val="decimal"/>
      <w:start w:val="3"/>
    </w:lvl>
  </w:abstractNum>
  <w:abstractNum w:abstractNumId="6">
    <w:nsid w:val="540A471C"/>
    <w:multiLevelType w:val="hybridMultilevel"/>
    <w:lvl w:ilvl="0">
      <w:lvlJc w:val="left"/>
      <w:lvlText w:val="%1."/>
      <w:numFmt w:val="decimal"/>
      <w:start w:val="4"/>
    </w:lvl>
  </w:abstractNum>
  <w:abstractNum w:abstractNumId="7">
    <w:nsid w:val="7BD3EE7B"/>
    <w:multiLevelType w:val="hybridMultilevel"/>
    <w:lvl w:ilvl="0">
      <w:lvlJc w:val="left"/>
      <w:lvlText w:val="%1."/>
      <w:numFmt w:val="decimal"/>
      <w:start w:val="7"/>
    </w:lvl>
  </w:abstractNum>
  <w:abstractNum w:abstractNumId="8">
    <w:nsid w:val="51D9C564"/>
    <w:multiLevelType w:val="hybridMultilevel"/>
    <w:lvl w:ilvl="0">
      <w:lvlJc w:val="left"/>
      <w:lvlText w:val="%1."/>
      <w:numFmt w:val="decimal"/>
      <w:start w:val="8"/>
    </w:lvl>
  </w:abstractNum>
  <w:abstractNum w:abstractNumId="9">
    <w:nsid w:val="613EFDC5"/>
    <w:multiLevelType w:val="hybridMultilevel"/>
    <w:lvl w:ilvl="0">
      <w:lvlJc w:val="left"/>
      <w:lvlText w:val="%1."/>
      <w:numFmt w:val="decimal"/>
      <w:start w:val="9"/>
    </w:lvl>
  </w:abstractNum>
  <w:abstractNum w:abstractNumId="10">
    <w:nsid w:val="BF72B14"/>
    <w:multiLevelType w:val="hybridMultilevel"/>
    <w:lvl w:ilvl="0">
      <w:lvlJc w:val="left"/>
      <w:lvlText w:val="(%1)"/>
      <w:numFmt w:val="lowerRoman"/>
      <w:start w:val="2"/>
    </w:lvl>
  </w:abstractNum>
  <w:abstractNum w:abstractNumId="11">
    <w:nsid w:val="11447B73"/>
    <w:multiLevelType w:val="hybridMultilevel"/>
    <w:lvl w:ilvl="0">
      <w:lvlJc w:val="left"/>
      <w:lvlText w:val="%1."/>
      <w:numFmt w:val="decimal"/>
      <w:start w:val="10"/>
    </w:lvl>
  </w:abstractNum>
  <w:abstractNum w:abstractNumId="12">
    <w:nsid w:val="42963E5A"/>
    <w:multiLevelType w:val="hybridMultilevel"/>
    <w:lvl w:ilvl="0">
      <w:lvlJc w:val="left"/>
      <w:lvlText w:val="(%1)"/>
      <w:numFmt w:val="decimal"/>
      <w:start w:val="1"/>
    </w:lvl>
  </w:abstractNum>
  <w:abstractNum w:abstractNumId="13">
    <w:nsid w:val="A0382C5"/>
    <w:multiLevelType w:val="hybridMultilevel"/>
    <w:lvl w:ilvl="0">
      <w:lvlJc w:val="left"/>
      <w:lvlText w:val="%1."/>
      <w:numFmt w:val="decimal"/>
      <w:start w:val="1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1)"/>
      <w:numFmt w:val="lowerLetter"/>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1"/>
    </w:lvl>
  </w:abstractNum>
  <w:abstractNum w:abstractNumId="19">
    <w:nsid w:val="60B6DF70"/>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20">
    <w:nsid w:val="6A5EE64"/>
    <w:multiLevelType w:val="hybridMultilevel"/>
    <w:lvl w:ilvl="0">
      <w:lvlJc w:val="left"/>
      <w:lvlText w:val="A"/>
      <w:numFmt w:val="bullet"/>
      <w:start w:val="1"/>
    </w:lvl>
  </w:abstractNum>
  <w:abstractNum w:abstractNumId="21">
    <w:nsid w:val="14330624"/>
    <w:multiLevelType w:val="hybridMultilevel"/>
    <w:lvl w:ilvl="0">
      <w:lvlJc w:val="left"/>
      <w:lvlText w:val="B"/>
      <w:numFmt w:val="bullet"/>
      <w:start w:val="1"/>
    </w:lvl>
  </w:abstractNum>
  <w:abstractNum w:abstractNumId="22">
    <w:nsid w:val="7FFFCA11"/>
    <w:multiLevelType w:val="hybridMultilevel"/>
    <w:lvl w:ilvl="0">
      <w:lvlJc w:val="left"/>
      <w:lvlText w:val="A"/>
      <w:numFmt w:val="bullet"/>
      <w:start w:val="1"/>
    </w:lvl>
  </w:abstractNum>
  <w:abstractNum w:abstractNumId="23">
    <w:nsid w:val="1A27709E"/>
    <w:multiLevelType w:val="hybridMultilevel"/>
    <w:lvl w:ilvl="0">
      <w:lvlJc w:val="left"/>
      <w:lvlText w:val="6"/>
      <w:numFmt w:val="bullet"/>
      <w:start w:val="1"/>
    </w:lvl>
  </w:abstractNum>
  <w:abstractNum w:abstractNumId="24">
    <w:nsid w:val="71EA1109"/>
    <w:multiLevelType w:val="hybridMultilevel"/>
    <w:lvl w:ilvl="0">
      <w:lvlJc w:val="left"/>
      <w:lvlText w:val="(%1)"/>
      <w:numFmt w:val="lowerRoman"/>
      <w:start w:val="2"/>
    </w:lvl>
  </w:abstractNum>
  <w:abstractNum w:abstractNumId="25">
    <w:nsid w:val="100F59DC"/>
    <w:multiLevelType w:val="hybridMultilevel"/>
    <w:lvl w:ilvl="0">
      <w:lvlJc w:val="left"/>
      <w:lvlText w:val="(%1)"/>
      <w:numFmt w:val="lowerLetter"/>
      <w:start w:val="1"/>
    </w:lvl>
    <w:lvl w:ilvl="1">
      <w:lvlJc w:val="left"/>
      <w:lvlText w:val="(%2)"/>
      <w:numFmt w:val="lowerLetter"/>
      <w:start w:val="2"/>
    </w:lvl>
  </w:abstractNum>
  <w:abstractNum w:abstractNumId="26">
    <w:nsid w:val="7FB7E0AA"/>
    <w:multiLevelType w:val="hybridMultilevel"/>
    <w:lvl w:ilvl="0">
      <w:lvlJc w:val="left"/>
      <w:lvlText w:val="(%1)"/>
      <w:numFmt w:val="lowerLetter"/>
      <w:start w:val="1"/>
    </w:lvl>
  </w:abstractNum>
  <w:abstractNum w:abstractNumId="27">
    <w:nsid w:val="6EB5BD4"/>
    <w:multiLevelType w:val="hybridMultilevel"/>
    <w:lvl w:ilvl="0">
      <w:lvlJc w:val="left"/>
      <w:lvlText w:val="(%1)"/>
      <w:numFmt w:val="lowerLetter"/>
      <w:start w:val="2"/>
    </w:lvl>
  </w:abstractNum>
  <w:abstractNum w:abstractNumId="28">
    <w:nsid w:val="6F6DD9AC"/>
    <w:multiLevelType w:val="hybridMultilevel"/>
    <w:lvl w:ilvl="0">
      <w:lvlJc w:val="left"/>
      <w:lvlText w:val="(%1)"/>
      <w:numFmt w:val="lowerRoman"/>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1)"/>
      <w:numFmt w:val="lowerLetter"/>
      <w:start w:val="1"/>
    </w:lvl>
  </w:abstractNum>
  <w:abstractNum w:abstractNumId="32">
    <w:nsid w:val="4C04A8AF"/>
    <w:multiLevelType w:val="hybridMultilevel"/>
    <w:lvl w:ilvl="0">
      <w:lvlJc w:val="left"/>
      <w:lvlText w:val="(%1)"/>
      <w:numFmt w:val="lowerLetter"/>
      <w:start w:val="3"/>
    </w:lvl>
  </w:abstractNum>
  <w:abstractNum w:abstractNumId="33">
    <w:nsid w:val="1716703B"/>
    <w:multiLevelType w:val="hybridMultilevel"/>
    <w:lvl w:ilvl="0">
      <w:lvlJc w:val="left"/>
      <w:lvlText w:val="(%1)"/>
      <w:numFmt w:val="lowerRoman"/>
      <w:start w:val="1"/>
    </w:lvl>
  </w:abstractNum>
  <w:abstractNum w:abstractNumId="34">
    <w:nsid w:val="14E17E33"/>
    <w:multiLevelType w:val="hybridMultilevel"/>
    <w:lvl w:ilvl="0">
      <w:lvlJc w:val="left"/>
      <w:lvlText w:val="(%1)"/>
      <w:numFmt w:val="lowerLetter"/>
      <w:start w:val="1"/>
    </w:lvl>
  </w:abstractNum>
  <w:abstractNum w:abstractNumId="35">
    <w:nsid w:val="3222E7CD"/>
    <w:multiLevelType w:val="hybridMultilevel"/>
    <w:lvl w:ilvl="0">
      <w:lvlJc w:val="left"/>
      <w:lvlText w:val="(%1)"/>
      <w:numFmt w:val="lowerLetter"/>
      <w:start w:val="2"/>
    </w:lvl>
  </w:abstractNum>
  <w:abstractNum w:abstractNumId="36">
    <w:nsid w:val="74DE0EE3"/>
    <w:multiLevelType w:val="hybridMultilevel"/>
    <w:lvl w:ilvl="0">
      <w:lvlJc w:val="left"/>
      <w:lvlText w:val="(%1)"/>
      <w:numFmt w:val="lowerLetter"/>
      <w:start w:val="1"/>
    </w:lvl>
  </w:abstractNum>
  <w:abstractNum w:abstractNumId="37">
    <w:nsid w:val="68EBC550"/>
    <w:multiLevelType w:val="hybridMultilevel"/>
    <w:lvl w:ilvl="0">
      <w:lvlJc w:val="left"/>
      <w:lvlText w:val="(%1)"/>
      <w:numFmt w:val="lowerLetter"/>
      <w:start w:val="1"/>
    </w:lvl>
  </w:abstractNum>
  <w:abstractNum w:abstractNumId="38">
    <w:nsid w:val="2DF6D648"/>
    <w:multiLevelType w:val="hybridMultilevel"/>
    <w:lvl w:ilvl="0">
      <w:lvlJc w:val="left"/>
      <w:lvlText w:val="(%1)"/>
      <w:numFmt w:val="lowerLetter"/>
      <w:start w:val="2"/>
    </w:lvl>
  </w:abstractNum>
  <w:abstractNum w:abstractNumId="39">
    <w:nsid w:val="46B7D447"/>
    <w:multiLevelType w:val="hybridMultilevel"/>
    <w:lvl w:ilvl="0">
      <w:lvlJc w:val="left"/>
      <w:lvlText w:val="(%1)"/>
      <w:numFmt w:val="lowerLetter"/>
      <w:start w:val="6"/>
    </w:lvl>
    <w:lvl w:ilvl="1">
      <w:lvlJc w:val="left"/>
      <w:lvlText w:val="(%2)"/>
      <w:numFmt w:val="lowerRoman"/>
      <w:start w:val="1"/>
    </w:lvl>
  </w:abstractNum>
  <w:abstractNum w:abstractNumId="40">
    <w:nsid w:val="4A2AC315"/>
    <w:multiLevelType w:val="hybridMultilevel"/>
    <w:lvl w:ilvl="0">
      <w:lvlJc w:val="left"/>
      <w:lvlText w:val="(%1)"/>
      <w:numFmt w:val="lowerRoman"/>
      <w:start w:val="6"/>
    </w:lvl>
  </w:abstractNum>
  <w:abstractNum w:abstractNumId="41">
    <w:nsid w:val="39EE015C"/>
    <w:multiLevelType w:val="hybridMultilevel"/>
    <w:lvl w:ilvl="0">
      <w:lvlJc w:val="left"/>
      <w:lvlText w:val="(%1)"/>
      <w:numFmt w:val="lowerLetter"/>
      <w:start w:val="8"/>
    </w:lvl>
  </w:abstractNum>
  <w:abstractNum w:abstractNumId="42">
    <w:nsid w:val="57FC4FBB"/>
    <w:multiLevelType w:val="hybridMultilevel"/>
    <w:lvl w:ilvl="0">
      <w:lvlJc w:val="left"/>
      <w:lvlText w:val="(%1)"/>
      <w:numFmt w:val="lowerLetter"/>
      <w:start w:val="9"/>
    </w:lvl>
  </w:abstractNum>
  <w:abstractNum w:abstractNumId="43">
    <w:nsid w:val="CC1016F"/>
    <w:multiLevelType w:val="hybridMultilevel"/>
    <w:lvl w:ilvl="0">
      <w:lvlJc w:val="left"/>
      <w:lvlText w:val="(%1)"/>
      <w:numFmt w:val="lowerRoman"/>
      <w:start w:val="1"/>
    </w:lvl>
  </w:abstractNum>
  <w:abstractNum w:abstractNumId="44">
    <w:nsid w:val="43F18422"/>
    <w:multiLevelType w:val="hybridMultilevel"/>
    <w:lvl w:ilvl="0">
      <w:lvlJc w:val="left"/>
      <w:lvlText w:val="%1"/>
      <w:numFmt w:val="lowerLetter"/>
      <w:start w:val="1"/>
    </w:lvl>
    <w:lvl w:ilvl="1">
      <w:lvlJc w:val="left"/>
      <w:lvlText w:val="(%2)"/>
      <w:numFmt w:val="lowerLetter"/>
      <w:start w:val="2"/>
    </w:lvl>
  </w:abstractNum>
  <w:abstractNum w:abstractNumId="45">
    <w:nsid w:val="60EF0119"/>
    <w:multiLevelType w:val="hybridMultilevel"/>
    <w:lvl w:ilvl="0">
      <w:lvlJc w:val="left"/>
      <w:lvlText w:val="(%1)"/>
      <w:numFmt w:val="lowerLetter"/>
      <w:start w:val="61"/>
    </w:lvl>
    <w:lvl w:ilvl="1">
      <w:lvlJc w:val="left"/>
      <w:lvlText w:val="(%2)"/>
      <w:numFmt w:val="lowerLetter"/>
      <w:start w:val="3"/>
    </w:lvl>
  </w:abstractNum>
  <w:abstractNum w:abstractNumId="46">
    <w:nsid w:val="26F324BA"/>
    <w:multiLevelType w:val="hybridMultilevel"/>
    <w:lvl w:ilvl="0">
      <w:lvlJc w:val="left"/>
      <w:lvlText w:val="(%1)"/>
      <w:numFmt w:val="lowerLetter"/>
      <w:start w:val="61"/>
    </w:lvl>
    <w:lvl w:ilvl="1">
      <w:lvlJc w:val="left"/>
      <w:lvlText w:val="(%2)"/>
      <w:numFmt w:val="lowerLetter"/>
      <w:start w:val="5"/>
    </w:lvl>
  </w:abstractNum>
  <w:abstractNum w:abstractNumId="47">
    <w:nsid w:val="7F01579B"/>
    <w:multiLevelType w:val="hybridMultilevel"/>
    <w:lvl w:ilvl="0">
      <w:lvlJc w:val="left"/>
      <w:lvlText w:val="(%1)"/>
      <w:numFmt w:val="lowerLetter"/>
      <w:start w:val="1"/>
    </w:lvl>
  </w:abstractNum>
  <w:abstractNum w:abstractNumId="48">
    <w:nsid w:val="49DA307D"/>
    <w:multiLevelType w:val="hybridMultilevel"/>
    <w:lvl w:ilvl="0">
      <w:lvlJc w:val="left"/>
      <w:lvlText w:val="(%1)"/>
      <w:numFmt w:val="lowerLetter"/>
      <w:start w:val="2"/>
    </w:lvl>
  </w:abstractNum>
  <w:abstractNum w:abstractNumId="49">
    <w:nsid w:val="7055A5F5"/>
    <w:multiLevelType w:val="hybridMultilevel"/>
    <w:lvl w:ilvl="0">
      <w:lvlJc w:val="left"/>
      <w:lvlText w:val="(%1)"/>
      <w:numFmt w:val="lowerLetter"/>
      <w:start w:val="1"/>
    </w:lvl>
  </w:abstractNum>
  <w:abstractNum w:abstractNumId="50">
    <w:nsid w:val="5FB8370B"/>
    <w:multiLevelType w:val="hybridMultilevel"/>
    <w:lvl w:ilvl="0">
      <w:lvlJc w:val="left"/>
      <w:lvlText w:val="(%1)"/>
      <w:numFmt w:val="lowerLetter"/>
      <w:start w:val="1"/>
    </w:lvl>
  </w:abstractNum>
  <w:abstractNum w:abstractNumId="51">
    <w:nsid w:val="50801EE1"/>
    <w:multiLevelType w:val="hybridMultilevel"/>
    <w:lvl w:ilvl="0">
      <w:lvlJc w:val="left"/>
      <w:lvlText w:val="(%1)"/>
      <w:numFmt w:val="lowerLetter"/>
      <w:start w:val="1"/>
    </w:lvl>
  </w:abstractNum>
  <w:abstractNum w:abstractNumId="52">
    <w:nsid w:val="488AC1A"/>
    <w:multiLevelType w:val="hybridMultilevel"/>
    <w:lvl w:ilvl="0">
      <w:lvlJc w:val="left"/>
      <w:lvlText w:val="(%1)"/>
      <w:numFmt w:val="lowerRoman"/>
      <w:start w:val="1"/>
    </w:lvl>
  </w:abstractNum>
  <w:abstractNum w:abstractNumId="53">
    <w:nsid w:val="5FB8011C"/>
    <w:multiLevelType w:val="hybridMultilevel"/>
    <w:lvl w:ilvl="0">
      <w:lvlJc w:val="left"/>
      <w:lvlText w:val="(%1)"/>
      <w:numFmt w:val="lowerLetter"/>
      <w:start w:val="2"/>
    </w:lvl>
  </w:abstractNum>
  <w:abstractNum w:abstractNumId="54">
    <w:nsid w:val="6AA78F7F"/>
    <w:multiLevelType w:val="hybridMultilevel"/>
    <w:lvl w:ilvl="0">
      <w:lvlJc w:val="left"/>
      <w:lvlText w:val="(%1)"/>
      <w:numFmt w:val="lowerLetter"/>
      <w:start w:val="3"/>
    </w:lvl>
  </w:abstractNum>
  <w:abstractNum w:abstractNumId="55">
    <w:nsid w:val="7672BD23"/>
    <w:multiLevelType w:val="hybridMultilevel"/>
    <w:lvl w:ilvl="0">
      <w:lvlJc w:val="left"/>
      <w:lvlText w:val="(%1)"/>
      <w:numFmt w:val="lowerLetter"/>
      <w:start w:val="1"/>
    </w:lvl>
  </w:abstractNum>
  <w:abstractNum w:abstractNumId="56">
    <w:nsid w:val="6FC75AF8"/>
    <w:multiLevelType w:val="hybridMultilevel"/>
    <w:lvl w:ilvl="0">
      <w:lvlJc w:val="left"/>
      <w:lvlText w:val="(%1)"/>
      <w:numFmt w:val="lowerLetter"/>
      <w:start w:val="1"/>
    </w:lvl>
  </w:abstractNum>
  <w:abstractNum w:abstractNumId="57">
    <w:nsid w:val="6A5F702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58">
    <w:nsid w:val="7D5E18F8"/>
    <w:multiLevelType w:val="hybridMultilevel"/>
    <w:lvl w:ilvl="0">
      <w:lvlJc w:val="left"/>
      <w:lvlText w:val="(%1)"/>
      <w:numFmt w:val="lowerLetter"/>
      <w:start w:val="9"/>
    </w:lvl>
    <w:lvl w:ilvl="1">
      <w:lvlJc w:val="left"/>
      <w:lvlText w:val="(%2)"/>
      <w:numFmt w:val="lowerRoman"/>
    </w:lvl>
    <w:lvl w:ilvl="2">
      <w:lvlJc w:val="left"/>
      <w:lvlText w:val="(%3)"/>
      <w:numFmt w:val="lowerLetter"/>
      <w:start w:val="3"/>
    </w:lvl>
  </w:abstractNum>
  <w:abstractNum w:abstractNumId="59">
    <w:nsid w:val="5F3534A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5"/>
    </w:lvl>
  </w:abstractNum>
  <w:abstractNum w:abstractNumId="60">
    <w:nsid w:val="73A1821B"/>
    <w:multiLevelType w:val="hybridMultilevel"/>
    <w:lvl w:ilvl="0">
      <w:lvlJc w:val="left"/>
      <w:lvlText w:val="%1"/>
      <w:numFmt w:val="lowerLetter"/>
      <w:start w:val="1"/>
    </w:lvl>
    <w:lvl w:ilvl="1">
      <w:lvlJc w:val="left"/>
      <w:lvlText w:val="(%2)"/>
      <w:numFmt w:val="lowerLetter"/>
      <w:start w:val="1"/>
    </w:lvl>
  </w:abstractNum>
  <w:abstractNum w:abstractNumId="61">
    <w:nsid w:val="7DE67713"/>
    <w:multiLevelType w:val="hybridMultilevel"/>
    <w:lvl w:ilvl="0">
      <w:lvlJc w:val="left"/>
      <w:lvlText w:val="(%1)"/>
      <w:numFmt w:val="lowerLetter"/>
      <w:start w:val="35"/>
    </w:lvl>
    <w:lvl w:ilvl="1">
      <w:lvlJc w:val="left"/>
      <w:lvlText w:val="(%2)"/>
      <w:numFmt w:val="lowerLetter"/>
      <w:start w:val="2"/>
    </w:lvl>
  </w:abstractNum>
  <w:abstractNum w:abstractNumId="62">
    <w:nsid w:val="555C55B5"/>
    <w:multiLevelType w:val="hybridMultilevel"/>
    <w:lvl w:ilvl="0">
      <w:lvlJc w:val="left"/>
      <w:lvlText w:val="(%1)"/>
      <w:numFmt w:val="lowerLetter"/>
      <w:start w:val="5"/>
    </w:lvl>
  </w:abstractNum>
  <w:abstractNum w:abstractNumId="63">
    <w:nsid w:val="3FA62ACA"/>
    <w:multiLevelType w:val="hybridMultilevel"/>
    <w:lvl w:ilvl="0">
      <w:lvlJc w:val="left"/>
      <w:lvlText w:val="(%1)"/>
      <w:numFmt w:val="lowerRoman"/>
      <w:start w:val="2"/>
    </w:lvl>
  </w:abstractNum>
  <w:abstractNum w:abstractNumId="64">
    <w:nsid w:val="14FCE74E"/>
    <w:multiLevelType w:val="hybridMultilevel"/>
    <w:lvl w:ilvl="0">
      <w:lvlJc w:val="left"/>
      <w:lvlText w:val="(%1)"/>
      <w:numFmt w:val="lowerLetter"/>
      <w:start w:val="1"/>
    </w:lvl>
    <w:lvl w:ilvl="1">
      <w:lvlJc w:val="left"/>
      <w:lvlText w:val="(%2)"/>
      <w:numFmt w:val="lowerRoman"/>
      <w:start w:val="1"/>
    </w:lvl>
  </w:abstractNum>
  <w:abstractNum w:abstractNumId="65">
    <w:nsid w:val="6A3DD3E8"/>
    <w:multiLevelType w:val="hybridMultilevel"/>
    <w:lvl w:ilvl="0">
      <w:lvlJc w:val="left"/>
      <w:lvlText w:val="(%1)"/>
      <w:numFmt w:val="lowerRoman"/>
      <w:start w:val="3"/>
    </w:lvl>
  </w:abstractNum>
  <w:abstractNum w:abstractNumId="66">
    <w:nsid w:val="71C91298"/>
    <w:multiLevelType w:val="hybridMultilevel"/>
    <w:lvl w:ilvl="0">
      <w:lvlJc w:val="left"/>
      <w:lvlText w:val="(%1)"/>
      <w:numFmt w:val="lowerLetter"/>
      <w:start w:val="2"/>
    </w:lvl>
  </w:abstractNum>
  <w:abstractNum w:abstractNumId="67">
    <w:nsid w:val="9DAF632"/>
    <w:multiLevelType w:val="hybridMultilevel"/>
    <w:lvl w:ilvl="0">
      <w:lvlJc w:val="left"/>
      <w:lvlText w:val="(%1)"/>
      <w:numFmt w:val="lowerLetter"/>
      <w:start w:val="1"/>
    </w:lvl>
  </w:abstractNum>
  <w:abstractNum w:abstractNumId="68">
    <w:nsid w:val="53299938"/>
    <w:multiLevelType w:val="hybridMultilevel"/>
    <w:lvl w:ilvl="0">
      <w:lvlJc w:val="left"/>
      <w:lvlText w:val="(%1)"/>
      <w:numFmt w:val="lowerLetter"/>
      <w:start w:val="1"/>
    </w:lvl>
  </w:abstractNum>
  <w:abstractNum w:abstractNumId="69">
    <w:nsid w:val="1FBFE8E0"/>
    <w:multiLevelType w:val="hybridMultilevel"/>
    <w:lvl w:ilvl="0">
      <w:lvlJc w:val="left"/>
      <w:lvlText w:val="%1"/>
      <w:numFmt w:val="lowerRoman"/>
      <w:start w:val="1"/>
    </w:lvl>
    <w:lvl w:ilvl="1">
      <w:lvlJc w:val="left"/>
      <w:lvlText w:val="(%2)"/>
      <w:numFmt w:val="lowerLetter"/>
      <w:start w:val="1"/>
    </w:lvl>
  </w:abstractNum>
  <w:abstractNum w:abstractNumId="70">
    <w:nsid w:val="5092CA79"/>
    <w:multiLevelType w:val="hybridMultilevel"/>
    <w:lvl w:ilvl="0">
      <w:lvlJc w:val="left"/>
      <w:lvlText w:val="(%1)"/>
      <w:numFmt w:val="lowerRoman"/>
      <w:start w:val="1"/>
    </w:lvl>
    <w:lvl w:ilvl="1">
      <w:lvlJc w:val="left"/>
      <w:lvlText w:val="%2"/>
      <w:numFmt w:val="lowerLetter"/>
      <w:start w:val="1"/>
    </w:lvl>
  </w:abstractNum>
  <w:abstractNum w:abstractNumId="71">
    <w:nsid w:val="1D545C4D"/>
    <w:multiLevelType w:val="hybridMultilevel"/>
    <w:lvl w:ilvl="0">
      <w:lvlJc w:val="left"/>
      <w:lvlText w:val="(%1)"/>
      <w:numFmt w:val="lowerRoman"/>
      <w:start w:val="4"/>
    </w:lvl>
    <w:lvl w:ilvl="1">
      <w:lvlJc w:val="left"/>
      <w:lvlText w:val="(%2)"/>
      <w:numFmt w:val="lowerLetter"/>
      <w:start w:val="2"/>
    </w:lvl>
  </w:abstractNum>
  <w:abstractNum w:abstractNumId="72">
    <w:nsid w:val="59ADEA3D"/>
    <w:multiLevelType w:val="hybridMultilevel"/>
    <w:lvl w:ilvl="0">
      <w:lvlJc w:val="left"/>
      <w:lvlText w:val="(%1)"/>
      <w:numFmt w:val="lowerLetter"/>
      <w:start w:val="1"/>
    </w:lvl>
  </w:abstractNum>
  <w:abstractNum w:abstractNumId="73">
    <w:nsid w:val="288F1A34"/>
    <w:multiLevelType w:val="hybridMultilevel"/>
    <w:lvl w:ilvl="0">
      <w:lvlJc w:val="left"/>
      <w:lvlText w:val="(%1)"/>
      <w:numFmt w:val="lowerLetter"/>
      <w:start w:val="2"/>
    </w:lvl>
  </w:abstractNum>
  <w:abstractNum w:abstractNumId="74">
    <w:nsid w:val="2A155DBC"/>
    <w:multiLevelType w:val="hybridMultilevel"/>
    <w:lvl w:ilvl="0">
      <w:lvlJc w:val="left"/>
      <w:lvlText w:val="(%1)"/>
      <w:numFmt w:val="lowerLetter"/>
      <w:start w:val="1"/>
    </w:lvl>
  </w:abstractNum>
  <w:abstractNum w:abstractNumId="75">
    <w:nsid w:val="1D9F6E5F"/>
    <w:multiLevelType w:val="hybridMultilevel"/>
    <w:lvl w:ilvl="0">
      <w:lvlJc w:val="left"/>
      <w:lvlText w:val="(%1)"/>
      <w:numFmt w:val="lowerLetter"/>
      <w:start w:val="1"/>
    </w:lvl>
  </w:abstractNum>
  <w:abstractNum w:abstractNumId="76">
    <w:nsid w:val="97E1B4E"/>
    <w:multiLevelType w:val="hybridMultilevel"/>
    <w:lvl w:ilvl="0">
      <w:lvlJc w:val="left"/>
      <w:lvlText w:val="(%1)"/>
      <w:numFmt w:val="lowerLetter"/>
      <w:start w:val="1"/>
    </w:lvl>
  </w:abstractNum>
  <w:abstractNum w:abstractNumId="77">
    <w:nsid w:val="51088277"/>
    <w:multiLevelType w:val="hybridMultilevel"/>
    <w:lvl w:ilvl="0">
      <w:lvlJc w:val="left"/>
      <w:lvlText w:val="%1"/>
      <w:numFmt w:val="lowerLetter"/>
      <w:start w:val="1"/>
    </w:lvl>
    <w:lvl w:ilvl="1">
      <w:lvlJc w:val="left"/>
      <w:lvlText w:val="(%2)"/>
      <w:numFmt w:val="lowerLetter"/>
      <w:start w:val="1"/>
    </w:lvl>
  </w:abstractNum>
  <w:abstractNum w:abstractNumId="78">
    <w:nsid w:val="1CA0C5FA"/>
    <w:multiLevelType w:val="hybridMultilevel"/>
    <w:lvl w:ilvl="0">
      <w:lvlJc w:val="left"/>
      <w:lvlText w:val="(%1)"/>
      <w:numFmt w:val="lowerLetter"/>
      <w:start w:val="35"/>
    </w:lvl>
    <w:lvl w:ilvl="1">
      <w:lvlJc w:val="left"/>
      <w:lvlText w:val="%2"/>
      <w:numFmt w:val="lowerLetter"/>
      <w:start w:val="1"/>
    </w:lvl>
  </w:abstractNum>
  <w:abstractNum w:abstractNumId="79">
    <w:nsid w:val="53584BCB"/>
    <w:multiLevelType w:val="hybridMultilevel"/>
    <w:lvl w:ilvl="0">
      <w:lvlJc w:val="left"/>
      <w:lvlText w:val="(%1)"/>
      <w:numFmt w:val="lowerLetter"/>
      <w:start w:val="1"/>
    </w:lvl>
  </w:abstractNum>
  <w:abstractNum w:abstractNumId="80">
    <w:nsid w:val="415E286C"/>
    <w:multiLevelType w:val="hybridMultilevel"/>
    <w:lvl w:ilvl="0">
      <w:lvlJc w:val="left"/>
      <w:lvlText w:val="(%1)"/>
      <w:numFmt w:val="lowerRoman"/>
      <w:start w:val="1"/>
    </w:lvl>
  </w:abstractNum>
  <w:abstractNum w:abstractNumId="81">
    <w:nsid w:val="7C58FD05"/>
    <w:multiLevelType w:val="hybridMultilevel"/>
    <w:lvl w:ilvl="0">
      <w:lvlJc w:val="left"/>
      <w:lvlText w:val="(%1)"/>
      <w:numFmt w:val="lowerLetter"/>
      <w:start w:val="2"/>
    </w:lvl>
  </w:abstractNum>
  <w:abstractNum w:abstractNumId="82">
    <w:nsid w:val="23D86AAC"/>
    <w:multiLevelType w:val="hybridMultilevel"/>
    <w:lvl w:ilvl="0">
      <w:lvlJc w:val="left"/>
      <w:lvlText w:val="(%1)"/>
      <w:numFmt w:val="lowerLetter"/>
      <w:start w:val="1"/>
    </w:lvl>
  </w:abstractNum>
  <w:abstractNum w:abstractNumId="83">
    <w:nsid w:val="45E6D486"/>
    <w:multiLevelType w:val="hybridMultilevel"/>
    <w:lvl w:ilvl="0">
      <w:lvlJc w:val="left"/>
      <w:lvlText w:val="(%1)"/>
      <w:numFmt w:val="lowerLetter"/>
      <w:start w:val="1"/>
    </w:lvl>
  </w:abstractNum>
  <w:abstractNum w:abstractNumId="84">
    <w:nsid w:val="5C10FE21"/>
    <w:multiLevelType w:val="hybridMultilevel"/>
    <w:lvl w:ilvl="0">
      <w:lvlJc w:val="left"/>
      <w:lvlText w:val="(%1)"/>
      <w:numFmt w:val="lowerLetter"/>
      <w:start w:val="2"/>
    </w:lvl>
  </w:abstractNum>
  <w:abstractNum w:abstractNumId="85">
    <w:nsid w:val="E7FFA2B"/>
    <w:multiLevelType w:val="hybridMultilevel"/>
    <w:lvl w:ilvl="0">
      <w:lvlJc w:val="left"/>
      <w:lvlText w:val="(%1)"/>
      <w:numFmt w:val="lowerLetter"/>
      <w:start w:val="1"/>
    </w:lvl>
  </w:abstractNum>
  <w:abstractNum w:abstractNumId="86">
    <w:nsid w:val="3C5991AA"/>
    <w:multiLevelType w:val="hybridMultilevel"/>
    <w:lvl w:ilvl="0">
      <w:lvlJc w:val="left"/>
      <w:lvlText w:val="(%1)"/>
      <w:numFmt w:val="lowerLetter"/>
      <w:start w:val="10"/>
    </w:lvl>
  </w:abstractNum>
  <w:abstractNum w:abstractNumId="87">
    <w:nsid w:val="4BD8591A"/>
    <w:multiLevelType w:val="hybridMultilevel"/>
    <w:lvl w:ilvl="0">
      <w:lvlJc w:val="left"/>
      <w:lvlText w:val="(%1)"/>
      <w:numFmt w:val="lowerLetter"/>
      <w:start w:val="1"/>
    </w:lvl>
  </w:abstractNum>
  <w:abstractNum w:abstractNumId="88">
    <w:nsid w:val="78DF6A55"/>
    <w:multiLevelType w:val="hybridMultilevel"/>
    <w:lvl w:ilvl="0">
      <w:lvlJc w:val="left"/>
      <w:lvlText w:val="(%1)"/>
      <w:numFmt w:val="lowerLetter"/>
      <w:start w:val="9"/>
    </w:lvl>
    <w:lvl w:ilvl="1">
      <w:lvlJc w:val="left"/>
      <w:lvlText w:val="(%2)"/>
      <w:numFmt w:val="lowerLetter"/>
      <w:start w:val="25"/>
    </w:lvl>
  </w:abstractNum>
  <w:abstractNum w:abstractNumId="89">
    <w:nsid w:val="39B7AAA2"/>
    <w:multiLevelType w:val="hybridMultilevel"/>
    <w:lvl w:ilvl="0">
      <w:lvlJc w:val="left"/>
      <w:lvlText w:val="(%1)"/>
      <w:numFmt w:val="lowerRoman"/>
      <w:start w:val="2"/>
    </w:lvl>
  </w:abstractNum>
  <w:abstractNum w:abstractNumId="90">
    <w:nsid w:val="2B0D8DBE"/>
    <w:multiLevelType w:val="hybridMultilevel"/>
    <w:lvl w:ilvl="0">
      <w:lvlJc w:val="left"/>
      <w:lvlText w:val="(%1)"/>
      <w:numFmt w:val="lowerLetter"/>
      <w:start w:val="2"/>
    </w:lvl>
  </w:abstractNum>
  <w:abstractNum w:abstractNumId="91">
    <w:nsid w:val="6C80EC70"/>
    <w:multiLevelType w:val="hybridMultilevel"/>
    <w:lvl w:ilvl="0">
      <w:lvlJc w:val="left"/>
      <w:lvlText w:val="(%1)"/>
      <w:numFmt w:val="lowerLetter"/>
      <w:start w:val="1"/>
    </w:lvl>
  </w:abstractNum>
  <w:abstractNum w:abstractNumId="92">
    <w:nsid w:val="379E21B5"/>
    <w:multiLevelType w:val="hybridMultilevel"/>
    <w:lvl w:ilvl="0">
      <w:lvlJc w:val="left"/>
      <w:lvlText w:val="(%1)"/>
      <w:numFmt w:val="lowerLetter"/>
      <w:start w:val="1"/>
    </w:lvl>
  </w:abstractNum>
  <w:abstractNum w:abstractNumId="93">
    <w:nsid w:val="69E373"/>
    <w:multiLevelType w:val="hybridMultilevel"/>
    <w:lvl w:ilvl="0">
      <w:lvlJc w:val="left"/>
      <w:lvlText w:val="(%1)"/>
      <w:numFmt w:val="lowerLetter"/>
      <w:start w:val="1"/>
    </w:lvl>
  </w:abstractNum>
  <w:abstractNum w:abstractNumId="94">
    <w:nsid w:val="2C27173B"/>
    <w:multiLevelType w:val="hybridMultilevel"/>
    <w:lvl w:ilvl="0">
      <w:lvlJc w:val="left"/>
      <w:lvlText w:val="(%1)"/>
      <w:numFmt w:val="lowerLetter"/>
      <w:start w:val="8"/>
    </w:lvl>
  </w:abstractNum>
  <w:abstractNum w:abstractNumId="95">
    <w:nsid w:val="4C9B0904"/>
    <w:multiLevelType w:val="hybridMultilevel"/>
    <w:lvl w:ilvl="0">
      <w:lvlJc w:val="left"/>
      <w:lvlText w:val="(%1)"/>
      <w:numFmt w:val="lowerLetter"/>
      <w:start w:val="1"/>
    </w:lvl>
  </w:abstractNum>
  <w:abstractNum w:abstractNumId="96">
    <w:nsid w:val="6AA7B75C"/>
    <w:multiLevelType w:val="hybridMultilevel"/>
    <w:lvl w:ilvl="0">
      <w:lvlJc w:val="left"/>
      <w:lvlText w:val="(%1)"/>
      <w:numFmt w:val="lowerRoman"/>
      <w:start w:val="1"/>
    </w:lvl>
  </w:abstractNum>
  <w:abstractNum w:abstractNumId="97">
    <w:nsid w:val="1DF029D3"/>
    <w:multiLevelType w:val="hybridMultilevel"/>
    <w:lvl w:ilvl="0">
      <w:lvlJc w:val="left"/>
      <w:lvlText w:val="(%1)"/>
      <w:numFmt w:val="lowerRoman"/>
      <w:start w:val="1"/>
    </w:lvl>
  </w:abstractNum>
  <w:abstractNum w:abstractNumId="98">
    <w:nsid w:val="5675FF36"/>
    <w:multiLevelType w:val="hybridMultilevel"/>
    <w:lvl w:ilvl="0">
      <w:lvlJc w:val="left"/>
      <w:lvlText w:val="(%1)"/>
      <w:numFmt w:val="lowerLetter"/>
      <w:start w:val="3"/>
    </w:lvl>
  </w:abstractNum>
  <w:abstractNum w:abstractNumId="99">
    <w:nsid w:val="3DD15094"/>
    <w:multiLevelType w:val="hybridMultilevel"/>
    <w:lvl w:ilvl="0">
      <w:lvlJc w:val="left"/>
      <w:lvlText w:val="(%1)"/>
      <w:numFmt w:val="lowerLetter"/>
      <w:start w:val="2"/>
    </w:lvl>
  </w:abstractNum>
  <w:abstractNum w:abstractNumId="100">
    <w:nsid w:val="3DB012B3"/>
    <w:multiLevelType w:val="hybridMultilevel"/>
    <w:lvl w:ilvl="0">
      <w:lvlJc w:val="left"/>
      <w:lvlText w:val="(%1)"/>
      <w:numFmt w:val="lowerLetter"/>
      <w:start w:val="1"/>
    </w:lvl>
  </w:abstractNum>
  <w:abstractNum w:abstractNumId="101">
    <w:nsid w:val="2708C9AF"/>
    <w:multiLevelType w:val="hybridMultilevel"/>
    <w:lvl w:ilvl="0">
      <w:lvlJc w:val="left"/>
      <w:lvlText w:val="(%1)"/>
      <w:numFmt w:val="lowerLetter"/>
      <w:start w:val="3"/>
    </w:lvl>
    <w:lvl w:ilvl="1">
      <w:lvlJc w:val="left"/>
      <w:lvlText w:val="(%2)"/>
      <w:numFmt w:val="lowerLetter"/>
      <w:start w:val="5"/>
    </w:lvl>
  </w:abstractNum>
  <w:abstractNum w:abstractNumId="102">
    <w:nsid w:val="5B25ACE2"/>
    <w:multiLevelType w:val="hybridMultilevel"/>
    <w:lvl w:ilvl="0">
      <w:lvlJc w:val="left"/>
      <w:lvlText w:val="(%1)"/>
      <w:numFmt w:val="lowerLetter"/>
      <w:start w:val="1"/>
    </w:lvl>
  </w:abstractNum>
  <w:abstractNum w:abstractNumId="103">
    <w:nsid w:val="175DFCF0"/>
    <w:multiLevelType w:val="hybridMultilevel"/>
    <w:lvl w:ilvl="0">
      <w:lvlJc w:val="left"/>
      <w:lvlText w:val="(%1)"/>
      <w:numFmt w:val="lowerLetter"/>
      <w:start w:val="2"/>
    </w:lvl>
  </w:abstractNum>
  <w:abstractNum w:abstractNumId="104">
    <w:nsid w:val="4F97E3E4"/>
    <w:multiLevelType w:val="hybridMultilevel"/>
    <w:lvl w:ilvl="0">
      <w:lvlJc w:val="left"/>
      <w:lvlText w:val="(%1)"/>
      <w:numFmt w:val="lowerLetter"/>
      <w:start w:val="1"/>
    </w:lvl>
  </w:abstractNum>
  <w:abstractNum w:abstractNumId="105">
    <w:nsid w:val="53B0A9E"/>
    <w:multiLevelType w:val="hybridMultilevel"/>
    <w:lvl w:ilvl="0">
      <w:lvlJc w:val="left"/>
      <w:lvlText w:val="%1"/>
      <w:numFmt w:val="lowerLetter"/>
      <w:start w:val="1"/>
    </w:lvl>
    <w:lvl w:ilvl="1">
      <w:lvlJc w:val="left"/>
      <w:lvlText w:val="(%2)"/>
      <w:numFmt w:val="lowerLetter"/>
      <w:start w:val="2"/>
    </w:lvl>
  </w:abstractNum>
  <w:abstractNum w:abstractNumId="106">
    <w:nsid w:val="34FD6B4F"/>
    <w:multiLevelType w:val="hybridMultilevel"/>
    <w:lvl w:ilvl="0">
      <w:lvlJc w:val="left"/>
      <w:lvlText w:val="(%1)"/>
      <w:numFmt w:val="lowerLetter"/>
      <w:start w:val="9"/>
    </w:lvl>
    <w:lvl w:ilvl="1">
      <w:lvlJc w:val="left"/>
      <w:lvlText w:val="(%2)"/>
      <w:numFmt w:val="lowerLetter"/>
      <w:start w:val="3"/>
    </w:lvl>
  </w:abstractNum>
  <w:abstractNum w:abstractNumId="107">
    <w:nsid w:val="5915FF32"/>
    <w:multiLevelType w:val="hybridMultilevel"/>
    <w:lvl w:ilvl="0">
      <w:lvlJc w:val="left"/>
      <w:lvlText w:val="(%1)"/>
      <w:numFmt w:val="lowerLetter"/>
      <w:start w:val="61"/>
    </w:lvl>
    <w:lvl w:ilvl="1">
      <w:lvlJc w:val="left"/>
      <w:lvlText w:val="%2"/>
      <w:numFmt w:val="lowerLetter"/>
      <w:start w:val="1"/>
    </w:lvl>
  </w:abstractNum>
  <w:abstractNum w:abstractNumId="108">
    <w:nsid w:val="56438D15"/>
    <w:multiLevelType w:val="hybridMultilevel"/>
    <w:lvl w:ilvl="0">
      <w:lvlJc w:val="left"/>
      <w:lvlText w:val="(%1)"/>
      <w:numFmt w:val="lowerLetter"/>
      <w:start w:val="1"/>
    </w:lvl>
  </w:abstractNum>
  <w:abstractNum w:abstractNumId="109">
    <w:nsid w:val="519E3149"/>
    <w:multiLevelType w:val="hybridMultilevel"/>
    <w:lvl w:ilvl="0">
      <w:lvlJc w:val="left"/>
      <w:lvlText w:val="(%1)"/>
      <w:numFmt w:val="lowerLetter"/>
      <w:start w:val="9"/>
    </w:lvl>
    <w:lvl w:ilvl="1">
      <w:lvlJc w:val="left"/>
      <w:lvlText w:val="(%2)"/>
      <w:numFmt w:val="lowerLetter"/>
      <w:start w:val="1"/>
    </w:lvl>
  </w:abstractNum>
  <w:abstractNum w:abstractNumId="110">
    <w:nsid w:val="2C6E4AFD"/>
    <w:multiLevelType w:val="hybridMultilevel"/>
    <w:lvl w:ilvl="0">
      <w:lvlJc w:val="left"/>
      <w:lvlText w:val="(%1)"/>
      <w:numFmt w:val="lowerLetter"/>
      <w:start w:val="2"/>
    </w:lvl>
  </w:abstractNum>
  <w:abstractNum w:abstractNumId="111">
    <w:nsid w:val="17A1B582"/>
    <w:multiLevelType w:val="hybridMultilevel"/>
    <w:lvl w:ilvl="0">
      <w:lvlJc w:val="left"/>
      <w:lvlText w:val="(%1)"/>
      <w:numFmt w:val="lowerLetter"/>
      <w:start w:val="1"/>
    </w:lvl>
  </w:abstractNum>
  <w:abstractNum w:abstractNumId="112">
    <w:nsid w:val="4DF72E4E"/>
    <w:multiLevelType w:val="hybridMultilevel"/>
    <w:lvl w:ilvl="0">
      <w:lvlJc w:val="left"/>
      <w:lvlText w:val="(%1)"/>
      <w:numFmt w:val="lowerLetter"/>
      <w:start w:val="1"/>
    </w:lvl>
  </w:abstractNum>
  <w:abstractNum w:abstractNumId="113">
    <w:nsid w:val="5046B5A9"/>
    <w:multiLevelType w:val="hybridMultilevel"/>
    <w:lvl w:ilvl="0">
      <w:lvlJc w:val="left"/>
      <w:lvlText w:val="(%1)"/>
      <w:numFmt w:val="lowerRoman"/>
      <w:start w:val="1"/>
    </w:lvl>
  </w:abstractNum>
  <w:abstractNum w:abstractNumId="114">
    <w:nsid w:val="5D888A08"/>
    <w:multiLevelType w:val="hybridMultilevel"/>
    <w:lvl w:ilvl="0">
      <w:lvlJc w:val="left"/>
      <w:lvlText w:val="(%1)"/>
      <w:numFmt w:val="lowerRoman"/>
      <w:start w:val="2"/>
    </w:lvl>
  </w:abstractNum>
  <w:abstractNum w:abstractNumId="115">
    <w:nsid w:val="2A082C70"/>
    <w:multiLevelType w:val="hybridMultilevel"/>
    <w:lvl w:ilvl="0">
      <w:lvlJc w:val="left"/>
      <w:lvlText w:val="%1."/>
      <w:numFmt w:val="decimal"/>
      <w:start w:val="1"/>
    </w:lvl>
  </w:abstractNum>
  <w:abstractNum w:abstractNumId="116">
    <w:nsid w:val="5EC6AFD4"/>
    <w:multiLevelType w:val="hybridMultilevel"/>
    <w:lvl w:ilvl="0">
      <w:lvlJc w:val="left"/>
      <w:lvlText w:val="%1."/>
      <w:numFmt w:val="decimal"/>
      <w:start w:val="3"/>
    </w:lvl>
    <w:lvl w:ilvl="1">
      <w:lvlJc w:val="left"/>
      <w:lvlText w:val="(%2)"/>
      <w:numFmt w:val="lowerLetter"/>
      <w:start w:val="1"/>
    </w:lvl>
  </w:abstractNum>
  <w:abstractNum w:abstractNumId="117">
    <w:nsid w:val="19E21BB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18">
    <w:nsid w:val="75E0858A"/>
    <w:multiLevelType w:val="hybridMultilevel"/>
    <w:lvl w:ilvl="0">
      <w:lvlJc w:val="left"/>
      <w:lvlText w:val="%1."/>
      <w:numFmt w:val="decimal"/>
      <w:start w:val="4"/>
    </w:lvl>
  </w:abstractNum>
  <w:abstractNum w:abstractNumId="119">
    <w:nsid w:val="57A61A2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20">
    <w:nsid w:val="5399C6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1">
    <w:nsid w:val="20EE134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2">
    <w:nsid w:val="4427069A"/>
    <w:multiLevelType w:val="hybridMultilevel"/>
    <w:lvl w:ilvl="0">
      <w:lvlJc w:val="left"/>
      <w:lvlText w:val="(%1)"/>
      <w:numFmt w:val="lowerLetter"/>
      <w:start w:val="2"/>
    </w:lvl>
    <w:lvl w:ilvl="1">
      <w:lvlJc w:val="left"/>
      <w:lvlText w:val="(%2)"/>
      <w:numFmt w:val="lowerLetter"/>
      <w:start w:val="35"/>
    </w:lvl>
  </w:abstractNum>
  <w:abstractNum w:abstractNumId="123">
    <w:nsid w:val="B37E80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24">
    <w:nsid w:val="2157F6BC"/>
    <w:multiLevelType w:val="hybridMultilevel"/>
    <w:lvl w:ilvl="0">
      <w:lvlJc w:val="left"/>
      <w:lvlText w:val="(%1)"/>
      <w:numFmt w:val="upperLetter"/>
      <w:start w:val="4"/>
    </w:lvl>
    <w:lvl w:ilvl="1">
      <w:lvlJc w:val="left"/>
      <w:lvlText w:val="(%2)"/>
      <w:numFmt w:val="lowerLetter"/>
      <w:start w:val="2"/>
    </w:lvl>
    <w:lvl w:ilvl="2">
      <w:lvlJc w:val="left"/>
      <w:lvlText w:val="(%3)"/>
      <w:numFmt w:val="lowerRoman"/>
      <w:start w:val="5"/>
    </w:lvl>
  </w:abstractNum>
  <w:abstractNum w:abstractNumId="125">
    <w:nsid w:val="704E1DD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126">
    <w:nsid w:val="57D2F10E"/>
    <w:multiLevelType w:val="hybridMultilevel"/>
    <w:lvl w:ilvl="0">
      <w:lvlJc w:val="left"/>
      <w:lvlText w:val="(%1)"/>
      <w:numFmt w:val="lowerLetter"/>
      <w:start w:val="35"/>
    </w:lvl>
    <w:lvl w:ilvl="1">
      <w:lvlJc w:val="left"/>
      <w:lvlText w:val="%2."/>
      <w:numFmt w:val="decimal"/>
      <w:start w:val="8"/>
    </w:lvl>
    <w:lvl w:ilvl="2">
      <w:lvlJc w:val="left"/>
      <w:lvlText w:val="(%3)"/>
      <w:numFmt w:val="lowerLetter"/>
      <w:start w:val="5"/>
    </w:lvl>
    <w:lvl w:ilvl="3">
      <w:lvlJc w:val="left"/>
      <w:lvlText w:val="%4"/>
      <w:numFmt w:val="lowerRoman"/>
      <w:start w:val="1"/>
    </w:lvl>
  </w:abstractNum>
  <w:abstractNum w:abstractNumId="127">
    <w:nsid w:val="BFFAE1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28">
    <w:nsid w:val="E3E47A8"/>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29">
    <w:nsid w:val="2E48F044"/>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lvl w:ilvl="3">
      <w:lvlJc w:val="left"/>
      <w:lvlText w:val="%4"/>
      <w:numFmt w:val="lowerRoman"/>
      <w:start w:val="1"/>
    </w:lvl>
  </w:abstractNum>
  <w:abstractNum w:abstractNumId="130">
    <w:nsid w:val="49D0FEAC"/>
    <w:multiLevelType w:val="hybridMultilevel"/>
    <w:lvl w:ilvl="0">
      <w:lvlJc w:val="left"/>
      <w:lvlText w:val="(%1)"/>
      <w:numFmt w:val="decimal"/>
      <w:start w:val="10"/>
    </w:lvl>
    <w:lvl w:ilvl="1">
      <w:lvlJc w:val="left"/>
      <w:lvlText w:val="%2."/>
      <w:numFmt w:val="decimal"/>
      <w:start w:val="11"/>
    </w:lvl>
    <w:lvl w:ilvl="2">
      <w:lvlJc w:val="left"/>
      <w:lvlText w:val="(%3)"/>
      <w:numFmt w:val="lowerLetter"/>
      <w:start w:val="1"/>
    </w:lvl>
    <w:lvl w:ilvl="3">
      <w:lvlJc w:val="left"/>
      <w:lvlText w:val="%4"/>
      <w:numFmt w:val="lowerRoman"/>
      <w:start w:val="1"/>
    </w:lvl>
  </w:abstractNum>
  <w:abstractNum w:abstractNumId="131">
    <w:nsid w:val="4BEE5A5B"/>
    <w:multiLevelType w:val="hybridMultilevel"/>
    <w:lvl w:ilvl="0">
      <w:lvlJc w:val="left"/>
      <w:lvlText w:val="%1."/>
      <w:numFmt w:val="decimal"/>
      <w:start w:val="12"/>
    </w:lvl>
  </w:abstractNum>
  <w:abstractNum w:abstractNumId="132">
    <w:nsid w:val="5551B9F3"/>
    <w:multiLevelType w:val="hybridMultilevel"/>
    <w:lvl w:ilvl="0">
      <w:lvlJc w:val="left"/>
      <w:lvlText w:val="%1."/>
      <w:numFmt w:val="decimal"/>
      <w:start w:val="14"/>
    </w:lvl>
  </w:abstractNum>
  <w:abstractNum w:abstractNumId="133">
    <w:nsid w:val="24F6AB8E"/>
    <w:multiLevelType w:val="hybridMultilevel"/>
    <w:lvl w:ilvl="0">
      <w:lvlJc w:val="left"/>
      <w:lvlText w:val="%1."/>
      <w:numFmt w:val="decimal"/>
      <w:start w:val="1"/>
    </w:lvl>
    <w:lvl w:ilvl="1">
      <w:lvlJc w:val="left"/>
      <w:lvlText w:val="%2."/>
      <w:numFmt w:val="lowerLetter"/>
      <w:start w:val="1"/>
    </w:lvl>
  </w:abstractNum>
  <w:abstractNum w:abstractNumId="134">
    <w:nsid w:val="634C574C"/>
    <w:multiLevelType w:val="hybridMultilevel"/>
    <w:lvl w:ilvl="0">
      <w:lvlJc w:val="left"/>
      <w:lvlText w:val="%1."/>
      <w:numFmt w:val="decimal"/>
      <w:start w:val="1"/>
    </w:lvl>
    <w:lvl w:ilvl="1">
      <w:lvlJc w:val="left"/>
      <w:lvlText w:val="%2)"/>
      <w:numFmt w:val="lowerLetter"/>
      <w:start w:val="1"/>
    </w:lvl>
  </w:abstractNum>
  <w:abstractNum w:abstractNumId="135">
    <w:nsid w:val="24E99DD7"/>
    <w:multiLevelType w:val="hybridMultilevel"/>
    <w:lvl w:ilvl="0">
      <w:lvlJc w:val="left"/>
      <w:lvlText w:val="-"/>
      <w:numFmt w:val="bullet"/>
      <w:start w:val="1"/>
    </w:lvl>
  </w:abstractNum>
  <w:abstractNum w:abstractNumId="136">
    <w:nsid w:val="2A31B62D"/>
    <w:multiLevelType w:val="hybridMultilevel"/>
    <w:lvl w:ilvl="0">
      <w:lvlJc w:val="left"/>
      <w:lvlText w:val="%1."/>
      <w:numFmt w:val="decimal"/>
      <w:start w:val="1"/>
    </w:lvl>
  </w:abstractNum>
  <w:abstractNum w:abstractNumId="137">
    <w:nsid w:val="1849C29B"/>
    <w:multiLevelType w:val="hybridMultilevel"/>
    <w:lvl w:ilvl="0">
      <w:lvlJc w:val="left"/>
      <w:lvlText w:val="%1."/>
      <w:numFmt w:val="decimal"/>
      <w:start w:val="4"/>
    </w:lvl>
    <w:lvl w:ilvl="1">
      <w:lvlJc w:val="left"/>
      <w:lvlText w:val="%2)"/>
      <w:numFmt w:val="lowerLetter"/>
      <w:start w:val="1"/>
    </w:lvl>
  </w:abstractNum>
  <w:abstractNum w:abstractNumId="138">
    <w:nsid w:val="7DFF9D09"/>
    <w:multiLevelType w:val="hybridMultilevel"/>
    <w:lvl w:ilvl="0">
      <w:lvlJc w:val="left"/>
      <w:lvlText w:val="-"/>
      <w:numFmt w:val="bullet"/>
      <w:start w:val="1"/>
    </w:lvl>
  </w:abstractNum>
  <w:abstractNum w:abstractNumId="139">
    <w:nsid w:val="754342"/>
    <w:multiLevelType w:val="hybridMultilevel"/>
    <w:lvl w:ilvl="0">
      <w:lvlJc w:val="left"/>
      <w:lvlText w:val="%1."/>
      <w:numFmt w:val="decimal"/>
      <w:start w:val="1"/>
    </w:lvl>
    <w:lvl w:ilvl="1">
      <w:lvlJc w:val="left"/>
      <w:lvlText w:val="%2)"/>
      <w:numFmt w:val="lowerLetter"/>
      <w:start w:val="1"/>
    </w:lvl>
  </w:abstractNum>
  <w:abstractNum w:abstractNumId="140">
    <w:nsid w:val="69E7F3E5"/>
    <w:multiLevelType w:val="hybridMultilevel"/>
    <w:lvl w:ilvl="0">
      <w:lvlJc w:val="left"/>
      <w:lvlText w:val="-"/>
      <w:numFmt w:val="bullet"/>
      <w:start w:val="1"/>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2019-12-15T07:22:31Z</dcterms:created>
  <dcterms:modified xsi:type="dcterms:W3CDTF">2019-12-15T07:22:31Z</dcterms:modified>
</cp:coreProperties>
</file>