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Date of Report (Date of earliest event reported): February 11, 2004</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000-50093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5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27-0000798</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7" w:lineRule="exact"/>
        <w:rPr>
          <w:sz w:val="24"/>
          <w:szCs w:val="24"/>
          <w:color w:val="auto"/>
        </w:rPr>
      </w:pPr>
    </w:p>
    <w:p>
      <w:pPr>
        <w:sectPr>
          <w:pgSz w:w="11900" w:h="16838" w:orient="portrait"/>
          <w:cols w:equalWidth="0" w:num="3">
            <w:col w:w="2660" w:space="720"/>
            <w:col w:w="2120" w:space="720"/>
            <w:col w:w="3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incorporation)</w:t>
      </w:r>
    </w:p>
    <w:p>
      <w:pPr>
        <w:spacing w:after="0" w:line="206" w:lineRule="exact"/>
        <w:rPr>
          <w:sz w:val="24"/>
          <w:szCs w:val="24"/>
          <w:color w:val="auto"/>
        </w:rPr>
      </w:pPr>
    </w:p>
    <w:p>
      <w:pPr>
        <w:jc w:val="both"/>
        <w:ind w:left="1280" w:right="3039" w:firstLine="105"/>
        <w:spacing w:after="0" w:line="236" w:lineRule="auto"/>
        <w:rPr>
          <w:sz w:val="20"/>
          <w:szCs w:val="20"/>
          <w:color w:val="auto"/>
        </w:rPr>
      </w:pPr>
      <w:r>
        <w:rPr>
          <w:rFonts w:ascii="Courier New" w:cs="Courier New" w:eastAsia="Courier New" w:hAnsi="Courier New"/>
          <w:sz w:val="18"/>
          <w:szCs w:val="18"/>
          <w:color w:val="auto"/>
        </w:rPr>
        <w:t>1500 Market Street, Philadelphia, PA 19102-2148 -------------------------------------------------------- (Address of principal executive offices) (Zip Code)</w:t>
      </w:r>
    </w:p>
    <w:p>
      <w:pPr>
        <w:spacing w:after="0" w:line="209" w:lineRule="exact"/>
        <w:rPr>
          <w:sz w:val="24"/>
          <w:szCs w:val="24"/>
          <w:color w:val="auto"/>
        </w:rPr>
      </w:pPr>
    </w:p>
    <w:p>
      <w:pPr>
        <w:jc w:val="right"/>
        <w:ind w:left="86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(215) 665-1700 --------------</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99.1</w:t>
      </w:r>
      <w:r>
        <w:rPr>
          <w:sz w:val="20"/>
          <w:szCs w:val="20"/>
          <w:color w:val="auto"/>
        </w:rPr>
        <w:tab/>
      </w:r>
      <w:r>
        <w:rPr>
          <w:rFonts w:ascii="Courier New" w:cs="Courier New" w:eastAsia="Courier New" w:hAnsi="Courier New"/>
          <w:sz w:val="16"/>
          <w:szCs w:val="16"/>
          <w:color w:val="auto"/>
        </w:rPr>
        <w:t>Comcast Corporation press release dated February 11, 2004.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12. Results of Operations and Financial Condition</w:t>
      </w:r>
    </w:p>
    <w:p>
      <w:pPr>
        <w:spacing w:after="0" w:line="207" w:lineRule="exact"/>
        <w:rPr>
          <w:sz w:val="24"/>
          <w:szCs w:val="24"/>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On February 11, 2004, Comcast Corporation ("Comcast") issued a press release reporting the results of its operations for the three and twelve months ended December 31, 2003. The press release is attached hereto as Exhibit 99.1. Comcast does not intend for this Item 12 or Exhibit 99.1 to be treated as "filed" under the Securities Exchange Act of 1934, as amended, or incorporated by reference into its filings under the Securities Act of 1933, as amended.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11, 2004</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Lawrence J. Salva</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Lawrence J. Salva</w:t>
      </w:r>
    </w:p>
    <w:p>
      <w:pPr>
        <w:ind w:left="516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5160"/>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(Principal Accounting Officer)</w:t>
      </w:r>
    </w:p>
    <w:p>
      <w:pPr>
        <w:sectPr>
          <w:pgSz w:w="11900" w:h="16838" w:orient="portrait"/>
          <w:cols w:equalWidth="0" w:num="1">
            <w:col w:w="10219"/>
          </w:cols>
          <w:pgMar w:left="240" w:top="717"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7" w:lineRule="exact"/>
        <w:rPr>
          <w:sz w:val="20"/>
          <w:szCs w:val="20"/>
          <w:color w:val="auto"/>
        </w:rPr>
      </w:pPr>
    </w:p>
    <w:p>
      <w:pPr>
        <w:jc w:val="center"/>
        <w:ind w:right="1979"/>
        <w:spacing w:after="0" w:line="236" w:lineRule="auto"/>
        <w:rPr>
          <w:sz w:val="20"/>
          <w:szCs w:val="20"/>
          <w:color w:val="auto"/>
        </w:rPr>
      </w:pPr>
      <w:r>
        <w:rPr>
          <w:rFonts w:ascii="Courier New" w:cs="Courier New" w:eastAsia="Courier New" w:hAnsi="Courier New"/>
          <w:sz w:val="18"/>
          <w:szCs w:val="18"/>
          <w:color w:val="auto"/>
        </w:rPr>
        <w:t>Comcast Full Year and Fourth Quarter Results Meet or Exceed All Operating and Financial Targets Setting Stage For Continued Growth in 2004</w:t>
      </w:r>
    </w:p>
    <w:p>
      <w:pPr>
        <w:spacing w:after="0" w:line="20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Cable Delivers $6.35 Billion of Operating Cash Flow in 2003</w:t>
      </w:r>
    </w:p>
    <w:p>
      <w:pPr>
        <w:jc w:val="center"/>
        <w:ind w:right="2099"/>
        <w:spacing w:after="0" w:line="238" w:lineRule="auto"/>
        <w:rPr>
          <w:sz w:val="20"/>
          <w:szCs w:val="20"/>
          <w:color w:val="auto"/>
        </w:rPr>
      </w:pPr>
      <w:r>
        <w:rPr>
          <w:rFonts w:ascii="Courier New" w:cs="Courier New" w:eastAsia="Courier New" w:hAnsi="Courier New"/>
          <w:sz w:val="18"/>
          <w:szCs w:val="18"/>
          <w:color w:val="auto"/>
        </w:rPr>
        <w:t>A Pro Forma Increase of 42%</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Comcast Cable Operating Income Increased to $2.127 Billion in 2003</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Cable Adds Over 140,000 Basic Cable Subscribers in 2003</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Comcast Repays $7 Billion of Debt in 2003</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PHILADELPHIA, Feb. 11 /PRNewswire-FirstCall/ -- Comcast Corporation today reported results for the fourth quarter and the year ended December 31, 2003. Comcast will discuss fourth quarter and year-end 2003 results and its outlook for 2004 on a conference call and webcast today at 8:30 AM Eastern Time. A live broadcast of the conference call with accompanying slides will be available on the investor relations website at www.cmcsa.com or www.cmcsk.com. The Company outlined its 2004 financial outlook in a separate press release today.</w:t>
      </w:r>
    </w:p>
    <w:p>
      <w:pPr>
        <w:spacing w:after="0" w:line="10"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Brian L. Roberts, president and CEO of Comcast Corporation said, "I am delighted to report that we achieved or exceeded all financial targets we set for ourselves in 2003 and delivered terrific results on all key integration goals. As a result, we are now uniquely positioned to deliver superior growth and value to our customers and shareholders in 2004 and beyond."</w:t>
      </w:r>
    </w:p>
    <w:p>
      <w:pPr>
        <w:spacing w:after="0" w:line="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2003, our cable Operating Cash Flow grew by $1.9 billion or 42% driven by significant operating efficiencies in the acquired cable systems, the continued strong performance of our historical cable systems and the benefits of our increased size."</w:t>
      </w:r>
    </w:p>
    <w:p>
      <w:pPr>
        <w:spacing w:after="0" w:line="5"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"We added over 140,000 basic cable subscribers in 2003 compared to a pro forma loss in the prior year of over 415,000 -- a remarkable turnaround. The cable systems we acquired last year are now 93% upgraded. This is a dramatic improvement from 73% a year ago. The progress of our upgrade allowed us to extend the availability of Digital Cable and High-Speed Internet services during 2003. Demand for our new services remained strong during the year as we added more than 1 million new digital cable customers and nearly 1.7 million new high-speed Internet customers. We also met our goals for our Cable Phone service, substantially improving the operating margin for that product."</w:t>
      </w:r>
    </w:p>
    <w:p>
      <w:pPr>
        <w:spacing w:after="0" w:line="2"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"Customer response to our Digital Cable and High-Speed Internet service enhancements has been extremely positive. Video-on-demand, high definition television and digital video recorders give our customers the ability to increasingly personalize their TV viewing experience. Similarly, enhancements to our High-Speed Internet service like doubling the downloading speed and an improved portal continue to differentiate our service in the marketplace."</w:t>
      </w:r>
    </w:p>
    <w:p>
      <w:pPr>
        <w:spacing w:after="0" w:line="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Mr. Roberts continued, "Financially, we are better positioned today than I thought possible at the beginning of this year. In 2003, we reduced debt by $7 billion and have significant cash and non-strategic investments that provide added financial flexibility and strength."</w:t>
      </w:r>
    </w:p>
    <w:p>
      <w:pPr>
        <w:spacing w:after="0" w:line="5"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"With the upgrade of our cable network and the increasing penetration of our new products, the stage is now set for accelerating growth in Free Cash Flow in 2004."</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Cable Results</w:t>
      </w:r>
    </w:p>
    <w:p>
      <w:pPr>
        <w:spacing w:after="0" w:line="4" w:lineRule="exact"/>
        <w:rPr>
          <w:sz w:val="20"/>
          <w:szCs w:val="20"/>
          <w:color w:val="auto"/>
        </w:rPr>
      </w:pPr>
    </w:p>
    <w:p>
      <w:pPr>
        <w:ind w:right="2099" w:firstLine="421"/>
        <w:spacing w:after="0" w:line="273" w:lineRule="auto"/>
        <w:rPr>
          <w:sz w:val="20"/>
          <w:szCs w:val="20"/>
          <w:color w:val="auto"/>
        </w:rPr>
      </w:pPr>
      <w:r>
        <w:rPr>
          <w:rFonts w:ascii="Courier New" w:cs="Courier New" w:eastAsia="Courier New" w:hAnsi="Courier New"/>
          <w:sz w:val="16"/>
          <w:szCs w:val="16"/>
          <w:color w:val="auto"/>
        </w:rPr>
        <w:t>Cable results for the fourth quarter and the year ended December 31, 2003 are presented on a pro forma basis. Pro forma cable results adjust only for acquisitions and are presented as if the acquisition of AT&amp;T Broadband completed in November 2002 was effective on January 1, 2002. Please refer to Table 7-A and B for reconciliation of historical and pro forma data.</w:t>
      </w:r>
    </w:p>
    <w:p>
      <w:pPr>
        <w:spacing w:after="0" w:line="17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Year ended December 31, 2003</w:t>
      </w:r>
    </w:p>
    <w:p>
      <w:pPr>
        <w:ind w:left="420"/>
        <w:spacing w:after="0" w:line="238" w:lineRule="auto"/>
        <w:rPr>
          <w:sz w:val="20"/>
          <w:szCs w:val="20"/>
          <w:color w:val="auto"/>
        </w:rPr>
      </w:pPr>
      <w:r>
        <w:rPr>
          <w:rFonts w:ascii="Courier New" w:cs="Courier New" w:eastAsia="Courier New" w:hAnsi="Courier New"/>
          <w:sz w:val="18"/>
          <w:szCs w:val="18"/>
          <w:color w:val="auto"/>
        </w:rPr>
        <w:t>Comcast Cable delivered solid results against increased guidance for 2003:</w:t>
      </w: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3000" w:type="dxa"/>
            <w:vAlign w:val="bottom"/>
          </w:tcPr>
          <w:p>
            <w:pPr>
              <w:ind w:left="840"/>
              <w:spacing w:after="0"/>
              <w:rPr>
                <w:sz w:val="20"/>
                <w:szCs w:val="20"/>
                <w:color w:val="auto"/>
              </w:rPr>
            </w:pPr>
            <w:r>
              <w:rPr>
                <w:rFonts w:ascii="Courier New" w:cs="Courier New" w:eastAsia="Courier New" w:hAnsi="Courier New"/>
                <w:sz w:val="18"/>
                <w:szCs w:val="18"/>
                <w:color w:val="auto"/>
              </w:rPr>
              <w:t>2003 Guidance</w:t>
            </w:r>
          </w:p>
        </w:tc>
        <w:tc>
          <w:tcPr>
            <w:tcW w:w="1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Results</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Revenue growth</w:t>
            </w:r>
          </w:p>
        </w:tc>
        <w:tc>
          <w:tcPr>
            <w:tcW w:w="3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high single digits</w:t>
            </w:r>
          </w:p>
        </w:tc>
        <w:tc>
          <w:tcPr>
            <w:tcW w:w="1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9.1%</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$6.3 billion - $6.4 billion</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$6.35 billion</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 subscriber additions</w:t>
            </w:r>
          </w:p>
        </w:tc>
        <w:tc>
          <w:tcPr>
            <w:tcW w:w="3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125,000 to 150,000</w:t>
            </w:r>
          </w:p>
        </w:tc>
        <w:tc>
          <w:tcPr>
            <w:tcW w:w="14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140,600</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Digital subscriber additions</w:t>
            </w:r>
          </w:p>
        </w:tc>
        <w:tc>
          <w:tcPr>
            <w:tcW w:w="30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950,000 to 1 million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1.033</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million</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High-speed Internet</w:t>
            </w:r>
          </w:p>
        </w:tc>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subscriber additions</w:t>
            </w:r>
          </w:p>
        </w:tc>
        <w:tc>
          <w:tcPr>
            <w:tcW w:w="30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1.7 million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1.664</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million</w:t>
            </w:r>
          </w:p>
        </w:tc>
      </w:tr>
      <w:tr>
        <w:trPr>
          <w:trHeight w:val="203"/>
        </w:trPr>
        <w:tc>
          <w:tcPr>
            <w:tcW w:w="3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Cable phone subscriber additions</w:t>
            </w:r>
          </w:p>
        </w:tc>
        <w:tc>
          <w:tcPr>
            <w:tcW w:w="3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(175,000)</w:t>
            </w:r>
          </w:p>
        </w:tc>
        <w:tc>
          <w:tcPr>
            <w:tcW w:w="14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(171,500)</w:t>
            </w:r>
          </w:p>
        </w:tc>
      </w:tr>
      <w:tr>
        <w:trPr>
          <w:trHeight w:val="405"/>
        </w:trPr>
        <w:tc>
          <w:tcPr>
            <w:tcW w:w="744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8"/>
              </w:rPr>
              <w:t>For the year 2003, Comcast's cable operations generated revenue of</w:t>
            </w:r>
          </w:p>
        </w:tc>
        <w:tc>
          <w:tcPr>
            <w:tcW w:w="780" w:type="dxa"/>
            <w:vAlign w:val="bottom"/>
          </w:tcPr>
          <w:p>
            <w:pPr>
              <w:spacing w:after="0"/>
              <w:rPr>
                <w:sz w:val="24"/>
                <w:szCs w:val="24"/>
                <w:color w:val="auto"/>
              </w:rPr>
            </w:pPr>
          </w:p>
        </w:tc>
      </w:tr>
      <w:tr>
        <w:trPr>
          <w:trHeight w:val="203"/>
        </w:trPr>
        <w:tc>
          <w:tcPr>
            <w:tcW w:w="6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$17.491 billion, a 9.1% pro forma increase from 2002.  Pro forma</w:t>
            </w:r>
          </w:p>
        </w:tc>
        <w:tc>
          <w:tcPr>
            <w:tcW w:w="1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video revenue</w:t>
            </w:r>
          </w:p>
        </w:tc>
      </w:tr>
    </w:tbl>
    <w:p>
      <w:pPr>
        <w:spacing w:after="0" w:line="4"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increased 5.5% to $12.096 billion for the year 2003 compared with the prior year driven by additions in the number of basic subscribers of more than 140,000, increases in average monthly revenue per basic subscriber and growth in digital cable subscribers. High-Speed Internet service revenue for 2003 increased 51.7% over the prior year to reach $2.255 billion, reflecting a</w:t>
      </w:r>
    </w:p>
    <w:p>
      <w:pPr>
        <w:spacing w:after="0" w:line="234" w:lineRule="auto"/>
        <w:rPr>
          <w:sz w:val="20"/>
          <w:szCs w:val="20"/>
          <w:color w:val="auto"/>
        </w:rPr>
      </w:pPr>
      <w:r>
        <w:rPr>
          <w:rFonts w:ascii="Courier New" w:cs="Courier New" w:eastAsia="Courier New" w:hAnsi="Courier New"/>
          <w:sz w:val="18"/>
          <w:szCs w:val="18"/>
          <w:color w:val="auto"/>
        </w:rPr>
        <w:t>45.9% increase in the customer base and average monthly revenue per subscriber</w:t>
      </w:r>
    </w:p>
    <w:p>
      <w:pPr>
        <w:sectPr>
          <w:pgSz w:w="11900" w:h="16838" w:orient="portrait"/>
          <w:cols w:equalWidth="0" w:num="1">
            <w:col w:w="10219"/>
          </w:cols>
          <w:pgMar w:left="240" w:top="136" w:right="1440" w:bottom="0" w:gutter="0" w:footer="0" w:header="0"/>
        </w:sectPr>
      </w:pPr>
    </w:p>
    <w:bookmarkStart w:id="3" w:name="page4"/>
    <w:bookmarkEnd w:id="3"/>
    <w:p>
      <w:pPr>
        <w:ind w:right="1999"/>
        <w:spacing w:after="0" w:line="268" w:lineRule="auto"/>
        <w:rPr>
          <w:sz w:val="20"/>
          <w:szCs w:val="20"/>
          <w:color w:val="auto"/>
        </w:rPr>
      </w:pPr>
      <w:r>
        <w:rPr>
          <w:rFonts w:ascii="Courier New" w:cs="Courier New" w:eastAsia="Courier New" w:hAnsi="Courier New"/>
          <w:sz w:val="16"/>
          <w:szCs w:val="16"/>
          <w:color w:val="auto"/>
        </w:rPr>
        <w:t>of $42.44 for the year. Pro forma Cable Phone revenue declined 2.2% from 2002 to $801 million, reflecting a decrease in both subscribers and average monthly revenue per subscriber as a result of the Company's reduced marketing efforts and focus on profitability of the cable phone business. Pro forma advertising revenue increased 7.4% over the prior year to $1.112 billion, reflecting 19.3% growth in regional/national advertising as a result of the continuing success of Comcast Cable's regional interconnects, and growth of 1.8% in a soft local advertising market. Total pro forma revenue in Comcast's historical systems increased 11.3% during 2003 and 7.7% in the acquired cable systems. Growth in the historical markets was driven by wider availability of advanced products, such as Digital Cable and Comcast High-Speed Internet services.</w:t>
      </w:r>
    </w:p>
    <w:p>
      <w:pPr>
        <w:spacing w:after="0" w:line="2" w:lineRule="exact"/>
        <w:rPr>
          <w:sz w:val="20"/>
          <w:szCs w:val="20"/>
          <w:color w:val="auto"/>
        </w:rPr>
      </w:pPr>
    </w:p>
    <w:p>
      <w:pPr>
        <w:ind w:right="1999" w:firstLine="421"/>
        <w:spacing w:after="0" w:line="269" w:lineRule="auto"/>
        <w:rPr>
          <w:sz w:val="20"/>
          <w:szCs w:val="20"/>
          <w:color w:val="auto"/>
        </w:rPr>
      </w:pPr>
      <w:r>
        <w:rPr>
          <w:rFonts w:ascii="Courier New" w:cs="Courier New" w:eastAsia="Courier New" w:hAnsi="Courier New"/>
          <w:sz w:val="16"/>
          <w:szCs w:val="16"/>
          <w:color w:val="auto"/>
        </w:rPr>
        <w:t>Pro forma operating income before depreciation and amortization (Operating Cash Flow or OCF) for the year 2003 increased 42.1% to $6.350 billion from $4.469 billion in 2002. Operating Cash Flow increased due to solid revenue growth and dramatically improving OCF margins driven by cost reductions related to overhead, a slower rate of growth in the cost of programming and increases in the number of basic, high-speed Internet and digital cable subscribers. Further contributing to the improvement in operating margins was the reduction in costs in the cable phone business. Reflecting the Operating Cash Flow improvement, OCF margins at the acquired cable systems grew from 19.5% for the year 2002 to 32.3% for 2003. Operating Cash Flow margin at Comcast's historical cable systems continue to show solid improvement ending the year at 42.5% compared to 41.3% in 2002. Pro forma results include an estimated $15 to $20 million of acquisition related costs incurred by Comcast in connection with the AT&amp;T Broadband acquisition, and $425 million of acquisition and other costs incurred by AT&amp;T Broadband prior to the closing of the AT&amp;T Broadband acquisition in November 2002. Cable operating income increased to $2.127 billion for 2003 compared to a pro forma operating loss of $16.468 billion for 2002. The pro forma operating loss in 2002 includes $16.525 billion of goodwill and franchise impairment charges recognized by AT&amp;T prior to the acquisition of AT&amp;T Broadband by Comcast.</w:t>
      </w:r>
    </w:p>
    <w:p>
      <w:pPr>
        <w:spacing w:after="0" w:line="395" w:lineRule="exact"/>
        <w:rPr>
          <w:sz w:val="20"/>
          <w:szCs w:val="20"/>
          <w:color w:val="auto"/>
        </w:rPr>
      </w:pPr>
    </w:p>
    <w:p>
      <w:pPr>
        <w:ind w:right="2619" w:firstLine="421"/>
        <w:spacing w:after="0" w:line="237" w:lineRule="auto"/>
        <w:rPr>
          <w:sz w:val="20"/>
          <w:szCs w:val="20"/>
          <w:color w:val="auto"/>
        </w:rPr>
      </w:pPr>
      <w:r>
        <w:rPr>
          <w:rFonts w:ascii="Courier New" w:cs="Courier New" w:eastAsia="Courier New" w:hAnsi="Courier New"/>
          <w:sz w:val="18"/>
          <w:szCs w:val="18"/>
          <w:color w:val="auto"/>
        </w:rPr>
        <w:t>In 2003, Comcast Cable added over 140,000 basic cable subscribers, a significant improvement over the pro forma loss of more than 415,000 subscribers in 2002. This increase reflects gains in the acquired cable systems of over 117,000 for the year, a turnaround from the loss of over 483,000 subscribers in 2002.</w:t>
      </w:r>
    </w:p>
    <w:p>
      <w:pPr>
        <w:spacing w:after="0" w:line="6"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Comcast Cable added 1.664 million high-speed Internet subscribers in 2003, a pro forma increase in net additions of 38.7% over the same period last year. Comcast finished the year with nearly 5.3 million subscribers, representing a penetration rate of 15.2%. More than 87% of the homes in Comcast's footprint, or over 34.7 million homes, now have access to High-Speed Internet service.</w:t>
      </w:r>
    </w:p>
    <w:p>
      <w:pPr>
        <w:spacing w:after="0" w:line="1" w:lineRule="exact"/>
        <w:rPr>
          <w:sz w:val="20"/>
          <w:szCs w:val="20"/>
          <w:color w:val="auto"/>
        </w:rPr>
      </w:pPr>
    </w:p>
    <w:p>
      <w:pPr>
        <w:ind w:right="1999" w:firstLine="421"/>
        <w:spacing w:after="0" w:line="269" w:lineRule="auto"/>
        <w:rPr>
          <w:sz w:val="20"/>
          <w:szCs w:val="20"/>
          <w:color w:val="auto"/>
        </w:rPr>
      </w:pPr>
      <w:r>
        <w:rPr>
          <w:rFonts w:ascii="Courier New" w:cs="Courier New" w:eastAsia="Courier New" w:hAnsi="Courier New"/>
          <w:sz w:val="16"/>
          <w:szCs w:val="16"/>
          <w:color w:val="auto"/>
        </w:rPr>
        <w:t>Comcast Cable added 1.033 million digital cable customers in 2003 to end the year at nearly 7.7 million customers, a 15.6% increase over the year-ago period, representing a penetration rate of nearly 36%. Comcast Cable continues to focus on expanding the availability of new features and functions for its Digital Cable service. Video-on-demand (VOD) service which is now available to 50% of Comcast's cable subscribers has had a significant impact on how customers view television. In the Philadelphia market, where VOD was first launched over a year-ago, 50% of customers use VOD on average 15 times every month, triple last year's rate with nearly double the usage. VOD availability is expected to increase to over 80% of basic subscribers by the end of 2004. Comcast Cable's high definition television (HDTV) deployment is ahead of schedule with availability to over 84% of basic subscribers, surpassing the year-end goal of 75%. HDTV is expected to be available to at least 90% of basic subscribers by the end of 2004. Today, Digital Video Recorder (DVR) service is available to 10% of basic subscribers. By year-end 2004, 100% of the Company's subscribers will have the ability to obtain DVR service.</w:t>
      </w:r>
    </w:p>
    <w:p>
      <w:pPr>
        <w:spacing w:after="0" w:line="194"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Comcast Cable capital expenditures totaled $4.1 billion as Comcast Cable completed the upgrade of over 53,000 miles of cable plant to end the year with nearly 95% of its footprint upgraded to provide two-way services. The acquired systems are now 93% upgraded, up from 73% at December 31, 2002. The upgrade is well ahead of schedule and is expected to be completed during 2004.</w:t>
      </w:r>
    </w:p>
    <w:p>
      <w:pPr>
        <w:spacing w:after="0" w:line="1"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Comcast outlined its 2004 financial guidance in a separate press release today.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Quarter ended December 31, 2003</w:t>
      </w:r>
    </w:p>
    <w:p>
      <w:pPr>
        <w:spacing w:after="0" w:line="4"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Comcast Cable revenue for the fourth quarter of 2003 was $4.507 billion, representing an 8.6% increase over the $4.149 billion in the fourth quarter of 2002. Revenue growth was driven by a 6.1% increase in video revenue as both the number of digital subscribers and average monthly revenue per subscriber increased. Comcast Cable added 70,000 basic cable subscribers and over 383,000 digital cable subscribers during the quarter. Comcast High-Speed Internet service revenue increased 44.8% over the prior year quarter driven by a nearly 46% increase in the number of High-Speed Internet subscribers.</w:t>
      </w:r>
    </w:p>
    <w:p>
      <w:pPr>
        <w:spacing w:after="0" w:line="1" w:lineRule="exact"/>
        <w:rPr>
          <w:sz w:val="20"/>
          <w:szCs w:val="20"/>
          <w:color w:val="auto"/>
        </w:rPr>
      </w:pPr>
    </w:p>
    <w:p>
      <w:pPr>
        <w:ind w:right="2099" w:firstLine="421"/>
        <w:spacing w:after="0" w:line="271" w:lineRule="auto"/>
        <w:rPr>
          <w:sz w:val="20"/>
          <w:szCs w:val="20"/>
          <w:color w:val="auto"/>
        </w:rPr>
      </w:pPr>
      <w:r>
        <w:rPr>
          <w:rFonts w:ascii="Courier New" w:cs="Courier New" w:eastAsia="Courier New" w:hAnsi="Courier New"/>
          <w:sz w:val="16"/>
          <w:szCs w:val="16"/>
          <w:color w:val="auto"/>
        </w:rPr>
        <w:t>Comcast Cable reported Operating Cash Flow of $1.712 billion for the quarter, a pro forma increase of 63.3% over the same period of 2002. Comcast Cable Operating Cash Flow margin reached 38.0% this quarter, up significantly from the pro forma margin of 25.3% in the fourth quarter of 2002. The OCF margin for the acquired cable systems reached 34.9% in the current quarter up from 15.8% in the fourth quarter of 2002. Operating Cash Flow margin at the historical cable systems was 42.7% during the fourth quarter of 2003 up from</w:t>
      </w:r>
    </w:p>
    <w:p>
      <w:pPr>
        <w:sectPr>
          <w:pgSz w:w="11900" w:h="16838" w:orient="portrait"/>
          <w:cols w:equalWidth="0" w:num="1">
            <w:col w:w="10219"/>
          </w:cols>
          <w:pgMar w:left="240" w:top="142" w:right="1440" w:bottom="0" w:gutter="0" w:footer="0" w:header="0"/>
        </w:sectPr>
      </w:pPr>
    </w:p>
    <w:bookmarkStart w:id="4" w:name="page5"/>
    <w:bookmarkEnd w:id="4"/>
    <w:p>
      <w:pPr>
        <w:ind w:right="2099"/>
        <w:spacing w:after="0" w:line="237" w:lineRule="auto"/>
        <w:rPr>
          <w:sz w:val="20"/>
          <w:szCs w:val="20"/>
          <w:color w:val="auto"/>
        </w:rPr>
      </w:pPr>
      <w:r>
        <w:rPr>
          <w:rFonts w:ascii="Courier New" w:cs="Courier New" w:eastAsia="Courier New" w:hAnsi="Courier New"/>
          <w:sz w:val="18"/>
          <w:szCs w:val="18"/>
          <w:color w:val="auto"/>
        </w:rPr>
        <w:t>40.3% a year ago. Pro forma results include an estimated $7 to $10 million of acquisition related costs incurred by Comcast in connection with the AT&amp;T Broadband acquisition, and $130 million of acquisition and other costs incurred by AT&amp;T Broadband prior to the closing of the AT&amp;T Broadband acquisition in November 2002. Cable operating income was $788 million in the fourth quarter compared to pro forma operating loss of $143 million in the fourth quarter of 2002.</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Content</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Comcast's content businesses include Comcast-Spectacor and national cable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networks E! Entertainment Television, Style Network, The Golf Channel, Outdoor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Life Network and G4.</w:t>
      </w:r>
    </w:p>
    <w:p>
      <w:pPr>
        <w:ind w:left="420"/>
        <w:spacing w:after="0" w:line="238" w:lineRule="auto"/>
        <w:rPr>
          <w:sz w:val="20"/>
          <w:szCs w:val="20"/>
          <w:color w:val="auto"/>
        </w:rPr>
      </w:pPr>
      <w:r>
        <w:rPr>
          <w:rFonts w:ascii="Courier New" w:cs="Courier New" w:eastAsia="Courier New" w:hAnsi="Courier New"/>
          <w:sz w:val="18"/>
          <w:szCs w:val="18"/>
          <w:color w:val="auto"/>
        </w:rPr>
        <w:t>Comcast's content businesses delivered outstanding results in 2003</w:t>
      </w:r>
    </w:p>
    <w:p>
      <w:pPr>
        <w:spacing w:after="0"/>
        <w:rPr>
          <w:sz w:val="20"/>
          <w:szCs w:val="20"/>
          <w:color w:val="auto"/>
        </w:rPr>
      </w:pPr>
      <w:r>
        <w:rPr>
          <w:rFonts w:ascii="Courier New" w:cs="Courier New" w:eastAsia="Courier New" w:hAnsi="Courier New"/>
          <w:sz w:val="18"/>
          <w:szCs w:val="18"/>
          <w:color w:val="auto"/>
        </w:rPr>
        <w:t>compared to guidance for the year which excluded the results of Outdoor Life</w:t>
      </w:r>
    </w:p>
    <w:p>
      <w:pPr>
        <w:spacing w:after="0" w:line="237" w:lineRule="auto"/>
        <w:rPr>
          <w:sz w:val="20"/>
          <w:szCs w:val="20"/>
          <w:color w:val="auto"/>
        </w:rPr>
      </w:pPr>
      <w:r>
        <w:rPr>
          <w:rFonts w:ascii="Courier New" w:cs="Courier New" w:eastAsia="Courier New" w:hAnsi="Courier New"/>
          <w:sz w:val="18"/>
          <w:szCs w:val="18"/>
          <w:color w:val="auto"/>
        </w:rPr>
        <w:t>and G4.</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Revenue growth</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OCF growth</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2003 Guidance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 single digit growth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mid to high teens growth</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Results</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12.7%</w:t>
      </w:r>
    </w:p>
    <w:p>
      <w:pPr>
        <w:jc w:val="right"/>
        <w:ind w:right="2319"/>
        <w:spacing w:after="0" w:line="238" w:lineRule="auto"/>
        <w:rPr>
          <w:sz w:val="20"/>
          <w:szCs w:val="20"/>
          <w:color w:val="auto"/>
        </w:rPr>
      </w:pPr>
      <w:r>
        <w:rPr>
          <w:rFonts w:ascii="Courier New" w:cs="Courier New" w:eastAsia="Courier New" w:hAnsi="Courier New"/>
          <w:sz w:val="18"/>
          <w:szCs w:val="18"/>
          <w:color w:val="auto"/>
        </w:rPr>
        <w:t>25.9%</w:t>
      </w:r>
    </w:p>
    <w:p>
      <w:pPr>
        <w:spacing w:after="0" w:line="200" w:lineRule="exact"/>
        <w:rPr>
          <w:sz w:val="20"/>
          <w:szCs w:val="20"/>
          <w:color w:val="auto"/>
        </w:rPr>
      </w:pPr>
    </w:p>
    <w:p>
      <w:pPr>
        <w:sectPr>
          <w:pgSz w:w="11900" w:h="16838" w:orient="portrait"/>
          <w:cols w:equalWidth="0" w:num="3">
            <w:col w:w="3080" w:space="720"/>
            <w:col w:w="2660" w:space="720"/>
            <w:col w:w="3039"/>
          </w:cols>
          <w:pgMar w:left="240" w:top="142" w:right="1440" w:bottom="0" w:gutter="0" w:footer="0" w:header="0"/>
          <w:type w:val="continuous"/>
        </w:sectPr>
      </w:pPr>
    </w:p>
    <w:p>
      <w:pPr>
        <w:spacing w:after="0" w:line="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In 2003, revenue for Comcast's content businesses, including all national cable networks and Comcast-Spectacor, increased 15.4% over 2002 to</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$885 million. Operating Cash Flow grew 18.0% during 2003 to $227 million due to increases in distribution and advertising revenues at each of the cable networks offset in part by continued funding for expansion of Outdoor Life and G4.</w:t>
      </w:r>
    </w:p>
    <w:p>
      <w:pPr>
        <w:spacing w:after="0" w:line="5" w:lineRule="exact"/>
        <w:rPr>
          <w:sz w:val="20"/>
          <w:szCs w:val="20"/>
          <w:color w:val="auto"/>
        </w:rPr>
      </w:pPr>
    </w:p>
    <w:p>
      <w:pPr>
        <w:ind w:right="2319" w:firstLine="421"/>
        <w:spacing w:after="0" w:line="279" w:lineRule="auto"/>
        <w:rPr>
          <w:sz w:val="20"/>
          <w:szCs w:val="20"/>
          <w:color w:val="auto"/>
        </w:rPr>
      </w:pPr>
      <w:r>
        <w:rPr>
          <w:rFonts w:ascii="Courier New" w:cs="Courier New" w:eastAsia="Courier New" w:hAnsi="Courier New"/>
          <w:sz w:val="16"/>
          <w:szCs w:val="16"/>
          <w:color w:val="auto"/>
        </w:rPr>
        <w:t>In the fourth quarter of 2003, Comcast's content businesses reported revenue of $250 million and Operating Cash Flow of $58 million representing increases quarter over quarter of 13.4% and 23.1%, respectively.</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Corporate and Other</w:t>
      </w:r>
    </w:p>
    <w:p>
      <w:pPr>
        <w:spacing w:after="0" w:line="4"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Comcast's Corporate and Other category primarily includes corporate overhead and eliminations between Comcast's businesses. Comcast reported in the Corporate and Other category an Operating Cash Flow loss of $185 million and $50 million, respectively, for the year and quarter ended December 31, 2003.</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Consolidated Results</w:t>
      </w:r>
    </w:p>
    <w:p>
      <w:pPr>
        <w:spacing w:after="0" w:line="4" w:lineRule="exact"/>
        <w:rPr>
          <w:sz w:val="20"/>
          <w:szCs w:val="20"/>
          <w:color w:val="auto"/>
        </w:rPr>
      </w:pPr>
    </w:p>
    <w:p>
      <w:pPr>
        <w:ind w:right="1999" w:firstLine="421"/>
        <w:spacing w:after="0" w:line="268" w:lineRule="auto"/>
        <w:rPr>
          <w:sz w:val="20"/>
          <w:szCs w:val="20"/>
          <w:color w:val="auto"/>
        </w:rPr>
      </w:pPr>
      <w:r>
        <w:rPr>
          <w:rFonts w:ascii="Courier New" w:cs="Courier New" w:eastAsia="Courier New" w:hAnsi="Courier New"/>
          <w:sz w:val="16"/>
          <w:szCs w:val="16"/>
          <w:color w:val="auto"/>
        </w:rPr>
        <w:t>The Company's consolidated results include all acquisitions as of the date of their closing. The Company acquired AT&amp;T Broadband in November 2002 adding over 13 million cable subscribers to Comcast's customer base. Comcast sold its 57% ownership interest in QVC in September 2003. QVC's results, prior to its sale, are presented as discontinued operations for all periods presented.</w:t>
      </w:r>
    </w:p>
    <w:p>
      <w:pPr>
        <w:spacing w:after="0" w:line="1"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For the year ended December 31, 2003, the Company reported consolidated revenues of $18.348 billion, as compared to $8.102 billion reported in 2002. Consolidated Operating Cash Flow increased to $6.392 billion in 2003 from the $2.836 billion reported in the prior year. Increases in revenue, Operating Cash Flow, depreciation and amortization and interest expense primarily reflect the acquisition of AT&amp;T Broadband in November 2002. For the year ended December 31, 2003, the Company reported operating income of $1.954 billion compared to an operating income of $921 million in 2002.</w:t>
      </w:r>
    </w:p>
    <w:p>
      <w:pPr>
        <w:spacing w:after="0" w:line="10"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The Company reported a consolidated net loss from continuing operations for 2003 of $218 million or $0.10 per share as compared to net loss from continuing operations of $469 million or $0.42 per share in 2002. Contributing to the reduction in the net loss from continuing operations in 2003 was the impact of the acquisition of AT&amp;T Broadband and lower investment losses. Comcast reported investment losses for 2003 of $84 million notably lower than the $543 million of losses in the prior year, due to improving market conditions in 2003 for its investment portfolio. Please refer to Tables 7-A, B and C of this release for a reconciliation of historical and pro forma data and for details regarding non-operating items. For the year ended</w:t>
      </w:r>
    </w:p>
    <w:p>
      <w:pPr>
        <w:spacing w:after="0" w:line="18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December 31, 2003, the Company reported net income of $3.240 billion or $1.44 per share, due primarily to the gain on the sale of its 57% ownership interest in QVC.</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Balance Sheet and Liquidity</w:t>
      </w:r>
    </w:p>
    <w:p>
      <w:pPr>
        <w:spacing w:after="0" w:line="4" w:lineRule="exact"/>
        <w:rPr>
          <w:sz w:val="20"/>
          <w:szCs w:val="20"/>
          <w:color w:val="auto"/>
        </w:rPr>
      </w:pPr>
    </w:p>
    <w:p>
      <w:pPr>
        <w:ind w:right="2199" w:firstLine="421"/>
        <w:spacing w:after="0" w:line="270" w:lineRule="auto"/>
        <w:rPr>
          <w:sz w:val="20"/>
          <w:szCs w:val="20"/>
          <w:color w:val="auto"/>
        </w:rPr>
      </w:pPr>
      <w:r>
        <w:rPr>
          <w:rFonts w:ascii="Courier New" w:cs="Courier New" w:eastAsia="Courier New" w:hAnsi="Courier New"/>
          <w:sz w:val="16"/>
          <w:szCs w:val="16"/>
          <w:color w:val="auto"/>
        </w:rPr>
        <w:t>During 2003, Comcast made significant progress strengthening its balance sheet and liquidity position. At December 31, 2003, Comcast reported total debt of $27.0 billion, including $4.3 billion of exchangeable notes collateralized by equity securities that the Company owns, resulting in debt excluding exchangeables of $22.7 billion at December 31, 2003. The Company repaid $7.1 billion of debt during 2003 primarily through the proceeds from the restructuring of Time Warner Entertainment and the sale of QVC. Comcast retains significant financial flexibility at year-end with cash of nearly $1.6 billion and non-strategic investments including $1.5 billion in Time Warner stock, $1.5 billion in Liberty Media stock, a 21% interest in Time Warner Cable and interests in several cable joint ventures.</w:t>
      </w:r>
    </w:p>
    <w:p>
      <w:pPr>
        <w:spacing w:after="0" w:line="188" w:lineRule="exact"/>
        <w:rPr>
          <w:sz w:val="20"/>
          <w:szCs w:val="20"/>
          <w:color w:val="auto"/>
        </w:rPr>
      </w:pPr>
    </w:p>
    <w:p>
      <w:pPr>
        <w:ind w:right="1999" w:firstLine="421"/>
        <w:spacing w:after="0" w:line="279" w:lineRule="auto"/>
        <w:rPr>
          <w:sz w:val="20"/>
          <w:szCs w:val="20"/>
          <w:color w:val="auto"/>
        </w:rPr>
      </w:pPr>
      <w:r>
        <w:rPr>
          <w:rFonts w:ascii="Courier New" w:cs="Courier New" w:eastAsia="Courier New" w:hAnsi="Courier New"/>
          <w:sz w:val="16"/>
          <w:szCs w:val="16"/>
          <w:color w:val="auto"/>
        </w:rPr>
        <w:t>This press release contains forward-looking statements. Readers are cautioned that such forward-looking statements involve risks and uncertainties that could significantly affect actual results from those expressed in any</w:t>
      </w:r>
    </w:p>
    <w:p>
      <w:pPr>
        <w:sectPr>
          <w:pgSz w:w="11900" w:h="16838" w:orient="portrait"/>
          <w:cols w:equalWidth="0" w:num="1">
            <w:col w:w="10219"/>
          </w:cols>
          <w:pgMar w:left="240" w:top="142" w:right="1440" w:bottom="0" w:gutter="0" w:footer="0" w:header="0"/>
          <w:type w:val="continuous"/>
        </w:sectPr>
      </w:pPr>
    </w:p>
    <w:bookmarkStart w:id="5" w:name="page6"/>
    <w:bookmarkEnd w:id="5"/>
    <w:p>
      <w:pPr>
        <w:ind w:right="2419"/>
        <w:spacing w:after="0" w:line="268" w:lineRule="auto"/>
        <w:rPr>
          <w:sz w:val="20"/>
          <w:szCs w:val="20"/>
          <w:color w:val="auto"/>
        </w:rPr>
      </w:pPr>
      <w:r>
        <w:rPr>
          <w:rFonts w:ascii="Courier New" w:cs="Courier New" w:eastAsia="Courier New" w:hAnsi="Courier New"/>
          <w:sz w:val="16"/>
          <w:szCs w:val="16"/>
          <w:color w:val="auto"/>
        </w:rPr>
        <w:t>such forward-looking statements. Readers are directed to Comcast's Annual Report on Form 10-K for a description of such risks and uncertainties.</w:t>
      </w:r>
    </w:p>
    <w:p>
      <w:pPr>
        <w:ind w:right="2319" w:firstLine="421"/>
        <w:spacing w:after="0" w:line="237" w:lineRule="auto"/>
        <w:rPr>
          <w:sz w:val="20"/>
          <w:szCs w:val="20"/>
          <w:color w:val="auto"/>
        </w:rPr>
      </w:pPr>
      <w:r>
        <w:rPr>
          <w:rFonts w:ascii="Courier New" w:cs="Courier New" w:eastAsia="Courier New" w:hAnsi="Courier New"/>
          <w:sz w:val="18"/>
          <w:szCs w:val="18"/>
          <w:color w:val="auto"/>
        </w:rPr>
        <w:t>Comcast Corporation will host a conference call with the financial community today February 11, 2004 at 8:30 a.m. Eastern Time (ET). The conference call will be broadcast live on the Company's Investor Relations website at www.cmcsa.com or www.cmcsk.com. A recording of the call will be available on the Investor Relations websites starting at 12:30 p.m. ET on February 11, 2004.</w:t>
      </w:r>
    </w:p>
    <w:p>
      <w:pPr>
        <w:spacing w:after="0" w:line="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Those parties interested in participating via telephone should dial</w:t>
      </w:r>
    </w:p>
    <w:p>
      <w:pPr>
        <w:spacing w:after="0" w:line="4" w:lineRule="exact"/>
        <w:rPr>
          <w:sz w:val="20"/>
          <w:szCs w:val="20"/>
          <w:color w:val="auto"/>
        </w:rPr>
      </w:pPr>
    </w:p>
    <w:p>
      <w:pPr>
        <w:ind w:right="1999" w:firstLine="8"/>
        <w:spacing w:after="0" w:line="268"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413-3156. A telephone replay will begin immediately following the call until February 12, 2004 at midnight ET. To access the rebroadcast, please dial</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652-3000 and enter passcode number 8239543.</w:t>
      </w:r>
    </w:p>
    <w:p>
      <w:pPr>
        <w:spacing w:after="0" w:line="4" w:lineRule="exact"/>
        <w:rPr>
          <w:rFonts w:ascii="Courier New" w:cs="Courier New" w:eastAsia="Courier New" w:hAnsi="Courier New"/>
          <w:sz w:val="18"/>
          <w:szCs w:val="18"/>
          <w:color w:val="auto"/>
        </w:rPr>
      </w:pPr>
    </w:p>
    <w:p>
      <w:pPr>
        <w:ind w:right="2419" w:firstLine="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automatically receive Comcast financial news by email, please visit www.cmcsa.com or www.cmcsk.com and subscribe to e-mail Alerts.</w:t>
      </w:r>
    </w:p>
    <w:p>
      <w:pPr>
        <w:spacing w:after="0" w:line="5" w:lineRule="exact"/>
        <w:rPr>
          <w:rFonts w:ascii="Courier New" w:cs="Courier New" w:eastAsia="Courier New" w:hAnsi="Courier New"/>
          <w:sz w:val="18"/>
          <w:szCs w:val="18"/>
          <w:color w:val="auto"/>
        </w:rPr>
      </w:pPr>
    </w:p>
    <w:p>
      <w:pPr>
        <w:ind w:right="1999" w:firstLine="421"/>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 (Nasdaq: CMCSA, CMCSK)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Network, The Golf Channel, Outdoor Life Network and G4. Comcast Class A common stock and Class A Special common stock trade on The NASDAQ Stock Market under the symbols CMCSA and CMCSK, respectively.</w:t>
      </w:r>
    </w:p>
    <w:p>
      <w:pPr>
        <w:spacing w:after="0" w:line="200" w:lineRule="exact"/>
        <w:rPr>
          <w:sz w:val="20"/>
          <w:szCs w:val="20"/>
          <w:color w:val="auto"/>
        </w:rPr>
      </w:pPr>
    </w:p>
    <w:p>
      <w:pPr>
        <w:spacing w:after="0" w:line="21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COMCAST CORPORATION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Table 1</w:t>
      </w:r>
    </w:p>
    <w:p>
      <w:pPr>
        <w:jc w:val="center"/>
        <w:ind w:right="1579"/>
        <w:spacing w:after="0"/>
        <w:rPr>
          <w:sz w:val="20"/>
          <w:szCs w:val="20"/>
          <w:color w:val="auto"/>
        </w:rPr>
      </w:pPr>
      <w:r>
        <w:rPr>
          <w:rFonts w:ascii="Courier New" w:cs="Courier New" w:eastAsia="Courier New" w:hAnsi="Courier New"/>
          <w:sz w:val="18"/>
          <w:szCs w:val="18"/>
          <w:color w:val="auto"/>
        </w:rPr>
        <w:t>Condensed Consolidated Statement of Operations (Unaudited)</w:t>
      </w:r>
    </w:p>
    <w:p>
      <w:pPr>
        <w:jc w:val="center"/>
        <w:ind w:right="1579"/>
        <w:spacing w:after="0" w:line="237" w:lineRule="auto"/>
        <w:rPr>
          <w:sz w:val="20"/>
          <w:szCs w:val="20"/>
          <w:color w:val="auto"/>
        </w:rPr>
      </w:pPr>
      <w:r>
        <w:rPr>
          <w:rFonts w:ascii="Courier New" w:cs="Courier New" w:eastAsia="Courier New" w:hAnsi="Courier New"/>
          <w:sz w:val="18"/>
          <w:szCs w:val="18"/>
          <w:color w:val="auto"/>
        </w:rPr>
        <w:t>(amounts in millions, except per share data)</w:t>
      </w:r>
    </w:p>
    <w:p>
      <w:pPr>
        <w:spacing w:after="0" w:line="20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Three Months Ended Twelve Months Ended</w:t>
      </w:r>
    </w:p>
    <w:tbl>
      <w:tblPr>
        <w:tblLayout w:type="fixed"/>
        <w:tblInd w:w="42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8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December 31,</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December</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02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2002</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2003</w:t>
            </w: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2002</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$4,742</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$3,000</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$18,348</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$8,102</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selling, general and</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3,022</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2,095</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11,956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5,266</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cash flow</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1,720</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905</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6,392</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2,836</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978</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824</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4,438</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1,915</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742</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81</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1,954</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921</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(439)</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(2,018)</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(870)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 (loss), net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40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(2,091)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(1,475)</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before</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w:t>
            </w: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and Minority Interest</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Income tax benefit (expense)</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Income (Loss) from Continuing</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(469)</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Income from discontinued operations,</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of tax (1)</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on discontinued operations, net</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tax (1)</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3,290</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$383</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$3,240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($274)</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Basic and Diluted earnings (loss) per</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4020" w:type="dxa"/>
            <w:vAlign w:val="bottom"/>
          </w:tcPr>
          <w:p>
            <w:pPr>
              <w:ind w:left="320"/>
              <w:spacing w:after="0"/>
              <w:rPr>
                <w:sz w:val="20"/>
                <w:szCs w:val="20"/>
                <w:color w:val="auto"/>
              </w:rPr>
            </w:pPr>
            <w:r>
              <w:rPr>
                <w:rFonts w:ascii="Courier New" w:cs="Courier New" w:eastAsia="Courier New" w:hAnsi="Courier New"/>
                <w:sz w:val="18"/>
                <w:szCs w:val="18"/>
                <w:color w:val="auto"/>
              </w:rPr>
              <w:t>Income (loss) from continuing</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operations</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($0.42)</w:t>
            </w:r>
          </w:p>
        </w:tc>
      </w:tr>
      <w:tr>
        <w:trPr>
          <w:trHeight w:val="405"/>
        </w:trPr>
        <w:tc>
          <w:tcPr>
            <w:tcW w:w="4020" w:type="dxa"/>
            <w:vAlign w:val="bottom"/>
          </w:tcPr>
          <w:p>
            <w:pPr>
              <w:ind w:left="320"/>
              <w:spacing w:after="0"/>
              <w:rPr>
                <w:sz w:val="20"/>
                <w:szCs w:val="20"/>
                <w:color w:val="auto"/>
              </w:rPr>
            </w:pPr>
            <w:r>
              <w:rPr>
                <w:rFonts w:ascii="Courier New" w:cs="Courier New" w:eastAsia="Courier New" w:hAnsi="Courier New"/>
                <w:sz w:val="18"/>
                <w:szCs w:val="18"/>
                <w:color w:val="auto"/>
              </w:rPr>
              <w:t>Income from discontinued</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operations</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0.04</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0.08</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0.17</w:t>
            </w:r>
          </w:p>
        </w:tc>
      </w:tr>
      <w:tr>
        <w:trPr>
          <w:trHeight w:val="405"/>
        </w:trPr>
        <w:tc>
          <w:tcPr>
            <w:tcW w:w="4020" w:type="dxa"/>
            <w:vAlign w:val="bottom"/>
          </w:tcPr>
          <w:p>
            <w:pPr>
              <w:ind w:left="320"/>
              <w:spacing w:after="0"/>
              <w:rPr>
                <w:sz w:val="20"/>
                <w:szCs w:val="20"/>
                <w:color w:val="auto"/>
              </w:rPr>
            </w:pPr>
            <w:r>
              <w:rPr>
                <w:rFonts w:ascii="Courier New" w:cs="Courier New" w:eastAsia="Courier New" w:hAnsi="Courier New"/>
                <w:sz w:val="18"/>
                <w:szCs w:val="18"/>
                <w:color w:val="auto"/>
              </w:rPr>
              <w:t>Gain on discontinued operations</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1.46</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4020" w:type="dxa"/>
            <w:vAlign w:val="bottom"/>
          </w:tcPr>
          <w:p>
            <w:pPr>
              <w:ind w:left="320"/>
              <w:spacing w:after="0"/>
              <w:rPr>
                <w:sz w:val="20"/>
                <w:szCs w:val="20"/>
                <w:color w:val="auto"/>
              </w:rPr>
            </w:pPr>
            <w:r>
              <w:rPr>
                <w:rFonts w:ascii="Courier New" w:cs="Courier New" w:eastAsia="Courier New" w:hAnsi="Courier New"/>
                <w:sz w:val="18"/>
                <w:szCs w:val="18"/>
                <w:color w:val="auto"/>
              </w:rPr>
              <w:t>Net income (loss) per common share</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$0.17</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($0.03)</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$1.44</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($0.25)</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Basic weighted average number of</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142"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common</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outstanding</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2,258</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1,583</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2,256</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1,110</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Diluted</w:t>
            </w:r>
          </w:p>
        </w:tc>
        <w:tc>
          <w:tcPr>
            <w:tcW w:w="31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weighted average number of</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outstanding</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2,269</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1,110</w:t>
            </w:r>
          </w:p>
        </w:tc>
      </w:tr>
    </w:tbl>
    <w:p>
      <w:pPr>
        <w:spacing w:after="0" w:line="200" w:lineRule="exact"/>
        <w:rPr>
          <w:sz w:val="20"/>
          <w:szCs w:val="20"/>
          <w:color w:val="auto"/>
        </w:rPr>
      </w:pPr>
    </w:p>
    <w:p>
      <w:pPr>
        <w:spacing w:after="0" w:line="209" w:lineRule="exact"/>
        <w:rPr>
          <w:sz w:val="20"/>
          <w:szCs w:val="20"/>
          <w:color w:val="auto"/>
        </w:rPr>
      </w:pPr>
    </w:p>
    <w:p>
      <w:pPr>
        <w:ind w:left="440" w:right="2319" w:hanging="431"/>
        <w:spacing w:after="0" w:line="236" w:lineRule="auto"/>
        <w:tabs>
          <w:tab w:leader="none" w:pos="4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September 17, 2003 the Company completed the sale of its approximate 57% interest in QVC, Inc. Accordingly, the results have been presented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2</w:t>
      </w:r>
    </w:p>
    <w:p>
      <w:pPr>
        <w:jc w:val="center"/>
        <w:ind w:right="2199"/>
        <w:spacing w:after="0"/>
        <w:rPr>
          <w:sz w:val="20"/>
          <w:szCs w:val="20"/>
          <w:color w:val="auto"/>
        </w:rPr>
      </w:pPr>
      <w:r>
        <w:rPr>
          <w:rFonts w:ascii="Courier New" w:cs="Courier New" w:eastAsia="Courier New" w:hAnsi="Courier New"/>
          <w:sz w:val="18"/>
          <w:szCs w:val="18"/>
          <w:color w:val="auto"/>
        </w:rPr>
        <w:t>Condensed Consolidated Balance Sheet (Unaudited)</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8"/>
          <w:szCs w:val="18"/>
          <w:color w:val="auto"/>
        </w:rPr>
        <w:t>December 31, 2003 December 31, 2002</w:t>
      </w: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CURRENT ASSETS</w:t>
            </w: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$1,550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Investments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2,493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3,258</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862</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assets of</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discontinued operations and</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2,094</w:t>
            </w:r>
          </w:p>
        </w:tc>
      </w:tr>
      <w:tr>
        <w:trPr>
          <w:trHeight w:val="203"/>
        </w:trPr>
        <w:tc>
          <w:tcPr>
            <w:tcW w:w="44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5,403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7,099</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INVESTMENTS</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14,818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15,174</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PROPERTY AND EQUIPMENT, NET</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18,473</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18,381</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FRANCHISE RIGHTS AND GOODWILL</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65,891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64,784</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OTHER NONCURRENT ASSETS - including</w:t>
            </w: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intangible assets, net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4,574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6,095</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NONCURRENT ASSETS OF DISCONTINUED</w:t>
            </w: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1,595</w:t>
            </w:r>
          </w:p>
        </w:tc>
      </w:tr>
      <w:tr>
        <w:trPr>
          <w:trHeight w:val="203"/>
        </w:trPr>
        <w:tc>
          <w:tcPr>
            <w:tcW w:w="4440" w:type="dxa"/>
            <w:vAlign w:val="bottom"/>
          </w:tcPr>
          <w:p>
            <w:pPr>
              <w:spacing w:after="0"/>
              <w:rPr>
                <w:sz w:val="17"/>
                <w:szCs w:val="17"/>
                <w:color w:val="auto"/>
              </w:rPr>
            </w:pP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$109,159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$113,128</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CURRENT LIABILITIES</w:t>
            </w: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 accrued</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expenses and other current</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liabilities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$6,493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$7,637</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Short-term debt and current</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5,398</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portion of</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exchangeable debt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2,427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1,555</w:t>
            </w:r>
          </w:p>
        </w:tc>
      </w:tr>
      <w:tr>
        <w:trPr>
          <w:trHeight w:val="203"/>
        </w:trPr>
        <w:tc>
          <w:tcPr>
            <w:tcW w:w="4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Current liabilities of</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discontinued operations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816</w:t>
            </w:r>
          </w:p>
        </w:tc>
      </w:tr>
      <w:tr>
        <w:trPr>
          <w:trHeight w:val="203"/>
        </w:trPr>
        <w:tc>
          <w:tcPr>
            <w:tcW w:w="44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9,654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15,406</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LONG-TERM DEBT, less current</w:t>
            </w: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portion</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21,944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24,052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EXCHANGEABLE DEBT, less</w:t>
            </w:r>
          </w:p>
        </w:tc>
        <w:tc>
          <w:tcPr>
            <w:tcW w:w="1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current portion</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1,891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3,904</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OTHER NONCURRENT LIABILITIES AND</w:t>
            </w: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34,008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30,514</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NONCURRENT LIABILITIES AND MINORITY</w:t>
            </w:r>
          </w:p>
        </w:tc>
        <w:tc>
          <w:tcPr>
            <w:tcW w:w="1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OF DISCONTINUED OPERATIONS</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w:t>
            </w:r>
          </w:p>
        </w:tc>
      </w:tr>
      <w:tr>
        <w:trPr>
          <w:trHeight w:val="405"/>
        </w:trPr>
        <w:tc>
          <w:tcPr>
            <w:tcW w:w="4440" w:type="dxa"/>
            <w:vAlign w:val="bottom"/>
          </w:tcPr>
          <w:p>
            <w:pPr>
              <w:ind w:left="220"/>
              <w:spacing w:after="0"/>
              <w:rPr>
                <w:sz w:val="20"/>
                <w:szCs w:val="20"/>
                <w:color w:val="auto"/>
              </w:rPr>
            </w:pPr>
            <w:r>
              <w:rPr>
                <w:rFonts w:ascii="Courier New" w:cs="Courier New" w:eastAsia="Courier New" w:hAnsi="Courier New"/>
                <w:sz w:val="18"/>
                <w:szCs w:val="18"/>
                <w:color w:val="auto"/>
              </w:rPr>
              <w:t>STOCKHOLDERS' EQUITY</w:t>
            </w:r>
          </w:p>
        </w:tc>
        <w:tc>
          <w:tcPr>
            <w:tcW w:w="17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41,662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38,329</w:t>
            </w:r>
          </w:p>
        </w:tc>
      </w:tr>
      <w:tr>
        <w:trPr>
          <w:trHeight w:val="203"/>
        </w:trPr>
        <w:tc>
          <w:tcPr>
            <w:tcW w:w="4440" w:type="dxa"/>
            <w:vAlign w:val="bottom"/>
          </w:tcPr>
          <w:p>
            <w:pPr>
              <w:spacing w:after="0"/>
              <w:rPr>
                <w:sz w:val="17"/>
                <w:szCs w:val="17"/>
                <w:color w:val="auto"/>
              </w:rPr>
            </w:pPr>
          </w:p>
        </w:tc>
        <w:tc>
          <w:tcPr>
            <w:tcW w:w="1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$109,159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$113,128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3</w:t>
      </w:r>
    </w:p>
    <w:p>
      <w:pPr>
        <w:jc w:val="center"/>
        <w:ind w:right="1979"/>
        <w:spacing w:after="0"/>
        <w:rPr>
          <w:sz w:val="20"/>
          <w:szCs w:val="20"/>
          <w:color w:val="auto"/>
        </w:rPr>
      </w:pPr>
      <w:r>
        <w:rPr>
          <w:rFonts w:ascii="Courier New" w:cs="Courier New" w:eastAsia="Courier New" w:hAnsi="Courier New"/>
          <w:sz w:val="18"/>
          <w:szCs w:val="18"/>
          <w:color w:val="auto"/>
        </w:rPr>
        <w:t>Condensed Consolidated Statement of Cash Flows (Unaudited)</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Twelve Months Ended</w:t>
      </w:r>
    </w:p>
    <w:p>
      <w:pPr>
        <w:ind w:left="5800"/>
        <w:spacing w:after="0" w:line="238" w:lineRule="auto"/>
        <w:rPr>
          <w:sz w:val="20"/>
          <w:szCs w:val="20"/>
          <w:color w:val="auto"/>
        </w:rPr>
      </w:pPr>
      <w:r>
        <w:rPr>
          <w:rFonts w:ascii="Courier New" w:cs="Courier New" w:eastAsia="Courier New" w:hAnsi="Courier New"/>
          <w:sz w:val="18"/>
          <w:szCs w:val="18"/>
          <w:color w:val="auto"/>
        </w:rPr>
        <w:t>December 31,</w:t>
      </w:r>
    </w:p>
    <w:p>
      <w:pPr>
        <w:sectPr>
          <w:pgSz w:w="11900" w:h="16838" w:orient="portrait"/>
          <w:cols w:equalWidth="0" w:num="1">
            <w:col w:w="9799"/>
          </w:cols>
          <w:pgMar w:left="660" w:top="136" w:right="1440"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7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2003</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2002</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activities from continuing operations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$2,854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$2,421</w:t>
            </w: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borrowings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9,398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8,759</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Retirements and repayments of debt</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(16,465)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(9,508)</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w:t>
            </w:r>
          </w:p>
        </w:tc>
      </w:tr>
      <w:tr>
        <w:trPr>
          <w:trHeight w:val="405"/>
        </w:trPr>
        <w:tc>
          <w:tcPr>
            <w:tcW w:w="4700" w:type="dxa"/>
            <w:vAlign w:val="bottom"/>
          </w:tcPr>
          <w:p>
            <w:pPr>
              <w:ind w:left="440"/>
              <w:spacing w:after="0"/>
              <w:rPr>
                <w:sz w:val="20"/>
                <w:szCs w:val="20"/>
                <w:color w:val="auto"/>
              </w:rPr>
            </w:pPr>
            <w:r>
              <w:rPr>
                <w:rFonts w:ascii="Courier New" w:cs="Courier New" w:eastAsia="Courier New" w:hAnsi="Courier New"/>
                <w:sz w:val="18"/>
                <w:szCs w:val="18"/>
                <w:color w:val="auto"/>
              </w:rPr>
              <w:t>Net cash used in financing activities</w:t>
            </w: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from continuing operations</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(7,048)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w:t>
            </w: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(4,161)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(1,852)</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restructuring of TWE</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2,100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sales of investments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1,871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1,263</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sales of Liberty Notes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4,000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discontinued</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operations and assets</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held for sale</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1,875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net</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(446)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w:t>
            </w:r>
          </w:p>
        </w:tc>
      </w:tr>
      <w:tr>
        <w:trPr>
          <w:trHeight w:val="405"/>
        </w:trPr>
        <w:tc>
          <w:tcPr>
            <w:tcW w:w="4700" w:type="dxa"/>
            <w:vAlign w:val="bottom"/>
          </w:tcPr>
          <w:p>
            <w:pPr>
              <w:ind w:left="440"/>
              <w:spacing w:after="0"/>
              <w:rPr>
                <w:sz w:val="20"/>
                <w:szCs w:val="20"/>
                <w:color w:val="auto"/>
              </w:rPr>
            </w:pPr>
            <w:r>
              <w:rPr>
                <w:rFonts w:ascii="Courier New" w:cs="Courier New" w:eastAsia="Courier New" w:hAnsi="Courier New"/>
                <w:sz w:val="18"/>
                <w:szCs w:val="18"/>
                <w:color w:val="auto"/>
              </w:rPr>
              <w:t>Net cash provided by (used in)</w:t>
            </w: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investing activities from</w:t>
            </w:r>
          </w:p>
        </w:tc>
        <w:tc>
          <w:tcPr>
            <w:tcW w:w="17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5,239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(1,125)</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INCREASE IN CASH AND CASH EQUIVALENTS</w:t>
            </w:r>
          </w:p>
        </w:tc>
        <w:tc>
          <w:tcPr>
            <w:tcW w:w="178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1,045</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291</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w:t>
            </w: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period</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505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CASH AND CASH EQUIVALENTS, end of</w:t>
            </w:r>
          </w:p>
        </w:tc>
        <w:tc>
          <w:tcPr>
            <w:tcW w:w="17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period</w:t>
            </w:r>
          </w:p>
        </w:tc>
        <w:tc>
          <w:tcPr>
            <w:tcW w:w="17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$1,550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4</w:t>
      </w:r>
    </w:p>
    <w:p>
      <w:pPr>
        <w:jc w:val="center"/>
        <w:ind w:right="1979"/>
        <w:spacing w:after="0"/>
        <w:rPr>
          <w:sz w:val="20"/>
          <w:szCs w:val="20"/>
          <w:color w:val="auto"/>
        </w:rPr>
      </w:pPr>
      <w:r>
        <w:rPr>
          <w:rFonts w:ascii="Courier New" w:cs="Courier New" w:eastAsia="Courier New" w:hAnsi="Courier New"/>
          <w:sz w:val="18"/>
          <w:szCs w:val="18"/>
          <w:color w:val="auto"/>
        </w:rPr>
        <w:t>Pro Forma Financial Data by Business Segment (Unaudited) (1)</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Corporate</w:t>
            </w:r>
          </w:p>
        </w:tc>
        <w:tc>
          <w:tcPr>
            <w:tcW w:w="10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and</w:t>
            </w:r>
          </w:p>
        </w:tc>
      </w:tr>
      <w:tr>
        <w:trPr>
          <w:trHeight w:val="203"/>
        </w:trPr>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00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Cable(2)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Content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Months Ended December 31, 2003</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$4,742</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Cash Flow</w:t>
            </w:r>
          </w:p>
        </w:tc>
        <w:tc>
          <w:tcPr>
            <w:tcW w:w="20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$1,720</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$742</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Cash Flow</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Margin</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23.1%</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NM</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$1,068</w:t>
            </w:r>
          </w:p>
        </w:tc>
      </w:tr>
      <w:tr>
        <w:trPr>
          <w:trHeight w:val="405"/>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Three Months Ended December 31, 2002</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$4,149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$4,357</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Cash Flow</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$1,052</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Cash Flow</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Margin (4)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NM</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$1,465</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Twelve Months Ended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December 31, 2003</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$17,491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$18,347</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Cash Flow</w:t>
            </w:r>
          </w:p>
        </w:tc>
        <w:tc>
          <w:tcPr>
            <w:tcW w:w="20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$6,392</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$2,127</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$82  ($255)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$1,954</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Cash Flow</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Margin</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NM</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$4,161</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Twelve Months Ended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December 31, 2002</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0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$16,037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$16,767</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Cash Flow</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$4,469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$4,503</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 (Loss) (5)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($16,468)</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  ($256)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($16,679)</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Cash Flow</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Margin (4)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NM</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Expenditures (6)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$5,240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$5,278</w:t>
            </w:r>
          </w:p>
        </w:tc>
      </w:tr>
    </w:tbl>
    <w:p>
      <w:pPr>
        <w:spacing w:after="0" w:line="200" w:lineRule="exact"/>
        <w:rPr>
          <w:sz w:val="20"/>
          <w:szCs w:val="20"/>
          <w:color w:val="auto"/>
        </w:rPr>
      </w:pPr>
    </w:p>
    <w:p>
      <w:pPr>
        <w:spacing w:after="0" w:line="209" w:lineRule="exact"/>
        <w:rPr>
          <w:sz w:val="20"/>
          <w:szCs w:val="20"/>
          <w:color w:val="auto"/>
        </w:rPr>
      </w:pPr>
    </w:p>
    <w:p>
      <w:pPr>
        <w:ind w:left="440" w:right="2199" w:hanging="431"/>
        <w:spacing w:after="0" w:line="279" w:lineRule="auto"/>
        <w:tabs>
          <w:tab w:leader="none" w:pos="4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Non-GAAP and Other Financial Measures in Table 7. Historical financial data by business segment, as required under generally accepted accounting principles, is available in the Company's annual</w:t>
      </w:r>
    </w:p>
    <w:p>
      <w:pPr>
        <w:sectPr>
          <w:pgSz w:w="11900" w:h="16838" w:orient="portrait"/>
          <w:cols w:equalWidth="0" w:num="1">
            <w:col w:w="9799"/>
          </w:cols>
          <w:pgMar w:left="660" w:top="136" w:right="1440" w:bottom="0" w:gutter="0" w:footer="0" w:header="0"/>
        </w:sectPr>
      </w:pPr>
    </w:p>
    <w:bookmarkStart w:id="8" w:name="page9"/>
    <w:bookmarkEnd w:id="8"/>
    <w:p>
      <w:pPr>
        <w:ind w:left="440"/>
        <w:spacing w:after="0"/>
        <w:rPr>
          <w:sz w:val="20"/>
          <w:szCs w:val="20"/>
          <w:color w:val="auto"/>
        </w:rPr>
      </w:pPr>
      <w:r>
        <w:rPr>
          <w:rFonts w:ascii="Courier New" w:cs="Courier New" w:eastAsia="Courier New" w:hAnsi="Courier New"/>
          <w:sz w:val="18"/>
          <w:szCs w:val="18"/>
          <w:color w:val="auto"/>
        </w:rPr>
        <w:t>report on Form 10-K.</w:t>
      </w:r>
    </w:p>
    <w:p>
      <w:pPr>
        <w:spacing w:after="0" w:line="207" w:lineRule="exact"/>
        <w:rPr>
          <w:sz w:val="20"/>
          <w:szCs w:val="20"/>
          <w:color w:val="auto"/>
        </w:rPr>
      </w:pPr>
    </w:p>
    <w:p>
      <w:pPr>
        <w:ind w:left="440" w:right="1999" w:hanging="431"/>
        <w:spacing w:after="0" w:line="237" w:lineRule="auto"/>
        <w:tabs>
          <w:tab w:leader="none" w:pos="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includes the results of AT&amp;T Broadband acquired in November 2002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w:t>
      </w:r>
    </w:p>
    <w:p>
      <w:pPr>
        <w:spacing w:after="0" w:line="209" w:lineRule="exact"/>
        <w:rPr>
          <w:rFonts w:ascii="Courier New" w:cs="Courier New" w:eastAsia="Courier New" w:hAnsi="Courier New"/>
          <w:sz w:val="18"/>
          <w:szCs w:val="18"/>
          <w:color w:val="auto"/>
        </w:rPr>
      </w:pPr>
    </w:p>
    <w:p>
      <w:pPr>
        <w:ind w:left="440" w:right="2739" w:hanging="431"/>
        <w:spacing w:after="0" w:line="236" w:lineRule="auto"/>
        <w:tabs>
          <w:tab w:leader="none" w:pos="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and Other includes the Company's domestic wireline telecommunications business, international wireless operations, Corporate and elimination entries.</w:t>
      </w:r>
    </w:p>
    <w:p>
      <w:pPr>
        <w:spacing w:after="0" w:line="208" w:lineRule="exact"/>
        <w:rPr>
          <w:rFonts w:ascii="Courier New" w:cs="Courier New" w:eastAsia="Courier New" w:hAnsi="Courier New"/>
          <w:sz w:val="18"/>
          <w:szCs w:val="18"/>
          <w:color w:val="auto"/>
        </w:rPr>
      </w:pPr>
    </w:p>
    <w:p>
      <w:pPr>
        <w:ind w:left="440" w:right="2099" w:hanging="431"/>
        <w:spacing w:after="0" w:line="237" w:lineRule="auto"/>
        <w:tabs>
          <w:tab w:leader="none" w:pos="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Included for the three months ended December 31, 2002 are acquisition and employee termination related costs of $130 million incurred by AT&amp;T prior to the acquisition of AT&amp;T Broadband by Comcast and $7 to $10 million of acquisition related costs incurred by Comcast in connection with the AT&amp;T Broadband acquisition. Included for the year ended December 31, 2002 are acquisition and employee termination related costs of $425 million incurred by AT&amp;T prior to the acquisition of AT&amp;T Broadband by Comcast and $15 to $20 million of acquisition related costs incurred by Comcast in connection with the AT&amp;T Broadband acquisition.</w:t>
      </w:r>
    </w:p>
    <w:p>
      <w:pPr>
        <w:spacing w:after="0" w:line="214" w:lineRule="exact"/>
        <w:rPr>
          <w:rFonts w:ascii="Courier New" w:cs="Courier New" w:eastAsia="Courier New" w:hAnsi="Courier New"/>
          <w:sz w:val="18"/>
          <w:szCs w:val="18"/>
          <w:color w:val="auto"/>
        </w:rPr>
      </w:pPr>
    </w:p>
    <w:p>
      <w:pPr>
        <w:ind w:left="440" w:right="2199" w:hanging="431"/>
        <w:spacing w:after="0" w:line="236" w:lineRule="auto"/>
        <w:tabs>
          <w:tab w:leader="none" w:pos="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$16.525 billion impairment charge related to the write down of goodwill and cable franchise rights by AT&amp;T prior to the acquisition of AT&amp;T Broadband by Comcast.</w:t>
      </w:r>
    </w:p>
    <w:p>
      <w:pPr>
        <w:spacing w:after="0" w:line="208" w:lineRule="exact"/>
        <w:rPr>
          <w:rFonts w:ascii="Courier New" w:cs="Courier New" w:eastAsia="Courier New" w:hAnsi="Courier New"/>
          <w:sz w:val="18"/>
          <w:szCs w:val="18"/>
          <w:color w:val="auto"/>
        </w:rPr>
      </w:pPr>
    </w:p>
    <w:p>
      <w:pPr>
        <w:ind w:left="440" w:right="1999" w:hanging="431"/>
        <w:spacing w:after="0" w:line="235" w:lineRule="auto"/>
        <w:tabs>
          <w:tab w:leader="none" w:pos="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acquired systems, includes capital expenditures made since January 1, 2002.</w:t>
      </w:r>
    </w:p>
    <w:p>
      <w:pPr>
        <w:spacing w:after="0" w:line="208" w:lineRule="exact"/>
        <w:rPr>
          <w:rFonts w:ascii="Courier New" w:cs="Courier New" w:eastAsia="Courier New" w:hAnsi="Courier New"/>
          <w:sz w:val="18"/>
          <w:szCs w:val="18"/>
          <w:color w:val="auto"/>
        </w:rPr>
      </w:pPr>
    </w:p>
    <w:p>
      <w:pPr>
        <w:ind w:left="440" w:right="2939" w:hanging="431"/>
        <w:spacing w:after="0" w:line="235" w:lineRule="auto"/>
        <w:tabs>
          <w:tab w:leader="none" w:pos="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Cable segment's capital expenditures are comprised of the following categories: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YTD</w:t>
            </w:r>
          </w:p>
        </w:tc>
      </w:tr>
      <w:tr>
        <w:trPr>
          <w:trHeight w:val="203"/>
        </w:trPr>
        <w:tc>
          <w:tcPr>
            <w:tcW w:w="37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4Q03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12/31/03</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Premise Equipment (CPE)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$1,573</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Scalable Infrastructure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Line Extensions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Upgrades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1,414</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Support Capital</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509</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$4,097</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CPE includes costs incurred at the customer residence to secure new customers, revenue units and 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Upgrades include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pacing w:after="0" w:line="38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5</w:t>
      </w:r>
    </w:p>
    <w:p>
      <w:pPr>
        <w:jc w:val="center"/>
        <w:ind w:right="2099"/>
        <w:spacing w:after="0"/>
        <w:rPr>
          <w:sz w:val="20"/>
          <w:szCs w:val="20"/>
          <w:color w:val="auto"/>
        </w:rPr>
      </w:pPr>
      <w:r>
        <w:rPr>
          <w:rFonts w:ascii="Courier New" w:cs="Courier New" w:eastAsia="Courier New" w:hAnsi="Courier New"/>
          <w:sz w:val="18"/>
          <w:szCs w:val="18"/>
          <w:color w:val="auto"/>
        </w:rPr>
        <w:t>Pro Forma Data - Cable Segment Components (Unaudited) (1) (2)</w:t>
      </w:r>
    </w:p>
    <w:p>
      <w:pPr>
        <w:jc w:val="center"/>
        <w:ind w:right="2099"/>
        <w:spacing w:after="0" w:line="237" w:lineRule="auto"/>
        <w:rPr>
          <w:sz w:val="20"/>
          <w:szCs w:val="20"/>
          <w:color w:val="auto"/>
        </w:rPr>
      </w:pPr>
      <w:r>
        <w:rPr>
          <w:rFonts w:ascii="Courier New" w:cs="Courier New" w:eastAsia="Courier New" w:hAnsi="Courier New"/>
          <w:sz w:val="18"/>
          <w:szCs w:val="18"/>
          <w:color w:val="auto"/>
        </w:rPr>
        <w:t>(dollars in millions, except average revenue per basic subscriber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16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Historical</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16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Systems (3)</w:t>
            </w:r>
          </w:p>
        </w:tc>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Systems(3)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640" w:type="dxa"/>
            <w:vAlign w:val="bottom"/>
          </w:tcPr>
          <w:p>
            <w:pPr>
              <w:spacing w:after="0"/>
              <w:rPr>
                <w:sz w:val="17"/>
                <w:szCs w:val="17"/>
                <w:color w:val="auto"/>
              </w:rPr>
            </w:pPr>
          </w:p>
        </w:tc>
      </w:tr>
      <w:tr>
        <w:trPr>
          <w:trHeight w:val="203"/>
        </w:trPr>
        <w:tc>
          <w:tcPr>
            <w:tcW w:w="21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2002</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2003</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December 31</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Video (4)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$1,687</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$3,058</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$2,880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High-Speed Internet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218</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Advertising</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194</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Franchise Fees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$2,731</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$2,549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$4,507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$4,149</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Total</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Revenue per Basic</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$69.33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$62.64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$70.59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$66.50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$70.09</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$64.87</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Video</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Revenue per Basic</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ectPr>
          <w:pgSz w:w="11900" w:h="16838" w:orient="portrait"/>
          <w:cols w:equalWidth="0" w:num="1">
            <w:col w:w="9799"/>
          </w:cols>
          <w:pgMar w:left="660" w:top="136" w:right="1440"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Subscriber</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$49.37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$46.71</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$46.35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$44.00</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$47.55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$45.08</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Operating Cash Flow</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w:t>
            </w:r>
          </w:p>
        </w:tc>
        <w:tc>
          <w:tcPr>
            <w:tcW w:w="1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$1,048</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w:t>
            </w:r>
          </w:p>
        </w:tc>
        <w:tc>
          <w:tcPr>
            <w:tcW w:w="1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Margin</w:t>
            </w:r>
          </w:p>
        </w:tc>
        <w:tc>
          <w:tcPr>
            <w:tcW w:w="13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86"/>
              </w:rPr>
              <w:t>(6)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25.3%</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Capital Expenditures</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w:t>
            </w:r>
          </w:p>
        </w:tc>
        <w:tc>
          <w:tcPr>
            <w:tcW w:w="1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$742</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$1,451</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(Deficit), Net of</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Capital</w:t>
            </w: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w:t>
            </w:r>
          </w:p>
        </w:tc>
      </w:tr>
      <w:tr>
        <w:trPr>
          <w:trHeight w:val="608"/>
        </w:trPr>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Historical</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Systems (3)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Acquired</w:t>
            </w:r>
          </w:p>
        </w:tc>
        <w:tc>
          <w:tcPr>
            <w:tcW w:w="17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Systems(3)</w:t>
            </w: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Total</w:t>
            </w:r>
          </w:p>
        </w:tc>
      </w:tr>
      <w:tr>
        <w:trPr>
          <w:trHeight w:val="203"/>
        </w:trPr>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Twelve Months Ended</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December 31</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Video (4)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$4,708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$7,095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$6,752</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$12,096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$11,460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High-Speed Internet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1,486</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1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818</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Advertising</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1,036</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667</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Franchise Fees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Revenues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$6,855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$6,158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$10,636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$9,879</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$17,491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$16,037</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Total</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Revenue per Basic</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$69.05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$63.63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$68.18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$62.16</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Average Video</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Revenue per Basic</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$48.79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$46.07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$43.47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$47.15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$44.54</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Programming Expenses</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$3,909</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$3,822</w:t>
            </w: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Operating Cash Flow</w:t>
            </w: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w:t>
            </w:r>
          </w:p>
        </w:tc>
        <w:tc>
          <w:tcPr>
            <w:tcW w:w="1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$2,542</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$3,437</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$1,927</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$4,469</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(Loss) (7)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($17,596)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($16,468)</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Margin</w:t>
            </w:r>
          </w:p>
        </w:tc>
        <w:tc>
          <w:tcPr>
            <w:tcW w:w="13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86"/>
              </w:rPr>
              <w:t>(6)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Capital Expenditures</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w:t>
            </w:r>
          </w:p>
        </w:tc>
        <w:tc>
          <w:tcPr>
            <w:tcW w:w="130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$1,319</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$2,778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$3,923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$5,240</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(Deficit), Net of</w:t>
            </w: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Capital</w:t>
            </w: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Expenditures</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0" w:hanging="431"/>
        <w:spacing w:after="0"/>
        <w:tabs>
          <w:tab w:leader="none" w:pos="4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7.</w:t>
      </w:r>
    </w:p>
    <w:p>
      <w:pPr>
        <w:spacing w:after="0" w:line="206" w:lineRule="exact"/>
        <w:rPr>
          <w:rFonts w:ascii="Courier New" w:cs="Courier New" w:eastAsia="Courier New" w:hAnsi="Courier New"/>
          <w:sz w:val="18"/>
          <w:szCs w:val="18"/>
          <w:color w:val="auto"/>
        </w:rPr>
      </w:pPr>
    </w:p>
    <w:p>
      <w:pPr>
        <w:ind w:left="440" w:right="1999" w:hanging="431"/>
        <w:spacing w:after="0" w:line="237" w:lineRule="auto"/>
        <w:tabs>
          <w:tab w:leader="none" w:pos="4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includes the results of AT&amp;T Broadband acquired in November 2002 (acquired systems). Pro forma financial data excludes the results of the 314,000 cable subscribers sold to Bresnan Communications in March 2003 and excludes the results of the net reduction of 16,000 subscribers associated with the cable systems exchange with Insight Communications in February 2003.</w:t>
      </w:r>
    </w:p>
    <w:p>
      <w:pPr>
        <w:spacing w:after="0" w:line="209" w:lineRule="exact"/>
        <w:rPr>
          <w:rFonts w:ascii="Courier New" w:cs="Courier New" w:eastAsia="Courier New" w:hAnsi="Courier New"/>
          <w:sz w:val="18"/>
          <w:szCs w:val="18"/>
          <w:color w:val="auto"/>
        </w:rPr>
      </w:pPr>
    </w:p>
    <w:p>
      <w:pPr>
        <w:ind w:left="440" w:right="2319" w:hanging="431"/>
        <w:spacing w:after="0" w:line="279" w:lineRule="auto"/>
        <w:tabs>
          <w:tab w:leader="none" w:pos="4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systems represent those cable businesses operated by the Company prior to the acquisition of AT&amp;T Broadband. The acquired systems represent those cable businesses acquired from AT&amp;T.</w:t>
      </w:r>
    </w:p>
    <w:p>
      <w:pPr>
        <w:spacing w:after="0" w:line="178" w:lineRule="exact"/>
        <w:rPr>
          <w:rFonts w:ascii="Courier New" w:cs="Courier New" w:eastAsia="Courier New" w:hAnsi="Courier New"/>
          <w:sz w:val="16"/>
          <w:szCs w:val="16"/>
          <w:color w:val="auto"/>
        </w:rPr>
      </w:pPr>
    </w:p>
    <w:p>
      <w:pPr>
        <w:ind w:left="440" w:right="1999" w:hanging="431"/>
        <w:spacing w:after="0" w:line="235" w:lineRule="auto"/>
        <w:tabs>
          <w:tab w:leader="none" w:pos="4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Video revenues consist of our basic, expanded basic, premium, pay-per-view, equipment and digital services.</w:t>
      </w:r>
    </w:p>
    <w:p>
      <w:pPr>
        <w:spacing w:after="0" w:line="208" w:lineRule="exact"/>
        <w:rPr>
          <w:rFonts w:ascii="Courier New" w:cs="Courier New" w:eastAsia="Courier New" w:hAnsi="Courier New"/>
          <w:sz w:val="18"/>
          <w:szCs w:val="18"/>
          <w:color w:val="auto"/>
        </w:rPr>
      </w:pPr>
    </w:p>
    <w:p>
      <w:pPr>
        <w:ind w:left="440" w:right="2199" w:hanging="431"/>
        <w:spacing w:after="0" w:line="237" w:lineRule="auto"/>
        <w:tabs>
          <w:tab w:leader="none" w:pos="4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revenues include installation revenues, guide revenues, commissions from electronic retailing, other product offerings and revenues of our digital media center and regional sports programming networks.</w:t>
      </w:r>
    </w:p>
    <w:p>
      <w:pPr>
        <w:spacing w:after="0" w:line="207" w:lineRule="exact"/>
        <w:rPr>
          <w:rFonts w:ascii="Courier New" w:cs="Courier New" w:eastAsia="Courier New" w:hAnsi="Courier New"/>
          <w:sz w:val="18"/>
          <w:szCs w:val="18"/>
          <w:color w:val="auto"/>
        </w:rPr>
      </w:pPr>
    </w:p>
    <w:p>
      <w:pPr>
        <w:ind w:left="440" w:right="2099" w:hanging="431"/>
        <w:spacing w:after="0" w:line="271" w:lineRule="auto"/>
        <w:tabs>
          <w:tab w:leader="none" w:pos="4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for the three months ended December 31, 2002 are acquisition and employee termination related costs of $130 million incurred by AT&amp;T prior to the acquisition of AT&amp;T Broadband by Comcast and $7 to $10 million of acquisition related costs incurred by Comcast in connection with the AT&amp;T Broadband acquisition. Included for the year ended December 31, 2002 are acquisition and employee termination related costs of $425 million incurred by AT&amp;T prior to the</w:t>
      </w:r>
    </w:p>
    <w:p>
      <w:pPr>
        <w:sectPr>
          <w:pgSz w:w="11900" w:h="16838" w:orient="portrait"/>
          <w:cols w:equalWidth="0" w:num="1">
            <w:col w:w="9799"/>
          </w:cols>
          <w:pgMar w:left="660" w:top="136" w:right="1440" w:bottom="0" w:gutter="0" w:footer="0" w:header="0"/>
        </w:sectPr>
      </w:pPr>
    </w:p>
    <w:bookmarkStart w:id="10" w:name="page11"/>
    <w:bookmarkEnd w:id="10"/>
    <w:p>
      <w:pPr>
        <w:ind w:left="440" w:right="2199"/>
        <w:spacing w:after="0" w:line="236" w:lineRule="auto"/>
        <w:rPr>
          <w:sz w:val="20"/>
          <w:szCs w:val="20"/>
          <w:color w:val="auto"/>
        </w:rPr>
      </w:pPr>
      <w:r>
        <w:rPr>
          <w:rFonts w:ascii="Courier New" w:cs="Courier New" w:eastAsia="Courier New" w:hAnsi="Courier New"/>
          <w:sz w:val="18"/>
          <w:szCs w:val="18"/>
          <w:color w:val="auto"/>
        </w:rPr>
        <w:t>acquisition of AT&amp;T Broadband by Comcast and $15 to $20 million of acquisition related costs incurred by Comcast in connection with the AT&amp;T Broadband acquisition.</w:t>
      </w:r>
    </w:p>
    <w:p>
      <w:pPr>
        <w:spacing w:after="0" w:line="209" w:lineRule="exact"/>
        <w:rPr>
          <w:sz w:val="20"/>
          <w:szCs w:val="20"/>
          <w:color w:val="auto"/>
        </w:rPr>
      </w:pPr>
    </w:p>
    <w:p>
      <w:pPr>
        <w:ind w:left="440" w:right="2199" w:hanging="431"/>
        <w:spacing w:after="0" w:line="236" w:lineRule="auto"/>
        <w:tabs>
          <w:tab w:leader="none" w:pos="4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$16.525 billion impairment charge related to the write down of goodwill and cable franchise rights by AT&amp;T prior to the acquisition of AT&amp;T Broadband by Comcast.</w:t>
      </w:r>
    </w:p>
    <w:p>
      <w:pPr>
        <w:spacing w:after="0" w:line="208" w:lineRule="exact"/>
        <w:rPr>
          <w:rFonts w:ascii="Courier New" w:cs="Courier New" w:eastAsia="Courier New" w:hAnsi="Courier New"/>
          <w:sz w:val="18"/>
          <w:szCs w:val="18"/>
          <w:color w:val="auto"/>
        </w:rPr>
      </w:pPr>
    </w:p>
    <w:p>
      <w:pPr>
        <w:ind w:left="440" w:right="3479" w:hanging="431"/>
        <w:spacing w:after="0" w:line="235" w:lineRule="auto"/>
        <w:tabs>
          <w:tab w:leader="none" w:pos="4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acquired systems, includes capital expenditures made since January 1, 2002.</w:t>
      </w:r>
    </w:p>
    <w:p>
      <w:pPr>
        <w:spacing w:after="0" w:line="200" w:lineRule="exact"/>
        <w:rPr>
          <w:sz w:val="20"/>
          <w:szCs w:val="20"/>
          <w:color w:val="auto"/>
        </w:rPr>
      </w:pPr>
    </w:p>
    <w:p>
      <w:pPr>
        <w:spacing w:after="0" w:line="20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COMCAST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TABLE 6</w:t>
      </w:r>
    </w:p>
    <w:p>
      <w:pPr>
        <w:jc w:val="center"/>
        <w:ind w:right="2099"/>
        <w:spacing w:after="0"/>
        <w:tabs>
          <w:tab w:leader="none" w:pos="180" w:val="left"/>
        </w:tabs>
        <w:rPr>
          <w:sz w:val="20"/>
          <w:szCs w:val="20"/>
          <w:color w:val="auto"/>
        </w:rPr>
      </w:pPr>
      <w:r>
        <w:rPr>
          <w:rFonts w:ascii="Courier New" w:cs="Courier New" w:eastAsia="Courier New" w:hAnsi="Courier New"/>
          <w:sz w:val="18"/>
          <w:szCs w:val="18"/>
          <w:color w:val="auto"/>
        </w:rPr>
        <w:t>Pro Forma Data - Cable Segment (Unaudited)</w:t>
      </w:r>
      <w:r>
        <w:rPr>
          <w:sz w:val="20"/>
          <w:szCs w:val="20"/>
          <w:color w:val="auto"/>
        </w:rPr>
        <w:tab/>
      </w:r>
      <w:r>
        <w:rPr>
          <w:rFonts w:ascii="Courier New" w:cs="Courier New" w:eastAsia="Courier New" w:hAnsi="Courier New"/>
          <w:sz w:val="16"/>
          <w:szCs w:val="16"/>
          <w:color w:val="auto"/>
        </w:rPr>
        <w:t>(1) (2)</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7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Historical Systems (3)</w:t>
            </w:r>
          </w:p>
        </w:tc>
      </w:tr>
      <w:tr>
        <w:trPr>
          <w:trHeight w:val="405"/>
        </w:trPr>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4Q03</w:t>
            </w: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3Q03</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4Q02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w:t>
            </w:r>
          </w:p>
        </w:tc>
        <w:tc>
          <w:tcPr>
            <w:tcW w:w="3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14,500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14,400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14,200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8,568.8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8,514.6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8,545.4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58.9%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60.2%</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40.6</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Digital Cable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"Digital Ready" 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8,568.8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8,514.6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8,545.4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2,679.5</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2,550.2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2,246.3</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132.6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132.8</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$15.25</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High-Speed Internet</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13,905.6</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13,631.1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12,611.3</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2,226.2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2,072.0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1,526.0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154.2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190.2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187.2</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$40.58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$41.22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$40.78</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462.4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453.7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273.8</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38.9</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$50.13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$51.19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$55.61</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Total Revenue Generating Units</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13,513.4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13,176.2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12,357.2</w:t>
            </w:r>
          </w:p>
        </w:tc>
      </w:tr>
      <w:tr>
        <w:trPr>
          <w:trHeight w:val="608"/>
        </w:trPr>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7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Acquired Systems (3)</w:t>
            </w:r>
          </w:p>
        </w:tc>
      </w:tr>
      <w:tr>
        <w:trPr>
          <w:trHeight w:val="405"/>
        </w:trPr>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4Q03</w:t>
            </w: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3Q03</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4Q02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w:t>
            </w:r>
          </w:p>
        </w:tc>
        <w:tc>
          <w:tcPr>
            <w:tcW w:w="3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25,300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25,300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12,899.2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12,883.4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12,782.0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(49.9)</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Digital Cable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"Digital Ready" 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12,899.2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12,883.4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12,782.0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4,977.3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4,723.2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4,377.9</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38.6%</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34.3%</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254.1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185.7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254.3</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$15.25</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$15.10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$14.21</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High-Speed Internet</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20,825.5</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19,803.7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17,460.5</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3,057.7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2,789.0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2,094.4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bl>
    <w:p>
      <w:pPr>
        <w:sectPr>
          <w:pgSz w:w="11900" w:h="16838" w:orient="portrait"/>
          <w:cols w:equalWidth="0" w:num="1">
            <w:col w:w="9799"/>
          </w:cols>
          <w:pgMar w:left="660" w:top="142"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179.8</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$41.88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$43.02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$43.09</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8,951.9</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8,928.7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8,438.4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1,228.0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1,272.4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1,398.9</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(44.4)</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$47.04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$46.87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$53.33</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Total Revenue Generating Units</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22,162.2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21,668.0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20,653.2</w:t>
            </w:r>
          </w:p>
        </w:tc>
      </w:tr>
      <w:tr>
        <w:trPr>
          <w:trHeight w:val="608"/>
        </w:trPr>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Total</w:t>
            </w:r>
          </w:p>
        </w:tc>
        <w:tc>
          <w:tcPr>
            <w:tcW w:w="110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4Q03</w:t>
            </w:r>
          </w:p>
        </w:tc>
        <w:tc>
          <w:tcPr>
            <w:tcW w:w="12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3Q03</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4Q02</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w:t>
            </w:r>
          </w:p>
        </w:tc>
        <w:tc>
          <w:tcPr>
            <w:tcW w:w="3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Homes Passed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39,800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39,700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39,200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21,468.0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21,398.0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21,327.4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53.9%</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Digital Cable</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"Digital Ready" 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21,468.0</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21,398.0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21,327.4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7,656.8</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7,273.4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6,624.2</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35.7%</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383.4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318.3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387.1</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$15.25</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$14.48</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High-Speed Internet</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34,731.1</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33,434.8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30,071.8</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5,283.9</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4,861.0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3,620.4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15.2%</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422.9</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472.7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367.0</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$41.33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$42.25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$42.13</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Phone</w:t>
            </w:r>
          </w:p>
        </w:tc>
        <w:tc>
          <w:tcPr>
            <w:tcW w:w="3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"Available" Homes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9,414.3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9,382.4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8,712.2</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Subscribers (000's)</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1,266.9</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1,311.8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1,438.4</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Penetration</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13.5%</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Quarterly Net Subscriber Additions</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(44.9)</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76.8</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Monthly Average Revenue per</w:t>
            </w:r>
          </w:p>
        </w:tc>
        <w:tc>
          <w:tcPr>
            <w:tcW w:w="1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Subscriber</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$47.13</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$46.99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$53.40</w:t>
            </w:r>
          </w:p>
        </w:tc>
      </w:tr>
      <w:tr>
        <w:trPr>
          <w:trHeight w:val="405"/>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Total Revenue Generating Units</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(000's)</w:t>
            </w:r>
          </w:p>
        </w:tc>
        <w:tc>
          <w:tcPr>
            <w:tcW w:w="30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35,675.6</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34,844.2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33,010.4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Non-GAAP and Other Financial Measures in Table 7.</w:t>
      </w:r>
    </w:p>
    <w:p>
      <w:pPr>
        <w:spacing w:after="0" w:line="206" w:lineRule="exact"/>
        <w:rPr>
          <w:rFonts w:ascii="Courier New" w:cs="Courier New" w:eastAsia="Courier New" w:hAnsi="Courier New"/>
          <w:sz w:val="18"/>
          <w:szCs w:val="18"/>
          <w:color w:val="auto"/>
        </w:rPr>
      </w:pPr>
    </w:p>
    <w:p>
      <w:pPr>
        <w:ind w:left="540" w:right="2099" w:hanging="531"/>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data includes the results of AT&amp;T Broadband acquired in November 2002 (acquired systems). Pro forma financial data excludes the results of the 314,000 cable subscribers sold to Bresnan Communications in March 2003 and excludes the results of the net reduction of 16,000 subscribers associated with the cable system exchange with Insight Communications in February 2003. Pro forma subscriber data includes 6,100 subscribers acquired from Telemedia, Inc. in June 2003, 16,600 subscribers acquired from ATM in July 2003 and 16,000 subscribers acquired from Millennium Inc. in September 2003.</w:t>
      </w:r>
    </w:p>
    <w:p>
      <w:pPr>
        <w:spacing w:after="0" w:line="209" w:lineRule="exact"/>
        <w:rPr>
          <w:rFonts w:ascii="Courier New" w:cs="Courier New" w:eastAsia="Courier New" w:hAnsi="Courier New"/>
          <w:sz w:val="18"/>
          <w:szCs w:val="18"/>
          <w:color w:val="auto"/>
        </w:rPr>
      </w:pPr>
    </w:p>
    <w:p>
      <w:pPr>
        <w:ind w:left="540" w:hanging="53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systems represent those cable businesses operated by</w:t>
      </w:r>
    </w:p>
    <w:p>
      <w:pPr>
        <w:spacing w:after="0" w:line="4" w:lineRule="exact"/>
        <w:rPr>
          <w:rFonts w:ascii="Courier New" w:cs="Courier New" w:eastAsia="Courier New" w:hAnsi="Courier New"/>
          <w:sz w:val="18"/>
          <w:szCs w:val="18"/>
          <w:color w:val="auto"/>
        </w:rPr>
      </w:pPr>
    </w:p>
    <w:p>
      <w:pPr>
        <w:ind w:left="540" w:right="2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prior to the acquisition of AT&amp;T Broadband. The acquired systems represent those cable businesses acquired from AT&amp;T.</w:t>
      </w:r>
    </w:p>
    <w:p>
      <w:pPr>
        <w:spacing w:after="0" w:line="164" w:lineRule="exact"/>
        <w:rPr>
          <w:rFonts w:ascii="Courier New" w:cs="Courier New" w:eastAsia="Courier New" w:hAnsi="Courier New"/>
          <w:sz w:val="18"/>
          <w:szCs w:val="18"/>
          <w:color w:val="auto"/>
        </w:rPr>
      </w:pPr>
    </w:p>
    <w:p>
      <w:pPr>
        <w:ind w:left="540" w:hanging="53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total of all primary analog video, digital video, high-</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speed Internet and phone customers, but excluding additional outlets.</w:t>
      </w:r>
    </w:p>
    <w:p>
      <w:pPr>
        <w:sectPr>
          <w:pgSz w:w="11900" w:h="16838" w:orient="portrait"/>
          <w:cols w:equalWidth="0" w:num="1">
            <w:col w:w="9799"/>
          </w:cols>
          <w:pgMar w:left="660" w:top="136" w:right="1440" w:bottom="149"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TABLE 7</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Non-GAAP and Other Financial Measures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Prior to the first quarter of 2003, we described the performance measure, operating income before depreciation and amortization, as Operating Cash Flow. In the first quarter of 2003, we referred to the same measure as EBITDA (earnings before interest, taxes, depreciation and amortization) in response to new guidance on Non-GAAP measures provided by the SEC in Regulation G and amendments to Item 10 of Regulation S-K. In the second quarter, we reverted back to describing this measure as Operating Cash Flow based on additional guidance provided by the SEC staff. This is only a change in terminology. We have not changed the calculation of this measure.</w:t>
      </w:r>
    </w:p>
    <w:p>
      <w:pPr>
        <w:spacing w:after="0" w:line="11"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Operating Cash Flow is the primary basis used to measure the operational strength and performance of our businesses. Free Cash Flow is an additional performance measure used as an indicator of our ability to service debt and make strategic investments. We use Debt Excluding Exchangeables as a measure of debt that will require cash from future operations or financings. We also adjust certain historical data on a pro forma basis following significant acquisitions or dispositions to enhance comparability.</w:t>
      </w:r>
    </w:p>
    <w:p>
      <w:pPr>
        <w:spacing w:after="0" w:line="1" w:lineRule="exact"/>
        <w:rPr>
          <w:sz w:val="20"/>
          <w:szCs w:val="20"/>
          <w:color w:val="auto"/>
        </w:rPr>
      </w:pPr>
    </w:p>
    <w:p>
      <w:pPr>
        <w:ind w:right="1999" w:firstLine="421"/>
        <w:spacing w:after="0" w:line="270" w:lineRule="auto"/>
        <w:rPr>
          <w:sz w:val="20"/>
          <w:szCs w:val="20"/>
          <w:color w:val="auto"/>
        </w:rPr>
      </w:pPr>
      <w:r>
        <w:rPr>
          <w:rFonts w:ascii="Courier New" w:cs="Courier New" w:eastAsia="Courier New" w:hAnsi="Courier New"/>
          <w:sz w:val="16"/>
          <w:szCs w:val="16"/>
          <w:color w:val="auto"/>
        </w:rPr>
        <w:t>Operating Cash Flow is defined as operating income before depreciation and amortization and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w:t>
      </w:r>
    </w:p>
    <w:p>
      <w:pPr>
        <w:spacing w:after="0" w:line="184"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As Operating Cash Flow is the measure of our segment profit or loss, we reconcile it to operating income, the most directly comparable financial measure calculated and presented in accordance with Generally Accepted Accounting Principles (GAAP), in the business segment footnote of our quarterly and annual financial statements. Therefore, we believe our measure of Operating Cash Flow for our business segments is not a "non-GAAP financial measure" as contemplated by Regulation G adopted by the Securities and Exchange Commission. Consolidated Operating Cash Flow is a non-GAAP financial measure.</w:t>
      </w:r>
    </w:p>
    <w:p>
      <w:pPr>
        <w:spacing w:after="0" w:line="11"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Free Cash Flow, which is a non-GAAP financial measure, is defined as Operating Cash Flow less net interest, cash paid for taxes, and capital expenditures. As such, it is unaffected by fluctuations in working capital levels from period to period. It can also be computed as cash provided by operating activities less capital expenditures adjusted for the change in operating assets and liabilities, net of acquisitions.</w:t>
      </w:r>
    </w:p>
    <w:p>
      <w:pPr>
        <w:spacing w:after="0" w:line="7"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Debt Excluding Exchangeables, which is a non-GAAP financial measure, refers to the aggregate amount of our consolidated debt and capital lease obligations less the amount of notes that are collateralized by securities that we own.</w:t>
      </w:r>
    </w:p>
    <w:p>
      <w:pPr>
        <w:spacing w:after="0" w:line="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Operating Cash Flow and Free Cash Flow should not be considered as substitutes for operating income (loss), net income (loss), net cash provided by operating activities or other measures of performance or liquidity reported in accordance with GAAP. Debt Excluding Exchangeables should not be considered as a substitute for Total Debt. Additionally, in the opinion of management, our pro forma data is not necessarily indicative of future results or what results would have been had the acquired businesses been operated by us after the assumed earlier date.</w:t>
      </w:r>
    </w:p>
    <w:p>
      <w:pPr>
        <w:spacing w:after="0" w:line="10"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Following are quantitative reconciliations of Free Cash Flow, Debt Excluding Exchangeables, Consolidated Operating Cash Flow, and, although not required by Regulation G, reconciliations of business segment Operating Cash Flow and pro forma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339"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50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TABLE 7-A continued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8"/>
              </w:rPr>
              <w:t>Reconciliation of Historical and Pro Forma Data by</w:t>
            </w:r>
          </w:p>
        </w:tc>
        <w:tc>
          <w:tcPr>
            <w:tcW w:w="19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Business Segment</w:t>
            </w:r>
          </w:p>
        </w:tc>
      </w:tr>
      <w:tr>
        <w:trPr>
          <w:trHeight w:val="203"/>
        </w:trPr>
        <w:tc>
          <w:tcPr>
            <w:tcW w:w="5060" w:type="dxa"/>
            <w:vAlign w:val="bottom"/>
            <w:gridSpan w:val="2"/>
          </w:tcPr>
          <w:p>
            <w:pPr>
              <w:ind w:left="3280"/>
              <w:spacing w:after="0" w:line="203" w:lineRule="exact"/>
              <w:rPr>
                <w:sz w:val="20"/>
                <w:szCs w:val="20"/>
                <w:color w:val="auto"/>
              </w:rPr>
            </w:pPr>
            <w:r>
              <w:rPr>
                <w:rFonts w:ascii="Courier New" w:cs="Courier New" w:eastAsia="Courier New" w:hAnsi="Courier New"/>
                <w:sz w:val="18"/>
                <w:szCs w:val="18"/>
                <w:color w:val="auto"/>
              </w:rPr>
              <w:t>(Unaudited)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(dollars in millions)</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08"/>
        </w:trPr>
        <w:tc>
          <w:tcPr>
            <w:tcW w:w="4020" w:type="dxa"/>
            <w:vAlign w:val="bottom"/>
          </w:tcPr>
          <w:p>
            <w:pPr>
              <w:spacing w:after="0"/>
              <w:rPr>
                <w:sz w:val="24"/>
                <w:szCs w:val="24"/>
                <w:color w:val="auto"/>
              </w:rPr>
            </w:pPr>
          </w:p>
        </w:tc>
        <w:tc>
          <w:tcPr>
            <w:tcW w:w="2620" w:type="dxa"/>
            <w:vAlign w:val="bottom"/>
            <w:gridSpan w:val="4"/>
          </w:tcPr>
          <w:p>
            <w:pPr>
              <w:jc w:val="right"/>
              <w:ind w:right="112"/>
              <w:spacing w:after="0"/>
              <w:rPr>
                <w:sz w:val="20"/>
                <w:szCs w:val="20"/>
                <w:color w:val="auto"/>
              </w:rPr>
            </w:pPr>
            <w:r>
              <w:rPr>
                <w:rFonts w:ascii="Courier New" w:cs="Courier New" w:eastAsia="Courier New" w:hAnsi="Courier New"/>
                <w:sz w:val="18"/>
                <w:szCs w:val="18"/>
                <w:color w:val="auto"/>
              </w:rPr>
              <w:t>Historical (1)</w:t>
            </w:r>
          </w:p>
        </w:tc>
        <w:tc>
          <w:tcPr>
            <w:tcW w:w="960" w:type="dxa"/>
            <w:vAlign w:val="bottom"/>
          </w:tcPr>
          <w:p>
            <w:pPr>
              <w:spacing w:after="0"/>
              <w:rPr>
                <w:sz w:val="24"/>
                <w:szCs w:val="24"/>
                <w:color w:val="auto"/>
              </w:rPr>
            </w:pPr>
          </w:p>
        </w:tc>
      </w:tr>
      <w:tr>
        <w:trPr>
          <w:trHeight w:val="405"/>
        </w:trPr>
        <w:tc>
          <w:tcPr>
            <w:tcW w:w="4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gridSpan w:val="3"/>
          </w:tcPr>
          <w:p>
            <w:pPr>
              <w:jc w:val="center"/>
              <w:ind w:right="592"/>
              <w:spacing w:after="0"/>
              <w:rPr>
                <w:sz w:val="20"/>
                <w:szCs w:val="20"/>
                <w:color w:val="auto"/>
              </w:rPr>
            </w:pPr>
            <w:r>
              <w:rPr>
                <w:rFonts w:ascii="Courier New" w:cs="Courier New" w:eastAsia="Courier New" w:hAnsi="Courier New"/>
                <w:sz w:val="18"/>
                <w:szCs w:val="18"/>
                <w:color w:val="auto"/>
                <w:w w:val="98"/>
              </w:rPr>
              <w:t>Corporate</w:t>
            </w:r>
          </w:p>
        </w:tc>
      </w:tr>
      <w:tr>
        <w:trPr>
          <w:trHeight w:val="203"/>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96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 December 31, 2003</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Cable</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Content</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$4,742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2,795</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3,022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$1,720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924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$1,068</w:t>
            </w:r>
          </w:p>
        </w:tc>
      </w:tr>
      <w:tr>
        <w:trPr>
          <w:trHeight w:val="608"/>
        </w:trPr>
        <w:tc>
          <w:tcPr>
            <w:tcW w:w="4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gridSpan w:val="3"/>
          </w:tcPr>
          <w:p>
            <w:pPr>
              <w:jc w:val="center"/>
              <w:ind w:right="592"/>
              <w:spacing w:after="0"/>
              <w:rPr>
                <w:sz w:val="20"/>
                <w:szCs w:val="20"/>
                <w:color w:val="auto"/>
              </w:rPr>
            </w:pPr>
            <w:r>
              <w:rPr>
                <w:rFonts w:ascii="Courier New" w:cs="Courier New" w:eastAsia="Courier New" w:hAnsi="Courier New"/>
                <w:sz w:val="18"/>
                <w:szCs w:val="18"/>
                <w:color w:val="auto"/>
                <w:w w:val="98"/>
              </w:rPr>
              <w:t>Corporate</w:t>
            </w:r>
          </w:p>
        </w:tc>
      </w:tr>
      <w:tr>
        <w:trPr>
          <w:trHeight w:val="203"/>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96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 December 31, 2002</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Cable</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Content</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1,890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2,095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$817</w:t>
            </w:r>
          </w:p>
        </w:tc>
      </w:tr>
      <w:tr>
        <w:trPr>
          <w:trHeight w:val="810"/>
        </w:trPr>
        <w:tc>
          <w:tcPr>
            <w:tcW w:w="4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gridSpan w:val="3"/>
          </w:tcPr>
          <w:p>
            <w:pPr>
              <w:jc w:val="center"/>
              <w:ind w:right="592"/>
              <w:spacing w:after="0"/>
              <w:rPr>
                <w:sz w:val="20"/>
                <w:szCs w:val="20"/>
                <w:color w:val="auto"/>
              </w:rPr>
            </w:pPr>
            <w:r>
              <w:rPr>
                <w:rFonts w:ascii="Courier New" w:cs="Courier New" w:eastAsia="Courier New" w:hAnsi="Courier New"/>
                <w:sz w:val="18"/>
                <w:szCs w:val="18"/>
                <w:color w:val="auto"/>
                <w:w w:val="98"/>
              </w:rPr>
              <w:t>Corporate</w:t>
            </w:r>
          </w:p>
        </w:tc>
      </w:tr>
      <w:tr>
        <w:trPr>
          <w:trHeight w:val="203"/>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and</w:t>
            </w:r>
          </w:p>
        </w:tc>
        <w:tc>
          <w:tcPr>
            <w:tcW w:w="96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Twelve Months Ended December 31, 2003</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Cable</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Content</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$17,492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$885</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$18,348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11,142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11,956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$6,392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4,223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$2,127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($255)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$1,954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$4,097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$4,161</w:t>
            </w:r>
          </w:p>
        </w:tc>
      </w:tr>
      <w:tr>
        <w:trPr>
          <w:trHeight w:val="810"/>
        </w:trPr>
        <w:tc>
          <w:tcPr>
            <w:tcW w:w="4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gridSpan w:val="3"/>
          </w:tcPr>
          <w:p>
            <w:pPr>
              <w:jc w:val="center"/>
              <w:ind w:right="592"/>
              <w:spacing w:after="0"/>
              <w:rPr>
                <w:sz w:val="20"/>
                <w:szCs w:val="20"/>
                <w:color w:val="auto"/>
              </w:rPr>
            </w:pPr>
            <w:r>
              <w:rPr>
                <w:rFonts w:ascii="Courier New" w:cs="Courier New" w:eastAsia="Courier New" w:hAnsi="Courier New"/>
                <w:sz w:val="18"/>
                <w:szCs w:val="18"/>
                <w:color w:val="auto"/>
                <w:w w:val="98"/>
              </w:rPr>
              <w:t>Corporate</w:t>
            </w:r>
          </w:p>
        </w:tc>
      </w:tr>
      <w:tr>
        <w:trPr>
          <w:trHeight w:val="203"/>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96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Twelve Months Ended December 31, 2002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Cable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Content</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Other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$767</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4,552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5,266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($154)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1,670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Impairment charge</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c>
          <w:tcPr>
            <w:tcW w:w="2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($252)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$1,814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26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$1,852</w:t>
            </w:r>
          </w:p>
        </w:tc>
      </w:tr>
      <w:tr>
        <w:trPr>
          <w:trHeight w:val="608"/>
        </w:trPr>
        <w:tc>
          <w:tcPr>
            <w:tcW w:w="4020" w:type="dxa"/>
            <w:vAlign w:val="bottom"/>
          </w:tcPr>
          <w:p>
            <w:pPr>
              <w:spacing w:after="0"/>
              <w:rPr>
                <w:sz w:val="24"/>
                <w:szCs w:val="24"/>
                <w:color w:val="auto"/>
              </w:rPr>
            </w:pPr>
          </w:p>
        </w:tc>
        <w:tc>
          <w:tcPr>
            <w:tcW w:w="2620" w:type="dxa"/>
            <w:vAlign w:val="bottom"/>
            <w:gridSpan w:val="4"/>
          </w:tcPr>
          <w:p>
            <w:pPr>
              <w:ind w:left="520"/>
              <w:spacing w:after="0"/>
              <w:rPr>
                <w:sz w:val="20"/>
                <w:szCs w:val="20"/>
                <w:color w:val="auto"/>
              </w:rPr>
            </w:pPr>
            <w:r>
              <w:rPr>
                <w:rFonts w:ascii="Courier New" w:cs="Courier New" w:eastAsia="Courier New" w:hAnsi="Courier New"/>
                <w:sz w:val="18"/>
                <w:szCs w:val="18"/>
                <w:color w:val="auto"/>
              </w:rPr>
              <w:t>Adjustments (2)</w:t>
            </w:r>
          </w:p>
        </w:tc>
        <w:tc>
          <w:tcPr>
            <w:tcW w:w="96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Corporate</w:t>
            </w:r>
          </w:p>
        </w:tc>
        <w:tc>
          <w:tcPr>
            <w:tcW w:w="96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 December 31, 2003</w:t>
            </w:r>
          </w:p>
        </w:tc>
        <w:tc>
          <w:tcPr>
            <w:tcW w:w="1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2"/>
              </w:rPr>
              <w:t>Cable</w:t>
            </w:r>
          </w:p>
        </w:tc>
        <w:tc>
          <w:tcPr>
            <w:tcW w:w="254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and Other Pro forma</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$4,742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$1,720</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$1,068</w:t>
            </w:r>
          </w:p>
        </w:tc>
      </w:tr>
      <w:tr>
        <w:trPr>
          <w:trHeight w:val="405"/>
        </w:trPr>
        <w:tc>
          <w:tcPr>
            <w:tcW w:w="4020" w:type="dxa"/>
            <w:vAlign w:val="bottom"/>
          </w:tcPr>
          <w:p>
            <w:pPr>
              <w:spacing w:after="0"/>
              <w:rPr>
                <w:sz w:val="24"/>
                <w:szCs w:val="24"/>
                <w:color w:val="auto"/>
              </w:rPr>
            </w:pPr>
          </w:p>
        </w:tc>
        <w:tc>
          <w:tcPr>
            <w:tcW w:w="2620" w:type="dxa"/>
            <w:vAlign w:val="bottom"/>
            <w:gridSpan w:val="4"/>
          </w:tcPr>
          <w:p>
            <w:pPr>
              <w:ind w:left="520"/>
              <w:spacing w:after="0"/>
              <w:rPr>
                <w:sz w:val="20"/>
                <w:szCs w:val="20"/>
                <w:color w:val="auto"/>
              </w:rPr>
            </w:pPr>
            <w:r>
              <w:rPr>
                <w:rFonts w:ascii="Courier New" w:cs="Courier New" w:eastAsia="Courier New" w:hAnsi="Courier New"/>
                <w:sz w:val="18"/>
                <w:szCs w:val="18"/>
                <w:color w:val="auto"/>
              </w:rPr>
              <w:t>Adjustments (2)</w:t>
            </w:r>
          </w:p>
        </w:tc>
        <w:tc>
          <w:tcPr>
            <w:tcW w:w="96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8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Corporate</w:t>
            </w:r>
          </w:p>
        </w:tc>
        <w:tc>
          <w:tcPr>
            <w:tcW w:w="96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 December 31, 2002</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Cable</w:t>
            </w:r>
          </w:p>
        </w:tc>
        <w:tc>
          <w:tcPr>
            <w:tcW w:w="254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and Other  Pro forma</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$1,357</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$4,357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1,211</w:t>
            </w:r>
          </w:p>
        </w:tc>
        <w:tc>
          <w:tcPr>
            <w:tcW w:w="580" w:type="dxa"/>
            <w:vAlign w:val="bottom"/>
          </w:tcPr>
          <w:p>
            <w:pPr>
              <w:spacing w:after="0"/>
              <w:rPr>
                <w:sz w:val="17"/>
                <w:szCs w:val="17"/>
                <w:color w:val="auto"/>
              </w:rPr>
            </w:pPr>
          </w:p>
        </w:tc>
        <w:tc>
          <w:tcPr>
            <w:tcW w:w="1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$146</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$1,052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421</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7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$648</w:t>
            </w:r>
          </w:p>
        </w:tc>
        <w:tc>
          <w:tcPr>
            <w:tcW w:w="580" w:type="dxa"/>
            <w:vAlign w:val="bottom"/>
          </w:tcPr>
          <w:p>
            <w:pPr>
              <w:spacing w:after="0"/>
              <w:rPr>
                <w:sz w:val="17"/>
                <w:szCs w:val="17"/>
                <w:color w:val="auto"/>
              </w:rPr>
            </w:pP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$1,465</w:t>
            </w:r>
          </w:p>
        </w:tc>
      </w:tr>
    </w:tbl>
    <w:p>
      <w:pPr>
        <w:sectPr>
          <w:pgSz w:w="11900" w:h="16838" w:orient="portrait"/>
          <w:cols w:equalWidth="0" w:num="1">
            <w:col w:w="9799"/>
          </w:cols>
          <w:pgMar w:left="660" w:top="136"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Adjustments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(2)</w:t>
            </w:r>
          </w:p>
        </w:tc>
        <w:tc>
          <w:tcPr>
            <w:tcW w:w="110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Corporate</w:t>
            </w:r>
          </w:p>
        </w:tc>
        <w:tc>
          <w:tcPr>
            <w:tcW w:w="110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Twelve Months Ended December 31, 2003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Cable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$18,347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11,955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$6,392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4,438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$1,954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$4,161</w:t>
            </w:r>
          </w:p>
        </w:tc>
      </w:tr>
      <w:tr>
        <w:trPr>
          <w:trHeight w:val="405"/>
        </w:trPr>
        <w:tc>
          <w:tcPr>
            <w:tcW w:w="402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Adjustments</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(2)</w:t>
            </w:r>
          </w:p>
        </w:tc>
        <w:tc>
          <w:tcPr>
            <w:tcW w:w="110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Corporate</w:t>
            </w:r>
          </w:p>
        </w:tc>
        <w:tc>
          <w:tcPr>
            <w:tcW w:w="110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Twelve Months Ended December 31, 2002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Cable</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Other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$8,687</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($22)</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$16,767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7,016</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(18)</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12,264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$1,671</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$4,503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2,742</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4,657</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Impairment charge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16,525</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$16,525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($17,596)</w:t>
            </w:r>
          </w:p>
        </w:tc>
        <w:tc>
          <w:tcPr>
            <w:tcW w:w="12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($16,679)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$3,426</w:t>
            </w:r>
          </w:p>
        </w:tc>
        <w:tc>
          <w:tcPr>
            <w:tcW w:w="580" w:type="dxa"/>
            <w:vAlign w:val="bottom"/>
          </w:tcPr>
          <w:p>
            <w:pPr>
              <w:spacing w:after="0"/>
              <w:rPr>
                <w:sz w:val="17"/>
                <w:szCs w:val="17"/>
                <w:color w:val="auto"/>
              </w:rPr>
            </w:pP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Reconciliation of Total Debt to Debt Excluding Exchangeables (Unaudited)</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As of December</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31, 2003</w:t>
            </w:r>
          </w:p>
        </w:tc>
        <w:tc>
          <w:tcPr>
            <w:tcW w:w="1100" w:type="dxa"/>
            <w:vAlign w:val="bottom"/>
          </w:tcPr>
          <w:p>
            <w:pPr>
              <w:spacing w:after="0"/>
              <w:rPr>
                <w:sz w:val="17"/>
                <w:szCs w:val="17"/>
                <w:color w:val="auto"/>
              </w:rPr>
            </w:pP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23,835</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Debt</w:t>
            </w:r>
          </w:p>
        </w:tc>
        <w:tc>
          <w:tcPr>
            <w:tcW w:w="2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$26,996</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Exchangeable debt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Debt excluding</w:t>
            </w:r>
          </w:p>
        </w:tc>
        <w:tc>
          <w:tcPr>
            <w:tcW w:w="2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exchangeables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$22,678</w:t>
            </w:r>
          </w:p>
        </w:tc>
      </w:tr>
    </w:tbl>
    <w:p>
      <w:pPr>
        <w:spacing w:after="0" w:line="200" w:lineRule="exact"/>
        <w:rPr>
          <w:sz w:val="20"/>
          <w:szCs w:val="20"/>
          <w:color w:val="auto"/>
        </w:rPr>
      </w:pPr>
    </w:p>
    <w:p>
      <w:pPr>
        <w:spacing w:after="0" w:line="209" w:lineRule="exact"/>
        <w:rPr>
          <w:sz w:val="20"/>
          <w:szCs w:val="20"/>
          <w:color w:val="auto"/>
        </w:rPr>
      </w:pPr>
    </w:p>
    <w:p>
      <w:pPr>
        <w:ind w:left="540" w:right="2099" w:hanging="531"/>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Historical amounts have been adjusted to reflect QVC as discontinued operations.</w:t>
      </w:r>
    </w:p>
    <w:p>
      <w:pPr>
        <w:spacing w:after="0" w:line="208" w:lineRule="exact"/>
        <w:rPr>
          <w:rFonts w:ascii="Courier New" w:cs="Courier New" w:eastAsia="Courier New" w:hAnsi="Courier New"/>
          <w:sz w:val="18"/>
          <w:szCs w:val="18"/>
          <w:color w:val="auto"/>
        </w:rPr>
      </w:pPr>
    </w:p>
    <w:p>
      <w:pPr>
        <w:ind w:left="540" w:right="2199" w:hanging="531"/>
        <w:spacing w:after="0" w:line="275"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200" w:lineRule="exact"/>
        <w:rPr>
          <w:sz w:val="20"/>
          <w:szCs w:val="20"/>
          <w:color w:val="auto"/>
        </w:rPr>
      </w:pPr>
    </w:p>
    <w:p>
      <w:pPr>
        <w:spacing w:after="0" w:line="3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8" w:lineRule="auto"/>
        <w:rPr>
          <w:sz w:val="20"/>
          <w:szCs w:val="20"/>
          <w:color w:val="auto"/>
        </w:rPr>
      </w:pPr>
      <w:r>
        <w:rPr>
          <w:rFonts w:ascii="Courier New" w:cs="Courier New" w:eastAsia="Courier New" w:hAnsi="Courier New"/>
          <w:sz w:val="18"/>
          <w:szCs w:val="18"/>
          <w:color w:val="auto"/>
        </w:rPr>
        <w:t>TABLE 7-B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Reconciliations of Cable Segment Historical and Pro Forma Data (Unaudited)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ind w:left="2740"/>
              <w:spacing w:after="0"/>
              <w:rPr>
                <w:sz w:val="20"/>
                <w:szCs w:val="20"/>
                <w:color w:val="auto"/>
              </w:rPr>
            </w:pPr>
            <w:r>
              <w:rPr>
                <w:rFonts w:ascii="Courier New" w:cs="Courier New" w:eastAsia="Courier New" w:hAnsi="Courier New"/>
                <w:sz w:val="18"/>
                <w:szCs w:val="18"/>
                <w:color w:val="auto"/>
              </w:rPr>
              <w:t>(dollars in</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millions)</w:t>
            </w: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608"/>
        </w:trPr>
        <w:tc>
          <w:tcPr>
            <w:tcW w:w="3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Adjustments</w:t>
            </w:r>
          </w:p>
        </w:tc>
        <w:tc>
          <w:tcPr>
            <w:tcW w:w="110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Three Months Ended December 31, 2002</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Historical</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$2,792</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$1,357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1,890</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1,211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902</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770</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$132</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w:t>
            </w:r>
          </w:p>
        </w:tc>
      </w:tr>
      <w:tr>
        <w:trPr>
          <w:trHeight w:val="810"/>
        </w:trPr>
        <w:tc>
          <w:tcPr>
            <w:tcW w:w="3960" w:type="dxa"/>
            <w:vAlign w:val="bottom"/>
          </w:tcPr>
          <w:p>
            <w:pPr>
              <w:spacing w:after="0"/>
              <w:rPr>
                <w:sz w:val="20"/>
                <w:szCs w:val="20"/>
                <w:color w:val="auto"/>
              </w:rPr>
            </w:pPr>
            <w:r>
              <w:rPr>
                <w:rFonts w:ascii="Courier New" w:cs="Courier New" w:eastAsia="Courier New" w:hAnsi="Courier New"/>
                <w:sz w:val="18"/>
                <w:szCs w:val="18"/>
                <w:color w:val="auto"/>
                <w:w w:val="98"/>
              </w:rPr>
              <w:t>Three Months Ended September 30, 2002</w:t>
            </w:r>
          </w:p>
        </w:tc>
        <w:tc>
          <w:tcPr>
            <w:tcW w:w="1360" w:type="dxa"/>
            <w:vAlign w:val="bottom"/>
          </w:tcPr>
          <w:p>
            <w:pPr>
              <w:spacing w:after="0"/>
              <w:rPr>
                <w:sz w:val="24"/>
                <w:szCs w:val="24"/>
                <w:color w:val="auto"/>
              </w:rPr>
            </w:pP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Adjustments</w:t>
            </w:r>
          </w:p>
        </w:tc>
        <w:tc>
          <w:tcPr>
            <w:tcW w:w="1100" w:type="dxa"/>
            <w:vAlign w:val="bottom"/>
          </w:tcPr>
          <w:p>
            <w:pPr>
              <w:spacing w:after="0"/>
              <w:rPr>
                <w:sz w:val="24"/>
                <w:szCs w:val="24"/>
                <w:color w:val="auto"/>
              </w:rPr>
            </w:pPr>
          </w:p>
        </w:tc>
      </w:tr>
      <w:tr>
        <w:trPr>
          <w:trHeight w:val="203"/>
        </w:trPr>
        <w:tc>
          <w:tcPr>
            <w:tcW w:w="396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Historical</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$1,548</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$2,487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$4,035</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901</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1,936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647</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309</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$338</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Three Months Ended June 30, 2002</w:t>
            </w:r>
          </w:p>
        </w:tc>
        <w:tc>
          <w:tcPr>
            <w:tcW w:w="1360" w:type="dxa"/>
            <w:vAlign w:val="bottom"/>
          </w:tcPr>
          <w:p>
            <w:pPr>
              <w:spacing w:after="0"/>
              <w:rPr>
                <w:sz w:val="24"/>
                <w:szCs w:val="24"/>
                <w:color w:val="auto"/>
              </w:rPr>
            </w:pP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Adjustments</w:t>
            </w:r>
          </w:p>
        </w:tc>
        <w:tc>
          <w:tcPr>
            <w:tcW w:w="1100" w:type="dxa"/>
            <w:vAlign w:val="bottom"/>
          </w:tcPr>
          <w:p>
            <w:pPr>
              <w:spacing w:after="0"/>
              <w:rPr>
                <w:sz w:val="24"/>
                <w:szCs w:val="24"/>
                <w:color w:val="auto"/>
              </w:rPr>
            </w:pPr>
          </w:p>
        </w:tc>
      </w:tr>
      <w:tr>
        <w:trPr>
          <w:trHeight w:val="203"/>
        </w:trPr>
        <w:tc>
          <w:tcPr>
            <w:tcW w:w="39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Historical</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(1)</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$1,541</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$2,468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888</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1,944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2,832</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653</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298</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1,083</w:t>
            </w:r>
          </w:p>
        </w:tc>
      </w:tr>
    </w:tbl>
    <w:p>
      <w:pPr>
        <w:sectPr>
          <w:pgSz w:w="11900" w:h="16838" w:orient="portrait"/>
          <w:cols w:equalWidth="0" w:num="1">
            <w:col w:w="9799"/>
          </w:cols>
          <w:pgMar w:left="660" w:top="136" w:right="1440"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Impairment Charge</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16,525</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16,525</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($16,786)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($16,431)</w:t>
            </w:r>
          </w:p>
        </w:tc>
      </w:tr>
      <w:tr>
        <w:trPr>
          <w:trHeight w:val="608"/>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Three Months Ended March 31, 2002</w:t>
            </w:r>
          </w:p>
        </w:tc>
        <w:tc>
          <w:tcPr>
            <w:tcW w:w="1480" w:type="dxa"/>
            <w:vAlign w:val="bottom"/>
          </w:tcPr>
          <w:p>
            <w:pPr>
              <w:spacing w:after="0"/>
              <w:rPr>
                <w:sz w:val="24"/>
                <w:szCs w:val="24"/>
                <w:color w:val="auto"/>
              </w:rPr>
            </w:pP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Adjustments</w:t>
            </w:r>
          </w:p>
        </w:tc>
        <w:tc>
          <w:tcPr>
            <w:tcW w:w="1160" w:type="dxa"/>
            <w:vAlign w:val="bottom"/>
          </w:tcPr>
          <w:p>
            <w:pPr>
              <w:spacing w:after="0"/>
              <w:rPr>
                <w:sz w:val="24"/>
                <w:szCs w:val="24"/>
                <w:color w:val="auto"/>
              </w:rPr>
            </w:pPr>
          </w:p>
        </w:tc>
      </w:tr>
      <w:tr>
        <w:trPr>
          <w:trHeight w:val="203"/>
        </w:trPr>
        <w:tc>
          <w:tcPr>
            <w:tcW w:w="374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Historical</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$1,469</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$2,375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$3,844</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 (excluding</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2,798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597</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1,046</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&amp; Amortization</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1,052</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(loss)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07" w:lineRule="exact"/>
        <w:rPr>
          <w:sz w:val="20"/>
          <w:szCs w:val="20"/>
          <w:color w:val="auto"/>
        </w:rPr>
      </w:pPr>
    </w:p>
    <w:p>
      <w:pPr>
        <w:ind w:left="440" w:right="2319" w:hanging="431"/>
        <w:spacing w:after="0" w:line="275" w:lineRule="auto"/>
        <w:tabs>
          <w:tab w:leader="none" w:pos="4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data is only adjusted for timing of the acquisitions (or dispositions) and for acquisitions does not include adjustments for costs related to integration activities, cost savings or synergies that have been or may be achieved by the combined businesses.</w:t>
      </w:r>
    </w:p>
    <w:p>
      <w:pPr>
        <w:spacing w:after="0" w:line="37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8" w:lineRule="auto"/>
        <w:rPr>
          <w:sz w:val="20"/>
          <w:szCs w:val="20"/>
          <w:color w:val="auto"/>
        </w:rPr>
      </w:pPr>
      <w:r>
        <w:rPr>
          <w:rFonts w:ascii="Courier New" w:cs="Courier New" w:eastAsia="Courier New" w:hAnsi="Courier New"/>
          <w:sz w:val="18"/>
          <w:szCs w:val="18"/>
          <w:color w:val="auto"/>
        </w:rPr>
        <w:t>Table 7-C continued</w:t>
      </w:r>
    </w:p>
    <w:p>
      <w:pPr>
        <w:jc w:val="center"/>
        <w:ind w:right="2099"/>
        <w:spacing w:after="0"/>
        <w:rPr>
          <w:sz w:val="20"/>
          <w:szCs w:val="20"/>
          <w:color w:val="auto"/>
        </w:rPr>
      </w:pPr>
      <w:r>
        <w:rPr>
          <w:rFonts w:ascii="Courier New" w:cs="Courier New" w:eastAsia="Courier New" w:hAnsi="Courier New"/>
          <w:sz w:val="18"/>
          <w:szCs w:val="18"/>
          <w:color w:val="auto"/>
        </w:rPr>
        <w:t>Reconciliation of Net Income (Loss) to Free Cash Flow (Unaudited)</w:t>
      </w:r>
    </w:p>
    <w:p>
      <w:pPr>
        <w:jc w:val="center"/>
        <w:ind w:right="2199"/>
        <w:spacing w:after="0" w:line="237" w:lineRule="auto"/>
        <w:rPr>
          <w:sz w:val="20"/>
          <w:szCs w:val="20"/>
          <w:color w:val="auto"/>
        </w:rPr>
      </w:pPr>
      <w:r>
        <w:rPr>
          <w:rFonts w:ascii="Courier New" w:cs="Courier New" w:eastAsia="Courier New" w:hAnsi="Courier New"/>
          <w:sz w:val="18"/>
          <w:szCs w:val="18"/>
          <w:color w:val="auto"/>
        </w:rPr>
        <w:t>(dollars in millions, except per share data)</w:t>
      </w:r>
    </w:p>
    <w:p>
      <w:pPr>
        <w:sectPr>
          <w:pgSz w:w="11900" w:h="16838" w:orient="portrait"/>
          <w:cols w:equalWidth="0" w:num="1">
            <w:col w:w="9799"/>
          </w:cols>
          <w:pgMar w:left="660" w:top="136" w:right="1440" w:bottom="3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(Loss) as reported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Discontinued Operations, net of tax</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Non-operating items, net of tax (1)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(Loss) as adjusted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to reconcile net income (loss)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as adjusted to Operating Cash Flow:</w:t>
      </w:r>
    </w:p>
    <w:p>
      <w:pPr>
        <w:spacing w:after="0" w:line="21" w:lineRule="exact"/>
        <w:rPr>
          <w:sz w:val="20"/>
          <w:szCs w:val="20"/>
          <w:color w:val="auto"/>
        </w:rPr>
      </w:pPr>
    </w:p>
    <w:p>
      <w:pPr>
        <w:ind w:left="440" w:right="420"/>
        <w:spacing w:after="0" w:line="268" w:lineRule="auto"/>
        <w:rPr>
          <w:sz w:val="20"/>
          <w:szCs w:val="20"/>
          <w:color w:val="auto"/>
        </w:rPr>
      </w:pPr>
      <w:r>
        <w:rPr>
          <w:rFonts w:ascii="Courier New" w:cs="Courier New" w:eastAsia="Courier New" w:hAnsi="Courier New"/>
          <w:sz w:val="16"/>
          <w:szCs w:val="16"/>
          <w:color w:val="auto"/>
        </w:rPr>
        <w:t>Depreciation and amortization Interest expense</w:t>
      </w:r>
    </w:p>
    <w:p>
      <w:pPr>
        <w:ind w:right="1580" w:firstLine="421"/>
        <w:spacing w:after="0" w:line="290" w:lineRule="auto"/>
        <w:rPr>
          <w:sz w:val="20"/>
          <w:szCs w:val="20"/>
          <w:color w:val="auto"/>
        </w:rPr>
      </w:pPr>
      <w:r>
        <w:rPr>
          <w:rFonts w:ascii="Courier New" w:cs="Courier New" w:eastAsia="Courier New" w:hAnsi="Courier New"/>
          <w:sz w:val="16"/>
          <w:szCs w:val="16"/>
          <w:color w:val="auto"/>
        </w:rPr>
        <w:t>Income tax expense Operating Cash Flow</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Cash Flow</w:t>
      </w:r>
    </w:p>
    <w:p>
      <w:pPr>
        <w:spacing w:after="0" w:line="238" w:lineRule="auto"/>
        <w:rPr>
          <w:sz w:val="20"/>
          <w:szCs w:val="20"/>
          <w:color w:val="auto"/>
        </w:rPr>
      </w:pPr>
      <w:r>
        <w:rPr>
          <w:rFonts w:ascii="Courier New" w:cs="Courier New" w:eastAsia="Courier New" w:hAnsi="Courier New"/>
          <w:sz w:val="18"/>
          <w:szCs w:val="18"/>
          <w:color w:val="auto"/>
        </w:rPr>
        <w:t>Less:</w:t>
      </w:r>
    </w:p>
    <w:p>
      <w:pPr>
        <w:ind w:left="220"/>
        <w:spacing w:after="0"/>
        <w:rPr>
          <w:sz w:val="20"/>
          <w:szCs w:val="20"/>
          <w:color w:val="auto"/>
        </w:rPr>
      </w:pPr>
      <w:r>
        <w:rPr>
          <w:rFonts w:ascii="Courier New" w:cs="Courier New" w:eastAsia="Courier New" w:hAnsi="Courier New"/>
          <w:sz w:val="18"/>
          <w:szCs w:val="18"/>
          <w:color w:val="auto"/>
        </w:rPr>
        <w:t>Interest, net (2)</w:t>
      </w:r>
    </w:p>
    <w:p>
      <w:pPr>
        <w:spacing w:after="0" w:line="3" w:lineRule="exact"/>
        <w:rPr>
          <w:sz w:val="20"/>
          <w:szCs w:val="20"/>
          <w:color w:val="auto"/>
        </w:rPr>
      </w:pPr>
    </w:p>
    <w:p>
      <w:pPr>
        <w:ind w:left="220" w:right="520"/>
        <w:spacing w:after="0" w:line="268" w:lineRule="auto"/>
        <w:rPr>
          <w:sz w:val="20"/>
          <w:szCs w:val="20"/>
          <w:color w:val="auto"/>
        </w:rPr>
      </w:pPr>
      <w:r>
        <w:rPr>
          <w:rFonts w:ascii="Courier New" w:cs="Courier New" w:eastAsia="Courier New" w:hAnsi="Courier New"/>
          <w:sz w:val="16"/>
          <w:szCs w:val="16"/>
          <w:color w:val="auto"/>
        </w:rPr>
        <w:t>Cash Paid for Income Taxes (6) Change in Operating Assets and</w:t>
      </w:r>
    </w:p>
    <w:p>
      <w:pPr>
        <w:ind w:left="320"/>
        <w:spacing w:after="0" w:line="233" w:lineRule="auto"/>
        <w:rPr>
          <w:sz w:val="20"/>
          <w:szCs w:val="20"/>
          <w:color w:val="auto"/>
        </w:rPr>
      </w:pPr>
      <w:r>
        <w:rPr>
          <w:rFonts w:ascii="Courier New" w:cs="Courier New" w:eastAsia="Courier New" w:hAnsi="Courier New"/>
          <w:sz w:val="18"/>
          <w:szCs w:val="18"/>
          <w:color w:val="auto"/>
        </w:rPr>
        <w:t>Liabilities,</w:t>
      </w:r>
    </w:p>
    <w:p>
      <w:pPr>
        <w:ind w:left="440"/>
        <w:spacing w:after="0"/>
        <w:rPr>
          <w:sz w:val="20"/>
          <w:szCs w:val="20"/>
          <w:color w:val="auto"/>
        </w:rPr>
      </w:pPr>
      <w:r>
        <w:rPr>
          <w:rFonts w:ascii="Courier New" w:cs="Courier New" w:eastAsia="Courier New" w:hAnsi="Courier New"/>
          <w:sz w:val="18"/>
          <w:szCs w:val="18"/>
          <w:color w:val="auto"/>
        </w:rPr>
        <w:t>net of acquisitions</w:t>
      </w:r>
    </w:p>
    <w:p>
      <w:pPr>
        <w:spacing w:after="0" w:line="4" w:lineRule="exact"/>
        <w:rPr>
          <w:sz w:val="20"/>
          <w:szCs w:val="20"/>
          <w:color w:val="auto"/>
        </w:rPr>
      </w:pPr>
    </w:p>
    <w:p>
      <w:pPr>
        <w:ind w:left="120" w:right="740" w:hanging="104"/>
        <w:spacing w:after="0" w:line="235" w:lineRule="auto"/>
        <w:rPr>
          <w:sz w:val="20"/>
          <w:szCs w:val="20"/>
          <w:color w:val="auto"/>
        </w:rPr>
      </w:pPr>
      <w:r>
        <w:rPr>
          <w:rFonts w:ascii="Courier New" w:cs="Courier New" w:eastAsia="Courier New" w:hAnsi="Courier New"/>
          <w:sz w:val="18"/>
          <w:szCs w:val="18"/>
          <w:color w:val="auto"/>
        </w:rPr>
        <w:t>Net Cash Provided by Operating Activities</w:t>
      </w:r>
    </w:p>
    <w:p>
      <w:pPr>
        <w:spacing w:after="0" w:line="6" w:lineRule="exact"/>
        <w:rPr>
          <w:sz w:val="20"/>
          <w:szCs w:val="20"/>
          <w:color w:val="auto"/>
        </w:rPr>
      </w:pPr>
    </w:p>
    <w:p>
      <w:pPr>
        <w:ind w:right="740" w:firstLine="421"/>
        <w:spacing w:after="0" w:line="235" w:lineRule="auto"/>
        <w:rPr>
          <w:sz w:val="20"/>
          <w:szCs w:val="20"/>
          <w:color w:val="auto"/>
        </w:rPr>
      </w:pPr>
      <w:r>
        <w:rPr>
          <w:rFonts w:ascii="Courier New" w:cs="Courier New" w:eastAsia="Courier New" w:hAnsi="Courier New"/>
          <w:sz w:val="18"/>
          <w:szCs w:val="18"/>
          <w:color w:val="auto"/>
        </w:rPr>
        <w:t>Less: Capital Expenditures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hanging="420"/>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 of non-operating items: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00"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Investment (income) expense - mark to market adjustments on trading securities, derivatives and hedged items,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line="4" w:lineRule="exact"/>
        <w:rPr>
          <w:rFonts w:ascii="Courier New" w:cs="Courier New" w:eastAsia="Courier New" w:hAnsi="Courier New"/>
          <w:sz w:val="18"/>
          <w:szCs w:val="18"/>
          <w:color w:val="auto"/>
        </w:rPr>
      </w:pPr>
    </w:p>
    <w:p>
      <w:pPr>
        <w:ind w:left="740" w:right="200"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(income) expense - (gain) loss on sales and</w:t>
      </w:r>
    </w:p>
    <w:p>
      <w:pPr>
        <w:spacing w:after="0" w:line="5" w:lineRule="exact"/>
        <w:rPr>
          <w:rFonts w:ascii="Courier New" w:cs="Courier New" w:eastAsia="Courier New" w:hAnsi="Courier New"/>
          <w:sz w:val="18"/>
          <w:szCs w:val="18"/>
          <w:color w:val="auto"/>
        </w:rPr>
      </w:pPr>
    </w:p>
    <w:p>
      <w:pPr>
        <w:ind w:left="640"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exchanges of investments Investment expense - investment</w:t>
      </w:r>
    </w:p>
    <w:p>
      <w:pPr>
        <w:ind w:left="640" w:right="840" w:firstLine="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impairment losses (4) All other, net (5)</w:t>
      </w:r>
    </w:p>
    <w:p>
      <w:pPr>
        <w:spacing w:after="0" w:line="5" w:lineRule="exact"/>
        <w:rPr>
          <w:rFonts w:ascii="Courier New" w:cs="Courier New" w:eastAsia="Courier New" w:hAnsi="Courier New"/>
          <w:sz w:val="18"/>
          <w:szCs w:val="18"/>
          <w:color w:val="auto"/>
        </w:rPr>
      </w:pPr>
    </w:p>
    <w:p>
      <w:pPr>
        <w:ind w:left="640" w:right="420" w:firstLine="21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non-operating items Tax Effect</w:t>
      </w:r>
    </w:p>
    <w:p>
      <w:pPr>
        <w:spacing w:after="0" w:line="5"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Non-operating items, net of tax</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Three Months Ended</w:t>
            </w:r>
          </w:p>
        </w:tc>
        <w:tc>
          <w:tcPr>
            <w:tcW w:w="1040" w:type="dxa"/>
            <w:vAlign w:val="bottom"/>
          </w:tcPr>
          <w:p>
            <w:pPr>
              <w:spacing w:after="0"/>
              <w:rPr>
                <w:sz w:val="17"/>
                <w:szCs w:val="17"/>
                <w:color w:val="auto"/>
              </w:rPr>
            </w:pPr>
          </w:p>
        </w:tc>
      </w:tr>
      <w:tr>
        <w:trPr>
          <w:trHeight w:val="203"/>
        </w:trPr>
        <w:tc>
          <w:tcPr>
            <w:tcW w:w="780" w:type="dxa"/>
            <w:vAlign w:val="bottom"/>
          </w:tcPr>
          <w:p>
            <w:pPr>
              <w:spacing w:after="0"/>
              <w:rPr>
                <w:sz w:val="17"/>
                <w:szCs w:val="17"/>
                <w:color w:val="auto"/>
              </w:rPr>
            </w:pPr>
          </w:p>
        </w:tc>
        <w:tc>
          <w:tcPr>
            <w:tcW w:w="186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December 31,</w:t>
            </w:r>
          </w:p>
        </w:tc>
        <w:tc>
          <w:tcPr>
            <w:tcW w:w="1040" w:type="dxa"/>
            <w:vAlign w:val="bottom"/>
          </w:tcPr>
          <w:p>
            <w:pPr>
              <w:spacing w:after="0"/>
              <w:rPr>
                <w:sz w:val="17"/>
                <w:szCs w:val="17"/>
                <w:color w:val="auto"/>
              </w:rPr>
            </w:pPr>
          </w:p>
        </w:tc>
      </w:tr>
      <w:tr>
        <w:trPr>
          <w:trHeight w:val="203"/>
        </w:trPr>
        <w:tc>
          <w:tcPr>
            <w:tcW w:w="184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2003</w:t>
            </w:r>
          </w:p>
        </w:tc>
        <w:tc>
          <w:tcPr>
            <w:tcW w:w="18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78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per</w:t>
            </w:r>
          </w:p>
        </w:tc>
        <w:tc>
          <w:tcPr>
            <w:tcW w:w="80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(3)</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(3)</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($0.13)</w:t>
            </w:r>
          </w:p>
        </w:tc>
      </w:tr>
      <w:tr>
        <w:trPr>
          <w:trHeight w:val="810"/>
        </w:trPr>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978</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0.43</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824</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0.52</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439</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0.19</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335</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0.06</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$1,720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$0.76</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$905</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$0.57</w:t>
            </w:r>
          </w:p>
        </w:tc>
      </w:tr>
      <w:tr>
        <w:trPr>
          <w:trHeight w:val="608"/>
        </w:trPr>
        <w:tc>
          <w:tcPr>
            <w:tcW w:w="184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2003</w:t>
            </w:r>
          </w:p>
        </w:tc>
        <w:tc>
          <w:tcPr>
            <w:tcW w:w="184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$1,720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$1,720</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$905</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$905</w:t>
            </w:r>
          </w:p>
        </w:tc>
      </w:tr>
      <w:tr>
        <w:trPr>
          <w:trHeight w:val="405"/>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(435)</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(435)</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(346)</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(346)</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r>
      <w:tr>
        <w:trPr>
          <w:trHeight w:val="608"/>
        </w:trPr>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(72)</w:t>
            </w:r>
          </w:p>
        </w:tc>
        <w:tc>
          <w:tcPr>
            <w:tcW w:w="106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241</w:t>
            </w:r>
          </w:p>
        </w:tc>
        <w:tc>
          <w:tcPr>
            <w:tcW w:w="1040" w:type="dxa"/>
            <w:vAlign w:val="bottom"/>
          </w:tcPr>
          <w:p>
            <w:pPr>
              <w:spacing w:after="0"/>
              <w:rPr>
                <w:sz w:val="24"/>
                <w:szCs w:val="24"/>
                <w:color w:val="auto"/>
              </w:rPr>
            </w:pPr>
          </w:p>
        </w:tc>
      </w:tr>
      <w:tr>
        <w:trPr>
          <w:trHeight w:val="405"/>
        </w:trPr>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$335</w:t>
            </w:r>
          </w:p>
        </w:tc>
        <w:tc>
          <w:tcPr>
            <w:tcW w:w="1060" w:type="dxa"/>
            <w:vAlign w:val="bottom"/>
          </w:tcPr>
          <w:p>
            <w:pPr>
              <w:spacing w:after="0"/>
              <w:rPr>
                <w:sz w:val="24"/>
                <w:szCs w:val="24"/>
                <w:color w:val="auto"/>
              </w:rPr>
            </w:pP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$778</w:t>
            </w:r>
          </w:p>
        </w:tc>
        <w:tc>
          <w:tcPr>
            <w:tcW w:w="1040" w:type="dxa"/>
            <w:vAlign w:val="bottom"/>
          </w:tcPr>
          <w:p>
            <w:pPr>
              <w:spacing w:after="0"/>
              <w:rPr>
                <w:sz w:val="24"/>
                <w:szCs w:val="24"/>
                <w:color w:val="auto"/>
              </w:rPr>
            </w:pPr>
          </w:p>
        </w:tc>
      </w:tr>
      <w:tr>
        <w:trPr>
          <w:trHeight w:val="203"/>
        </w:trPr>
        <w:tc>
          <w:tcPr>
            <w:tcW w:w="7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(1,068)</w:t>
            </w:r>
          </w:p>
        </w:tc>
        <w:tc>
          <w:tcPr>
            <w:tcW w:w="80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(817)</w:t>
            </w:r>
          </w:p>
        </w:tc>
      </w:tr>
      <w:tr>
        <w:trPr>
          <w:trHeight w:val="203"/>
        </w:trPr>
        <w:tc>
          <w:tcPr>
            <w:tcW w:w="7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($661)</w:t>
            </w:r>
          </w:p>
        </w:tc>
        <w:tc>
          <w:tcPr>
            <w:tcW w:w="80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Three Months Ended</w:t>
      </w:r>
    </w:p>
    <w:p>
      <w:pPr>
        <w:ind w:left="1160"/>
        <w:spacing w:after="0" w:line="238" w:lineRule="auto"/>
        <w:rPr>
          <w:sz w:val="20"/>
          <w:szCs w:val="20"/>
          <w:color w:val="auto"/>
        </w:rPr>
      </w:pPr>
      <w:r>
        <w:rPr>
          <w:rFonts w:ascii="Courier New" w:cs="Courier New" w:eastAsia="Courier New" w:hAnsi="Courier New"/>
          <w:sz w:val="18"/>
          <w:szCs w:val="18"/>
          <w:color w:val="auto"/>
        </w:rPr>
        <w:t>December 31,</w:t>
      </w:r>
    </w:p>
    <w:p>
      <w:pPr>
        <w:ind w:left="620"/>
        <w:spacing w:after="0"/>
        <w:tabs>
          <w:tab w:leader="none" w:pos="2400" w:val="left"/>
        </w:tabs>
        <w:rPr>
          <w:sz w:val="20"/>
          <w:szCs w:val="20"/>
          <w:color w:val="auto"/>
        </w:rPr>
      </w:pPr>
      <w:r>
        <w:rPr>
          <w:rFonts w:ascii="Courier New" w:cs="Courier New" w:eastAsia="Courier New" w:hAnsi="Courier New"/>
          <w:sz w:val="18"/>
          <w:szCs w:val="18"/>
          <w:color w:val="auto"/>
        </w:rPr>
        <w:t>2003</w:t>
      </w:r>
      <w:r>
        <w:rPr>
          <w:sz w:val="20"/>
          <w:szCs w:val="20"/>
          <w:color w:val="auto"/>
        </w:rPr>
        <w:tab/>
      </w:r>
      <w:r>
        <w:rPr>
          <w:rFonts w:ascii="Courier New" w:cs="Courier New" w:eastAsia="Courier New" w:hAnsi="Courier New"/>
          <w:sz w:val="18"/>
          <w:szCs w:val="18"/>
          <w:color w:val="auto"/>
        </w:rPr>
        <w:t>2002</w:t>
      </w:r>
    </w:p>
    <w:p>
      <w:pPr>
        <w:ind w:left="940"/>
        <w:spacing w:after="0" w:line="237" w:lineRule="auto"/>
        <w:tabs>
          <w:tab w:leader="none" w:pos="2820" w:val="left"/>
        </w:tabs>
        <w:rPr>
          <w:sz w:val="20"/>
          <w:szCs w:val="20"/>
          <w:color w:val="auto"/>
        </w:rPr>
      </w:pPr>
      <w:r>
        <w:rPr>
          <w:rFonts w:ascii="Courier New" w:cs="Courier New" w:eastAsia="Courier New" w:hAnsi="Courier New"/>
          <w:sz w:val="18"/>
          <w:szCs w:val="18"/>
          <w:color w:val="auto"/>
        </w:rPr>
        <w:t>per</w:t>
      </w:r>
      <w:r>
        <w:rPr>
          <w:sz w:val="20"/>
          <w:szCs w:val="20"/>
          <w:color w:val="auto"/>
        </w:rPr>
        <w:tab/>
      </w:r>
      <w:r>
        <w:rPr>
          <w:rFonts w:ascii="Courier New" w:cs="Courier New" w:eastAsia="Courier New" w:hAnsi="Courier New"/>
          <w:sz w:val="18"/>
          <w:szCs w:val="18"/>
          <w:color w:val="auto"/>
        </w:rPr>
        <w:t>per</w:t>
      </w:r>
    </w:p>
    <w:p>
      <w:pPr>
        <w:ind w:left="200"/>
        <w:spacing w:after="0"/>
        <w:tabs>
          <w:tab w:leader="none" w:pos="820" w:val="left"/>
          <w:tab w:leader="none" w:pos="2080" w:val="left"/>
          <w:tab w:leader="none" w:pos="2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share (3)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share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($272)</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($0.12)</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($92)</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($0.06)</w:t>
            </w:r>
          </w:p>
        </w:tc>
      </w:tr>
      <w:tr>
        <w:trPr>
          <w:trHeight w:val="608"/>
        </w:trPr>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(0.03)</w:t>
            </w:r>
          </w:p>
        </w:tc>
      </w:tr>
      <w:tr>
        <w:trPr>
          <w:trHeight w:val="405"/>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0.01</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(0.01)</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r>
    </w:tbl>
    <w:p>
      <w:pPr>
        <w:ind w:left="1060" w:hanging="852"/>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(0.13)   (144)   (0.09)</w:t>
      </w:r>
    </w:p>
    <w:tbl>
      <w:tblPr>
        <w:tblLayout w:type="fixed"/>
        <w:tblInd w:w="100" w:type="dxa"/>
        <w:tblCellMar>
          <w:top w:w="0" w:type="dxa"/>
          <w:left w:w="0" w:type="dxa"/>
          <w:bottom w:w="0" w:type="dxa"/>
          <w:right w:w="0" w:type="dxa"/>
        </w:tblCellMar>
      </w:tblPr>
      <w:tr>
        <w:trPr>
          <w:trHeight w:val="203"/>
        </w:trPr>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104</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0.04</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0.02</w:t>
            </w:r>
          </w:p>
        </w:tc>
      </w:tr>
      <w:tr>
        <w:trPr>
          <w:trHeight w:val="203"/>
        </w:trPr>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r>
    </w:tbl>
    <w:p>
      <w:pPr>
        <w:sectPr>
          <w:pgSz w:w="11900" w:h="16838" w:orient="portrait"/>
          <w:cols w:equalWidth="0" w:num="2">
            <w:col w:w="3900" w:space="220"/>
            <w:col w:w="5679"/>
          </w:cols>
          <w:pgMar w:left="660" w:top="136" w:right="1440" w:bottom="335" w:gutter="0" w:footer="0" w:header="0"/>
          <w:type w:val="continuous"/>
        </w:sectPr>
      </w:pPr>
    </w:p>
    <w:bookmarkStart w:id="16" w:name="page17"/>
    <w:bookmarkEnd w:id="16"/>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2740" w:type="dxa"/>
            <w:vAlign w:val="bottom"/>
            <w:gridSpan w:val="3"/>
          </w:tcPr>
          <w:p>
            <w:pPr>
              <w:ind w:left="720"/>
              <w:spacing w:after="0"/>
              <w:rPr>
                <w:sz w:val="20"/>
                <w:szCs w:val="20"/>
                <w:color w:val="auto"/>
              </w:rPr>
            </w:pPr>
            <w:r>
              <w:rPr>
                <w:rFonts w:ascii="Courier New" w:cs="Courier New" w:eastAsia="Courier New" w:hAnsi="Courier New"/>
                <w:sz w:val="18"/>
                <w:szCs w:val="18"/>
                <w:color w:val="auto"/>
                <w:w w:val="97"/>
              </w:rPr>
              <w:t>Twelve Months Ended</w:t>
            </w:r>
          </w:p>
        </w:tc>
        <w:tc>
          <w:tcPr>
            <w:tcW w:w="94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December 31,</w:t>
            </w:r>
          </w:p>
        </w:tc>
        <w:tc>
          <w:tcPr>
            <w:tcW w:w="94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94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2003</w:t>
            </w:r>
          </w:p>
        </w:tc>
        <w:tc>
          <w:tcPr>
            <w:tcW w:w="17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per</w:t>
            </w:r>
          </w:p>
        </w:tc>
        <w:tc>
          <w:tcPr>
            <w:tcW w:w="80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402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(3)</w:t>
            </w: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share (3)</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as reported</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($274)  ($0.25)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Discontinued Operations, net of tax</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(3,458)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(0.18)</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Non-operating items, net of tax (1)</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0.39</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as adjusted</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Items to reconcile net income (loss)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as adjusted to Operating Cash Flow:</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4,438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1.97</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1,915</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2,018</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0.78</w:t>
            </w: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43</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w:t>
            </w:r>
          </w:p>
        </w:tc>
      </w:tr>
      <w:tr>
        <w:trPr>
          <w:trHeight w:val="608"/>
        </w:trPr>
        <w:tc>
          <w:tcPr>
            <w:tcW w:w="4020" w:type="dxa"/>
            <w:vAlign w:val="bottom"/>
          </w:tcPr>
          <w:p>
            <w:pPr>
              <w:spacing w:after="0"/>
              <w:rPr>
                <w:sz w:val="24"/>
                <w:szCs w:val="24"/>
                <w:color w:val="auto"/>
              </w:rPr>
            </w:pPr>
          </w:p>
        </w:tc>
        <w:tc>
          <w:tcPr>
            <w:tcW w:w="194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2003</w:t>
            </w:r>
          </w:p>
        </w:tc>
        <w:tc>
          <w:tcPr>
            <w:tcW w:w="17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Cash Flow</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$6,392</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$2,836</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net (2)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(835)</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for Income Taxes (6)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 in Operating Assets and</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net of acquisitions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w:t>
            </w:r>
          </w:p>
        </w:tc>
        <w:tc>
          <w:tcPr>
            <w:tcW w:w="10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453</w:t>
            </w:r>
          </w:p>
        </w:tc>
        <w:tc>
          <w:tcPr>
            <w:tcW w:w="94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$2,854</w:t>
            </w:r>
          </w:p>
        </w:tc>
        <w:tc>
          <w:tcPr>
            <w:tcW w:w="106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$2,421</w:t>
            </w:r>
          </w:p>
        </w:tc>
        <w:tc>
          <w:tcPr>
            <w:tcW w:w="940" w:type="dxa"/>
            <w:vAlign w:val="bottom"/>
          </w:tcPr>
          <w:p>
            <w:pPr>
              <w:spacing w:after="0"/>
              <w:rPr>
                <w:sz w:val="17"/>
                <w:szCs w:val="17"/>
                <w:color w:val="auto"/>
              </w:rPr>
            </w:pPr>
          </w:p>
        </w:tc>
      </w:tr>
      <w:tr>
        <w:trPr>
          <w:trHeight w:val="203"/>
        </w:trPr>
        <w:tc>
          <w:tcPr>
            <w:tcW w:w="4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Less: Capital Expenditures</w:t>
            </w:r>
          </w:p>
        </w:tc>
        <w:tc>
          <w:tcPr>
            <w:tcW w:w="8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(4,161)</w:t>
            </w:r>
          </w:p>
        </w:tc>
        <w:tc>
          <w:tcPr>
            <w:tcW w:w="8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(1,852)</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Free Cash Flow</w:t>
            </w:r>
          </w:p>
        </w:tc>
        <w:tc>
          <w:tcPr>
            <w:tcW w:w="88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($776)</w:t>
            </w:r>
          </w:p>
        </w:tc>
        <w:tc>
          <w:tcPr>
            <w:tcW w:w="8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r>
      <w:tr>
        <w:trPr>
          <w:trHeight w:val="608"/>
        </w:trPr>
        <w:tc>
          <w:tcPr>
            <w:tcW w:w="4020" w:type="dxa"/>
            <w:vAlign w:val="bottom"/>
          </w:tcPr>
          <w:p>
            <w:pPr>
              <w:spacing w:after="0"/>
              <w:rPr>
                <w:sz w:val="24"/>
                <w:szCs w:val="24"/>
                <w:color w:val="auto"/>
              </w:rPr>
            </w:pPr>
          </w:p>
        </w:tc>
        <w:tc>
          <w:tcPr>
            <w:tcW w:w="2740" w:type="dxa"/>
            <w:vAlign w:val="bottom"/>
            <w:gridSpan w:val="3"/>
          </w:tcPr>
          <w:p>
            <w:pPr>
              <w:ind w:left="720"/>
              <w:spacing w:after="0"/>
              <w:rPr>
                <w:sz w:val="20"/>
                <w:szCs w:val="20"/>
                <w:color w:val="auto"/>
              </w:rPr>
            </w:pPr>
            <w:r>
              <w:rPr>
                <w:rFonts w:ascii="Courier New" w:cs="Courier New" w:eastAsia="Courier New" w:hAnsi="Courier New"/>
                <w:sz w:val="18"/>
                <w:szCs w:val="18"/>
                <w:color w:val="auto"/>
                <w:w w:val="97"/>
              </w:rPr>
              <w:t>Twelve Months Ended</w:t>
            </w:r>
          </w:p>
        </w:tc>
        <w:tc>
          <w:tcPr>
            <w:tcW w:w="94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December 31,</w:t>
            </w:r>
          </w:p>
        </w:tc>
        <w:tc>
          <w:tcPr>
            <w:tcW w:w="94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 Detail of non-operating items:</w:t>
            </w:r>
          </w:p>
        </w:tc>
        <w:tc>
          <w:tcPr>
            <w:tcW w:w="194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2003</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per</w:t>
            </w:r>
          </w:p>
        </w:tc>
        <w:tc>
          <w:tcPr>
            <w:tcW w:w="80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402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(3)</w:t>
            </w:r>
          </w:p>
        </w:tc>
        <w:tc>
          <w:tcPr>
            <w:tcW w:w="8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share (3)</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(income) expense -</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mark to market adjustments on trading</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securities, derivatives and</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hedged items, net</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(income) expense -</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(gain) loss on sales and exchanges</w:t>
            </w: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of investments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(0.01)</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Investment expense - investment</w:t>
            </w: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impairment losses (4)</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0.22</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All other, net (5)</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0.05</w:t>
            </w: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Total non-operating items</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0.58</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 Effect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(0.19)</w:t>
            </w:r>
          </w:p>
        </w:tc>
      </w:tr>
      <w:tr>
        <w:trPr>
          <w:trHeight w:val="203"/>
        </w:trPr>
        <w:tc>
          <w:tcPr>
            <w:tcW w:w="4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Non-operating items, net of tax</w:t>
            </w: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$0.39</w:t>
            </w:r>
          </w:p>
        </w:tc>
      </w:tr>
    </w:tbl>
    <w:p>
      <w:pPr>
        <w:spacing w:after="0" w:line="200" w:lineRule="exact"/>
        <w:rPr>
          <w:sz w:val="20"/>
          <w:szCs w:val="20"/>
          <w:color w:val="auto"/>
        </w:rPr>
      </w:pPr>
    </w:p>
    <w:p>
      <w:pPr>
        <w:spacing w:after="0" w:line="209" w:lineRule="exact"/>
        <w:rPr>
          <w:sz w:val="20"/>
          <w:szCs w:val="20"/>
          <w:color w:val="auto"/>
        </w:rPr>
      </w:pPr>
    </w:p>
    <w:p>
      <w:pPr>
        <w:ind w:left="960" w:right="2839" w:hanging="531"/>
        <w:spacing w:after="0" w:line="290"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interest expense net of interest income and excludes non-cash interest and subsidiary preferred dividends.</w:t>
      </w:r>
    </w:p>
    <w:p>
      <w:pPr>
        <w:spacing w:after="0" w:line="169" w:lineRule="exact"/>
        <w:rPr>
          <w:rFonts w:ascii="Courier New" w:cs="Courier New" w:eastAsia="Courier New" w:hAnsi="Courier New"/>
          <w:sz w:val="16"/>
          <w:szCs w:val="16"/>
          <w:color w:val="auto"/>
        </w:rPr>
      </w:pPr>
    </w:p>
    <w:p>
      <w:pPr>
        <w:ind w:left="960" w:right="2199" w:hanging="531"/>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Diluted weighted average shares outstanding for the three and twelve months ended December 31, 2003 were 2.269 billion and 2.256 billion, respectively. Diluted weighted average shares outstanding for the three and twelve months ended December 31, 2002 were 1.583 billion and 1.110 billion, respectively.</w:t>
      </w:r>
    </w:p>
    <w:p>
      <w:pPr>
        <w:spacing w:after="0" w:line="208" w:lineRule="exact"/>
        <w:rPr>
          <w:rFonts w:ascii="Courier New" w:cs="Courier New" w:eastAsia="Courier New" w:hAnsi="Courier New"/>
          <w:sz w:val="18"/>
          <w:szCs w:val="18"/>
          <w:color w:val="auto"/>
        </w:rPr>
      </w:pPr>
    </w:p>
    <w:p>
      <w:pPr>
        <w:ind w:left="960" w:right="2199" w:hanging="531"/>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record losses on our investments for which we have determined that a decline in value of the investment was considered other than temporary.</w:t>
      </w:r>
    </w:p>
    <w:p>
      <w:pPr>
        <w:spacing w:after="0" w:line="208" w:lineRule="exact"/>
        <w:rPr>
          <w:rFonts w:ascii="Courier New" w:cs="Courier New" w:eastAsia="Courier New" w:hAnsi="Courier New"/>
          <w:sz w:val="18"/>
          <w:szCs w:val="18"/>
          <w:color w:val="auto"/>
        </w:rPr>
      </w:pPr>
    </w:p>
    <w:p>
      <w:pPr>
        <w:ind w:left="960" w:right="2319" w:hanging="531"/>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investment, interest and dividend income, equity in net (income) losses of affiliates, other income (expense) and minority interest.</w:t>
      </w:r>
    </w:p>
    <w:p>
      <w:pPr>
        <w:spacing w:after="0" w:line="208" w:lineRule="exact"/>
        <w:rPr>
          <w:rFonts w:ascii="Courier New" w:cs="Courier New" w:eastAsia="Courier New" w:hAnsi="Courier New"/>
          <w:sz w:val="18"/>
          <w:szCs w:val="18"/>
          <w:color w:val="auto"/>
        </w:rPr>
      </w:pPr>
    </w:p>
    <w:p>
      <w:pPr>
        <w:ind w:left="960" w:right="3159" w:hanging="531"/>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approximately $850 million cash paid income taxes associated with the sale of QVC.</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SOURCE</w:t>
        <w:tab/>
        <w:t>Comcast Corporation</w:t>
      </w:r>
    </w:p>
    <w:p>
      <w:pPr>
        <w:ind w:left="420"/>
        <w:spacing w:after="0"/>
        <w:tabs>
          <w:tab w:leader="none" w:pos="3780" w:val="left"/>
        </w:tabs>
        <w:rPr>
          <w:sz w:val="20"/>
          <w:szCs w:val="20"/>
          <w:color w:val="auto"/>
        </w:rPr>
      </w:pP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02/11/2004</w:t>
      </w: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/CONTACT:</w:t>
        <w:tab/>
        <w:t>Marlene S. Dooner, Vice President, Investor Relations,</w:t>
      </w:r>
    </w:p>
    <w:p>
      <w:pPr>
        <w:spacing w:after="0" w:line="237" w:lineRule="auto"/>
        <w:rPr>
          <w:sz w:val="20"/>
          <w:szCs w:val="20"/>
          <w:color w:val="auto"/>
        </w:rPr>
      </w:pPr>
      <w:r>
        <w:rPr>
          <w:rFonts w:ascii="Courier New" w:cs="Courier New" w:eastAsia="Courier New" w:hAnsi="Courier New"/>
          <w:sz w:val="18"/>
          <w:szCs w:val="18"/>
          <w:color w:val="auto"/>
        </w:rPr>
        <w:t>+1-215-981-7392, or Leslie A. Arena, Director, Investor Relations,</w:t>
      </w:r>
    </w:p>
    <w:p>
      <w:pPr>
        <w:spacing w:after="0" w:line="238" w:lineRule="auto"/>
        <w:rPr>
          <w:sz w:val="20"/>
          <w:szCs w:val="20"/>
          <w:color w:val="auto"/>
        </w:rPr>
      </w:pPr>
      <w:r>
        <w:rPr>
          <w:rFonts w:ascii="Courier New" w:cs="Courier New" w:eastAsia="Courier New" w:hAnsi="Courier New"/>
          <w:sz w:val="18"/>
          <w:szCs w:val="18"/>
          <w:color w:val="auto"/>
        </w:rPr>
        <w:t>+1-215-981-8511, or Daniel J. Goodwin, Director, Investor Relations,</w:t>
      </w:r>
    </w:p>
    <w:p>
      <w:pPr>
        <w:spacing w:after="0"/>
        <w:rPr>
          <w:sz w:val="20"/>
          <w:szCs w:val="20"/>
          <w:color w:val="auto"/>
        </w:rPr>
      </w:pPr>
      <w:r>
        <w:rPr>
          <w:rFonts w:ascii="Courier New" w:cs="Courier New" w:eastAsia="Courier New" w:hAnsi="Courier New"/>
          <w:sz w:val="18"/>
          <w:szCs w:val="18"/>
          <w:color w:val="auto"/>
        </w:rPr>
        <w:t>+1-215-981-7518, all of Comcast/</w:t>
      </w:r>
    </w:p>
    <w:p>
      <w:pPr>
        <w:ind w:left="420"/>
        <w:spacing w:after="0"/>
        <w:tabs>
          <w:tab w:leader="none" w:pos="1680" w:val="left"/>
        </w:tabs>
        <w:rPr>
          <w:sz w:val="20"/>
          <w:szCs w:val="20"/>
          <w:color w:val="auto"/>
        </w:rPr>
      </w:pPr>
      <w:r>
        <w:rPr>
          <w:rFonts w:ascii="Courier New" w:cs="Courier New" w:eastAsia="Courier New" w:hAnsi="Courier New"/>
          <w:sz w:val="18"/>
          <w:szCs w:val="18"/>
          <w:color w:val="auto"/>
        </w:rPr>
        <w:t>/Web site:</w:t>
      </w:r>
      <w:r>
        <w:rPr>
          <w:sz w:val="20"/>
          <w:szCs w:val="20"/>
          <w:color w:val="auto"/>
        </w:rPr>
        <w:tab/>
      </w:r>
      <w:r>
        <w:rPr>
          <w:rFonts w:ascii="Courier New" w:cs="Courier New" w:eastAsia="Courier New" w:hAnsi="Courier New"/>
          <w:sz w:val="16"/>
          <w:szCs w:val="16"/>
          <w:color w:val="auto"/>
        </w:rPr>
        <w:t>http://www.cmcsa.com /</w:t>
      </w:r>
    </w:p>
    <w:p>
      <w:pPr>
        <w:ind w:left="420"/>
        <w:spacing w:after="0"/>
        <w:rPr>
          <w:sz w:val="20"/>
          <w:szCs w:val="20"/>
          <w:color w:val="auto"/>
        </w:rPr>
      </w:pPr>
      <w:r>
        <w:rPr>
          <w:rFonts w:ascii="Courier New" w:cs="Courier New" w:eastAsia="Courier New" w:hAnsi="Courier New"/>
          <w:sz w:val="18"/>
          <w:szCs w:val="18"/>
          <w:color w:val="auto"/>
        </w:rPr>
        <w:t>(CMCSA CMCSK)</w:t>
      </w:r>
    </w:p>
    <w:p>
      <w:pPr>
        <w:sectPr>
          <w:pgSz w:w="11900" w:h="16838" w:orient="portrait"/>
          <w:cols w:equalWidth="0" w:num="1">
            <w:col w:w="10219"/>
          </w:cols>
          <w:pgMar w:left="240" w:top="136" w:right="1440" w:bottom="0" w:gutter="0" w:footer="0" w:header="0"/>
        </w:sectPr>
      </w:pPr>
    </w:p>
    <w:bookmarkStart w:id="17" w:name="page18"/>
    <w:bookmarkEnd w:id="17"/>
    <w:p>
      <w:pPr>
        <w:spacing w:after="0"/>
        <w:tabs>
          <w:tab w:leader="none" w:pos="520" w:val="left"/>
        </w:tabs>
        <w:rPr>
          <w:sz w:val="20"/>
          <w:szCs w:val="20"/>
          <w:color w:val="auto"/>
        </w:rPr>
      </w:pPr>
      <w:r>
        <w:rPr>
          <w:rFonts w:ascii="Courier New" w:cs="Courier New" w:eastAsia="Courier New" w:hAnsi="Courier New"/>
          <w:sz w:val="16"/>
          <w:szCs w:val="16"/>
          <w:color w:val="auto"/>
        </w:rPr>
        <w:t>CO:</w:t>
        <w:tab/>
        <w:t>Comcast Corporation</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ST:</w:t>
        <w:tab/>
        <w:t>Pennsylvania</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IN:</w:t>
        <w:tab/>
        <w:t>ENT TVN CPR ITE</w:t>
      </w:r>
    </w:p>
    <w:p>
      <w:pPr>
        <w:spacing w:after="0"/>
        <w:tabs>
          <w:tab w:leader="none" w:pos="520" w:val="left"/>
        </w:tabs>
        <w:rPr>
          <w:sz w:val="20"/>
          <w:szCs w:val="20"/>
          <w:color w:val="auto"/>
        </w:rPr>
      </w:pPr>
      <w:r>
        <w:rPr>
          <w:rFonts w:ascii="Courier New" w:cs="Courier New" w:eastAsia="Courier New" w:hAnsi="Courier New"/>
          <w:sz w:val="18"/>
          <w:szCs w:val="18"/>
          <w:color w:val="auto"/>
        </w:rPr>
        <w:t>SU:</w:t>
        <w:tab/>
        <w:t>ERN CCA MAV</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847"/>
    </w:lvl>
  </w:abstractNum>
  <w:abstractNum w:abstractNumId="1">
    <w:nsid w:val="79E2A9E3"/>
    <w:multiLevelType w:val="hybridMultilevel"/>
    <w:lvl w:ilvl="0">
      <w:lvlJc w:val="left"/>
      <w:lvlText w:val="(%1)"/>
      <w:numFmt w:val="decimal"/>
      <w:start w:val="630"/>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295"/>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2019-12-15T07:22:32Z</dcterms:created>
  <dcterms:modified xsi:type="dcterms:W3CDTF">2019-12-15T07:22:32Z</dcterms:modified>
</cp:coreProperties>
</file>