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8-A</w:t>
      </w:r>
    </w:p>
    <w:p>
      <w:pPr>
        <w:spacing w:after="0" w:line="171"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OMCAST</w:t>
      </w:r>
      <w:r>
        <w:rPr>
          <w:rFonts w:ascii="Arial" w:cs="Arial" w:eastAsia="Arial" w:hAnsi="Arial"/>
          <w:sz w:val="18"/>
          <w:szCs w:val="18"/>
          <w:color w:val="auto"/>
        </w:rPr>
        <w:t xml:space="preserve"> C</w:t>
      </w:r>
      <w:r>
        <w:rPr>
          <w:rFonts w:ascii="Arial" w:cs="Arial" w:eastAsia="Arial" w:hAnsi="Arial"/>
          <w:sz w:val="14"/>
          <w:szCs w:val="14"/>
          <w:color w:val="auto"/>
        </w:rPr>
        <w:t>ABLE</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LLC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OMCAST</w:t>
      </w:r>
      <w:r>
        <w:rPr>
          <w:rFonts w:ascii="Arial" w:cs="Arial" w:eastAsia="Arial" w:hAnsi="Arial"/>
          <w:sz w:val="18"/>
          <w:szCs w:val="18"/>
          <w:color w:val="auto"/>
        </w:rPr>
        <w:t xml:space="preserve"> C</w:t>
      </w:r>
      <w:r>
        <w:rPr>
          <w:rFonts w:ascii="Arial" w:cs="Arial" w:eastAsia="Arial" w:hAnsi="Arial"/>
          <w:sz w:val="14"/>
          <w:szCs w:val="14"/>
          <w:color w:val="auto"/>
        </w:rPr>
        <w:t>ABLE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OMCAST</w:t>
      </w:r>
      <w:r>
        <w:rPr>
          <w:rFonts w:ascii="Arial" w:cs="Arial" w:eastAsia="Arial" w:hAnsi="Arial"/>
          <w:sz w:val="18"/>
          <w:szCs w:val="18"/>
          <w:color w:val="auto"/>
        </w:rPr>
        <w:t xml:space="preserve"> MO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OMCAST</w:t>
      </w:r>
      <w:r>
        <w:rPr>
          <w:rFonts w:ascii="Arial" w:cs="Arial" w:eastAsia="Arial" w:hAnsi="Arial"/>
          <w:sz w:val="18"/>
          <w:szCs w:val="18"/>
          <w:color w:val="auto"/>
        </w:rPr>
        <w:t xml:space="preserve"> MO </w:t>
      </w:r>
      <w:r>
        <w:rPr>
          <w:rFonts w:ascii="Arial" w:cs="Arial" w:eastAsia="Arial" w:hAnsi="Arial"/>
          <w:sz w:val="14"/>
          <w:szCs w:val="14"/>
          <w:color w:val="auto"/>
        </w:rPr>
        <w:t>OF</w:t>
      </w:r>
      <w:r>
        <w:rPr>
          <w:rFonts w:ascii="Arial" w:cs="Arial" w:eastAsia="Arial" w:hAnsi="Arial"/>
          <w:sz w:val="18"/>
          <w:szCs w:val="18"/>
          <w:color w:val="auto"/>
        </w:rPr>
        <w:t xml:space="preserve"> D</w:t>
      </w:r>
      <w:r>
        <w:rPr>
          <w:rFonts w:ascii="Arial" w:cs="Arial" w:eastAsia="Arial" w:hAnsi="Arial"/>
          <w:sz w:val="14"/>
          <w:szCs w:val="14"/>
          <w:color w:val="auto"/>
        </w:rPr>
        <w:t>ELAWARE</w:t>
      </w:r>
      <w:r>
        <w:rPr>
          <w:rFonts w:ascii="Arial" w:cs="Arial" w:eastAsia="Arial" w:hAnsi="Arial"/>
          <w:sz w:val="18"/>
          <w:szCs w:val="18"/>
          <w:color w:val="auto"/>
        </w:rPr>
        <w:t>,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78" w:lineRule="exact"/>
        <w:rPr>
          <w:sz w:val="24"/>
          <w:szCs w:val="24"/>
          <w:color w:val="auto"/>
        </w:rPr>
      </w:pPr>
    </w:p>
    <w:tbl>
      <w:tblPr>
        <w:tblLayout w:type="fixed"/>
        <w:tblInd w:w="214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96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6"/>
              </w:rPr>
              <w:t>PENNSYLVANIA</w:t>
            </w:r>
          </w:p>
        </w:tc>
        <w:tc>
          <w:tcPr>
            <w:tcW w:w="3380" w:type="dxa"/>
            <w:vAlign w:val="bottom"/>
            <w:gridSpan w:val="2"/>
          </w:tcPr>
          <w:p>
            <w:pPr>
              <w:jc w:val="center"/>
              <w:ind w:left="772"/>
              <w:spacing w:after="0"/>
              <w:rPr>
                <w:sz w:val="20"/>
                <w:szCs w:val="20"/>
                <w:color w:val="auto"/>
              </w:rPr>
            </w:pPr>
            <w:r>
              <w:rPr>
                <w:rFonts w:ascii="Arial" w:cs="Arial" w:eastAsia="Arial" w:hAnsi="Arial"/>
                <w:sz w:val="18"/>
                <w:szCs w:val="18"/>
                <w:b w:val="1"/>
                <w:bCs w:val="1"/>
                <w:color w:val="auto"/>
                <w:w w:val="87"/>
              </w:rPr>
              <w:t>27-0000798</w:t>
            </w:r>
          </w:p>
        </w:tc>
        <w:tc>
          <w:tcPr>
            <w:tcW w:w="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296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6"/>
              </w:rPr>
              <w:t>DELAWARE</w:t>
            </w:r>
          </w:p>
        </w:tc>
        <w:tc>
          <w:tcPr>
            <w:tcW w:w="3380" w:type="dxa"/>
            <w:vAlign w:val="bottom"/>
            <w:gridSpan w:val="2"/>
          </w:tcPr>
          <w:p>
            <w:pPr>
              <w:jc w:val="center"/>
              <w:ind w:left="772"/>
              <w:spacing w:after="0"/>
              <w:rPr>
                <w:sz w:val="20"/>
                <w:szCs w:val="20"/>
                <w:color w:val="auto"/>
              </w:rPr>
            </w:pPr>
            <w:r>
              <w:rPr>
                <w:rFonts w:ascii="Arial" w:cs="Arial" w:eastAsia="Arial" w:hAnsi="Arial"/>
                <w:sz w:val="18"/>
                <w:szCs w:val="18"/>
                <w:b w:val="1"/>
                <w:bCs w:val="1"/>
                <w:color w:val="auto"/>
                <w:w w:val="87"/>
              </w:rPr>
              <w:t>23-2175755</w:t>
            </w:r>
          </w:p>
        </w:tc>
        <w:tc>
          <w:tcPr>
            <w:tcW w:w="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296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6"/>
              </w:rPr>
              <w:t>DELAWARE</w:t>
            </w:r>
          </w:p>
        </w:tc>
        <w:tc>
          <w:tcPr>
            <w:tcW w:w="3380" w:type="dxa"/>
            <w:vAlign w:val="bottom"/>
            <w:gridSpan w:val="2"/>
          </w:tcPr>
          <w:p>
            <w:pPr>
              <w:jc w:val="center"/>
              <w:ind w:left="772"/>
              <w:spacing w:after="0"/>
              <w:rPr>
                <w:sz w:val="20"/>
                <w:szCs w:val="20"/>
                <w:color w:val="auto"/>
              </w:rPr>
            </w:pPr>
            <w:r>
              <w:rPr>
                <w:rFonts w:ascii="Arial" w:cs="Arial" w:eastAsia="Arial" w:hAnsi="Arial"/>
                <w:sz w:val="18"/>
                <w:szCs w:val="18"/>
                <w:b w:val="1"/>
                <w:bCs w:val="1"/>
                <w:color w:val="auto"/>
                <w:w w:val="87"/>
              </w:rPr>
              <w:t>84-1260157</w:t>
            </w:r>
          </w:p>
        </w:tc>
        <w:tc>
          <w:tcPr>
            <w:tcW w:w="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296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6"/>
              </w:rPr>
              <w:t>DELAWARE</w:t>
            </w:r>
          </w:p>
        </w:tc>
        <w:tc>
          <w:tcPr>
            <w:tcW w:w="3380" w:type="dxa"/>
            <w:vAlign w:val="bottom"/>
            <w:gridSpan w:val="2"/>
          </w:tcPr>
          <w:p>
            <w:pPr>
              <w:jc w:val="center"/>
              <w:ind w:left="772"/>
              <w:spacing w:after="0"/>
              <w:rPr>
                <w:sz w:val="20"/>
                <w:szCs w:val="20"/>
                <w:color w:val="auto"/>
              </w:rPr>
            </w:pPr>
            <w:r>
              <w:rPr>
                <w:rFonts w:ascii="Arial" w:cs="Arial" w:eastAsia="Arial" w:hAnsi="Arial"/>
                <w:sz w:val="18"/>
                <w:szCs w:val="18"/>
                <w:b w:val="1"/>
                <w:bCs w:val="1"/>
                <w:color w:val="auto"/>
                <w:w w:val="87"/>
              </w:rPr>
              <w:t>91-2047743</w:t>
            </w:r>
          </w:p>
        </w:tc>
        <w:tc>
          <w:tcPr>
            <w:tcW w:w="20" w:type="dxa"/>
            <w:vAlign w:val="bottom"/>
          </w:tcPr>
          <w:p>
            <w:pPr>
              <w:spacing w:after="0"/>
              <w:rPr>
                <w:sz w:val="18"/>
                <w:szCs w:val="18"/>
                <w:color w:val="auto"/>
              </w:rPr>
            </w:pPr>
          </w:p>
        </w:tc>
      </w:tr>
      <w:tr>
        <w:trPr>
          <w:trHeight w:val="222"/>
        </w:trPr>
        <w:tc>
          <w:tcPr>
            <w:tcW w:w="740" w:type="dxa"/>
            <w:vAlign w:val="bottom"/>
          </w:tcPr>
          <w:p>
            <w:pPr>
              <w:spacing w:after="0"/>
              <w:rPr>
                <w:sz w:val="19"/>
                <w:szCs w:val="19"/>
                <w:color w:val="auto"/>
              </w:rPr>
            </w:pPr>
          </w:p>
        </w:tc>
        <w:tc>
          <w:tcPr>
            <w:tcW w:w="296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6"/>
              </w:rPr>
              <w:t>DELAWARE</w:t>
            </w:r>
          </w:p>
        </w:tc>
        <w:tc>
          <w:tcPr>
            <w:tcW w:w="3380" w:type="dxa"/>
            <w:vAlign w:val="bottom"/>
            <w:gridSpan w:val="2"/>
          </w:tcPr>
          <w:p>
            <w:pPr>
              <w:jc w:val="center"/>
              <w:ind w:left="772"/>
              <w:spacing w:after="0"/>
              <w:rPr>
                <w:sz w:val="20"/>
                <w:szCs w:val="20"/>
                <w:color w:val="auto"/>
              </w:rPr>
            </w:pPr>
            <w:r>
              <w:rPr>
                <w:rFonts w:ascii="Arial" w:cs="Arial" w:eastAsia="Arial" w:hAnsi="Arial"/>
                <w:sz w:val="18"/>
                <w:szCs w:val="18"/>
                <w:b w:val="1"/>
                <w:bCs w:val="1"/>
                <w:color w:val="auto"/>
                <w:w w:val="87"/>
              </w:rPr>
              <w:t>84-1372033</w:t>
            </w:r>
          </w:p>
        </w:tc>
        <w:tc>
          <w:tcPr>
            <w:tcW w:w="20" w:type="dxa"/>
            <w:vAlign w:val="bottom"/>
          </w:tcPr>
          <w:p>
            <w:pPr>
              <w:spacing w:after="0"/>
              <w:rPr>
                <w:sz w:val="19"/>
                <w:szCs w:val="19"/>
                <w:color w:val="auto"/>
              </w:rPr>
            </w:pPr>
          </w:p>
        </w:tc>
      </w:tr>
      <w:tr>
        <w:trPr>
          <w:trHeight w:val="222"/>
        </w:trPr>
        <w:tc>
          <w:tcPr>
            <w:tcW w:w="370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(State of Incorporation or Organization)</w:t>
            </w:r>
          </w:p>
        </w:tc>
        <w:tc>
          <w:tcPr>
            <w:tcW w:w="3400" w:type="dxa"/>
            <w:vAlign w:val="bottom"/>
            <w:gridSpan w:val="3"/>
          </w:tcPr>
          <w:p>
            <w:pPr>
              <w:jc w:val="center"/>
              <w:ind w:left="752"/>
              <w:spacing w:after="0"/>
              <w:rPr>
                <w:sz w:val="20"/>
                <w:szCs w:val="20"/>
                <w:color w:val="auto"/>
              </w:rPr>
            </w:pPr>
            <w:r>
              <w:rPr>
                <w:rFonts w:ascii="Arial" w:cs="Arial" w:eastAsia="Arial" w:hAnsi="Arial"/>
                <w:sz w:val="18"/>
                <w:szCs w:val="18"/>
                <w:color w:val="auto"/>
                <w:w w:val="92"/>
              </w:rPr>
              <w:t>(I.R.S. Employer Identification No.)</w:t>
            </w:r>
          </w:p>
        </w:tc>
      </w:tr>
      <w:tr>
        <w:trPr>
          <w:trHeight w:val="433"/>
        </w:trPr>
        <w:tc>
          <w:tcPr>
            <w:tcW w:w="370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88"/>
              </w:rPr>
              <w:t>One Comcast Center</w:t>
            </w:r>
          </w:p>
        </w:tc>
        <w:tc>
          <w:tcPr>
            <w:tcW w:w="3380" w:type="dxa"/>
            <w:vAlign w:val="bottom"/>
            <w:gridSpan w:val="2"/>
          </w:tcPr>
          <w:p>
            <w:pPr>
              <w:jc w:val="center"/>
              <w:ind w:left="772"/>
              <w:spacing w:after="0"/>
              <w:rPr>
                <w:sz w:val="20"/>
                <w:szCs w:val="20"/>
                <w:color w:val="auto"/>
              </w:rPr>
            </w:pPr>
            <w:r>
              <w:rPr>
                <w:rFonts w:ascii="Arial" w:cs="Arial" w:eastAsia="Arial" w:hAnsi="Arial"/>
                <w:sz w:val="18"/>
                <w:szCs w:val="18"/>
                <w:b w:val="1"/>
                <w:bCs w:val="1"/>
                <w:color w:val="auto"/>
                <w:w w:val="87"/>
              </w:rPr>
              <w:t>19103-2838</w:t>
            </w:r>
          </w:p>
        </w:tc>
        <w:tc>
          <w:tcPr>
            <w:tcW w:w="20" w:type="dxa"/>
            <w:vAlign w:val="bottom"/>
          </w:tcPr>
          <w:p>
            <w:pPr>
              <w:spacing w:after="0"/>
              <w:rPr>
                <w:sz w:val="24"/>
                <w:szCs w:val="24"/>
                <w:color w:val="auto"/>
              </w:rPr>
            </w:pPr>
          </w:p>
        </w:tc>
      </w:tr>
      <w:tr>
        <w:trPr>
          <w:trHeight w:val="222"/>
        </w:trPr>
        <w:tc>
          <w:tcPr>
            <w:tcW w:w="740" w:type="dxa"/>
            <w:vAlign w:val="bottom"/>
          </w:tcPr>
          <w:p>
            <w:pPr>
              <w:spacing w:after="0"/>
              <w:rPr>
                <w:sz w:val="19"/>
                <w:szCs w:val="19"/>
                <w:color w:val="auto"/>
              </w:rPr>
            </w:pPr>
          </w:p>
        </w:tc>
        <w:tc>
          <w:tcPr>
            <w:tcW w:w="296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89"/>
              </w:rPr>
              <w:t>Philadelphia, PA</w:t>
            </w:r>
          </w:p>
        </w:tc>
        <w:tc>
          <w:tcPr>
            <w:tcW w:w="860" w:type="dxa"/>
            <w:vAlign w:val="bottom"/>
          </w:tcPr>
          <w:p>
            <w:pPr>
              <w:spacing w:after="0"/>
              <w:rPr>
                <w:sz w:val="19"/>
                <w:szCs w:val="19"/>
                <w:color w:val="auto"/>
              </w:rPr>
            </w:pPr>
          </w:p>
        </w:tc>
        <w:tc>
          <w:tcPr>
            <w:tcW w:w="25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(Zip Code)</w:t>
            </w:r>
          </w:p>
        </w:tc>
      </w:tr>
      <w:tr>
        <w:trPr>
          <w:trHeight w:val="222"/>
        </w:trPr>
        <w:tc>
          <w:tcPr>
            <w:tcW w:w="3700" w:type="dxa"/>
            <w:vAlign w:val="bottom"/>
            <w:gridSpan w:val="3"/>
          </w:tcPr>
          <w:p>
            <w:pPr>
              <w:jc w:val="center"/>
              <w:ind w:right="840"/>
              <w:spacing w:after="0"/>
              <w:rPr>
                <w:sz w:val="20"/>
                <w:szCs w:val="20"/>
                <w:color w:val="auto"/>
              </w:rPr>
            </w:pPr>
            <w:r>
              <w:rPr>
                <w:rFonts w:ascii="Arial" w:cs="Arial" w:eastAsia="Arial" w:hAnsi="Arial"/>
                <w:sz w:val="18"/>
                <w:szCs w:val="18"/>
                <w:color w:val="auto"/>
                <w:w w:val="90"/>
              </w:rPr>
              <w:t>(Address of Principal Executive Offices)</w:t>
            </w:r>
          </w:p>
        </w:tc>
        <w:tc>
          <w:tcPr>
            <w:tcW w:w="8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9"/>
        </w:trPr>
        <w:tc>
          <w:tcPr>
            <w:tcW w:w="740" w:type="dxa"/>
            <w:vAlign w:val="bottom"/>
          </w:tcPr>
          <w:p>
            <w:pPr>
              <w:spacing w:after="0"/>
              <w:rPr>
                <w:sz w:val="24"/>
                <w:szCs w:val="24"/>
                <w:color w:val="auto"/>
              </w:rPr>
            </w:pPr>
          </w:p>
        </w:tc>
        <w:tc>
          <w:tcPr>
            <w:tcW w:w="2960" w:type="dxa"/>
            <w:vAlign w:val="bottom"/>
            <w:gridSpan w:val="2"/>
          </w:tcPr>
          <w:p>
            <w:pPr>
              <w:jc w:val="center"/>
              <w:ind w:right="1580"/>
              <w:spacing w:after="0"/>
              <w:rPr>
                <w:sz w:val="20"/>
                <w:szCs w:val="20"/>
                <w:color w:val="auto"/>
              </w:rPr>
            </w:pPr>
            <w:r>
              <w:rPr>
                <w:rFonts w:ascii="Arial" w:cs="Arial" w:eastAsia="Arial" w:hAnsi="Arial"/>
                <w:sz w:val="18"/>
                <w:szCs w:val="18"/>
                <w:color w:val="auto"/>
                <w:w w:val="89"/>
              </w:rPr>
              <w:t>Title of Each Class</w:t>
            </w:r>
          </w:p>
        </w:tc>
        <w:tc>
          <w:tcPr>
            <w:tcW w:w="860" w:type="dxa"/>
            <w:vAlign w:val="bottom"/>
          </w:tcPr>
          <w:p>
            <w:pPr>
              <w:spacing w:after="0"/>
              <w:rPr>
                <w:sz w:val="24"/>
                <w:szCs w:val="24"/>
                <w:color w:val="auto"/>
              </w:rPr>
            </w:pPr>
          </w:p>
        </w:tc>
        <w:tc>
          <w:tcPr>
            <w:tcW w:w="25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Name of Each Exchange on Which</w:t>
            </w:r>
          </w:p>
        </w:tc>
      </w:tr>
      <w:tr>
        <w:trPr>
          <w:trHeight w:val="223"/>
        </w:trPr>
        <w:tc>
          <w:tcPr>
            <w:tcW w:w="74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to be so Registered</w:t>
            </w:r>
          </w:p>
        </w:tc>
        <w:tc>
          <w:tcPr>
            <w:tcW w:w="1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Each Class is to be Registered</w:t>
            </w:r>
          </w:p>
        </w:tc>
        <w:tc>
          <w:tcPr>
            <w:tcW w:w="20" w:type="dxa"/>
            <w:vAlign w:val="bottom"/>
          </w:tcPr>
          <w:p>
            <w:pPr>
              <w:spacing w:after="0"/>
              <w:rPr>
                <w:sz w:val="19"/>
                <w:szCs w:val="19"/>
                <w:color w:val="auto"/>
              </w:rPr>
            </w:pPr>
          </w:p>
        </w:tc>
      </w:tr>
      <w:tr>
        <w:trPr>
          <w:trHeight w:val="384"/>
        </w:trPr>
        <w:tc>
          <w:tcPr>
            <w:tcW w:w="3700" w:type="dxa"/>
            <w:vAlign w:val="bottom"/>
            <w:gridSpan w:val="3"/>
          </w:tcPr>
          <w:p>
            <w:pPr>
              <w:jc w:val="center"/>
              <w:ind w:right="860"/>
              <w:spacing w:after="0"/>
              <w:rPr>
                <w:sz w:val="20"/>
                <w:szCs w:val="20"/>
                <w:color w:val="auto"/>
              </w:rPr>
            </w:pPr>
            <w:r>
              <w:rPr>
                <w:rFonts w:ascii="Arial" w:cs="Arial" w:eastAsia="Arial" w:hAnsi="Arial"/>
                <w:sz w:val="18"/>
                <w:szCs w:val="18"/>
                <w:color w:val="auto"/>
                <w:w w:val="88"/>
              </w:rPr>
              <w:t>5.50% Notes Due 2029</w:t>
            </w:r>
          </w:p>
        </w:tc>
        <w:tc>
          <w:tcPr>
            <w:tcW w:w="860" w:type="dxa"/>
            <w:vAlign w:val="bottom"/>
          </w:tcPr>
          <w:p>
            <w:pPr>
              <w:spacing w:after="0"/>
              <w:rPr>
                <w:sz w:val="24"/>
                <w:szCs w:val="24"/>
                <w:color w:val="auto"/>
              </w:rPr>
            </w:pPr>
          </w:p>
        </w:tc>
        <w:tc>
          <w:tcPr>
            <w:tcW w:w="254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New York Stock Exchange</w:t>
            </w:r>
          </w:p>
        </w:tc>
      </w:tr>
    </w:tbl>
    <w:p>
      <w:pPr>
        <w:spacing w:after="0" w:line="156" w:lineRule="exact"/>
        <w:rPr>
          <w:sz w:val="24"/>
          <w:szCs w:val="24"/>
          <w:color w:val="auto"/>
        </w:rPr>
      </w:pPr>
    </w:p>
    <w:p>
      <w:pPr>
        <w:ind w:left="1500" w:right="1980"/>
        <w:spacing w:after="0" w:line="230" w:lineRule="exact"/>
        <w:rPr>
          <w:sz w:val="20"/>
          <w:szCs w:val="20"/>
          <w:color w:val="auto"/>
        </w:rPr>
      </w:pPr>
      <w:r>
        <w:rPr>
          <w:rFonts w:ascii="Arial" w:cs="Arial" w:eastAsia="Arial" w:hAnsi="Arial"/>
          <w:sz w:val="16"/>
          <w:szCs w:val="16"/>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left="1500" w:right="1980"/>
        <w:spacing w:after="0" w:line="230" w:lineRule="exact"/>
        <w:rPr>
          <w:sz w:val="20"/>
          <w:szCs w:val="20"/>
          <w:color w:val="auto"/>
        </w:rPr>
      </w:pPr>
      <w:r>
        <w:rPr>
          <w:rFonts w:ascii="Arial" w:cs="Arial" w:eastAsia="Arial" w:hAnsi="Arial"/>
          <w:sz w:val="16"/>
          <w:szCs w:val="16"/>
          <w:color w:val="auto"/>
        </w:rPr>
        <w:t xml:space="preserve">If this form relates to the registration of a class of securities pursuant to Section 12(g) of the Exchange Act and is effective pursuant to General Instruction A.(d), please check the following box. </w:t>
      </w:r>
      <w:r>
        <w:rPr>
          <w:rFonts w:ascii="MS PGothic" w:cs="MS PGothic" w:eastAsia="MS PGothic" w:hAnsi="MS PGothic"/>
          <w:sz w:val="16"/>
          <w:szCs w:val="16"/>
          <w:color w:val="auto"/>
        </w:rPr>
        <w:t>☐</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8740" w:type="dxa"/>
            <w:vAlign w:val="bottom"/>
            <w:gridSpan w:val="2"/>
          </w:tcPr>
          <w:p>
            <w:pPr>
              <w:ind w:left="1500"/>
              <w:spacing w:after="0"/>
              <w:rPr>
                <w:sz w:val="20"/>
                <w:szCs w:val="20"/>
                <w:color w:val="auto"/>
              </w:rPr>
            </w:pPr>
            <w:r>
              <w:rPr>
                <w:rFonts w:ascii="Arial" w:cs="Arial" w:eastAsia="Arial" w:hAnsi="Arial"/>
                <w:sz w:val="18"/>
                <w:szCs w:val="18"/>
                <w:color w:val="auto"/>
              </w:rPr>
              <w:t>Securities Act registration statement file number to which this form relates:</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333-158816</w:t>
            </w:r>
          </w:p>
        </w:tc>
        <w:tc>
          <w:tcPr>
            <w:tcW w:w="1480" w:type="dxa"/>
            <w:vAlign w:val="bottom"/>
          </w:tcPr>
          <w:p>
            <w:pPr>
              <w:spacing w:after="0"/>
              <w:rPr>
                <w:sz w:val="19"/>
                <w:szCs w:val="19"/>
                <w:color w:val="auto"/>
              </w:rPr>
            </w:pPr>
          </w:p>
        </w:tc>
      </w:tr>
      <w:tr>
        <w:trPr>
          <w:trHeight w:val="216"/>
        </w:trPr>
        <w:tc>
          <w:tcPr>
            <w:tcW w:w="15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(If applicable)</w:t>
            </w:r>
          </w:p>
        </w:tc>
        <w:tc>
          <w:tcPr>
            <w:tcW w:w="1480" w:type="dxa"/>
            <w:vAlign w:val="bottom"/>
          </w:tcPr>
          <w:p>
            <w:pPr>
              <w:spacing w:after="0"/>
              <w:rPr>
                <w:sz w:val="18"/>
                <w:szCs w:val="18"/>
                <w:color w:val="auto"/>
              </w:rPr>
            </w:pPr>
          </w:p>
        </w:tc>
      </w:tr>
      <w:tr>
        <w:trPr>
          <w:trHeight w:val="451"/>
        </w:trPr>
        <w:tc>
          <w:tcPr>
            <w:tcW w:w="8740" w:type="dxa"/>
            <w:vAlign w:val="bottom"/>
            <w:gridSpan w:val="2"/>
          </w:tcPr>
          <w:p>
            <w:pPr>
              <w:ind w:left="1500"/>
              <w:spacing w:after="0"/>
              <w:rPr>
                <w:sz w:val="20"/>
                <w:szCs w:val="20"/>
                <w:color w:val="auto"/>
              </w:rPr>
            </w:pPr>
            <w:r>
              <w:rPr>
                <w:rFonts w:ascii="Arial" w:cs="Arial" w:eastAsia="Arial" w:hAnsi="Arial"/>
                <w:sz w:val="18"/>
                <w:szCs w:val="18"/>
                <w:color w:val="auto"/>
              </w:rPr>
              <w:t>Securities to be registered pursuant to Section 12(g) of the Act:</w:t>
            </w: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20"/>
        </w:trPr>
        <w:tc>
          <w:tcPr>
            <w:tcW w:w="1500" w:type="dxa"/>
            <w:vAlign w:val="bottom"/>
          </w:tcPr>
          <w:p>
            <w:pPr>
              <w:spacing w:after="0"/>
              <w:rPr>
                <w:sz w:val="24"/>
                <w:szCs w:val="24"/>
                <w:color w:val="auto"/>
              </w:rPr>
            </w:pPr>
          </w:p>
        </w:tc>
        <w:tc>
          <w:tcPr>
            <w:tcW w:w="7240" w:type="dxa"/>
            <w:vAlign w:val="bottom"/>
            <w:tcBorders>
              <w:bottom w:val="single" w:sz="8" w:color="auto"/>
            </w:tcBorders>
          </w:tcPr>
          <w:p>
            <w:pPr>
              <w:jc w:val="center"/>
              <w:ind w:left="1092"/>
              <w:spacing w:after="0"/>
              <w:rPr>
                <w:sz w:val="20"/>
                <w:szCs w:val="20"/>
                <w:color w:val="auto"/>
              </w:rPr>
            </w:pPr>
            <w:r>
              <w:rPr>
                <w:rFonts w:ascii="Arial" w:cs="Arial" w:eastAsia="Arial" w:hAnsi="Arial"/>
                <w:sz w:val="18"/>
                <w:szCs w:val="18"/>
                <w:color w:val="auto"/>
                <w:w w:val="88"/>
              </w:rPr>
              <w:t>None</w:t>
            </w:r>
          </w:p>
        </w:tc>
        <w:tc>
          <w:tcPr>
            <w:tcW w:w="120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r>
      <w:tr>
        <w:trPr>
          <w:trHeight w:val="217"/>
        </w:trPr>
        <w:tc>
          <w:tcPr>
            <w:tcW w:w="1500" w:type="dxa"/>
            <w:vAlign w:val="bottom"/>
          </w:tcPr>
          <w:p>
            <w:pPr>
              <w:spacing w:after="0"/>
              <w:rPr>
                <w:sz w:val="18"/>
                <w:szCs w:val="18"/>
                <w:color w:val="auto"/>
              </w:rPr>
            </w:pPr>
          </w:p>
        </w:tc>
        <w:tc>
          <w:tcPr>
            <w:tcW w:w="7240" w:type="dxa"/>
            <w:vAlign w:val="bottom"/>
          </w:tcPr>
          <w:p>
            <w:pPr>
              <w:jc w:val="center"/>
              <w:ind w:left="1092"/>
              <w:spacing w:after="0"/>
              <w:rPr>
                <w:sz w:val="20"/>
                <w:szCs w:val="20"/>
                <w:color w:val="auto"/>
              </w:rPr>
            </w:pPr>
            <w:r>
              <w:rPr>
                <w:rFonts w:ascii="Arial" w:cs="Arial" w:eastAsia="Arial" w:hAnsi="Arial"/>
                <w:sz w:val="18"/>
                <w:szCs w:val="18"/>
                <w:color w:val="auto"/>
                <w:w w:val="91"/>
              </w:rPr>
              <w:t>(Title of Class)</w:t>
            </w:r>
          </w:p>
        </w:tc>
        <w:tc>
          <w:tcPr>
            <w:tcW w:w="1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65"/>
        </w:trPr>
        <w:tc>
          <w:tcPr>
            <w:tcW w:w="150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71" w:right="2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REQUIRED IN REGISTRATION STATEMENT</w:t>
      </w:r>
    </w:p>
    <w:p>
      <w:pPr>
        <w:spacing w:after="0" w:line="171"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pursuant to Rule 424(b) under the Securities Act of 1933 (“</w:t>
      </w:r>
      <w:r>
        <w:rPr>
          <w:rFonts w:ascii="Arial" w:cs="Arial" w:eastAsia="Arial" w:hAnsi="Arial"/>
          <w:sz w:val="16"/>
          <w:szCs w:val="16"/>
          <w:b w:val="1"/>
          <w:bCs w:val="1"/>
          <w:color w:val="auto"/>
        </w:rPr>
        <w:t>Rule 424(b)</w:t>
      </w:r>
      <w:r>
        <w:rPr>
          <w:rFonts w:ascii="Arial" w:cs="Arial" w:eastAsia="Arial" w:hAnsi="Arial"/>
          <w:sz w:val="16"/>
          <w:szCs w:val="16"/>
          <w:color w:val="auto"/>
        </w:rPr>
        <w:t>”) a prospectus supplement dated November 17, 2010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to a Prospectus dated April 27, 2009 contained in the Company’s effective Registration Statement on Form S-3 (Registration No. 333-158816), which Registration Statement was filed with the Securities and Exchange Commission on April 27, 2009 (the “</w:t>
      </w:r>
      <w:r>
        <w:rPr>
          <w:rFonts w:ascii="Arial" w:cs="Arial" w:eastAsia="Arial" w:hAnsi="Arial"/>
          <w:sz w:val="16"/>
          <w:szCs w:val="16"/>
          <w:b w:val="1"/>
          <w:bCs w:val="1"/>
          <w:color w:val="auto"/>
        </w:rPr>
        <w:t>Prospectus</w:t>
      </w:r>
      <w:r>
        <w:rPr>
          <w:rFonts w:ascii="Arial" w:cs="Arial" w:eastAsia="Arial" w:hAnsi="Arial"/>
          <w:sz w:val="16"/>
          <w:szCs w:val="16"/>
          <w:color w:val="auto"/>
        </w:rPr>
        <w:t>”), relating to the securities to be registered hereunder. The Company incorporates by reference the Prospectus and the Prospectus Supplement to the extent set forth below.</w:t>
      </w:r>
    </w:p>
    <w:p>
      <w:pPr>
        <w:spacing w:after="0" w:line="235"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i w:val="1"/>
          <w:iCs w:val="1"/>
          <w:color w:val="auto"/>
        </w:rPr>
        <w:t>Item 1.</w:t>
      </w:r>
      <w:r>
        <w:rPr>
          <w:sz w:val="20"/>
          <w:szCs w:val="20"/>
          <w:color w:val="auto"/>
        </w:rPr>
        <w:tab/>
      </w:r>
      <w:r>
        <w:rPr>
          <w:rFonts w:ascii="Arial" w:cs="Arial" w:eastAsia="Arial" w:hAnsi="Arial"/>
          <w:sz w:val="15"/>
          <w:szCs w:val="15"/>
          <w:i w:val="1"/>
          <w:iCs w:val="1"/>
          <w:color w:val="auto"/>
        </w:rPr>
        <w:t>Description of Registrant’s Securities to be Registered</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captioned “Description of the Notes” and “Material U.S. Federal Income Tax Consequences” in the Prospectus Supplement and “Description of Debt Securities and Cable Guarantees” in the Prospectus.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20" w:type="dxa"/>
            <w:vAlign w:val="bottom"/>
            <w:gridSpan w:val="2"/>
          </w:tcPr>
          <w:p>
            <w:pPr>
              <w:ind w:left="460"/>
              <w:spacing w:after="0"/>
              <w:rPr>
                <w:sz w:val="20"/>
                <w:szCs w:val="20"/>
                <w:color w:val="auto"/>
              </w:rPr>
            </w:pPr>
            <w:r>
              <w:rPr>
                <w:rFonts w:ascii="Arial" w:cs="Arial" w:eastAsia="Arial" w:hAnsi="Arial"/>
                <w:sz w:val="18"/>
                <w:szCs w:val="18"/>
                <w:i w:val="1"/>
                <w:iCs w:val="1"/>
                <w:color w:val="auto"/>
              </w:rPr>
              <w:t>Item 2.</w:t>
            </w:r>
          </w:p>
        </w:tc>
        <w:tc>
          <w:tcPr>
            <w:tcW w:w="9920" w:type="dxa"/>
            <w:vAlign w:val="bottom"/>
            <w:gridSpan w:val="2"/>
          </w:tcPr>
          <w:p>
            <w:pPr>
              <w:ind w:left="60"/>
              <w:spacing w:after="0"/>
              <w:rPr>
                <w:sz w:val="20"/>
                <w:szCs w:val="20"/>
                <w:color w:val="auto"/>
              </w:rPr>
            </w:pPr>
            <w:r>
              <w:rPr>
                <w:rFonts w:ascii="Arial" w:cs="Arial" w:eastAsia="Arial" w:hAnsi="Arial"/>
                <w:sz w:val="18"/>
                <w:szCs w:val="18"/>
                <w:i w:val="1"/>
                <w:iCs w:val="1"/>
                <w:color w:val="auto"/>
              </w:rPr>
              <w:t>Exhibits</w:t>
            </w:r>
          </w:p>
        </w:tc>
      </w:tr>
      <w:tr>
        <w:trPr>
          <w:trHeight w:val="406"/>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24"/>
                <w:szCs w:val="24"/>
                <w:color w:val="auto"/>
              </w:rPr>
            </w:pPr>
          </w:p>
        </w:tc>
        <w:tc>
          <w:tcPr>
            <w:tcW w:w="9040" w:type="dxa"/>
            <w:vAlign w:val="bottom"/>
          </w:tcPr>
          <w:p>
            <w:pPr>
              <w:spacing w:after="0"/>
              <w:rPr>
                <w:sz w:val="24"/>
                <w:szCs w:val="24"/>
                <w:color w:val="auto"/>
              </w:rPr>
            </w:pPr>
          </w:p>
        </w:tc>
      </w:tr>
      <w:tr>
        <w:trPr>
          <w:trHeight w:val="229"/>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78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9040" w:type="dxa"/>
            <w:vAlign w:val="bottom"/>
          </w:tcPr>
          <w:p>
            <w:pPr>
              <w:spacing w:after="0"/>
              <w:rPr>
                <w:sz w:val="19"/>
                <w:szCs w:val="19"/>
                <w:color w:val="auto"/>
              </w:rPr>
            </w:pPr>
          </w:p>
        </w:tc>
      </w:tr>
      <w:tr>
        <w:trPr>
          <w:trHeight w:val="412"/>
        </w:trPr>
        <w:tc>
          <w:tcPr>
            <w:tcW w:w="64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9"/>
              </w:rPr>
              <w:t>Indenture dated as of January 7, 2003 (the “</w:t>
            </w:r>
            <w:r>
              <w:rPr>
                <w:rFonts w:ascii="Arial" w:cs="Arial" w:eastAsia="Arial" w:hAnsi="Arial"/>
                <w:sz w:val="18"/>
                <w:szCs w:val="18"/>
                <w:b w:val="1"/>
                <w:bCs w:val="1"/>
                <w:color w:val="auto"/>
                <w:w w:val="89"/>
              </w:rPr>
              <w:t>Indenture</w:t>
            </w:r>
            <w:r>
              <w:rPr>
                <w:rFonts w:ascii="Arial" w:cs="Arial" w:eastAsia="Arial" w:hAnsi="Arial"/>
                <w:sz w:val="18"/>
                <w:szCs w:val="18"/>
                <w:color w:val="auto"/>
                <w:w w:val="89"/>
              </w:rPr>
              <w:t>”) by and among the Company, the cable guarantors named therein and The Bank of</w:t>
            </w:r>
          </w:p>
        </w:tc>
      </w:tr>
      <w:tr>
        <w:trPr>
          <w:trHeight w:val="222"/>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2"/>
              </w:rPr>
              <w:t>New York Mellon (formerly known as The Bank of New York), as trustee (the “</w:t>
            </w:r>
            <w:r>
              <w:rPr>
                <w:rFonts w:ascii="Arial" w:cs="Arial" w:eastAsia="Arial" w:hAnsi="Arial"/>
                <w:sz w:val="18"/>
                <w:szCs w:val="18"/>
                <w:b w:val="1"/>
                <w:bCs w:val="1"/>
                <w:color w:val="auto"/>
                <w:w w:val="92"/>
              </w:rPr>
              <w:t>Trustee</w:t>
            </w:r>
            <w:r>
              <w:rPr>
                <w:rFonts w:ascii="Arial" w:cs="Arial" w:eastAsia="Arial" w:hAnsi="Arial"/>
                <w:sz w:val="18"/>
                <w:szCs w:val="18"/>
                <w:color w:val="auto"/>
                <w:w w:val="92"/>
              </w:rPr>
              <w:t>”) (incorporated by reference to Exhibit 4.4 to the</w:t>
            </w:r>
          </w:p>
        </w:tc>
      </w:tr>
      <w:tr>
        <w:trPr>
          <w:trHeight w:val="222"/>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Company’s Annual Report on Form 10-K filed with the Commission on February 20, 2009).</w:t>
            </w:r>
          </w:p>
        </w:tc>
      </w:tr>
      <w:tr>
        <w:trPr>
          <w:trHeight w:val="426"/>
        </w:trPr>
        <w:tc>
          <w:tcPr>
            <w:tcW w:w="64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9"/>
              </w:rPr>
              <w:t>First Supplemental Indenture dated as of March 25, 2003 by and among the Company, the cable guarantors named therein and the Trustee</w:t>
            </w:r>
          </w:p>
        </w:tc>
      </w:tr>
      <w:tr>
        <w:trPr>
          <w:trHeight w:val="222"/>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0"/>
              </w:rPr>
              <w:t>(incorporated by reference to Exhibit 4.5 to the Company’s Annual Report on Form 10-K filed with the Commission on February 20, 2009).</w:t>
            </w:r>
          </w:p>
        </w:tc>
      </w:tr>
      <w:tr>
        <w:trPr>
          <w:trHeight w:val="426"/>
        </w:trPr>
        <w:tc>
          <w:tcPr>
            <w:tcW w:w="64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86"/>
              </w:rPr>
              <w:t>Second Supplemental Indenture dated as of August 31, 2009 by and among the Company, the cable guarantors named therein and the Trustee</w:t>
            </w:r>
          </w:p>
        </w:tc>
      </w:tr>
      <w:tr>
        <w:trPr>
          <w:trHeight w:val="222"/>
        </w:trPr>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(incorporated by reference to the Company’s Current Report on Form 8-K filed with the Commission on September 2, 2009).</w:t>
            </w:r>
          </w:p>
        </w:tc>
      </w:tr>
      <w:tr>
        <w:trPr>
          <w:trHeight w:val="432"/>
        </w:trPr>
        <w:tc>
          <w:tcPr>
            <w:tcW w:w="64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78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Form of Officers’ Certificate setting forth the terms of the Notes.</w:t>
            </w:r>
          </w:p>
        </w:tc>
      </w:tr>
      <w:tr>
        <w:trPr>
          <w:trHeight w:val="365"/>
        </w:trPr>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920" w:type="dxa"/>
            <w:vAlign w:val="bottom"/>
            <w:gridSpan w:val="2"/>
          </w:tcPr>
          <w:p>
            <w:pPr>
              <w:ind w:left="426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60"/>
          </w:cols>
          <w:pgMar w:left="240" w:top="341" w:right="29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registrants have duly caused this registration statement to be signed on its behalf by the undersigned, thereto duly authorized.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Holdings,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MO Group,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MO of Delaware, LLC</w:t>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15" w:lineRule="exact"/>
        <w:rPr>
          <w:sz w:val="20"/>
          <w:szCs w:val="20"/>
          <w:color w:val="auto"/>
        </w:rPr>
      </w:pPr>
    </w:p>
    <w:p>
      <w:pPr>
        <w:ind w:left="7200"/>
        <w:spacing w:after="0"/>
        <w:tabs>
          <w:tab w:leader="none" w:pos="7800" w:val="left"/>
        </w:tabs>
        <w:rPr>
          <w:sz w:val="20"/>
          <w:szCs w:val="20"/>
          <w:color w:val="auto"/>
        </w:rPr>
      </w:pPr>
      <w:r>
        <w:rPr>
          <w:rFonts w:ascii="Arial" w:cs="Arial" w:eastAsia="Arial" w:hAnsi="Arial"/>
          <w:sz w:val="18"/>
          <w:szCs w:val="18"/>
          <w:color w:val="auto"/>
        </w:rPr>
        <w:t>Title:</w:t>
        <w:tab/>
        <w:t>Senior Vice President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2010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34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23, 2010</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Pursuant to Section 2.03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xml:space="preserve">)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named therein (the </w:t>
      </w:r>
      <w:r>
        <w:rPr>
          <w:rFonts w:ascii="Arial" w:cs="Arial" w:eastAsia="Arial" w:hAnsi="Arial"/>
          <w:sz w:val="16"/>
          <w:szCs w:val="16"/>
          <w:b w:val="1"/>
          <w:bCs w:val="1"/>
          <w:color w:val="auto"/>
        </w:rPr>
        <w:t>“Cable</w:t>
      </w:r>
      <w:r>
        <w:rPr>
          <w:rFonts w:ascii="Arial" w:cs="Arial" w:eastAsia="Arial" w:hAnsi="Arial"/>
          <w:sz w:val="16"/>
          <w:szCs w:val="16"/>
          <w:color w:val="auto"/>
        </w:rPr>
        <w:t xml:space="preserv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and guaranteed on an unsecured and unsubordinated basis by the Cable Guarantors, the undersigned officers of the Company do</w:t>
      </w:r>
      <w:r>
        <w:rPr>
          <w:rFonts w:ascii="Arial" w:cs="Arial" w:eastAsia="Arial" w:hAnsi="Arial"/>
          <w:sz w:val="16"/>
          <w:szCs w:val="16"/>
          <w:b w:val="1"/>
          <w:bCs w:val="1"/>
          <w:color w:val="auto"/>
        </w:rPr>
        <w:t xml:space="preserve"> </w:t>
      </w:r>
      <w:r>
        <w:rPr>
          <w:rFonts w:ascii="Arial" w:cs="Arial" w:eastAsia="Arial" w:hAnsi="Arial"/>
          <w:sz w:val="16"/>
          <w:szCs w:val="16"/>
          <w:color w:val="auto"/>
        </w:rPr>
        <w:t>hereby certify, in connection with the issuance of the Company’s £625,000,000 aggregate principal amount of 5.50% Notes Due 2029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 the Notes are as follows:</w:t>
      </w:r>
    </w:p>
    <w:p>
      <w:pPr>
        <w:sectPr>
          <w:pgSz w:w="11900" w:h="16838" w:orient="portrait"/>
          <w:cols w:equalWidth="0" w:num="1">
            <w:col w:w="11420"/>
          </w:cols>
          <w:pgMar w:left="240" w:top="139" w:right="23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Title: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5.50% Notes Due 2029</w:t>
      </w:r>
    </w:p>
    <w:p>
      <w:pPr>
        <w:spacing w:after="0" w:line="211" w:lineRule="exact"/>
        <w:rPr>
          <w:sz w:val="20"/>
          <w:szCs w:val="20"/>
          <w:color w:val="auto"/>
        </w:rPr>
      </w:pPr>
    </w:p>
    <w:p>
      <w:pPr>
        <w:sectPr>
          <w:pgSz w:w="11900" w:h="16838" w:orient="portrait"/>
          <w:cols w:equalWidth="0" w:num="2">
            <w:col w:w="3740" w:space="720"/>
            <w:col w:w="6960"/>
          </w:cols>
          <w:pgMar w:left="240" w:top="13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£625,000,000</w:t>
      </w:r>
    </w:p>
    <w:p>
      <w:pPr>
        <w:spacing w:after="0" w:line="200" w:lineRule="exact"/>
        <w:rPr>
          <w:sz w:val="20"/>
          <w:szCs w:val="20"/>
          <w:color w:val="auto"/>
        </w:rPr>
      </w:pPr>
    </w:p>
    <w:p>
      <w:pPr>
        <w:sectPr>
          <w:pgSz w:w="11900" w:h="16838" w:orient="portrait"/>
          <w:cols w:equalWidth="0" w:num="2">
            <w:col w:w="3740" w:space="720"/>
            <w:col w:w="6960"/>
          </w:cols>
          <w:pgMar w:left="240" w:top="13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Payment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November 23, 2029</w:t>
      </w:r>
    </w:p>
    <w:p>
      <w:pPr>
        <w:spacing w:after="0" w:line="211" w:lineRule="exact"/>
        <w:rPr>
          <w:sz w:val="20"/>
          <w:szCs w:val="20"/>
          <w:color w:val="auto"/>
        </w:rPr>
      </w:pPr>
    </w:p>
    <w:p>
      <w:pPr>
        <w:sectPr>
          <w:pgSz w:w="11900" w:h="16838" w:orient="portrait"/>
          <w:cols w:equalWidth="0" w:num="2">
            <w:col w:w="3740" w:space="720"/>
            <w:col w:w="6960"/>
          </w:cols>
          <w:pgMar w:left="240" w:top="13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5.50%</w:t>
      </w:r>
    </w:p>
    <w:p>
      <w:pPr>
        <w:spacing w:after="0" w:line="113" w:lineRule="exact"/>
        <w:rPr>
          <w:sz w:val="20"/>
          <w:szCs w:val="20"/>
          <w:color w:val="auto"/>
        </w:rPr>
      </w:pPr>
    </w:p>
    <w:p>
      <w:pPr>
        <w:sectPr>
          <w:pgSz w:w="11900" w:h="16838" w:orient="portrait"/>
          <w:cols w:equalWidth="0" w:num="2">
            <w:col w:w="3740" w:space="720"/>
            <w:col w:w="6960"/>
          </w:cols>
          <w:pgMar w:left="240" w:top="139" w:right="239" w:bottom="1440" w:gutter="0" w:footer="0" w:header="0"/>
          <w:type w:val="continuous"/>
        </w:sectPr>
      </w:pPr>
    </w:p>
    <w:p>
      <w:pPr>
        <w:ind w:left="4460" w:right="80"/>
        <w:spacing w:after="0" w:line="290" w:lineRule="auto"/>
        <w:rPr>
          <w:sz w:val="20"/>
          <w:szCs w:val="20"/>
          <w:color w:val="auto"/>
        </w:rPr>
      </w:pPr>
      <w:r>
        <w:rPr>
          <w:rFonts w:ascii="Arial" w:cs="Arial" w:eastAsia="Arial" w:hAnsi="Arial"/>
          <w:sz w:val="16"/>
          <w:szCs w:val="16"/>
          <w:color w:val="auto"/>
        </w:rPr>
        <w:t>Interest on the Notes will be computed on the basis of the actual number of days in the period for which interest is being calculated and the actual number of days from and including the date from which interest begins to accrue for the period (or November 23, 2010 if no interest has been paid on the Notes), to but excluding the next scheduled interest payment date. If the scheduled interest payment date is not a business day, then interest will be paid on the first business day following the scheduled interest payment date. Interest periods are unadjusted. The day count convention is ACTUAL/ACTUAL (ICMA).</w:t>
      </w:r>
    </w:p>
    <w:p>
      <w:pPr>
        <w:sectPr>
          <w:pgSz w:w="11900" w:h="16838" w:orient="portrait"/>
          <w:cols w:equalWidth="0" w:num="1">
            <w:col w:w="11420"/>
          </w:cols>
          <w:pgMar w:left="240" w:top="139"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i w:val="1"/>
          <w:iCs w:val="1"/>
          <w:color w:val="auto"/>
        </w:rPr>
        <w:t>Optional Redemption:</w:t>
      </w:r>
    </w:p>
    <w:p>
      <w:pPr>
        <w:spacing w:after="0" w:line="20" w:lineRule="exact"/>
        <w:rPr>
          <w:sz w:val="20"/>
          <w:szCs w:val="20"/>
          <w:color w:val="auto"/>
        </w:rPr>
      </w:pPr>
      <w:r>
        <w:rPr>
          <w:sz w:val="20"/>
          <w:szCs w:val="20"/>
          <w:color w:val="auto"/>
        </w:rPr>
        <w:br w:type="column"/>
      </w:r>
    </w:p>
    <w:p>
      <w:pPr>
        <w:ind w:right="80"/>
        <w:spacing w:after="0" w:line="288" w:lineRule="auto"/>
        <w:rPr>
          <w:sz w:val="20"/>
          <w:szCs w:val="20"/>
          <w:color w:val="auto"/>
        </w:rPr>
      </w:pPr>
      <w:r>
        <w:rPr>
          <w:rFonts w:ascii="Arial" w:cs="Arial" w:eastAsia="Arial" w:hAnsi="Arial"/>
          <w:sz w:val="16"/>
          <w:szCs w:val="16"/>
          <w:color w:val="auto"/>
        </w:rPr>
        <w:t>The Company may at its option redeem the Notes in whole or in part, at any time or from time to time prior to their maturity, on at least 30 days, but not more than 60 days, prior notice mailed to the registered address of each holder of the Notes, at a redemption price equal to the greater of (i) 100% of the principal amount of the Notes and (ii) the sum of the present values of the remaining scheduled payments of principal and interest thereon (exclusive of interest accrued to the date of redemption) discounted to the redemption date on an annual basis (ACTUAL/ACTUAL (ICMA)) at the Comparable Government Bond Rate (as defined in the Notes) plus 28 basis points, plus, in each case, accrued and unpaid interest thereon to the date of redemption, and as further described in the Prospectus Supplement dated November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-1393190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3740" w:space="720"/>
            <w:col w:w="6960"/>
          </w:cols>
          <w:pgMar w:left="240" w:top="347" w:right="239" w:bottom="1440" w:gutter="0" w:footer="0" w:header="0"/>
        </w:sectPr>
      </w:pPr>
    </w:p>
    <w:p>
      <w:pPr>
        <w:spacing w:after="0"/>
        <w:rPr>
          <w:sz w:val="20"/>
          <w:szCs w:val="20"/>
          <w:color w:val="auto"/>
        </w:rPr>
      </w:pPr>
      <w:r>
        <w:rPr>
          <w:rFonts w:ascii="Arial" w:cs="Arial" w:eastAsia="Arial" w:hAnsi="Arial"/>
          <w:sz w:val="16"/>
          <w:szCs w:val="16"/>
          <w:i w:val="1"/>
          <w:iCs w:val="1"/>
          <w:color w:val="auto"/>
        </w:rPr>
        <w:t>Additional Amounts:</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The Company will, subject to certain exceptions and limitations set forth in the Prospectus Supplement dated November 17, 2010, pay additional amounts on the Notes as are necessary in order that the net payment by the Company or a paying agent of the principal of and interest on the Notes to a holder who is not a United States person, after withholding or deduction for any present or future tax, assessment or other governmental charge imposed by the United States or a taxing authority in the United States will not be less than the amount provided in the Notes to be then due and payable. See “Description of the Notes—Payment of Additional Amounts” in the Prospectus Supplement dated November 17, 2010.</w:t>
      </w:r>
    </w:p>
    <w:p>
      <w:pPr>
        <w:spacing w:after="0" w:line="172" w:lineRule="exact"/>
        <w:rPr>
          <w:sz w:val="20"/>
          <w:szCs w:val="20"/>
          <w:color w:val="auto"/>
        </w:rPr>
      </w:pPr>
    </w:p>
    <w:p>
      <w:pPr>
        <w:sectPr>
          <w:pgSz w:w="11900" w:h="16838" w:orient="portrait"/>
          <w:cols w:equalWidth="0" w:num="2">
            <w:col w:w="3740" w:space="720"/>
            <w:col w:w="6960"/>
          </w:cols>
          <w:pgMar w:left="240" w:top="347" w:right="2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Redemption for Tax Reasons:</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The Company may offer to redeem all but not part of the Notes in the event of certain changes in the tax laws of the United States (or any</w:t>
      </w:r>
    </w:p>
    <w:p>
      <w:pPr>
        <w:spacing w:after="0" w:line="118" w:lineRule="exact"/>
        <w:rPr>
          <w:sz w:val="20"/>
          <w:szCs w:val="20"/>
          <w:color w:val="auto"/>
        </w:rPr>
      </w:pPr>
    </w:p>
    <w:p>
      <w:pPr>
        <w:sectPr>
          <w:pgSz w:w="11900" w:h="16838" w:orient="portrait"/>
          <w:cols w:equalWidth="0" w:num="2">
            <w:col w:w="3740" w:space="720"/>
            <w:col w:w="6960"/>
          </w:cols>
          <w:pgMar w:left="240" w:top="347"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47" w:right="239" w:bottom="1440" w:gutter="0" w:footer="0" w:header="0"/>
          <w:type w:val="continuous"/>
        </w:sectPr>
      </w:pPr>
    </w:p>
    <w:bookmarkStart w:id="5" w:name="page6"/>
    <w:bookmarkEnd w:id="5"/>
    <w:p>
      <w:pPr>
        <w:ind w:left="4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taxing authority in the United States). This redemption would be at 100% of the principal amount, together with interest accrued but unpaid on the Notes to the date fixed for redemption. See “Description of the Notes—Redemption for Tax Reasons” in the Prospectus Supplement dated November 17, 2010.</w:t>
      </w:r>
    </w:p>
    <w:p>
      <w:pPr>
        <w:sectPr>
          <w:pgSz w:w="11900" w:h="16838" w:orient="portrait"/>
          <w:cols w:equalWidth="0" w:num="1">
            <w:col w:w="11360"/>
          </w:cols>
          <w:pgMar w:left="240" w:top="280" w:right="29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Additional Issuances: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Notes need not be issued at the same time and the series may be reopened for issuance of an unlimited principal amount of additional Notes under this series. Additional Notes of this series will be consolidated with, and form a single series with, Notes then outstanding, including for purposes of determining whether the required percentage of the holders of record has given approval or consent to an amendment or waiver or joined in directing the Trustee to take certain actions on behalf of all holders.</w:t>
      </w:r>
    </w:p>
    <w:p>
      <w:pPr>
        <w:spacing w:after="0" w:line="174" w:lineRule="exact"/>
        <w:rPr>
          <w:sz w:val="20"/>
          <w:szCs w:val="20"/>
          <w:color w:val="auto"/>
        </w:rPr>
      </w:pPr>
    </w:p>
    <w:p>
      <w:pPr>
        <w:sectPr>
          <w:pgSz w:w="11900" w:h="16838" w:orient="portrait"/>
          <w:cols w:equalWidth="0" w:num="2">
            <w:col w:w="3740" w:space="720"/>
            <w:col w:w="6900"/>
          </w:cols>
          <w:pgMar w:left="240" w:top="280" w:right="29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Currency of Payment</w:t>
      </w:r>
    </w:p>
    <w:p>
      <w:pPr>
        <w:spacing w:after="0" w:line="20" w:lineRule="exact"/>
        <w:rPr>
          <w:sz w:val="20"/>
          <w:szCs w:val="20"/>
          <w:color w:val="auto"/>
        </w:rPr>
      </w:pPr>
      <w:r>
        <w:rPr>
          <w:sz w:val="20"/>
          <w:szCs w:val="20"/>
          <w:color w:val="auto"/>
        </w:rPr>
        <w:br w:type="column"/>
      </w:r>
    </w:p>
    <w:p>
      <w:pPr>
        <w:ind w:right="60"/>
        <w:spacing w:after="0" w:line="291" w:lineRule="auto"/>
        <w:rPr>
          <w:sz w:val="20"/>
          <w:szCs w:val="20"/>
          <w:color w:val="auto"/>
        </w:rPr>
      </w:pPr>
      <w:r>
        <w:rPr>
          <w:rFonts w:ascii="Arial" w:cs="Arial" w:eastAsia="Arial" w:hAnsi="Arial"/>
          <w:sz w:val="16"/>
          <w:szCs w:val="16"/>
          <w:color w:val="auto"/>
        </w:rPr>
        <w:t>All payments of interest and principal, including any payments made upon any redemption of the Notes, will be made in Sterling, or, if the United Kingdom adopts euro as its lawful currency, in euro. If Sterling or, in the event the Notes are redenominated into euro, euro is unavailable to the Company due to the imposition of exchange controls or other circumstances beyond the Company’s control, then all payments in respect of the Notes will be made in U.S. dollars until Sterling or euro, as the case may be, is again available to the Company or so used.</w:t>
      </w:r>
    </w:p>
    <w:p>
      <w:pPr>
        <w:spacing w:after="0" w:line="174" w:lineRule="exact"/>
        <w:rPr>
          <w:sz w:val="20"/>
          <w:szCs w:val="20"/>
          <w:color w:val="auto"/>
        </w:rPr>
      </w:pPr>
    </w:p>
    <w:p>
      <w:pPr>
        <w:sectPr>
          <w:pgSz w:w="11900" w:h="16838" w:orient="portrait"/>
          <w:cols w:equalWidth="0" w:num="2">
            <w:col w:w="3740" w:space="720"/>
            <w:col w:w="690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Form and 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Global, £50,000 denominations and in multiples of £1,000 in excess thereof.</w:t>
      </w:r>
    </w:p>
    <w:p>
      <w:pPr>
        <w:spacing w:after="0" w:line="211" w:lineRule="exact"/>
        <w:rPr>
          <w:sz w:val="20"/>
          <w:szCs w:val="20"/>
          <w:color w:val="auto"/>
        </w:rPr>
      </w:pPr>
    </w:p>
    <w:p>
      <w:pPr>
        <w:sectPr>
          <w:pgSz w:w="11900" w:h="16838" w:orient="portrait"/>
          <w:cols w:equalWidth="0" w:num="2">
            <w:col w:w="3740" w:space="720"/>
            <w:col w:w="6900"/>
          </w:cols>
          <w:pgMar w:left="240" w:top="280" w:right="2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11" w:lineRule="exact"/>
        <w:rPr>
          <w:sz w:val="20"/>
          <w:szCs w:val="20"/>
          <w:color w:val="auto"/>
        </w:rPr>
      </w:pPr>
    </w:p>
    <w:p>
      <w:pPr>
        <w:sectPr>
          <w:pgSz w:w="11900" w:h="16838" w:orient="portrait"/>
          <w:cols w:equalWidth="0" w:num="2">
            <w:col w:w="3740" w:space="720"/>
            <w:col w:w="6900"/>
          </w:cols>
          <w:pgMar w:left="240" w:top="280" w:right="2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Sinking Fund: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11" w:lineRule="exact"/>
        <w:rPr>
          <w:sz w:val="20"/>
          <w:szCs w:val="20"/>
          <w:color w:val="auto"/>
        </w:rPr>
      </w:pPr>
    </w:p>
    <w:p>
      <w:pPr>
        <w:sectPr>
          <w:pgSz w:w="11900" w:h="16838" w:orient="portrait"/>
          <w:cols w:equalWidth="0" w:num="2">
            <w:col w:w="3740" w:space="720"/>
            <w:col w:w="6900"/>
          </w:cols>
          <w:pgMar w:left="240" w:top="280" w:right="2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Discharge or Defeasance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Reference to “money or U.S. Government Obligations” in the discharge and defeasance</w:t>
      </w:r>
    </w:p>
    <w:p>
      <w:pPr>
        <w:spacing w:after="0" w:line="192" w:lineRule="exact"/>
        <w:rPr>
          <w:sz w:val="20"/>
          <w:szCs w:val="20"/>
          <w:color w:val="auto"/>
        </w:rPr>
      </w:pPr>
    </w:p>
    <w:p>
      <w:pPr>
        <w:sectPr>
          <w:pgSz w:w="11900" w:h="16838" w:orient="portrait"/>
          <w:cols w:equalWidth="0" w:num="2">
            <w:col w:w="3740" w:space="720"/>
            <w:col w:w="6900"/>
          </w:cols>
          <w:pgMar w:left="240" w:top="280" w:right="299" w:bottom="1440"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60"/>
          </w:cols>
          <w:pgMar w:left="240" w:top="280" w:right="29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8540" w:type="dxa"/>
            <w:vAlign w:val="bottom"/>
            <w:gridSpan w:val="3"/>
          </w:tcPr>
          <w:p>
            <w:pPr>
              <w:ind w:left="1680"/>
              <w:spacing w:after="0"/>
              <w:rPr>
                <w:sz w:val="20"/>
                <w:szCs w:val="20"/>
                <w:color w:val="auto"/>
              </w:rPr>
            </w:pPr>
            <w:r>
              <w:rPr>
                <w:rFonts w:ascii="Arial" w:cs="Arial" w:eastAsia="Arial" w:hAnsi="Arial"/>
                <w:sz w:val="18"/>
                <w:szCs w:val="18"/>
                <w:color w:val="auto"/>
                <w:w w:val="88"/>
              </w:rPr>
              <w:t>sections of the Indenture shall, with respect to the Notes, refer to the lawful currency in which the</w:t>
            </w:r>
          </w:p>
        </w:tc>
      </w:tr>
      <w:tr>
        <w:trPr>
          <w:trHeight w:val="216"/>
        </w:trPr>
        <w:tc>
          <w:tcPr>
            <w:tcW w:w="2780" w:type="dxa"/>
            <w:vAlign w:val="bottom"/>
          </w:tcPr>
          <w:p>
            <w:pPr>
              <w:spacing w:after="0"/>
              <w:rPr>
                <w:sz w:val="18"/>
                <w:szCs w:val="18"/>
                <w:color w:val="auto"/>
              </w:rPr>
            </w:pPr>
          </w:p>
        </w:tc>
        <w:tc>
          <w:tcPr>
            <w:tcW w:w="8540" w:type="dxa"/>
            <w:vAlign w:val="bottom"/>
            <w:gridSpan w:val="3"/>
          </w:tcPr>
          <w:p>
            <w:pPr>
              <w:ind w:left="1680"/>
              <w:spacing w:after="0"/>
              <w:rPr>
                <w:sz w:val="20"/>
                <w:szCs w:val="20"/>
                <w:color w:val="auto"/>
              </w:rPr>
            </w:pPr>
            <w:r>
              <w:rPr>
                <w:rFonts w:ascii="Arial" w:cs="Arial" w:eastAsia="Arial" w:hAnsi="Arial"/>
                <w:sz w:val="18"/>
                <w:szCs w:val="18"/>
                <w:color w:val="auto"/>
                <w:w w:val="88"/>
              </w:rPr>
              <w:t>Notes are payable at the time of deposit with the Trustee or government obligations of the United</w:t>
            </w:r>
          </w:p>
        </w:tc>
      </w:tr>
      <w:tr>
        <w:trPr>
          <w:trHeight w:val="222"/>
        </w:trPr>
        <w:tc>
          <w:tcPr>
            <w:tcW w:w="2780" w:type="dxa"/>
            <w:vAlign w:val="bottom"/>
          </w:tcPr>
          <w:p>
            <w:pPr>
              <w:spacing w:after="0"/>
              <w:rPr>
                <w:sz w:val="19"/>
                <w:szCs w:val="19"/>
                <w:color w:val="auto"/>
              </w:rPr>
            </w:pPr>
          </w:p>
        </w:tc>
        <w:tc>
          <w:tcPr>
            <w:tcW w:w="8540" w:type="dxa"/>
            <w:vAlign w:val="bottom"/>
            <w:gridSpan w:val="3"/>
          </w:tcPr>
          <w:p>
            <w:pPr>
              <w:ind w:left="1680"/>
              <w:spacing w:after="0"/>
              <w:rPr>
                <w:sz w:val="20"/>
                <w:szCs w:val="20"/>
                <w:color w:val="auto"/>
              </w:rPr>
            </w:pPr>
            <w:r>
              <w:rPr>
                <w:rFonts w:ascii="Arial" w:cs="Arial" w:eastAsia="Arial" w:hAnsi="Arial"/>
                <w:sz w:val="18"/>
                <w:szCs w:val="18"/>
                <w:color w:val="auto"/>
                <w:w w:val="91"/>
              </w:rPr>
              <w:t>Kingdom (or the U.S. government if such currency is the U.S. dollar) payable in such currency.</w:t>
            </w:r>
          </w:p>
        </w:tc>
      </w:tr>
      <w:tr>
        <w:trPr>
          <w:trHeight w:val="432"/>
        </w:trPr>
        <w:tc>
          <w:tcPr>
            <w:tcW w:w="2780" w:type="dxa"/>
            <w:vAlign w:val="bottom"/>
          </w:tcPr>
          <w:p>
            <w:pPr>
              <w:spacing w:after="0"/>
              <w:rPr>
                <w:sz w:val="20"/>
                <w:szCs w:val="20"/>
                <w:color w:val="auto"/>
              </w:rPr>
            </w:pPr>
            <w:r>
              <w:rPr>
                <w:rFonts w:ascii="Arial" w:cs="Arial" w:eastAsia="Arial" w:hAnsi="Arial"/>
                <w:sz w:val="18"/>
                <w:szCs w:val="18"/>
                <w:i w:val="1"/>
                <w:iCs w:val="1"/>
                <w:color w:val="auto"/>
              </w:rPr>
              <w:t>Paying Agent</w:t>
            </w:r>
          </w:p>
        </w:tc>
        <w:tc>
          <w:tcPr>
            <w:tcW w:w="8540" w:type="dxa"/>
            <w:vAlign w:val="bottom"/>
            <w:gridSpan w:val="3"/>
          </w:tcPr>
          <w:p>
            <w:pPr>
              <w:ind w:left="1680"/>
              <w:spacing w:after="0"/>
              <w:rPr>
                <w:sz w:val="20"/>
                <w:szCs w:val="20"/>
                <w:color w:val="auto"/>
              </w:rPr>
            </w:pPr>
            <w:r>
              <w:rPr>
                <w:rFonts w:ascii="Arial" w:cs="Arial" w:eastAsia="Arial" w:hAnsi="Arial"/>
                <w:sz w:val="18"/>
                <w:szCs w:val="18"/>
                <w:color w:val="auto"/>
              </w:rPr>
              <w:t>The Bank of New York Mellon, London Branch</w:t>
            </w:r>
          </w:p>
        </w:tc>
      </w:tr>
      <w:tr>
        <w:trPr>
          <w:trHeight w:val="432"/>
        </w:trPr>
        <w:tc>
          <w:tcPr>
            <w:tcW w:w="2780" w:type="dxa"/>
            <w:vAlign w:val="bottom"/>
          </w:tcPr>
          <w:p>
            <w:pPr>
              <w:spacing w:after="0"/>
              <w:rPr>
                <w:sz w:val="20"/>
                <w:szCs w:val="20"/>
                <w:color w:val="auto"/>
              </w:rPr>
            </w:pPr>
            <w:r>
              <w:rPr>
                <w:rFonts w:ascii="Arial" w:cs="Arial" w:eastAsia="Arial" w:hAnsi="Arial"/>
                <w:sz w:val="18"/>
                <w:szCs w:val="18"/>
                <w:i w:val="1"/>
                <w:iCs w:val="1"/>
                <w:color w:val="auto"/>
              </w:rPr>
              <w:t>Listing</w:t>
            </w:r>
          </w:p>
        </w:tc>
        <w:tc>
          <w:tcPr>
            <w:tcW w:w="8540" w:type="dxa"/>
            <w:vAlign w:val="bottom"/>
            <w:gridSpan w:val="3"/>
          </w:tcPr>
          <w:p>
            <w:pPr>
              <w:ind w:left="1680"/>
              <w:spacing w:after="0"/>
              <w:rPr>
                <w:sz w:val="20"/>
                <w:szCs w:val="20"/>
                <w:color w:val="auto"/>
              </w:rPr>
            </w:pPr>
            <w:r>
              <w:rPr>
                <w:rFonts w:ascii="Arial" w:cs="Arial" w:eastAsia="Arial" w:hAnsi="Arial"/>
                <w:sz w:val="18"/>
                <w:szCs w:val="18"/>
                <w:color w:val="auto"/>
              </w:rPr>
              <w:t>The Company intends to apply to list the Notes on the New York Stock Exchange</w:t>
            </w:r>
          </w:p>
        </w:tc>
      </w:tr>
      <w:tr>
        <w:trPr>
          <w:trHeight w:val="420"/>
        </w:trPr>
        <w:tc>
          <w:tcPr>
            <w:tcW w:w="278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540" w:type="dxa"/>
            <w:vAlign w:val="bottom"/>
            <w:gridSpan w:val="3"/>
          </w:tcPr>
          <w:p>
            <w:pPr>
              <w:ind w:left="1680"/>
              <w:spacing w:after="0"/>
              <w:rPr>
                <w:sz w:val="20"/>
                <w:szCs w:val="20"/>
                <w:color w:val="auto"/>
              </w:rPr>
            </w:pPr>
            <w:r>
              <w:rPr>
                <w:rFonts w:ascii="Arial" w:cs="Arial" w:eastAsia="Arial" w:hAnsi="Arial"/>
                <w:sz w:val="18"/>
                <w:szCs w:val="18"/>
                <w:color w:val="auto"/>
                <w:w w:val="90"/>
              </w:rPr>
              <w:t>The terms of the Notes shall include such other terms as are set forth in the Form of Notes Due</w:t>
            </w:r>
          </w:p>
        </w:tc>
      </w:tr>
      <w:tr>
        <w:trPr>
          <w:trHeight w:val="190"/>
        </w:trPr>
        <w:tc>
          <w:tcPr>
            <w:tcW w:w="2780" w:type="dxa"/>
            <w:vAlign w:val="bottom"/>
          </w:tcPr>
          <w:p>
            <w:pPr>
              <w:spacing w:after="0"/>
              <w:rPr>
                <w:sz w:val="16"/>
                <w:szCs w:val="16"/>
                <w:color w:val="auto"/>
              </w:rPr>
            </w:pPr>
          </w:p>
        </w:tc>
        <w:tc>
          <w:tcPr>
            <w:tcW w:w="8540" w:type="dxa"/>
            <w:vAlign w:val="bottom"/>
            <w:gridSpan w:val="3"/>
          </w:tcPr>
          <w:p>
            <w:pPr>
              <w:ind w:left="1680"/>
              <w:spacing w:after="0" w:line="190" w:lineRule="exact"/>
              <w:rPr>
                <w:sz w:val="20"/>
                <w:szCs w:val="20"/>
                <w:color w:val="auto"/>
              </w:rPr>
            </w:pPr>
            <w:r>
              <w:rPr>
                <w:rFonts w:ascii="Arial" w:cs="Arial" w:eastAsia="Arial" w:hAnsi="Arial"/>
                <w:sz w:val="18"/>
                <w:szCs w:val="18"/>
                <w:color w:val="auto"/>
              </w:rPr>
              <w:t xml:space="preserve">2029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27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firstLine="456"/>
        <w:spacing w:after="0" w:line="255" w:lineRule="auto"/>
        <w:rPr>
          <w:sz w:val="20"/>
          <w:szCs w:val="20"/>
          <w:color w:val="auto"/>
        </w:rPr>
      </w:pPr>
      <w:r>
        <w:rPr>
          <w:rFonts w:ascii="Arial" w:cs="Arial" w:eastAsia="Arial" w:hAnsi="Arial"/>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347"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Treasurer</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General Counsel and Secretary</w:t>
      </w:r>
    </w:p>
    <w:p>
      <w:pPr>
        <w:spacing w:after="0" w:line="18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759"/>
          </w:cols>
          <w:pgMar w:left="700" w:top="347"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3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UNLESS THIS CERTIFICATE IS PRESENTED BY AN AUTHORIZED REPRESENTATIVE OF EUROCLEAR BANK, S.A./N.V. AS OPERATOR OF THE EUROCLEAR SYSTEM (“EUROCLEAR”) AND CLEARSTREAM BANKING, SOCIETE ANONYME, LUXEMBOURG (“CLEARSTREAM, LUXEMBOURG”, TOGETHER WITH EUROCLEAR, “EUROCLEAR/CLEARSTREAM”), TO THE ISSUER OR ITS AGENT FOR REGISTRATION OF TRANSFER, EXCHANGE, OR PAYMENT, AND ANY CERTIFICATE ISSUED IS REGISTERED IN THE NAME OF THE BANK OF NEW YORK DEPOSITORY (NOMINEES) LIMITED OR IN SUCH OTHER NAME AS IS REQUESTED BY AN AUTHORIZED REPRESENTATIVE OF EUROCLEAR/CLEARSTREAM (AND ANY PAYMENT IS MADE TO THE BANK OF NEW YORK DEPOSITORY (NOMINEES) LIMITED OR TO SUCH OTHER ENTITY AS IS REQUESTED BY AN AUTHORIZED REPRESENTATIVE OF EUROCLEAR/CLEARSTREAM), ANY TRANSFER, PLEDGE, OR OTHER USE HEREOF FOR VALUE OR OTHERWISE BY OR TO ANY PERSON IS WRONGFUL IN AS MUCH AS THE REGISTERED OWNER HEREOF, THE BANK OF NEW YORK DEPOSITORY (NOMINEES) LIMITED, HAS AN INTEREST HEREIN.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5.50% Note Due 2029</w:t>
      </w:r>
    </w:p>
    <w:p>
      <w:pPr>
        <w:sectPr>
          <w:pgSz w:w="11900" w:h="16838" w:orient="portrait"/>
          <w:cols w:equalWidth="0" w:num="1">
            <w:col w:w="11420"/>
          </w:cols>
          <w:pgMar w:left="240" w:top="422"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CUSIP No.: 20030N BC4</w:t>
      </w:r>
    </w:p>
    <w:p>
      <w:pPr>
        <w:spacing w:after="0" w:line="38"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ISIN No.: XS0562326214</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Common Code: 056232621</w:t>
      </w:r>
    </w:p>
    <w:p>
      <w:pPr>
        <w:spacing w:after="0" w:line="44" w:lineRule="exact"/>
        <w:rPr>
          <w:sz w:val="20"/>
          <w:szCs w:val="20"/>
          <w:color w:val="auto"/>
        </w:rPr>
      </w:pPr>
    </w:p>
    <w:p>
      <w:pPr>
        <w:jc w:val="right"/>
        <w:ind w:right="100"/>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9" w:lineRule="exact"/>
        <w:rPr>
          <w:sz w:val="20"/>
          <w:szCs w:val="20"/>
          <w:color w:val="auto"/>
        </w:rPr>
      </w:pPr>
    </w:p>
    <w:p>
      <w:pPr>
        <w:sectPr>
          <w:pgSz w:w="11900" w:h="16838" w:orient="portrait"/>
          <w:cols w:equalWidth="0" w:num="3">
            <w:col w:w="360" w:space="180"/>
            <w:col w:w="8100" w:space="720"/>
            <w:col w:w="2060"/>
          </w:cols>
          <w:pgMar w:left="240" w:top="422" w:right="239" w:bottom="1440" w:gutter="0" w:footer="0" w:header="0"/>
          <w:type w:val="continuous"/>
        </w:sectPr>
      </w:pPr>
    </w:p>
    <w:p>
      <w:pPr>
        <w:ind w:right="200" w:firstLine="456"/>
        <w:spacing w:after="0" w:line="289"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which term includes any successor corporation), for value received promises to pay to The Bank of New York Depository (Nominees) Limited as nominee of The Bank of New York Mellon, London Branch, a common depositary for</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Euroclear Bank S.A./N.V. and Clearstream Banking, société anonyme, Luxembourg, or registered assigns, the principal sum of £[ ] ([ ] Million Pounds Sterling) on November 23, 2029.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 November 23 (the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23,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Record Date: one business day (as defined by Euroclear/Clearstream) prior to the Interest Payment Date (the “</w:t>
      </w:r>
      <w:r>
        <w:rPr>
          <w:rFonts w:ascii="Arial" w:cs="Arial" w:eastAsia="Arial" w:hAnsi="Arial"/>
          <w:sz w:val="16"/>
          <w:szCs w:val="16"/>
          <w:b w:val="1"/>
          <w:bCs w:val="1"/>
          <w:color w:val="auto"/>
        </w:rPr>
        <w:t>Interest Record Date</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 place.</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22" w:right="239" w:bottom="1440" w:gutter="0" w:footer="0" w:header="0"/>
          <w:type w:val="continuous"/>
        </w:sectPr>
      </w:pPr>
    </w:p>
    <w:bookmarkStart w:id="9" w:name="page10"/>
    <w:bookmarkEnd w:id="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Treasurer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Arthur R. Block</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Senior Vice President,</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General Counsel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20"/>
          </w:cols>
          <w:pgMar w:left="240" w:top="347" w:right="3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23,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MELLON,</w:t>
      </w:r>
    </w:p>
    <w:p>
      <w:pPr>
        <w:spacing w:after="0" w:line="3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19"/>
          </w:cols>
          <w:pgMar w:left="240" w:top="347" w:right="1440"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5.50% Note Due 2029</w:t>
      </w:r>
    </w:p>
    <w:p>
      <w:pPr>
        <w:spacing w:after="0" w:line="212"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w:t>
      </w:r>
    </w:p>
    <w:p>
      <w:pPr>
        <w:spacing w:after="0" w:line="8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Security at the rate per annum shown above. Cash interest on the Securities will accrue from the most recent date to which interest has been paid or, if no interest has been paid, from November 23, 2010. The Issuer will pay interest annually in arrears on each Interest Payment Date, commencing November 23, 2011.</w:t>
      </w:r>
    </w:p>
    <w:p>
      <w:pPr>
        <w:spacing w:after="0" w:line="10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Interest on the Securities will be computed on the basis of the actual number of days in the period for which interest is being calculated and the actual number of days from and including the date from which interest begins to accrue for the period (or November 23, 2010 if no interest has been paid on the Securities), to but excluding the next scheduled Interest Payment Date. If the scheduled Interest Payment Date is not a Business Day, then interest will be paid on the first Business Day following the scheduled Interest Payment Date. Interest periods are unadjusted. The day count convention is ACTUAL/ACTUAL (ICMA).</w:t>
      </w:r>
    </w:p>
    <w:p>
      <w:pPr>
        <w:spacing w:after="0" w:line="92"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or a day on which banking institutions in The City of New York or the City of London are authorized or required by law or executive order to close.</w:t>
      </w:r>
    </w:p>
    <w:p>
      <w:pPr>
        <w:spacing w:after="0" w:line="12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54"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Issuance in Sterling.</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Principal and interest payments in respect of the Securities will be payable in Sterling. If the United Kingdom adopts euro, in lieu of Sterling, as its lawful currency, the Securities will be redenominated in euro on a date determined by the Issuer, with a principal amount for each Security equal to the principal amount of that Security in Sterling, converted into euro at the rate established by the applicable law; provided that, if the Issuer determines after consultation with the Paying Agent that the then current market practice in respect of redenomination into euro of internationally offered securities is different from the provisions specified above, such provisions will be deemed to be amended so as to comply with such market practice and the Issuer will promptly notify the Trustee and the Paying Agent of such deemed amendment. The Issuer will give 30 days’ notice of the redenomination date to the Paying Agent, the Trustee and Euroclear/Clearstream.</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428" w:right="279" w:bottom="1440" w:gutter="0" w:footer="0" w:header="0"/>
        </w:sectPr>
      </w:pPr>
    </w:p>
    <w:bookmarkStart w:id="12" w:name="page13"/>
    <w:bookmarkEnd w:id="12"/>
    <w:p>
      <w:pPr>
        <w:ind w:right="120"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Sterling or, in the event the Securities are redenominated in euro, euro is unavailable to the Issuer due to the imposition of exchange controls or other circumstances beyond our control (other than due to the circumstances described in the preceding paragraph), then all payments in respect of the Securities will be made in U.S. dollars until Sterling or euro, as the case may be, is again available to the Issuer. The amount payable on any date in Sterling or, in the event the Securities are redenominated in euro, euro will be converted to U.S. dollars on the basis of the then most recently available market exchange rate for Sterling or euro, as the case may be. Any payment in respect of the Securities so made in U.S. dollars will not constitute an event of default under the Indenture.</w:t>
      </w:r>
    </w:p>
    <w:p>
      <w:pPr>
        <w:spacing w:after="0" w:line="22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8"/>
          <w:szCs w:val="18"/>
          <w:b w:val="1"/>
          <w:bCs w:val="1"/>
          <w:color w:val="auto"/>
        </w:rPr>
        <w:t>Trustee</w:t>
      </w:r>
      <w:r>
        <w:rPr>
          <w:rFonts w:ascii="Arial" w:cs="Arial" w:eastAsia="Arial" w:hAnsi="Arial"/>
          <w:sz w:val="18"/>
          <w:szCs w:val="18"/>
          <w:color w:val="auto"/>
        </w:rPr>
        <w:t>”) to collect principal payments.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4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90"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color w:val="auto"/>
        </w:rPr>
        <w:t>Initially, The Bank of New York Mellon, London Branch will act as Paying Agent. The Issuer may change any Paying Agent without notice to the Holders. A-5</w:t>
      </w:r>
    </w:p>
    <w:p>
      <w:pPr>
        <w:sectPr>
          <w:pgSz w:w="11900" w:h="16838" w:orient="portrait"/>
          <w:cols w:equalWidth="0" w:num="1">
            <w:col w:w="11380"/>
          </w:cols>
          <w:pgMar w:left="240" w:top="347" w:right="279" w:bottom="1440" w:gutter="0" w:footer="0" w:header="0"/>
        </w:sectPr>
      </w:pPr>
    </w:p>
    <w:bookmarkStart w:id="13" w:name="page14"/>
    <w:bookmarkEnd w:id="13"/>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Issuer issued the Securities under an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Issuer,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Issuer, the cable guarantors named therein (the “</w:t>
      </w:r>
      <w:r>
        <w:rPr>
          <w:rFonts w:ascii="Arial" w:cs="Arial" w:eastAsia="Arial" w:hAnsi="Arial"/>
          <w:sz w:val="16"/>
          <w:szCs w:val="16"/>
          <w:b w:val="1"/>
          <w:bCs w:val="1"/>
          <w:color w:val="auto"/>
        </w:rPr>
        <w:t>Cable Guarantors</w:t>
      </w:r>
      <w:r>
        <w:rPr>
          <w:rFonts w:ascii="Arial" w:cs="Arial" w:eastAsia="Arial" w:hAnsi="Arial"/>
          <w:sz w:val="16"/>
          <w:szCs w:val="16"/>
          <w:color w:val="auto"/>
        </w:rPr>
        <w:t>”)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4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Cable Guarantees.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28"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Securities are in registered form, without coupons, in denominations of £50,000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23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28" w:right="239" w:bottom="1440" w:gutter="0" w:footer="0" w:header="0"/>
        </w:sectPr>
      </w:pPr>
    </w:p>
    <w:bookmarkStart w:id="14" w:name="page15"/>
    <w:bookmarkEnd w:id="14"/>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Unclaimed Funds.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25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Reference to “money or U.S. Government Obligations” in the discharge and defeasance sections of the Indenture shall, with respect to the Securities, refer to the lawful currency in which the Securities are payable at the time of deposit with the Trustee or government obligations of the United Kingdom (or the U.S. government if such currency is the U.S. dollar) payable in such currency.</w:t>
      </w:r>
    </w:p>
    <w:p>
      <w:pPr>
        <w:spacing w:after="0" w:line="26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6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28"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Issuer will have the right at its option to redeem any of the Securities in whole or in part, at any time or from time to time prior to their maturity, on at least 30 days, but not more than 60 days, prior notice mailed to the registered address of each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80"/>
          </w:cols>
          <w:pgMar w:left="240" w:top="428" w:right="279" w:bottom="1440" w:gutter="0" w:footer="0" w:header="0"/>
        </w:sectPr>
      </w:pPr>
    </w:p>
    <w:bookmarkStart w:id="15" w:name="page16"/>
    <w:bookmarkEnd w:id="15"/>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 of the Securities, at a redemption price equal to the greater of (i) 100% of the principal amount of such Securities and (ii) the sum of the present values of the remaining scheduled payments of principal and interest thereon (exclusive of interest accrued to the date of redemption) discounted to the redemption date on an annual basis (ACTUAL/ACTUAL (ICMA)) at the Comparable Government Bond Rate plus 28 basis points plus, in each case, accrued interest thereon to the date of redemption.</w:t>
      </w:r>
    </w:p>
    <w:p>
      <w:pPr>
        <w:spacing w:after="0" w:line="13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Government Bond Rate</w:t>
      </w:r>
      <w:r>
        <w:rPr>
          <w:rFonts w:ascii="Arial" w:cs="Arial" w:eastAsia="Arial" w:hAnsi="Arial"/>
          <w:sz w:val="18"/>
          <w:szCs w:val="18"/>
          <w:color w:val="auto"/>
        </w:rPr>
        <w:t>” means the price, expressed as a percentage (rounded to three decimal places, 0.0005 being rounded upwards), at which the gross redemption yield (as calculated by the trustee) on the Securities,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the Issuer.</w:t>
      </w:r>
    </w:p>
    <w:p>
      <w:pPr>
        <w:spacing w:after="0" w:line="139"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Comparable Government Bond</w:t>
      </w:r>
      <w:r>
        <w:rPr>
          <w:rFonts w:ascii="Arial" w:cs="Arial" w:eastAsia="Arial" w:hAnsi="Arial"/>
          <w:sz w:val="16"/>
          <w:szCs w:val="16"/>
          <w:color w:val="auto"/>
        </w:rPr>
        <w:t>” means, in relation to any Comparable Government Bond Rate calculation, at the discretion of an independent investment bank selected by the Issuer, a United Kingdom government bond whose maturity is closest to the maturity of the Securities, or if such independent investment bank in its discretion considers that such similar bond is not in issue, such other United Kingdom government bond as such independent investment bank may, with the advice of three brokers of, and/or market makers in, United Kingdom government bonds selected by such independent investment bank, determine to be appropriate for determining the Comparable Government Bond Rate.</w:t>
      </w:r>
    </w:p>
    <w:p>
      <w:pPr>
        <w:spacing w:after="0" w:line="11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Securities are also subject to redemption prior to maturity if certain events occur involving United States taxation. If any of these special tax events do occur, the Securities will be redeemed at a redemption price of 100% of their principal amount plus accrued and unpaid interest to the date fixed for redemption. See Section 15 “Redemption for Tax Reasons.”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264"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of Additional Amounts.</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Issuer will, subject to the exceptions and limitations set forth below, pay as additional interest on the Securities such additional amounts as are necessary in order that the net payment by the Issuer or the Paying Agent of the principal of and interest on the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40"/>
          </w:cols>
          <w:pgMar w:left="240" w:top="280" w:right="319" w:bottom="1440" w:gutter="0" w:footer="0" w:header="0"/>
        </w:sectPr>
      </w:pPr>
    </w:p>
    <w:bookmarkStart w:id="16" w:name="page17"/>
    <w:bookmarkEnd w:id="16"/>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to a Holder who is not a United States person (as defined below), after withholding or deduction for any present or future tax, assessment or other governmental charge imposed by the United States or a taxing authority in the United States will not be less than the amount provided in the Securities to be then due and payable; provided, however, that the foregoing obligation to pay additional amounts shall not apply:</w:t>
      </w:r>
    </w:p>
    <w:p>
      <w:pPr>
        <w:spacing w:after="0" w:line="107" w:lineRule="exact"/>
        <w:rPr>
          <w:sz w:val="20"/>
          <w:szCs w:val="20"/>
          <w:color w:val="auto"/>
        </w:rPr>
      </w:pPr>
    </w:p>
    <w:p>
      <w:pPr>
        <w:ind w:firstLine="464"/>
        <w:spacing w:after="0" w:line="259"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Holder, or a fiduciary, settlor, beneficiary, member or shareholder of the Holder if the Holder is an estate, trust, partnership or corporation, or a person holding a power over an estate or trust administered by a fiduciary Holder, being considered as:</w:t>
      </w:r>
    </w:p>
    <w:p>
      <w:pPr>
        <w:spacing w:after="0" w:line="140" w:lineRule="exact"/>
        <w:rPr>
          <w:sz w:val="20"/>
          <w:szCs w:val="20"/>
          <w:color w:val="auto"/>
        </w:rPr>
      </w:pPr>
    </w:p>
    <w:p>
      <w:pPr>
        <w:ind w:left="700" w:hanging="236"/>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being or having been engaged in a trade or business in the United States or having or having had a permanent establishment in the United States;</w:t>
      </w:r>
    </w:p>
    <w:p>
      <w:pPr>
        <w:spacing w:after="0" w:line="194" w:lineRule="exact"/>
        <w:rPr>
          <w:rFonts w:ascii="Arial" w:cs="Arial" w:eastAsia="Arial" w:hAnsi="Arial"/>
          <w:sz w:val="16"/>
          <w:szCs w:val="16"/>
          <w:color w:val="auto"/>
        </w:rPr>
      </w:pPr>
    </w:p>
    <w:p>
      <w:pPr>
        <w:ind w:right="240" w:firstLine="464"/>
        <w:spacing w:after="0" w:line="332" w:lineRule="auto"/>
        <w:tabs>
          <w:tab w:leader="none" w:pos="7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w:t>
      </w:r>
    </w:p>
    <w:p>
      <w:pPr>
        <w:spacing w:after="0" w:line="85" w:lineRule="exact"/>
        <w:rPr>
          <w:rFonts w:ascii="Arial" w:cs="Arial" w:eastAsia="Arial" w:hAnsi="Arial"/>
          <w:sz w:val="16"/>
          <w:szCs w:val="16"/>
          <w:color w:val="auto"/>
        </w:rPr>
      </w:pPr>
    </w:p>
    <w:p>
      <w:pPr>
        <w:ind w:right="100" w:firstLine="464"/>
        <w:spacing w:after="0" w:line="268"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being or having been a personal holding company, a passive foreign investment company or a controlled foreign corporation with respect to the United States or a corporation that has accumulated earnings to avoid United States federal income tax;</w:t>
      </w:r>
    </w:p>
    <w:p>
      <w:pPr>
        <w:spacing w:after="0" w:line="131" w:lineRule="exact"/>
        <w:rPr>
          <w:rFonts w:ascii="Arial" w:cs="Arial" w:eastAsia="Arial" w:hAnsi="Arial"/>
          <w:sz w:val="18"/>
          <w:szCs w:val="18"/>
          <w:color w:val="auto"/>
        </w:rPr>
      </w:pPr>
    </w:p>
    <w:p>
      <w:pPr>
        <w:ind w:right="320" w:firstLine="464"/>
        <w:spacing w:after="0" w:line="268"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being or having been a “10-percent shareholder” of Comcast as defined in section 871(h)(3) of the United States Internal Revenue Code of 1986, as amended (the “Code”) or any successor provision; or</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being a bank receiving payments on an extension of credit made pursuant to a loan agreement entered into the ordinary course of its trade or business;</w:t>
      </w:r>
    </w:p>
    <w:p>
      <w:pPr>
        <w:spacing w:after="0" w:line="206" w:lineRule="exact"/>
        <w:rPr>
          <w:sz w:val="20"/>
          <w:szCs w:val="20"/>
          <w:color w:val="auto"/>
        </w:rPr>
      </w:pPr>
    </w:p>
    <w:p>
      <w:pPr>
        <w:ind w:right="220" w:firstLine="464"/>
        <w:spacing w:after="0" w:line="256"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Securities, or a portion of the Securities,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143" w:lineRule="exact"/>
        <w:rPr>
          <w:rFonts w:ascii="Arial" w:cs="Arial" w:eastAsia="Arial" w:hAnsi="Arial"/>
          <w:sz w:val="18"/>
          <w:szCs w:val="18"/>
          <w:color w:val="auto"/>
        </w:rPr>
      </w:pPr>
    </w:p>
    <w:p>
      <w:pPr>
        <w:jc w:val="both"/>
        <w:ind w:right="160" w:firstLine="464"/>
        <w:spacing w:after="0" w:line="298"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280" w:right="259" w:bottom="1440" w:gutter="0" w:footer="0" w:header="0"/>
        </w:sectPr>
      </w:pPr>
    </w:p>
    <w:bookmarkStart w:id="17" w:name="page18"/>
    <w:bookmarkEnd w:id="17"/>
    <w:p>
      <w:pPr>
        <w:ind w:left="720" w:hanging="256"/>
        <w:spacing w:after="0"/>
        <w:tabs>
          <w:tab w:leader="none" w:pos="720" w:val="left"/>
        </w:tabs>
        <w:numPr>
          <w:ilvl w:val="0"/>
          <w:numId w:val="1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tax, assessment or other governmental charge that is imposed otherwise than by withholding by the Issuer or the Paying Agent from the payment;</w:t>
      </w:r>
    </w:p>
    <w:p>
      <w:pPr>
        <w:spacing w:after="0" w:line="205" w:lineRule="exact"/>
        <w:rPr>
          <w:rFonts w:ascii="Arial" w:cs="Arial" w:eastAsia="Arial" w:hAnsi="Arial"/>
          <w:sz w:val="15"/>
          <w:szCs w:val="15"/>
          <w:color w:val="auto"/>
        </w:rPr>
      </w:pPr>
    </w:p>
    <w:p>
      <w:pPr>
        <w:ind w:right="100" w:firstLine="464"/>
        <w:spacing w:after="0" w:line="332" w:lineRule="auto"/>
        <w:tabs>
          <w:tab w:leader="none" w:pos="7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any estate, inheritance, gift, sales, excise, transfer, wealth, capital gains or personal property tax or similar tax, assessment or other governmental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charge;</w:t>
      </w:r>
    </w:p>
    <w:p>
      <w:pPr>
        <w:spacing w:after="0" w:line="164" w:lineRule="exact"/>
        <w:rPr>
          <w:rFonts w:ascii="Arial" w:cs="Arial" w:eastAsia="Arial" w:hAnsi="Arial"/>
          <w:sz w:val="16"/>
          <w:szCs w:val="16"/>
          <w:color w:val="auto"/>
        </w:rPr>
      </w:pPr>
    </w:p>
    <w:p>
      <w:pPr>
        <w:ind w:right="360" w:firstLine="464"/>
        <w:spacing w:after="0" w:line="268"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withholding or deduction that is imposed on a payment to an individual and that is required to be made pursuant to any law implementing or complying with, or introduced in order to conform to, any European Union Directive on the taxation of savings;</w:t>
      </w:r>
    </w:p>
    <w:p>
      <w:pPr>
        <w:spacing w:after="0" w:line="131"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required to be withheld by any paying agent from any payment of principal of or interest on any Securities, if such payment can be made without such withholding by at least one other paying agent;</w:t>
      </w:r>
    </w:p>
    <w:p>
      <w:pPr>
        <w:spacing w:after="0" w:line="131" w:lineRule="exact"/>
        <w:rPr>
          <w:rFonts w:ascii="Arial" w:cs="Arial" w:eastAsia="Arial" w:hAnsi="Arial"/>
          <w:sz w:val="18"/>
          <w:szCs w:val="18"/>
          <w:color w:val="auto"/>
        </w:rPr>
      </w:pPr>
    </w:p>
    <w:p>
      <w:pPr>
        <w:ind w:right="80" w:firstLine="464"/>
        <w:spacing w:after="0" w:line="259"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presentation by the Holder of any Securities, where presentation is required, for payment on a date more than 30 days after the date on which payment became due and payable or the date on which payment thereof is duly provided for, whichever occurs later; or</w:t>
      </w:r>
    </w:p>
    <w:p>
      <w:pPr>
        <w:spacing w:after="0" w:line="140" w:lineRule="exact"/>
        <w:rPr>
          <w:rFonts w:ascii="Arial" w:cs="Arial" w:eastAsia="Arial" w:hAnsi="Arial"/>
          <w:sz w:val="18"/>
          <w:szCs w:val="18"/>
          <w:color w:val="auto"/>
        </w:rPr>
      </w:pPr>
    </w:p>
    <w:p>
      <w:pPr>
        <w:ind w:left="800" w:hanging="33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any combination of items (1), (2), (3), (4), (5), (6), (7), (8), and (9).</w:t>
      </w:r>
    </w:p>
    <w:p>
      <w:pPr>
        <w:spacing w:after="0" w:line="171"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Securities are subject in all cases to any tax, fiscal or other law or regulation or administrative or judicial interpretation applicable to the Securities. Except as specifically provided under this section “Payments of Additional Amounts,” the Issuer will not be required to make any payment for any tax, assessment or other governmental charge imposed by any government or a political subdivision or taxing authority of or in any government or political subdivision.</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used under this section “Payments of Additional Amounts” and under Section 14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United States federal income taxation regardless of its source.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347" w:right="239" w:bottom="1440" w:gutter="0" w:footer="0" w:header="0"/>
        </w:sectPr>
      </w:pPr>
    </w:p>
    <w:bookmarkStart w:id="18" w:name="page19"/>
    <w:bookmarkEnd w:id="18"/>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 for Tax Reasons.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November 17, 2010, the Issuer becomes or, based upon a written opinion of independent counsel selected by the Issuer, will become obligated to pay additional amounts as described herein under Section 13 “Payments of Additional Amounts” with respect to the Securities, then the Issuer may at any time at our option redeem, in whole, but not in part, the Securities on not less than 30 nor more than 60 days prior notice, at a redemption price equal to 100% of their principal amount, together with interest accrued but unpaid on those Securities to the date fixed for redemption.</w:t>
      </w:r>
    </w:p>
    <w:p>
      <w:pPr>
        <w:spacing w:after="0" w:line="24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54"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28" w:right="259" w:bottom="1440" w:gutter="0" w:footer="0" w:header="0"/>
        </w:sectPr>
      </w:pPr>
    </w:p>
    <w:bookmarkStart w:id="19" w:name="page20"/>
    <w:bookmarkEnd w:id="19"/>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93"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Customary abbreviations may be used in the name of a Holder of a Security or an assignee, such as: TEN COM (= tenants in common), TEN ENT</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tenants by the entireties), JT TEN (= joint tenants with right of survivorship and not as tenants in common), CUST (= Custodian), and U/G/M/A (= Uniform Gifts to Minors Act).</w:t>
      </w:r>
    </w:p>
    <w:p>
      <w:pPr>
        <w:spacing w:after="0" w:line="25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62"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300"/>
          </w:cols>
          <w:pgMar w:left="240" w:top="428" w:right="3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760" w:type="dxa"/>
            <w:vAlign w:val="bottom"/>
            <w:gridSpan w:val="7"/>
          </w:tcPr>
          <w:p>
            <w:pPr>
              <w:jc w:val="center"/>
              <w:ind w:right="2640"/>
              <w:spacing w:after="0"/>
              <w:rPr>
                <w:sz w:val="20"/>
                <w:szCs w:val="20"/>
                <w:color w:val="auto"/>
              </w:rPr>
            </w:pPr>
            <w:r>
              <w:rPr>
                <w:rFonts w:ascii="Arial" w:cs="Arial" w:eastAsia="Arial" w:hAnsi="Arial"/>
                <w:sz w:val="18"/>
                <w:szCs w:val="18"/>
                <w:color w:val="auto"/>
                <w:w w:val="86"/>
              </w:rPr>
              <w:t>(Print or type name, address and zip code of assignee or transferee)</w:t>
            </w:r>
          </w:p>
        </w:tc>
      </w:tr>
      <w:tr>
        <w:trPr>
          <w:trHeight w:val="434"/>
        </w:trPr>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35"/>
        </w:trPr>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760" w:type="dxa"/>
            <w:vAlign w:val="bottom"/>
            <w:gridSpan w:val="7"/>
          </w:tcPr>
          <w:p>
            <w:pPr>
              <w:jc w:val="center"/>
              <w:ind w:right="2660"/>
              <w:spacing w:after="0"/>
              <w:rPr>
                <w:sz w:val="20"/>
                <w:szCs w:val="20"/>
                <w:color w:val="auto"/>
              </w:rPr>
            </w:pPr>
            <w:r>
              <w:rPr>
                <w:rFonts w:ascii="Arial" w:cs="Arial" w:eastAsia="Arial" w:hAnsi="Arial"/>
                <w:sz w:val="18"/>
                <w:szCs w:val="18"/>
                <w:color w:val="auto"/>
                <w:w w:val="89"/>
              </w:rPr>
              <w:t>(Insert Social Security or other identifying number of assignee or transferee)</w:t>
            </w:r>
          </w:p>
        </w:tc>
      </w:tr>
      <w:tr>
        <w:trPr>
          <w:trHeight w:val="340"/>
        </w:trPr>
        <w:tc>
          <w:tcPr>
            <w:tcW w:w="1680" w:type="dxa"/>
            <w:vAlign w:val="bottom"/>
            <w:gridSpan w:val="2"/>
          </w:tcPr>
          <w:p>
            <w:pPr>
              <w:spacing w:after="0"/>
              <w:rPr>
                <w:sz w:val="20"/>
                <w:szCs w:val="20"/>
                <w:color w:val="auto"/>
              </w:rPr>
            </w:pPr>
            <w:r>
              <w:rPr>
                <w:rFonts w:ascii="Arial" w:cs="Arial" w:eastAsia="Arial" w:hAnsi="Arial"/>
                <w:sz w:val="18"/>
                <w:szCs w:val="18"/>
                <w:color w:val="auto"/>
                <w:w w:val="89"/>
              </w:rPr>
              <w:t>and irrevocably appoint</w:t>
            </w:r>
          </w:p>
        </w:tc>
        <w:tc>
          <w:tcPr>
            <w:tcW w:w="9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440" w:type="dxa"/>
            <w:vAlign w:val="bottom"/>
            <w:gridSpan w:val="4"/>
          </w:tcPr>
          <w:p>
            <w:pPr>
              <w:ind w:left="40"/>
              <w:spacing w:after="0"/>
              <w:rPr>
                <w:sz w:val="20"/>
                <w:szCs w:val="20"/>
                <w:color w:val="auto"/>
              </w:rPr>
            </w:pPr>
            <w:r>
              <w:rPr>
                <w:rFonts w:ascii="Arial" w:cs="Arial" w:eastAsia="Arial" w:hAnsi="Arial"/>
                <w:sz w:val="18"/>
                <w:szCs w:val="18"/>
                <w:color w:val="auto"/>
                <w:w w:val="93"/>
              </w:rPr>
              <w:t>agent to transfer this Security on the books of the Issuer. The agent may</w:t>
            </w:r>
          </w:p>
        </w:tc>
      </w:tr>
      <w:tr>
        <w:trPr>
          <w:trHeight w:val="235"/>
        </w:trPr>
        <w:tc>
          <w:tcPr>
            <w:tcW w:w="2660" w:type="dxa"/>
            <w:vAlign w:val="bottom"/>
            <w:gridSpan w:val="3"/>
          </w:tcPr>
          <w:p>
            <w:pPr>
              <w:spacing w:after="0"/>
              <w:rPr>
                <w:sz w:val="20"/>
                <w:szCs w:val="20"/>
                <w:color w:val="auto"/>
              </w:rPr>
            </w:pPr>
            <w:r>
              <w:rPr>
                <w:rFonts w:ascii="Arial" w:cs="Arial" w:eastAsia="Arial" w:hAnsi="Arial"/>
                <w:sz w:val="18"/>
                <w:szCs w:val="18"/>
                <w:color w:val="auto"/>
              </w:rPr>
              <w:t>substitute another to act for him.</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8"/>
        </w:trPr>
        <w:tc>
          <w:tcPr>
            <w:tcW w:w="2660" w:type="dxa"/>
            <w:vAlign w:val="bottom"/>
            <w:gridSpan w:val="3"/>
          </w:tcPr>
          <w:p>
            <w:pPr>
              <w:spacing w:after="0"/>
              <w:rPr>
                <w:sz w:val="20"/>
                <w:szCs w:val="20"/>
                <w:color w:val="auto"/>
              </w:rPr>
            </w:pPr>
            <w:r>
              <w:rPr>
                <w:rFonts w:ascii="Arial" w:cs="Arial" w:eastAsia="Arial" w:hAnsi="Arial"/>
                <w:sz w:val="18"/>
                <w:szCs w:val="18"/>
                <w:color w:val="auto"/>
              </w:rPr>
              <w:t>Dated:</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40" w:type="dxa"/>
            <w:vAlign w:val="bottom"/>
            <w:gridSpan w:val="4"/>
          </w:tcPr>
          <w:p>
            <w:pPr>
              <w:ind w:left="220"/>
              <w:spacing w:after="0"/>
              <w:rPr>
                <w:sz w:val="20"/>
                <w:szCs w:val="20"/>
                <w:color w:val="auto"/>
              </w:rPr>
            </w:pPr>
            <w:r>
              <w:rPr>
                <w:rFonts w:ascii="Arial" w:cs="Arial" w:eastAsia="Arial" w:hAnsi="Arial"/>
                <w:sz w:val="18"/>
                <w:szCs w:val="18"/>
                <w:color w:val="auto"/>
              </w:rPr>
              <w:t>Signed:</w:t>
            </w:r>
          </w:p>
        </w:tc>
      </w:tr>
      <w:tr>
        <w:trPr>
          <w:trHeight w:val="208"/>
        </w:trPr>
        <w:tc>
          <w:tcPr>
            <w:tcW w:w="5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(Signed exactly as name appears</w:t>
            </w:r>
          </w:p>
        </w:tc>
        <w:tc>
          <w:tcPr>
            <w:tcW w:w="17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80" w:type="dxa"/>
            <w:vAlign w:val="bottom"/>
            <w:gridSpan w:val="3"/>
          </w:tcPr>
          <w:p>
            <w:pPr>
              <w:ind w:left="100"/>
              <w:spacing w:after="0"/>
              <w:rPr>
                <w:sz w:val="20"/>
                <w:szCs w:val="20"/>
                <w:color w:val="auto"/>
              </w:rPr>
            </w:pPr>
            <w:r>
              <w:rPr>
                <w:rFonts w:ascii="Arial" w:cs="Arial" w:eastAsia="Arial" w:hAnsi="Arial"/>
                <w:sz w:val="18"/>
                <w:szCs w:val="18"/>
                <w:color w:val="auto"/>
              </w:rPr>
              <w:t>on the other side of this Security)</w:t>
            </w:r>
          </w:p>
        </w:tc>
      </w:tr>
      <w:tr>
        <w:trPr>
          <w:trHeight w:val="420"/>
        </w:trPr>
        <w:tc>
          <w:tcPr>
            <w:tcW w:w="2660" w:type="dxa"/>
            <w:vAlign w:val="bottom"/>
            <w:gridSpan w:val="3"/>
          </w:tcPr>
          <w:p>
            <w:pPr>
              <w:spacing w:after="0"/>
              <w:rPr>
                <w:sz w:val="20"/>
                <w:szCs w:val="20"/>
                <w:color w:val="auto"/>
              </w:rPr>
            </w:pPr>
            <w:r>
              <w:rPr>
                <w:rFonts w:ascii="Arial" w:cs="Arial" w:eastAsia="Arial" w:hAnsi="Arial"/>
                <w:sz w:val="18"/>
                <w:szCs w:val="18"/>
                <w:color w:val="auto"/>
              </w:rPr>
              <w:t>Signature Guarantee:</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80" w:type="dxa"/>
            <w:vAlign w:val="bottom"/>
            <w:gridSpan w:val="6"/>
          </w:tcPr>
          <w:p>
            <w:pPr>
              <w:ind w:left="1260"/>
              <w:spacing w:after="0"/>
              <w:rPr>
                <w:sz w:val="20"/>
                <w:szCs w:val="20"/>
                <w:color w:val="auto"/>
              </w:rPr>
            </w:pPr>
            <w:r>
              <w:rPr>
                <w:rFonts w:ascii="Arial" w:cs="Arial" w:eastAsia="Arial" w:hAnsi="Arial"/>
                <w:sz w:val="18"/>
                <w:szCs w:val="18"/>
                <w:color w:val="auto"/>
              </w:rPr>
              <w:t>Participant in a recognized Signature Guarantee</w:t>
            </w:r>
          </w:p>
        </w:tc>
      </w:tr>
      <w:tr>
        <w:trPr>
          <w:trHeight w:val="216"/>
        </w:trPr>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980" w:type="dxa"/>
            <w:vAlign w:val="bottom"/>
            <w:gridSpan w:val="6"/>
          </w:tcPr>
          <w:p>
            <w:pPr>
              <w:ind w:left="1260"/>
              <w:spacing w:after="0"/>
              <w:rPr>
                <w:sz w:val="20"/>
                <w:szCs w:val="20"/>
                <w:color w:val="auto"/>
              </w:rPr>
            </w:pPr>
            <w:r>
              <w:rPr>
                <w:rFonts w:ascii="Arial" w:cs="Arial" w:eastAsia="Arial" w:hAnsi="Arial"/>
                <w:sz w:val="18"/>
                <w:szCs w:val="18"/>
                <w:color w:val="auto"/>
              </w:rPr>
              <w:t>Medallion Program (or other signature guarantor</w:t>
            </w:r>
          </w:p>
        </w:tc>
      </w:tr>
      <w:tr>
        <w:trPr>
          <w:trHeight w:val="222"/>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980" w:type="dxa"/>
            <w:vAlign w:val="bottom"/>
            <w:gridSpan w:val="6"/>
          </w:tcPr>
          <w:p>
            <w:pPr>
              <w:ind w:left="1260"/>
              <w:spacing w:after="0"/>
              <w:rPr>
                <w:sz w:val="20"/>
                <w:szCs w:val="20"/>
                <w:color w:val="auto"/>
              </w:rPr>
            </w:pPr>
            <w:r>
              <w:rPr>
                <w:rFonts w:ascii="Arial" w:cs="Arial" w:eastAsia="Arial" w:hAnsi="Arial"/>
                <w:sz w:val="18"/>
                <w:szCs w:val="18"/>
                <w:color w:val="auto"/>
              </w:rPr>
              <w:t>program reasonably acceptable to the Trustee)</w:t>
            </w:r>
          </w:p>
        </w:tc>
      </w:tr>
      <w:tr>
        <w:trPr>
          <w:trHeight w:val="378"/>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gridSpan w:val="5"/>
          </w:tcPr>
          <w:p>
            <w:pPr>
              <w:jc w:val="center"/>
              <w:ind w:right="4680"/>
              <w:spacing w:after="0"/>
              <w:rPr>
                <w:sz w:val="20"/>
                <w:szCs w:val="20"/>
                <w:color w:val="auto"/>
              </w:rPr>
            </w:pPr>
            <w:r>
              <w:rPr>
                <w:rFonts w:ascii="Arial" w:cs="Arial" w:eastAsia="Arial" w:hAnsi="Arial"/>
                <w:sz w:val="18"/>
                <w:szCs w:val="18"/>
                <w:color w:val="auto"/>
                <w:w w:val="94"/>
              </w:rPr>
              <w:t>A-13</w:t>
            </w:r>
          </w:p>
        </w:tc>
      </w:tr>
    </w:tbl>
    <w:p>
      <w:pPr>
        <w:spacing w:after="0" w:line="1" w:lineRule="exact"/>
        <w:rPr>
          <w:sz w:val="20"/>
          <w:szCs w:val="20"/>
          <w:color w:val="auto"/>
        </w:rPr>
      </w:pPr>
    </w:p>
    <w:sectPr>
      <w:pgSz w:w="11900" w:h="16838" w:orient="portrait"/>
      <w:cols w:equalWidth="0" w:num="1">
        <w:col w:w="11420"/>
      </w:cols>
      <w:pgMar w:left="240" w:top="5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decimal"/>
      <w:start w:val="8"/>
    </w:lvl>
  </w:abstractNum>
  <w:abstractNum w:abstractNumId="8">
    <w:nsid w:val="519B500D"/>
    <w:multiLevelType w:val="hybridMultilevel"/>
    <w:lvl w:ilvl="0">
      <w:lvlJc w:val="left"/>
      <w:lvlText w:val="%1."/>
      <w:numFmt w:val="decimal"/>
      <w:start w:val="9"/>
    </w:lvl>
  </w:abstractNum>
  <w:abstractNum w:abstractNumId="9">
    <w:nsid w:val="431BD7B7"/>
    <w:multiLevelType w:val="hybridMultilevel"/>
    <w:lvl w:ilvl="0">
      <w:lvlJc w:val="left"/>
      <w:lvlText w:val="%1."/>
      <w:numFmt w:val="decimal"/>
      <w:start w:val="10"/>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1."/>
      <w:numFmt w:val="decimal"/>
      <w:start w:val="12"/>
    </w:lvl>
  </w:abstractNum>
  <w:abstractNum w:abstractNumId="12">
    <w:nsid w:val="257130A3"/>
    <w:multiLevelType w:val="hybridMultilevel"/>
    <w:lvl w:ilvl="0">
      <w:lvlJc w:val="left"/>
      <w:lvlText w:val="%1."/>
      <w:numFmt w:val="decimal"/>
      <w:start w:val="13"/>
    </w:lvl>
  </w:abstractNum>
  <w:abstractNum w:abstractNumId="13">
    <w:nsid w:val="62BBD95A"/>
    <w:multiLevelType w:val="hybridMultilevel"/>
    <w:lvl w:ilvl="0">
      <w:lvlJc w:val="left"/>
      <w:lvlText w:val="%1."/>
      <w:numFmt w:val="decimal"/>
      <w:start w:val="14"/>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decimal"/>
      <w:start w:val="2"/>
    </w:lvl>
  </w:abstractNum>
  <w:abstractNum w:abstractNumId="17">
    <w:nsid w:val="721DA317"/>
    <w:multiLevelType w:val="hybridMultilevel"/>
    <w:lvl w:ilvl="0">
      <w:lvlJc w:val="left"/>
      <w:lvlText w:val="(%1)"/>
      <w:numFmt w:val="decimal"/>
      <w:start w:val="4"/>
    </w:lvl>
  </w:abstractNum>
  <w:abstractNum w:abstractNumId="18">
    <w:nsid w:val="2443A858"/>
    <w:multiLevelType w:val="hybridMultilevel"/>
    <w:lvl w:ilvl="0">
      <w:lvlJc w:val="left"/>
      <w:lvlText w:val="%1."/>
      <w:numFmt w:val="decimal"/>
      <w:start w:val="15"/>
    </w:lvl>
  </w:abstractNum>
  <w:abstractNum w:abstractNumId="19">
    <w:nsid w:val="2D1D5AE9"/>
    <w:multiLevelType w:val="hybridMultilevel"/>
    <w:lvl w:ilvl="0">
      <w:lvlJc w:val="left"/>
      <w:lvlText w:val="%1."/>
      <w:numFmt w:val="decimal"/>
      <w:start w:val="16"/>
    </w:lvl>
  </w:abstractNum>
  <w:abstractNum w:abstractNumId="20">
    <w:nsid w:val="6763845E"/>
    <w:multiLevelType w:val="hybridMultilevel"/>
    <w:lvl w:ilvl="0">
      <w:lvlJc w:val="left"/>
      <w:lvlText w:val="%1."/>
      <w:numFmt w:val="decimal"/>
      <w:start w:val="17"/>
    </w:lvl>
  </w:abstractNum>
  <w:abstractNum w:abstractNumId="21">
    <w:nsid w:val="75A2A8D4"/>
    <w:multiLevelType w:val="hybridMultilevel"/>
    <w:lvl w:ilvl="0">
      <w:lvlJc w:val="left"/>
      <w:lvlText w:val="%1."/>
      <w:numFmt w:val="decimal"/>
      <w:start w:val="18"/>
    </w:lvl>
  </w:abstractNum>
  <w:abstractNum w:abstractNumId="22">
    <w:nsid w:val="8EDBDAB"/>
    <w:multiLevelType w:val="hybridMultilevel"/>
    <w:lvl w:ilvl="0">
      <w:lvlJc w:val="left"/>
      <w:lvlText w:val="%1."/>
      <w:numFmt w:val="decimal"/>
      <w:start w:val="19"/>
    </w:lvl>
  </w:abstractNum>
  <w:abstractNum w:abstractNumId="23">
    <w:nsid w:val="79838CB2"/>
    <w:multiLevelType w:val="hybridMultilevel"/>
    <w:lvl w:ilvl="0">
      <w:lvlJc w:val="left"/>
      <w:lvlText w:val="%1."/>
      <w:numFmt w:val="decimal"/>
      <w:start w:val="20"/>
    </w:lvl>
  </w:abstractNum>
  <w:abstractNum w:abstractNumId="24">
    <w:nsid w:val="4353D0CD"/>
    <w:multiLevelType w:val="hybridMultilevel"/>
    <w:lvl w:ilvl="0">
      <w:lvlJc w:val="left"/>
      <w:lvlText w:val="%1."/>
      <w:numFmt w:val="decimal"/>
      <w:start w:val="21"/>
    </w:lvl>
  </w:abstractNum>
  <w:abstractNum w:abstractNumId="25">
    <w:nsid w:val="B03E0C6"/>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2019-12-10T21:31:47Z</dcterms:created>
  <dcterms:modified xsi:type="dcterms:W3CDTF">2019-12-10T21:31:47Z</dcterms:modified>
</cp:coreProperties>
</file>