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483235</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448945</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jc w:val="center"/>
        <w:spacing w:after="0" w:line="231" w:lineRule="auto"/>
        <w:rPr>
          <w:sz w:val="20"/>
          <w:szCs w:val="20"/>
          <w:color w:val="auto"/>
        </w:rPr>
      </w:pPr>
      <w:r>
        <w:rPr>
          <w:rFonts w:ascii="Times New Roman" w:cs="Times New Roman" w:eastAsia="Times New Roman" w:hAnsi="Times New Roman"/>
          <w:sz w:val="18"/>
          <w:szCs w:val="18"/>
          <w:b w:val="1"/>
          <w:bCs w:val="1"/>
          <w:color w:val="auto"/>
        </w:rPr>
        <w:t>FORM 10-Q</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0" w:lineRule="exact"/>
        <w:rPr>
          <w:sz w:val="24"/>
          <w:szCs w:val="24"/>
          <w:color w:val="auto"/>
        </w:rPr>
      </w:pPr>
    </w:p>
    <w:p>
      <w:pPr>
        <w:ind w:left="980" w:hanging="810"/>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940" w:hanging="770"/>
        <w:spacing w:after="0"/>
        <w:tabs>
          <w:tab w:leader="none" w:pos="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720"/>
        <w:spacing w:after="0"/>
        <w:tabs>
          <w:tab w:leader="none" w:pos="70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105410</wp:posOffset>
            </wp:positionV>
            <wp:extent cx="318008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008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94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color w:val="auto"/>
                <w:w w:val="99"/>
              </w:rPr>
              <w:t>Exact Name of Registrant; State of</w:t>
            </w: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4160" w:type="dxa"/>
            <w:vAlign w:val="bottom"/>
          </w:tcPr>
          <w:p>
            <w:pPr>
              <w:spacing w:after="0"/>
              <w:rPr>
                <w:sz w:val="15"/>
                <w:szCs w:val="15"/>
                <w:color w:val="auto"/>
              </w:rPr>
            </w:pPr>
          </w:p>
        </w:tc>
        <w:tc>
          <w:tcPr>
            <w:tcW w:w="2940" w:type="dxa"/>
            <w:vAlign w:val="bottom"/>
            <w:gridSpan w:val="6"/>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9"/>
              </w:rPr>
              <w:t>Incorporation; Address and Telephone</w:t>
            </w:r>
          </w:p>
        </w:tc>
        <w:tc>
          <w:tcPr>
            <w:tcW w:w="4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160" w:type="dxa"/>
            <w:vAlign w:val="bottom"/>
            <w:tcBorders>
              <w:bottom w:val="single" w:sz="8" w:color="auto"/>
            </w:tcBorders>
          </w:tcPr>
          <w:p>
            <w:pPr>
              <w:jc w:val="center"/>
              <w:ind w:right="9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94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8"/>
                <w:szCs w:val="18"/>
                <w:color w:val="auto"/>
              </w:rPr>
              <w:t>Number of Principal Executive Offices</w:t>
            </w:r>
          </w:p>
        </w:tc>
        <w:tc>
          <w:tcPr>
            <w:tcW w:w="408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20" w:type="dxa"/>
            <w:vAlign w:val="bottom"/>
          </w:tcPr>
          <w:p>
            <w:pPr>
              <w:spacing w:after="0"/>
              <w:rPr>
                <w:sz w:val="21"/>
                <w:szCs w:val="21"/>
                <w:color w:val="auto"/>
              </w:rPr>
            </w:pPr>
          </w:p>
        </w:tc>
      </w:tr>
      <w:tr>
        <w:trPr>
          <w:trHeight w:val="232"/>
        </w:trPr>
        <w:tc>
          <w:tcPr>
            <w:tcW w:w="4160" w:type="dxa"/>
            <w:vAlign w:val="bottom"/>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001-32871</w:t>
            </w:r>
          </w:p>
        </w:tc>
        <w:tc>
          <w:tcPr>
            <w:tcW w:w="220" w:type="dxa"/>
            <w:vAlign w:val="bottom"/>
          </w:tcPr>
          <w:p>
            <w:pPr>
              <w:spacing w:after="0"/>
              <w:rPr>
                <w:sz w:val="20"/>
                <w:szCs w:val="20"/>
                <w:color w:val="auto"/>
              </w:rPr>
            </w:pPr>
          </w:p>
        </w:tc>
        <w:tc>
          <w:tcPr>
            <w:tcW w:w="27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COMCAST CORPORATION</w:t>
            </w:r>
          </w:p>
        </w:tc>
        <w:tc>
          <w:tcPr>
            <w:tcW w:w="408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27-0000798</w:t>
            </w:r>
          </w:p>
        </w:tc>
        <w:tc>
          <w:tcPr>
            <w:tcW w:w="20" w:type="dxa"/>
            <w:vAlign w:val="bottom"/>
          </w:tcPr>
          <w:p>
            <w:pPr>
              <w:spacing w:after="0"/>
              <w:rPr>
                <w:sz w:val="20"/>
                <w:szCs w:val="20"/>
                <w:color w:val="auto"/>
              </w:rPr>
            </w:pPr>
          </w:p>
        </w:tc>
      </w:tr>
      <w:tr>
        <w:trPr>
          <w:trHeight w:val="266"/>
        </w:trPr>
        <w:tc>
          <w:tcPr>
            <w:tcW w:w="4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40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Philadelphia, PA 19103-2838</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(215) 286-1700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20" w:type="dxa"/>
            <w:vAlign w:val="bottom"/>
          </w:tcPr>
          <w:p>
            <w:pPr>
              <w:spacing w:after="0"/>
              <w:rPr>
                <w:sz w:val="24"/>
                <w:szCs w:val="24"/>
                <w:color w:val="auto"/>
              </w:rPr>
            </w:pPr>
          </w:p>
        </w:tc>
      </w:tr>
      <w:tr>
        <w:trPr>
          <w:trHeight w:val="218"/>
        </w:trPr>
        <w:tc>
          <w:tcPr>
            <w:tcW w:w="4160" w:type="dxa"/>
            <w:vAlign w:val="bottom"/>
            <w:tcBorders>
              <w:top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CMCSA</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Borders>
              <w:top w:val="single" w:sz="8" w:color="auto"/>
            </w:tcBorders>
          </w:tcPr>
          <w:p>
            <w:pPr>
              <w:spacing w:after="0"/>
              <w:rPr>
                <w:sz w:val="18"/>
                <w:szCs w:val="18"/>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CMCS26</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CMCS27</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CMCS29</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CMCS29A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CMCS32</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CMCS32A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CMCS36</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CMCS36A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CMCS40</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CMCS40A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CCGBP29</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20" w:type="dxa"/>
            <w:vAlign w:val="bottom"/>
          </w:tcPr>
          <w:p>
            <w:pPr>
              <w:spacing w:after="0"/>
              <w:rPr>
                <w:sz w:val="19"/>
                <w:szCs w:val="19"/>
                <w:color w:val="auto"/>
              </w:rPr>
            </w:pPr>
          </w:p>
        </w:tc>
      </w:tr>
      <w:tr>
        <w:trPr>
          <w:trHeight w:val="234"/>
        </w:trPr>
        <w:tc>
          <w:tcPr>
            <w:tcW w:w="4380" w:type="dxa"/>
            <w:vAlign w:val="bottom"/>
            <w:tcBorders>
              <w:bottom w:val="single" w:sz="8" w:color="auto"/>
            </w:tcBorders>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CCZ</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20" w:type="dxa"/>
            <w:vAlign w:val="bottom"/>
            <w:tcBorders>
              <w:bottom w:val="single" w:sz="8" w:color="auto"/>
            </w:tcBorders>
          </w:tcPr>
          <w:p>
            <w:pPr>
              <w:spacing w:after="0"/>
              <w:rPr>
                <w:sz w:val="20"/>
                <w:szCs w:val="20"/>
                <w:color w:val="auto"/>
              </w:rPr>
            </w:pPr>
          </w:p>
        </w:tc>
      </w:tr>
    </w:tbl>
    <w:p>
      <w:pPr>
        <w:spacing w:after="0" w:line="194"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7"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w:t>
            </w:r>
          </w:p>
        </w:tc>
        <w:tc>
          <w:tcPr>
            <w:tcW w:w="5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4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Accelerated filer</w:t>
            </w:r>
          </w:p>
        </w:tc>
        <w:tc>
          <w:tcPr>
            <w:tcW w:w="36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1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Non-accelerated filer</w:t>
            </w:r>
          </w:p>
        </w:tc>
        <w:tc>
          <w:tcPr>
            <w:tcW w:w="420" w:type="dxa"/>
            <w:vAlign w:val="bottom"/>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1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Smaller reporting</w:t>
            </w:r>
          </w:p>
        </w:tc>
        <w:tc>
          <w:tcPr>
            <w:tcW w:w="6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Emerging growth</w:t>
            </w:r>
          </w:p>
        </w:tc>
        <w:tc>
          <w:tcPr>
            <w:tcW w:w="5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filer</w:t>
            </w:r>
          </w:p>
        </w:tc>
        <w:tc>
          <w:tcPr>
            <w:tcW w:w="5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company</w:t>
            </w:r>
          </w:p>
        </w:tc>
        <w:tc>
          <w:tcPr>
            <w:tcW w:w="600" w:type="dxa"/>
            <w:vAlign w:val="bottom"/>
          </w:tcPr>
          <w:p>
            <w:pPr>
              <w:spacing w:after="0"/>
              <w:rPr>
                <w:sz w:val="19"/>
                <w:szCs w:val="19"/>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company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1"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July 15, 2025, there were 3,682,762,127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203200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168910</wp:posOffset>
            </wp:positionV>
            <wp:extent cx="7012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tcBorders>
              <w:bottom w:val="single" w:sz="8" w:color="0000FF"/>
            </w:tcBorders>
            <w:gridSpan w:val="11"/>
          </w:tcPr>
          <w:p>
            <w:pPr>
              <w:spacing w:after="0" w:line="188" w:lineRule="exact"/>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4780" w:type="dxa"/>
            <w:vAlign w:val="bottom"/>
            <w:gridSpan w:val="17"/>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(Unaudited)</w:t>
            </w:r>
          </w:p>
        </w:tc>
        <w:tc>
          <w:tcPr>
            <w:tcW w:w="2140" w:type="dxa"/>
            <w:vAlign w:val="bottom"/>
            <w:gridSpan w:val="7"/>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(Unaudited)</w:t>
            </w:r>
          </w:p>
        </w:tc>
        <w:tc>
          <w:tcPr>
            <w:tcW w:w="9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760" w:type="dxa"/>
            <w:vAlign w:val="bottom"/>
            <w:tcBorders>
              <w:top w:val="single" w:sz="8" w:color="0000FF"/>
            </w:tcBorders>
            <w:gridSpan w:val="5"/>
          </w:tcPr>
          <w:p>
            <w:pPr>
              <w:spacing w:after="0"/>
              <w:rPr>
                <w:sz w:val="18"/>
                <w:szCs w:val="18"/>
                <w:color w:val="auto"/>
              </w:rPr>
            </w:pPr>
          </w:p>
        </w:tc>
        <w:tc>
          <w:tcPr>
            <w:tcW w:w="1840" w:type="dxa"/>
            <w:vAlign w:val="bottom"/>
            <w:gridSpan w:val="4"/>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(Unaudited)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360" w:type="dxa"/>
            <w:vAlign w:val="bottom"/>
            <w:gridSpan w:val="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394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Note 1: Condensed Consolidated Financial Statements</w:t>
            </w:r>
          </w:p>
        </w:tc>
        <w:tc>
          <w:tcPr>
            <w:tcW w:w="540" w:type="dxa"/>
            <w:vAlign w:val="bottom"/>
            <w:tcBorders>
              <w:top w:val="single" w:sz="8" w:color="0000FF"/>
            </w:tcBorders>
            <w:gridSpan w:val="2"/>
          </w:tcPr>
          <w:p>
            <w:pPr>
              <w:spacing w:after="0"/>
              <w:rPr>
                <w:sz w:val="18"/>
                <w:szCs w:val="18"/>
                <w:color w:val="auto"/>
              </w:rPr>
            </w:pPr>
          </w:p>
        </w:tc>
        <w:tc>
          <w:tcPr>
            <w:tcW w:w="1560" w:type="dxa"/>
            <w:vAlign w:val="bottom"/>
            <w:gridSpan w:val="3"/>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2: Segment Information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Note 3: Revenue</w:t>
            </w:r>
          </w:p>
        </w:tc>
        <w:tc>
          <w:tcPr>
            <w:tcW w:w="900" w:type="dxa"/>
            <w:vAlign w:val="bottom"/>
            <w:tcBorders>
              <w:top w:val="single" w:sz="8" w:color="0000FF"/>
            </w:tcBorders>
            <w:gridSpan w:val="3"/>
          </w:tcPr>
          <w:p>
            <w:pPr>
              <w:spacing w:after="0"/>
              <w:rPr>
                <w:sz w:val="18"/>
                <w:szCs w:val="18"/>
                <w:color w:val="auto"/>
              </w:rPr>
            </w:pPr>
          </w:p>
        </w:tc>
        <w:tc>
          <w:tcPr>
            <w:tcW w:w="3920" w:type="dxa"/>
            <w:vAlign w:val="bottom"/>
            <w:gridSpan w:val="15"/>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4: Programming and Production Costs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Note 5: Debt</w:t>
            </w:r>
          </w:p>
        </w:tc>
        <w:tc>
          <w:tcPr>
            <w:tcW w:w="2220" w:type="dxa"/>
            <w:vAlign w:val="bottom"/>
            <w:tcBorders>
              <w:top w:val="single" w:sz="8" w:color="0000FF"/>
            </w:tcBorders>
            <w:gridSpan w:val="9"/>
          </w:tcPr>
          <w:p>
            <w:pPr>
              <w:spacing w:after="0"/>
              <w:rPr>
                <w:sz w:val="18"/>
                <w:szCs w:val="18"/>
                <w:color w:val="auto"/>
              </w:rPr>
            </w:pPr>
          </w:p>
        </w:tc>
        <w:tc>
          <w:tcPr>
            <w:tcW w:w="2880" w:type="dxa"/>
            <w:vAlign w:val="bottom"/>
            <w:gridSpan w:val="1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 6: Significant Transactions</w:t>
            </w:r>
          </w:p>
        </w:tc>
        <w:tc>
          <w:tcPr>
            <w:tcW w:w="3700" w:type="dxa"/>
            <w:vAlign w:val="bottom"/>
            <w:gridSpan w:val="14"/>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7: Investments and Variable Interest Entities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 8: Equity and Share-Based Compensation</w:t>
            </w:r>
          </w:p>
        </w:tc>
        <w:tc>
          <w:tcPr>
            <w:tcW w:w="160" w:type="dxa"/>
            <w:vAlign w:val="bottom"/>
            <w:tcBorders>
              <w:top w:val="single" w:sz="8" w:color="0000FF"/>
            </w:tcBorders>
            <w:gridSpan w:val="2"/>
          </w:tcPr>
          <w:p>
            <w:pPr>
              <w:spacing w:after="0"/>
              <w:rPr>
                <w:sz w:val="18"/>
                <w:szCs w:val="18"/>
                <w:color w:val="auto"/>
              </w:rPr>
            </w:pPr>
          </w:p>
        </w:tc>
        <w:tc>
          <w:tcPr>
            <w:tcW w:w="2460" w:type="dxa"/>
            <w:vAlign w:val="bottom"/>
            <w:gridSpan w:val="8"/>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 9: Supplemental Financial Information</w:t>
            </w:r>
          </w:p>
        </w:tc>
        <w:tc>
          <w:tcPr>
            <w:tcW w:w="2840" w:type="dxa"/>
            <w:vAlign w:val="bottom"/>
            <w:gridSpan w:val="11"/>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20" w:type="dxa"/>
            <w:vAlign w:val="bottom"/>
          </w:tcPr>
          <w:p>
            <w:pPr>
              <w:spacing w:after="0"/>
              <w:rPr>
                <w:sz w:val="18"/>
                <w:szCs w:val="18"/>
                <w:color w:val="auto"/>
              </w:rPr>
            </w:pPr>
          </w:p>
        </w:tc>
        <w:tc>
          <w:tcPr>
            <w:tcW w:w="30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 10: Commitments and Contingencies</w:t>
            </w:r>
          </w:p>
        </w:tc>
        <w:tc>
          <w:tcPr>
            <w:tcW w:w="2960" w:type="dxa"/>
            <w:vAlign w:val="bottom"/>
            <w:gridSpan w:val="13"/>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5"/>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5080" w:type="dxa"/>
            <w:vAlign w:val="bottom"/>
            <w:gridSpan w:val="20"/>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120" w:type="dxa"/>
            <w:vAlign w:val="bottom"/>
            <w:gridSpan w:val="2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7"/>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3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2120" w:type="dxa"/>
            <w:vAlign w:val="bottom"/>
            <w:gridSpan w:val="6"/>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is for the three and six months ended June 30, 2025.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 Unless indicated otherwise, throughout this Quarterly Report on Form 10-Q, we refer to Comcast and its consolidated subsidiaries as “Comcast,” “we,” “us” and “our.”</w:t>
      </w:r>
    </w:p>
    <w:p>
      <w:pPr>
        <w:spacing w:after="0" w:line="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words such as “believe,” “project,” “expect,” “anticipate,” “estimate,” “intend,” “potential,” “strategy,” “future,” “opportunity,” “commit,” “plan,” “goal,” “may,” “should,” “could,” “will,” “would,” “will be,” “will continue,” “will likely result” and similar expressions. In evaluating these statements, you should consider various factors, including the risks and uncertainties we describe in the “Risk Factors” sections of our Forms 10-K and 10-Q and in other reports we file with the SEC.</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factors could cause our actual results to differ materially from those expressed or implied by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63" w:lineRule="exact"/>
        <w:rPr>
          <w:sz w:val="20"/>
          <w:szCs w:val="20"/>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operate in highly competitive and dynamic industries, and our businesses and results of operations could be adversely affected if we do not compete effectively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continue to adversely affect our businesses and challenge existing business models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consumer acceptance of our content, and our businesses may be adversely affected if our content fails to achieve sufficient consumer acceptance</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for our video services are increasing on a per subscriber basis, which could adversely affect our video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agreements, or the renewal of these agreements on less favorable terms, could adversely affect our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misappropriating or otherwise violating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necessary hardware, software and operational support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keeping pace with technological developments</w:t>
      </w:r>
    </w:p>
    <w:p>
      <w:pPr>
        <w:spacing w:after="0" w:line="63" w:lineRule="exact"/>
        <w:rPr>
          <w:rFonts w:ascii="Times New Roman" w:cs="Times New Roman" w:eastAsia="Times New Roman" w:hAnsi="Times New Roman"/>
          <w:sz w:val="18"/>
          <w:szCs w:val="18"/>
          <w:color w:val="auto"/>
        </w:rPr>
      </w:pPr>
    </w:p>
    <w:p>
      <w:pPr>
        <w:jc w:val="both"/>
        <w:ind w:left="660" w:right="9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initiatives present many risks, and we may not realize the financial and strategic goals that we had contemplated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doing business internationally that could adversely affect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and other uncontrollable events could adversely affect our business, reputation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local and foreign authorities, which impose additional costs and restrictions on our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both"/>
        <w:ind w:left="328"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779145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8"/>
          </w:cols>
          <w:pgMar w:left="652" w:top="1417" w:right="1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w w:val="99"/>
              </w:rPr>
              <w:t>2024</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2025</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30,313</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29,688</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60,199</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59,746</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7,576</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7,961</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15,991</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16,784</w:t>
            </w: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and promotion</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2,168</w:t>
            </w:r>
          </w:p>
        </w:tc>
        <w:tc>
          <w:tcPr>
            <w:tcW w:w="64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1,922</w:t>
            </w:r>
          </w:p>
        </w:tc>
        <w:tc>
          <w:tcPr>
            <w:tcW w:w="4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4,239</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10,422</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9,630</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20,314</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19,487</w:t>
            </w: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2,349</w:t>
            </w:r>
          </w:p>
        </w:tc>
        <w:tc>
          <w:tcPr>
            <w:tcW w:w="64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2,153</w:t>
            </w:r>
          </w:p>
        </w:tc>
        <w:tc>
          <w:tcPr>
            <w:tcW w:w="4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4,580</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1,805</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1,387</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3,423</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24,320</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23,053</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48,548</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47,301</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5,992</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6,635</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11,650</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(1,105)</w:t>
            </w:r>
          </w:p>
        </w:tc>
        <w:tc>
          <w:tcPr>
            <w:tcW w:w="64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(1,026)</w:t>
            </w:r>
          </w:p>
        </w:tc>
        <w:tc>
          <w:tcPr>
            <w:tcW w:w="4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(2,155)</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9,760</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(434)</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9,644</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14,647</w:t>
            </w:r>
          </w:p>
        </w:tc>
        <w:tc>
          <w:tcPr>
            <w:tcW w:w="64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5,175</w:t>
            </w:r>
          </w:p>
        </w:tc>
        <w:tc>
          <w:tcPr>
            <w:tcW w:w="4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19,139</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(3,603)</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(1,336)</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(4,799)</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11,044</w:t>
            </w:r>
          </w:p>
        </w:tc>
        <w:tc>
          <w:tcPr>
            <w:tcW w:w="64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3,839</w:t>
            </w:r>
          </w:p>
        </w:tc>
        <w:tc>
          <w:tcPr>
            <w:tcW w:w="4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14,340</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(89)</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(158)</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11,123</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3,929</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14,498</w:t>
            </w: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7,785</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w:t>
            </w: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2.99</w:t>
            </w:r>
          </w:p>
        </w:tc>
        <w:tc>
          <w:tcPr>
            <w:tcW w:w="64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1.01</w:t>
            </w:r>
          </w:p>
        </w:tc>
        <w:tc>
          <w:tcPr>
            <w:tcW w:w="4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3.87</w:t>
            </w:r>
          </w:p>
        </w:tc>
        <w:tc>
          <w:tcPr>
            <w:tcW w:w="5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0" w:type="dxa"/>
            <w:vAlign w:val="bottom"/>
          </w:tcPr>
          <w:p>
            <w:pPr>
              <w:spacing w:after="0"/>
              <w:rPr>
                <w:sz w:val="1"/>
                <w:szCs w:val="1"/>
                <w:color w:val="auto"/>
              </w:rPr>
            </w:pPr>
          </w:p>
        </w:tc>
      </w:tr>
      <w:tr>
        <w:trPr>
          <w:trHeight w:val="238"/>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Corporation shareholders</w:t>
            </w:r>
          </w:p>
        </w:tc>
        <w:tc>
          <w:tcPr>
            <w:tcW w:w="3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16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2.98</w:t>
            </w:r>
          </w:p>
        </w:tc>
        <w:tc>
          <w:tcPr>
            <w:tcW w:w="6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1.00</w:t>
            </w:r>
          </w:p>
        </w:tc>
        <w:tc>
          <w:tcPr>
            <w:tcW w:w="4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3.86</w:t>
            </w:r>
          </w:p>
        </w:tc>
        <w:tc>
          <w:tcPr>
            <w:tcW w:w="5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0" w:type="dxa"/>
            <w:vAlign w:val="bottom"/>
          </w:tcPr>
          <w:p>
            <w:pPr>
              <w:spacing w:after="0"/>
              <w:rPr>
                <w:sz w:val="1"/>
                <w:szCs w:val="1"/>
                <w:color w:val="auto"/>
              </w:rPr>
            </w:pPr>
          </w:p>
        </w:tc>
      </w:tr>
      <w:tr>
        <w:trPr>
          <w:trHeight w:val="245"/>
        </w:trPr>
        <w:tc>
          <w:tcPr>
            <w:tcW w:w="5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Corporation shareholders</w:t>
            </w:r>
          </w:p>
        </w:tc>
        <w:tc>
          <w:tcPr>
            <w:tcW w:w="32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42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58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96"/>
        </w:trPr>
        <w:tc>
          <w:tcPr>
            <w:tcW w:w="4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4"/>
                <w:szCs w:val="14"/>
                <w:color w:val="auto"/>
              </w:rPr>
              <w:t>June 30,</w:t>
            </w:r>
          </w:p>
        </w:tc>
        <w:tc>
          <w:tcPr>
            <w:tcW w:w="9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11,044</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3,839</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14,340</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 (expense) benefit: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76"/>
        </w:trPr>
        <w:tc>
          <w:tcPr>
            <w:tcW w:w="49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Currency translation adjustments, net of deferred taxes of $124,</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4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$(22), $198 and $(43)</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1,762</w:t>
            </w: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4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2,710</w:t>
            </w:r>
          </w:p>
        </w:tc>
        <w:tc>
          <w:tcPr>
            <w:tcW w:w="6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76"/>
        </w:trPr>
        <w:tc>
          <w:tcPr>
            <w:tcW w:w="492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Deferred gains (losses), net of deferred taxes of $(15), $0,</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4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$(15), and $(2)</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w:t>
            </w: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76"/>
        </w:trPr>
        <w:tc>
          <w:tcPr>
            <w:tcW w:w="492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Realized (gains) losses reclassified to net income, net of</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4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taxes of $13, $1, $19 and $0</w:t>
            </w:r>
          </w:p>
        </w:tc>
        <w:tc>
          <w:tcPr>
            <w:tcW w:w="3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w:t>
            </w:r>
          </w:p>
        </w:tc>
        <w:tc>
          <w:tcPr>
            <w:tcW w:w="6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w:t>
            </w: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6"/>
        </w:trPr>
        <w:tc>
          <w:tcPr>
            <w:tcW w:w="49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Employee benefit obligations and other, net of deferred taxes of</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49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 $3, $20 and $8</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w:t>
            </w: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1,724</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(142)</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2,576</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12,768</w:t>
            </w: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3,698</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16,916</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w:t>
            </w:r>
          </w:p>
        </w:tc>
        <w:tc>
          <w:tcPr>
            <w:tcW w:w="6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c>
          <w:tcPr>
            <w:tcW w:w="46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176"/>
        </w:trPr>
        <w:tc>
          <w:tcPr>
            <w:tcW w:w="4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Other comprehensive income (loss) attributable to</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49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Comcast Corporation</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12,845</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3,787</w:t>
            </w:r>
          </w:p>
        </w:tc>
        <w:tc>
          <w:tcPr>
            <w:tcW w:w="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17,067</w:t>
            </w:r>
          </w:p>
        </w:tc>
        <w:tc>
          <w:tcPr>
            <w:tcW w:w="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7,217</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96"/>
        </w:trPr>
        <w:tc>
          <w:tcPr>
            <w:tcW w:w="8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14,340</w:t>
            </w: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8,003</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703</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 (income),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253</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(9,390)</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2,556</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1,023</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Film and television costs,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188</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(1,602)</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16,109</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(4,930)</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(1,257)</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 of Universal Beijing Resort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(1,279)</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of businesses and investments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659</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(1,132)</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30"/>
        </w:trPr>
        <w:tc>
          <w:tcPr>
            <w:tcW w:w="8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39</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(7,903)</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(6,879)</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2,494</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and repayments of debt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(1,856)</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(4,066)</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(2,462)</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(5,881)</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(5,817)</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currency on cash, cash equivalents and restricted cash</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2,371</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7,377</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9,748</w:t>
            </w:r>
          </w:p>
        </w:tc>
        <w:tc>
          <w:tcPr>
            <w:tcW w:w="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6,141</w:t>
            </w: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share data)</w:t>
            </w:r>
          </w:p>
        </w:tc>
        <w:tc>
          <w:tcPr>
            <w:tcW w:w="420" w:type="dxa"/>
            <w:vAlign w:val="bottom"/>
          </w:tcPr>
          <w:p>
            <w:pPr>
              <w:spacing w:after="0"/>
              <w:rPr>
                <w:sz w:val="13"/>
                <w:szCs w:val="13"/>
                <w:color w:val="auto"/>
              </w:rPr>
            </w:pPr>
          </w:p>
        </w:tc>
        <w:tc>
          <w:tcPr>
            <w:tcW w:w="1220" w:type="dxa"/>
            <w:vAlign w:val="bottom"/>
          </w:tcPr>
          <w:p>
            <w:pPr>
              <w:jc w:val="right"/>
              <w:ind w:right="471"/>
              <w:spacing w:after="0"/>
              <w:rPr>
                <w:sz w:val="20"/>
                <w:szCs w:val="20"/>
                <w:color w:val="auto"/>
              </w:rPr>
            </w:pPr>
            <w:r>
              <w:rPr>
                <w:rFonts w:ascii="Times New Roman" w:cs="Times New Roman" w:eastAsia="Times New Roman" w:hAnsi="Times New Roman"/>
                <w:sz w:val="14"/>
                <w:szCs w:val="14"/>
                <w:color w:val="auto"/>
              </w:rPr>
              <w:t>June 30,</w:t>
            </w:r>
          </w:p>
        </w:tc>
        <w:tc>
          <w:tcPr>
            <w:tcW w:w="320" w:type="dxa"/>
            <w:vAlign w:val="bottom"/>
          </w:tcPr>
          <w:p>
            <w:pPr>
              <w:spacing w:after="0"/>
              <w:rPr>
                <w:sz w:val="13"/>
                <w:szCs w:val="13"/>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9,687</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42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13,040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6,309</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29,036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television costs</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12,640</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42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8,463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$61,311 and $59,534</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64,025</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62,548</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61,812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rights</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59,365</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59,365</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 of $37,964 and $33,994</w:t>
            </w:r>
          </w:p>
        </w:tc>
        <w:tc>
          <w:tcPr>
            <w:tcW w:w="42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24,612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13,897</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273,850</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266,211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11,826</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4,031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10,215</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debt</w:t>
            </w:r>
          </w:p>
        </w:tc>
        <w:tc>
          <w:tcPr>
            <w:tcW w:w="42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5,720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on sale of investment</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31,792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95,808</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94,186</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27,692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21,100</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stock—authorized, 20,000,000 shares; issued, zero</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value—authorized, 7,500,000,000 shares; issued, 4,561,297,163 and</w:t>
            </w: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4,651,093,045; outstanding, 3,688,506,135 and 3,778,302,017</w:t>
            </w:r>
          </w:p>
        </w:tc>
        <w:tc>
          <w:tcPr>
            <w:tcW w:w="4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 $0.01 par value—authorized, 75,000,000 shares; issued and outstanding, 9,444,375</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37,797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66,000</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872,791,028 Class A common shares</w:t>
            </w:r>
          </w:p>
        </w:tc>
        <w:tc>
          <w:tcPr>
            <w:tcW w:w="42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(7,517)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525</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Comcast Corporation shareholders’ equity</w:t>
            </w:r>
          </w:p>
        </w:tc>
        <w:tc>
          <w:tcPr>
            <w:tcW w:w="42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96,851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85,560</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376</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97,228</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86,038</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273,850</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266,211</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jc w:val="right"/>
              <w:ind w:right="831"/>
              <w:spacing w:after="0"/>
              <w:rPr>
                <w:sz w:val="20"/>
                <w:szCs w:val="20"/>
                <w:color w:val="auto"/>
              </w:rPr>
            </w:pPr>
            <w:r>
              <w:rPr>
                <w:rFonts w:ascii="Times New Roman" w:cs="Times New Roman" w:eastAsia="Times New Roman" w:hAnsi="Times New Roman"/>
                <w:sz w:val="14"/>
                <w:szCs w:val="14"/>
                <w:color w:val="auto"/>
              </w:rPr>
              <w:t>Three Months Ended</w:t>
            </w:r>
          </w:p>
        </w:tc>
        <w:tc>
          <w:tcPr>
            <w:tcW w:w="44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80" w:type="dxa"/>
            <w:vAlign w:val="bottom"/>
          </w:tcPr>
          <w:p>
            <w:pPr>
              <w:spacing w:after="0"/>
              <w:rPr>
                <w:sz w:val="13"/>
                <w:szCs w:val="13"/>
                <w:color w:val="auto"/>
              </w:rPr>
            </w:pPr>
          </w:p>
        </w:tc>
      </w:tr>
      <w:tr>
        <w:trPr>
          <w:trHeight w:val="196"/>
        </w:trPr>
        <w:tc>
          <w:tcPr>
            <w:tcW w:w="5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June 30,</w:t>
            </w:r>
          </w:p>
        </w:tc>
        <w:tc>
          <w:tcPr>
            <w:tcW w:w="1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243</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236</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r>
      <w:tr>
        <w:trPr>
          <w:trHeight w:val="41"/>
        </w:trPr>
        <w:tc>
          <w:tcPr>
            <w:tcW w:w="5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175"/>
        </w:trPr>
        <w:tc>
          <w:tcPr>
            <w:tcW w:w="5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Repurchases of common stock under repurchase program and</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52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employee plans</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2"/>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47</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230"/>
        </w:trPr>
        <w:tc>
          <w:tcPr>
            <w:tcW w:w="5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37,832</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38,274</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38,102</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38,533</w:t>
            </w: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20" w:type="dxa"/>
            <w:vAlign w:val="bottom"/>
          </w:tcPr>
          <w:p>
            <w:pPr>
              <w:spacing w:after="0"/>
              <w:rPr>
                <w:sz w:val="19"/>
                <w:szCs w:val="19"/>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287</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176"/>
        </w:trPr>
        <w:tc>
          <w:tcPr>
            <w:tcW w:w="5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Repurchases of common stock under repurchase program and</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5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employee plans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(428)</w:t>
            </w: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5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Issuances of common stock under employee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Pr>
          <w:p>
            <w:pPr>
              <w:spacing w:after="0"/>
              <w:rPr>
                <w:sz w:val="19"/>
                <w:szCs w:val="19"/>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2"/>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37,797</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38,203</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37,797</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38,203</w:t>
            </w:r>
          </w:p>
        </w:tc>
      </w:tr>
      <w:tr>
        <w:trPr>
          <w:trHeight w:val="230"/>
        </w:trPr>
        <w:tc>
          <w:tcPr>
            <w:tcW w:w="5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57,473</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53,425</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52,892</w:t>
            </w:r>
          </w:p>
        </w:tc>
      </w:tr>
      <w:tr>
        <w:trPr>
          <w:trHeight w:val="175"/>
        </w:trPr>
        <w:tc>
          <w:tcPr>
            <w:tcW w:w="52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Repurchases of common stock under repurchase program and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 plans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(1,825)</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declared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(1,222)</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r>
      <w:tr>
        <w:trPr>
          <w:trHeight w:val="229"/>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3,929</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7,785</w:t>
            </w: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66,000</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54,308</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66,000</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54,308</w:t>
            </w:r>
          </w:p>
        </w:tc>
      </w:tr>
      <w:tr>
        <w:trPr>
          <w:trHeight w:val="34"/>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 at Cost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beginning and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(7,517)</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r>
      <w:tr>
        <w:trPr>
          <w:trHeight w:val="75"/>
        </w:trPr>
        <w:tc>
          <w:tcPr>
            <w:tcW w:w="52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(1,680)</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30"/>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(1,822)</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(1,822)</w:t>
            </w:r>
          </w:p>
        </w:tc>
      </w:tr>
      <w:tr>
        <w:trPr>
          <w:trHeight w:val="34"/>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500</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9"/>
                <w:szCs w:val="19"/>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66</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485</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r>
      <w:tr>
        <w:trPr>
          <w:trHeight w:val="217"/>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97,228</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83,704</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97,228</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83,704</w:t>
            </w:r>
          </w:p>
        </w:tc>
      </w:tr>
      <w:tr>
        <w:trPr>
          <w:trHeight w:val="23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dividends declared per common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0.33</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0.31</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0.66</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200"/>
        <w:spacing w:after="0" w:line="285"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2024 Annual Report on Form 10-K.</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we announced our intention to create Versant Media Group, Inc. (“Versant”), a new independent publicly traded company comprised of select cable television networks along with complementary digital assets through a tax-free spin-off. We are targeting to complete the spin-off around the end of 2025, subject to the satisfaction of customary conditions, including obtaining final approval from our Board of Directors, satisfactory completion of Versant financings, receipt of tax opinions and receipt of any regulatory approvals. There can be no assurance that a separation transaction will occur, or, if one does, of its terms or timing. The condensed consolidated financial statements and related notes do not reflect the proposed spin-off.</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Refer to Note 3 for a discussion of the changes in our presentation of disaggregated revenue.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Disclosures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updated accounting guidance related to income tax disclosures. The updated accounting guidance, among other things, requires additional disclosure primarily related to the income tax rate reconciliation and income taxes paid. We will adopt the updated accounting guidance in our Annual Report on Form 10-K for the year ending December 31, 2025.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Income Statement Expenses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updated accounting guidance related to disclosures about certain costs and expenses. The updated accounting guidance, among other things, requires quantitative disclosures for employee compensation, selling expenses and purchases of inventory. The updated guidance is effective beginning in our Annual Report on Form 10-K for the year ending December 31, 2027.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global media and technology company with five segments: Residential Connectivity &amp; Platforms, Business Services Connectivity, Media, Studios and Theme Parks.</w:t>
      </w:r>
    </w:p>
    <w:p>
      <w:pPr>
        <w:spacing w:after="0" w:line="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data by segment is presented in the tables below. We do not present asset information for our segments as this information is not used to allocate resources.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color w:val="auto"/>
              </w:rPr>
              <w:t>Three Months Ended June 30, 2025</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Business Services</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6"/>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2"/>
                <w:szCs w:val="12"/>
                <w:color w:val="auto"/>
              </w:rPr>
            </w:pPr>
          </w:p>
        </w:tc>
        <w:tc>
          <w:tcPr>
            <w:tcW w:w="10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Connectivity</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29,646</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17,814</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30,313</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0" w:type="dxa"/>
            <w:vAlign w:val="bottom"/>
          </w:tcPr>
          <w:p>
            <w:pPr>
              <w:spacing w:after="0"/>
              <w:rPr>
                <w:sz w:val="1"/>
                <w:szCs w:val="1"/>
                <w:color w:val="auto"/>
              </w:rPr>
            </w:pPr>
          </w:p>
        </w:tc>
      </w:tr>
      <w:tr>
        <w:trPr>
          <w:trHeight w:val="790"/>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color w:val="auto"/>
              </w:rPr>
              <w:t>Three Months Ended June 30, 2024</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Business Services</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6"/>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2"/>
                <w:szCs w:val="12"/>
                <w:color w:val="auto"/>
              </w:rPr>
            </w:pPr>
          </w:p>
        </w:tc>
        <w:tc>
          <w:tcPr>
            <w:tcW w:w="10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Connectivity</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17,824</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29,688</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790"/>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color w:val="auto"/>
              </w:rPr>
              <w:t>Six Months Ended June 30, 2025</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Business Services</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6"/>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2"/>
                <w:szCs w:val="12"/>
                <w:color w:val="auto"/>
              </w:rPr>
            </w:pPr>
          </w:p>
        </w:tc>
        <w:tc>
          <w:tcPr>
            <w:tcW w:w="10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Connectivity</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58,855</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35,457</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60,199</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20,823</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19,139</w:t>
            </w:r>
          </w:p>
        </w:tc>
        <w:tc>
          <w:tcPr>
            <w:tcW w:w="0" w:type="dxa"/>
            <w:vAlign w:val="bottom"/>
          </w:tcPr>
          <w:p>
            <w:pPr>
              <w:spacing w:after="0"/>
              <w:rPr>
                <w:sz w:val="1"/>
                <w:szCs w:val="1"/>
                <w:color w:val="auto"/>
              </w:rPr>
            </w:pPr>
          </w:p>
        </w:tc>
      </w:tr>
      <w:tr>
        <w:trPr>
          <w:trHeight w:val="790"/>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color w:val="auto"/>
              </w:rPr>
              <w:t>Six Months Ended June 30, 2024</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Business Services</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6"/>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2"/>
                <w:szCs w:val="12"/>
                <w:color w:val="auto"/>
              </w:rPr>
            </w:pPr>
          </w:p>
        </w:tc>
        <w:tc>
          <w:tcPr>
            <w:tcW w:w="10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Connectivity</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58,368</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59,746</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13,083</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20,514</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line="291"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most significant intersegment revenue transactions include distribution revenue in Media related to fees from Residential Connectivity &amp; Platforms for the rights to distribute television programming, and content licensing revenue in Studios for licenses of owned content to Media.</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1"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operations of our Sky-branded video services and television networks in Germany; Comcast Spectacor, which owns the Philadelphia Flyers and the Wells Fargo Center arena in Philadelphia, Pennsylvania; and Xumo, our consolidated streaming platform joint venture with Charter Communications. Corporate and other also includes overhead and personnel costs for Corporate.</w:t>
      </w:r>
    </w:p>
    <w:p>
      <w:pPr>
        <w:spacing w:after="0" w:line="8" w:lineRule="exact"/>
        <w:rPr>
          <w:rFonts w:ascii="Times New Roman" w:cs="Times New Roman" w:eastAsia="Times New Roman" w:hAnsi="Times New Roman"/>
          <w:sz w:val="14"/>
          <w:szCs w:val="14"/>
          <w:color w:val="auto"/>
        </w:rPr>
      </w:pPr>
    </w:p>
    <w:p>
      <w:pPr>
        <w:ind w:left="340" w:hanging="332"/>
        <w:spacing w:after="0" w:line="281"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our chief operating decision maker. Intersegment expenses are included in the amounts shown.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segment primarily includes:</w:t>
      </w:r>
    </w:p>
    <w:p>
      <w:pPr>
        <w:spacing w:after="0" w:line="82" w:lineRule="exact"/>
        <w:rPr>
          <w:rFonts w:ascii="Times New Roman" w:cs="Times New Roman" w:eastAsia="Times New Roman" w:hAnsi="Times New Roman"/>
          <w:sz w:val="14"/>
          <w:szCs w:val="14"/>
          <w:color w:val="auto"/>
        </w:rPr>
      </w:pPr>
    </w:p>
    <w:p>
      <w:pPr>
        <w:jc w:val="both"/>
        <w:ind w:left="340"/>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Connectivity &amp; Platforms and Business Services Connectivity: technical and support; direct product costs; marketing and promotion; customer service; administrative personnel costs; franchise and other regulatory fees; fees paid to third parties where we sell advertising on their behalf; bad debt; and other business, headquarters and support costs, including building and office expenses, taxes and billing costs necessary to operate the Residential Connectivity &amp; Platforms and Business Services Connectivity segments. Our chief operating decision maker uses aggregate expense information to manage the operations of the Business Services Connectivity segment.</w:t>
      </w:r>
    </w:p>
    <w:p>
      <w:pPr>
        <w:spacing w:after="0" w:line="9"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Media and Studios: salaries, employee benefits, rent and other overhead expenses.</w:t>
      </w:r>
    </w:p>
    <w:p>
      <w:pPr>
        <w:spacing w:after="0" w:line="41" w:lineRule="exact"/>
        <w:rPr>
          <w:rFonts w:ascii="Times New Roman" w:cs="Times New Roman" w:eastAsia="Times New Roman" w:hAnsi="Times New Roman"/>
          <w:sz w:val="14"/>
          <w:szCs w:val="14"/>
          <w:color w:val="auto"/>
        </w:rPr>
      </w:pPr>
    </w:p>
    <w:p>
      <w:pPr>
        <w:ind w:left="340"/>
        <w:spacing w:after="0" w:line="29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Theme Parks: theme park operations, including repairs and maintenance and related administrative expenses; food, beverage and merchandise costs; labor costs; and sales and marketing costs. Our chief operating decision maker uses aggregate expense information to manage the operations of the Theme Parks segment.</w:t>
      </w:r>
    </w:p>
    <w:p>
      <w:pPr>
        <w:spacing w:after="0" w:line="1" w:lineRule="exact"/>
        <w:rPr>
          <w:rFonts w:ascii="Times New Roman" w:cs="Times New Roman" w:eastAsia="Times New Roman" w:hAnsi="Times New Roman"/>
          <w:sz w:val="14"/>
          <w:szCs w:val="14"/>
          <w:color w:val="auto"/>
        </w:rPr>
      </w:pPr>
    </w:p>
    <w:p>
      <w:pPr>
        <w:ind w:left="340" w:right="20" w:hanging="332"/>
        <w:spacing w:after="0" w:line="281"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Adjusted EBITDA as the measure of profit or loss for our segments. From time to time we may report the impact of certain events, gains, losses or other charges related to our segments within Corporate and other.</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overhead, personnel costs and other costs necessary to operate the Media, Studios and Theme Parks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40" w:type="dxa"/>
            <w:vAlign w:val="bottom"/>
            <w:gridSpan w:val="3"/>
          </w:tcPr>
          <w:p>
            <w:pPr>
              <w:jc w:val="right"/>
              <w:ind w:right="891"/>
              <w:spacing w:after="0"/>
              <w:rPr>
                <w:sz w:val="20"/>
                <w:szCs w:val="20"/>
                <w:color w:val="auto"/>
              </w:rPr>
            </w:pPr>
            <w:r>
              <w:rPr>
                <w:rFonts w:ascii="Times New Roman" w:cs="Times New Roman" w:eastAsia="Times New Roman" w:hAnsi="Times New Roman"/>
                <w:sz w:val="14"/>
                <w:szCs w:val="14"/>
                <w:color w:val="auto"/>
              </w:rPr>
              <w:t>Three Months Ended</w:t>
            </w:r>
          </w:p>
        </w:tc>
        <w:tc>
          <w:tcPr>
            <w:tcW w:w="44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92"/>
        </w:trPr>
        <w:tc>
          <w:tcPr>
            <w:tcW w:w="5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June 30,</w:t>
            </w:r>
          </w:p>
        </w:tc>
        <w:tc>
          <w:tcPr>
            <w:tcW w:w="1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203"/>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1"/>
              <w:spacing w:after="0" w:line="202" w:lineRule="exact"/>
              <w:rPr>
                <w:sz w:val="20"/>
                <w:szCs w:val="20"/>
                <w:color w:val="auto"/>
              </w:rPr>
            </w:pPr>
            <w:r>
              <w:rPr>
                <w:rFonts w:ascii="Times New Roman" w:cs="Times New Roman" w:eastAsia="Times New Roman" w:hAnsi="Times New Roman"/>
                <w:sz w:val="14"/>
                <w:szCs w:val="14"/>
                <w:color w:val="auto"/>
              </w:rPr>
              <w:t>2024</w:t>
            </w:r>
            <w:r>
              <w:rPr>
                <w:rFonts w:ascii="Times New Roman" w:cs="Times New Roman" w:eastAsia="Times New Roman" w:hAnsi="Times New Roman"/>
                <w:sz w:val="18"/>
                <w:szCs w:val="18"/>
                <w:color w:val="auto"/>
                <w:vertAlign w:val="superscript"/>
              </w:rPr>
              <w:t>(a)</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2025</w:t>
            </w: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1"/>
              <w:spacing w:after="0" w:line="202" w:lineRule="exact"/>
              <w:rPr>
                <w:sz w:val="20"/>
                <w:szCs w:val="20"/>
                <w:color w:val="auto"/>
              </w:rPr>
            </w:pPr>
            <w:r>
              <w:rPr>
                <w:rFonts w:ascii="Times New Roman" w:cs="Times New Roman" w:eastAsia="Times New Roman" w:hAnsi="Times New Roman"/>
                <w:sz w:val="14"/>
                <w:szCs w:val="14"/>
                <w:color w:val="auto"/>
                <w:w w:val="96"/>
              </w:rPr>
              <w:t>2024</w:t>
            </w:r>
            <w:r>
              <w:rPr>
                <w:rFonts w:ascii="Times New Roman" w:cs="Times New Roman" w:eastAsia="Times New Roman" w:hAnsi="Times New Roman"/>
                <w:sz w:val="18"/>
                <w:szCs w:val="18"/>
                <w:color w:val="auto"/>
                <w:w w:val="96"/>
                <w:vertAlign w:val="superscript"/>
              </w:rPr>
              <w:t>(a)</w:t>
            </w:r>
          </w:p>
        </w:tc>
      </w:tr>
      <w:tr>
        <w:trPr>
          <w:trHeight w:val="22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broadband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6,530</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6,429</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13,088</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w:t>
            </w: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wireless</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1,195</w:t>
            </w:r>
          </w:p>
        </w:tc>
        <w:tc>
          <w:tcPr>
            <w:tcW w:w="42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1,019</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2,318</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30"/>
        </w:trPr>
        <w:tc>
          <w:tcPr>
            <w:tcW w:w="5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1,219</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1,056</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2,351</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8,945</w:t>
            </w:r>
          </w:p>
        </w:tc>
        <w:tc>
          <w:tcPr>
            <w:tcW w:w="42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8,505</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17,758</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16,956</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6,722</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7,013</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13,440</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935</w:t>
            </w:r>
          </w:p>
        </w:tc>
        <w:tc>
          <w:tcPr>
            <w:tcW w:w="42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993</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1,816</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3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1,213</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1,313</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2,443</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 &amp; Platforms Segment</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17,814</w:t>
            </w:r>
          </w:p>
        </w:tc>
        <w:tc>
          <w:tcPr>
            <w:tcW w:w="42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17,824</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35,457</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35,692</w:t>
            </w:r>
          </w:p>
        </w:tc>
      </w:tr>
      <w:tr>
        <w:trPr>
          <w:trHeight w:val="108"/>
        </w:trPr>
        <w:tc>
          <w:tcPr>
            <w:tcW w:w="50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Business Services Connectivity Segment</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2,575</w:t>
            </w:r>
          </w:p>
        </w:tc>
        <w:tc>
          <w:tcPr>
            <w:tcW w:w="42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2,421</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5,071</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r>
      <w:tr>
        <w:trPr>
          <w:trHeight w:val="108"/>
        </w:trPr>
        <w:tc>
          <w:tcPr>
            <w:tcW w:w="50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advertising</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1,848</w:t>
            </w:r>
          </w:p>
        </w:tc>
        <w:tc>
          <w:tcPr>
            <w:tcW w:w="42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1,991</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3,734</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distribution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2,812</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2,764</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5,734</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networks</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1,266</w:t>
            </w:r>
          </w:p>
        </w:tc>
        <w:tc>
          <w:tcPr>
            <w:tcW w:w="42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1,102</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2,429</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r>
      <w:tr>
        <w:trPr>
          <w:trHeight w:val="229"/>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514</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467</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983</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Media Segment</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6,440</w:t>
            </w:r>
          </w:p>
        </w:tc>
        <w:tc>
          <w:tcPr>
            <w:tcW w:w="42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6,324</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12,880</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w:t>
            </w:r>
          </w:p>
        </w:tc>
      </w:tr>
      <w:tr>
        <w:trPr>
          <w:trHeight w:val="108"/>
        </w:trPr>
        <w:tc>
          <w:tcPr>
            <w:tcW w:w="50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licensing</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1,805</w:t>
            </w:r>
          </w:p>
        </w:tc>
        <w:tc>
          <w:tcPr>
            <w:tcW w:w="42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1,714</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3,979</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Theatrical</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284</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237</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570</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30"/>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343</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302</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709</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Studios Segment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2,432</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2,253</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5,259</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r>
      <w:tr>
        <w:trPr>
          <w:trHeight w:val="108"/>
        </w:trPr>
        <w:tc>
          <w:tcPr>
            <w:tcW w:w="5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Theme Parks Segment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2,349</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1,975</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4,226</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r>
      <w:tr>
        <w:trPr>
          <w:trHeight w:val="108"/>
        </w:trPr>
        <w:tc>
          <w:tcPr>
            <w:tcW w:w="5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717</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715</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1,469</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30"/>
        </w:trPr>
        <w:tc>
          <w:tcPr>
            <w:tcW w:w="50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(b)</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(1,825)</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(4,162)</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w:t>
            </w:r>
          </w:p>
        </w:tc>
      </w:tr>
      <w:tr>
        <w:trPr>
          <w:trHeight w:val="23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30,313</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29,688</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60,199</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59,746</w:t>
            </w:r>
          </w:p>
        </w:tc>
      </w:tr>
    </w:tbl>
    <w:p>
      <w:pPr>
        <w:spacing w:after="0" w:line="139" w:lineRule="exact"/>
        <w:rPr>
          <w:sz w:val="20"/>
          <w:szCs w:val="20"/>
          <w:color w:val="auto"/>
        </w:rPr>
      </w:pPr>
    </w:p>
    <w:p>
      <w:pPr>
        <w:ind w:left="340" w:hanging="332"/>
        <w:spacing w:after="0" w:line="302" w:lineRule="auto"/>
        <w:tabs>
          <w:tab w:leader="none" w:pos="33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first quarter of 2025, commission revenue from the sale of certain direct to consumer (“DTC”) streaming services and revenue related to certain equipment are presented in video revenue. Previously, these amounts were presented in domestic broadband and international connectivity. Prior periods have been reclassified to reflect the current year presentation.</w:t>
      </w:r>
    </w:p>
    <w:p>
      <w:pPr>
        <w:spacing w:after="0" w:line="1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 for additional information on intersegment revenue transactions.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our accounts receivable and other balances that are not separately presented in our condensed consolidated balance sheets that relate to the recognition of revenue and collection of the related cash.</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40" w:type="dxa"/>
            <w:vAlign w:val="bottom"/>
          </w:tcPr>
          <w:p>
            <w:pPr>
              <w:spacing w:after="0"/>
              <w:rPr>
                <w:sz w:val="13"/>
                <w:szCs w:val="13"/>
                <w:color w:val="auto"/>
              </w:rPr>
            </w:pPr>
          </w:p>
        </w:tc>
        <w:tc>
          <w:tcPr>
            <w:tcW w:w="122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June 30,</w:t>
            </w:r>
          </w:p>
        </w:tc>
        <w:tc>
          <w:tcPr>
            <w:tcW w:w="34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662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gross</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13,772</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732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3"/>
        </w:trPr>
        <w:tc>
          <w:tcPr>
            <w:tcW w:w="6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1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13,040</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13,661</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1,778</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revenue (included in other noncurrent liabilities)</w:t>
            </w:r>
          </w:p>
        </w:tc>
        <w:tc>
          <w:tcPr>
            <w:tcW w:w="1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719</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accounts receivables include amounts not yet billed related to equipment installment plans, as summarized in the table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660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5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1,953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2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3"/>
              </w:rPr>
              <w:t>1,238</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3"/>
              </w:rPr>
              <w:t>3,190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Programming and Production Costs</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92"/>
        </w:trPr>
        <w:tc>
          <w:tcPr>
            <w:tcW w:w="5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2025</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w w:val="99"/>
              </w:rPr>
              <w:t>2024</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distribution programming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2,511</w:t>
            </w:r>
          </w:p>
        </w:tc>
        <w:tc>
          <w:tcPr>
            <w:tcW w:w="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2,879</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5,170</w:t>
            </w:r>
          </w:p>
        </w:tc>
        <w:tc>
          <w:tcPr>
            <w:tcW w:w="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content: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0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Owned</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2,230</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2,215</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4,887</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32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2,474</w:t>
            </w:r>
          </w:p>
        </w:tc>
        <w:tc>
          <w:tcPr>
            <w:tcW w:w="66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2,570</w:t>
            </w:r>
          </w:p>
        </w:tc>
        <w:tc>
          <w:tcPr>
            <w:tcW w:w="460" w:type="dxa"/>
            <w:vAlign w:val="bottom"/>
          </w:tcPr>
          <w:p>
            <w:pPr>
              <w:spacing w:after="0"/>
              <w:rPr>
                <w:sz w:val="19"/>
                <w:szCs w:val="19"/>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5,279</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29"/>
        </w:trPr>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361</w:t>
            </w:r>
          </w:p>
        </w:tc>
        <w:tc>
          <w:tcPr>
            <w:tcW w:w="6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298</w:t>
            </w: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656</w:t>
            </w: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30"/>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7,576</w:t>
            </w: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7,961</w:t>
            </w:r>
          </w:p>
        </w:tc>
        <w:tc>
          <w:tcPr>
            <w:tcW w:w="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15,991</w:t>
            </w:r>
          </w:p>
        </w:tc>
        <w:tc>
          <w:tcPr>
            <w:tcW w:w="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16,784</w:t>
            </w:r>
          </w:p>
        </w:tc>
      </w:tr>
    </w:tbl>
    <w:p>
      <w:pPr>
        <w:spacing w:after="0" w:line="180" w:lineRule="exact"/>
        <w:rPr>
          <w:sz w:val="20"/>
          <w:szCs w:val="20"/>
          <w:color w:val="auto"/>
        </w:rPr>
      </w:pPr>
    </w:p>
    <w:p>
      <w:pPr>
        <w:ind w:right="180" w:firstLine="8"/>
        <w:spacing w:after="0" w:line="302" w:lineRule="auto"/>
        <w:tabs>
          <w:tab w:leader="none" w:pos="1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amortization of owned content of $1.8 billion and $4.0 billion for the three and six months ended June 30, 2025, respectively, and $1.8 billion and $4.0 billion for the three and six months ended June 30, 2024, respectively, as well as participations and residuals expenses.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Film and Television Costs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20" w:type="dxa"/>
            <w:vAlign w:val="bottom"/>
          </w:tcPr>
          <w:p>
            <w:pPr>
              <w:spacing w:after="0"/>
              <w:rPr>
                <w:sz w:val="13"/>
                <w:szCs w:val="13"/>
                <w:color w:val="auto"/>
              </w:rPr>
            </w:pPr>
          </w:p>
        </w:tc>
        <w:tc>
          <w:tcPr>
            <w:tcW w:w="122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June 30,</w:t>
            </w:r>
          </w:p>
        </w:tc>
        <w:tc>
          <w:tcPr>
            <w:tcW w:w="34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440" w:type="dxa"/>
            <w:vAlign w:val="bottom"/>
            <w:tcBorders>
              <w:bottom w:val="single" w:sz="8" w:color="auto"/>
            </w:tcBorders>
            <w:vMerge w:val="continue"/>
          </w:tcPr>
          <w:p>
            <w:pPr>
              <w:spacing w:after="0"/>
              <w:rPr>
                <w:sz w:val="16"/>
                <w:szCs w:val="16"/>
                <w:color w:val="auto"/>
              </w:rPr>
            </w:pPr>
          </w:p>
        </w:tc>
        <w:tc>
          <w:tcPr>
            <w:tcW w:w="30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0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3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3,041</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Completed, not released</w:t>
            </w:r>
          </w:p>
        </w:tc>
        <w:tc>
          <w:tcPr>
            <w:tcW w:w="30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609</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30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4,073</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7,723</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30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4,917</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Film and television costs</w:t>
            </w:r>
          </w:p>
        </w:tc>
        <w:tc>
          <w:tcPr>
            <w:tcW w:w="3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12,640</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12,541</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Debt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our debt had a carrying value of $101.5 billion and an estimated fair value of $93.3 billion. As of December 31, 2024, our debt had a carrying value of $99.1 billion and an estimated fair value of $89.8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Significant Transactions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2025, we acquired Nitel, a network-as-a-service managed service provider, for total cash consideration of $1.3 billion. The acquisition will enhance our ability to serve and provide connectivity solutions to enterprise customers. Nitel’s results of operations are included in our condensed consolidated results of operations since the date of acquisition and are reported in our Business Services Connectivity segment. We have recorded a preliminary estimate of Nitel’s assets and liabilities with approximately $1.1 billion recorded to goodwill and the remainder primarily attributed to customer relationship intangible assets. These estimates are not yet final and are subject to change. The acquisition was not material to our consolidated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Investments and Variable Interest Entities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gridSpan w:val="2"/>
          </w:tcPr>
          <w:p>
            <w:pPr>
              <w:jc w:val="right"/>
              <w:ind w:right="316"/>
              <w:spacing w:after="0"/>
              <w:rPr>
                <w:sz w:val="20"/>
                <w:szCs w:val="20"/>
                <w:color w:val="auto"/>
              </w:rPr>
            </w:pPr>
            <w:r>
              <w:rPr>
                <w:rFonts w:ascii="Times New Roman" w:cs="Times New Roman" w:eastAsia="Times New Roman" w:hAnsi="Times New Roman"/>
                <w:sz w:val="14"/>
                <w:szCs w:val="14"/>
                <w:color w:val="auto"/>
              </w:rPr>
              <w:t>Three Months Ended</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92"/>
        </w:trPr>
        <w:tc>
          <w:tcPr>
            <w:tcW w:w="50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696"/>
              <w:spacing w:after="0"/>
              <w:rPr>
                <w:sz w:val="20"/>
                <w:szCs w:val="20"/>
                <w:color w:val="auto"/>
              </w:rPr>
            </w:pPr>
            <w:r>
              <w:rPr>
                <w:rFonts w:ascii="Times New Roman" w:cs="Times New Roman" w:eastAsia="Times New Roman" w:hAnsi="Times New Roman"/>
                <w:sz w:val="14"/>
                <w:szCs w:val="14"/>
                <w:color w:val="auto"/>
              </w:rPr>
              <w:t>June 30,</w:t>
            </w: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(222)</w:t>
            </w:r>
          </w:p>
        </w:tc>
        <w:tc>
          <w:tcPr>
            <w:tcW w:w="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rPr>
              <w:t>(286)</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880" w:type="dxa"/>
            <w:vAlign w:val="bottom"/>
          </w:tcPr>
          <w:p>
            <w:pPr>
              <w:spacing w:after="0"/>
              <w:rPr>
                <w:sz w:val="19"/>
                <w:szCs w:val="19"/>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136</w:t>
            </w:r>
          </w:p>
        </w:tc>
        <w:tc>
          <w:tcPr>
            <w:tcW w:w="10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440" w:type="dxa"/>
            <w:vAlign w:val="bottom"/>
          </w:tcPr>
          <w:p>
            <w:pPr>
              <w:spacing w:after="0"/>
              <w:rPr>
                <w:sz w:val="19"/>
                <w:szCs w:val="19"/>
                <w:color w:val="auto"/>
              </w:rPr>
            </w:pPr>
          </w:p>
        </w:tc>
        <w:tc>
          <w:tcPr>
            <w:tcW w:w="116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112</w:t>
            </w:r>
          </w:p>
        </w:tc>
        <w:tc>
          <w:tcPr>
            <w:tcW w:w="600" w:type="dxa"/>
            <w:vAlign w:val="bottom"/>
          </w:tcPr>
          <w:p>
            <w:pPr>
              <w:spacing w:after="0"/>
              <w:rPr>
                <w:sz w:val="19"/>
                <w:szCs w:val="19"/>
                <w:color w:val="auto"/>
              </w:rPr>
            </w:pPr>
          </w:p>
        </w:tc>
        <w:tc>
          <w:tcPr>
            <w:tcW w:w="92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9,652</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9,754</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96"/>
              </w:rPr>
              <w:t>290</w:t>
            </w:r>
          </w:p>
        </w:tc>
      </w:tr>
      <w:tr>
        <w:trPr>
          <w:trHeight w:val="23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and other income (loss), net</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9,760</w:t>
            </w:r>
          </w:p>
        </w:tc>
        <w:tc>
          <w:tcPr>
            <w:tcW w:w="10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(434)</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9,644</w:t>
            </w:r>
          </w:p>
        </w:tc>
        <w:tc>
          <w:tcPr>
            <w:tcW w:w="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center"/>
              <w:ind w:left="394"/>
              <w:spacing w:after="0"/>
              <w:rPr>
                <w:sz w:val="20"/>
                <w:szCs w:val="20"/>
                <w:color w:val="auto"/>
              </w:rPr>
            </w:pPr>
            <w:r>
              <w:rPr>
                <w:rFonts w:ascii="Times New Roman" w:cs="Times New Roman" w:eastAsia="Times New Roman" w:hAnsi="Times New Roman"/>
                <w:sz w:val="18"/>
                <w:szCs w:val="18"/>
                <w:b w:val="1"/>
                <w:bCs w:val="1"/>
                <w:color w:val="auto"/>
              </w:rPr>
              <w:t>(137)</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unrealized gains (losses), net recognized in the three months ended June 30, 2025 and 2024 that related to marketable and nonmarketable equity securities still held as of the end of each reporting period was $(7) million and $(70) million, respectively. The amount of unrealized gains (losses), net recognized in the six months ended June 30, 2025 and 2024 that related to marketable and nonmarketable equity securities still held as of the end of each reporting period was $(30) million and $(141)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280" w:type="dxa"/>
            <w:vAlign w:val="bottom"/>
            <w:tcBorders>
              <w:bottom w:val="single" w:sz="8" w:color="auto"/>
            </w:tcBorders>
            <w:vMerge w:val="continue"/>
          </w:tcPr>
          <w:p>
            <w:pPr>
              <w:spacing w:after="0"/>
              <w:rPr>
                <w:sz w:val="16"/>
                <w:szCs w:val="16"/>
                <w:color w:val="auto"/>
              </w:rPr>
            </w:pPr>
          </w:p>
        </w:tc>
        <w:tc>
          <w:tcPr>
            <w:tcW w:w="3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w:t>
            </w:r>
          </w:p>
        </w:tc>
        <w:tc>
          <w:tcPr>
            <w:tcW w:w="38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7,122</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8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3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1,190</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8,491</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investments</w:t>
            </w:r>
          </w:p>
        </w:tc>
        <w:tc>
          <w:tcPr>
            <w:tcW w:w="3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investments</w:t>
            </w:r>
          </w:p>
        </w:tc>
        <w:tc>
          <w:tcPr>
            <w:tcW w:w="38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3"/>
              </w:rPr>
              <w:t>8,463</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8,647</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cash distributions received from equity method investments presented within operating activities in the condensed consolidated statements of cash flows in the six months ended June 30, 2025 and 2024 was $69 million and $66 million,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Atairos is a variable interest entity (“VIE”) that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six months ended June 30, 2025 and 2024, we made cash capital contributions totaling $103 million and $26 million, respectively. As of June 30, 2025 and December 31, 2024, our investment, inclusive of advances classified within other investments, was $5.0 billion and $5.1 billion, respectively. As of June 30, 2025, our remaining unfunded capital commitment was $1.3 billion.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2025, we sold our 33% interest in Hulu following the finalization of a third-party appraisal of Hulu’s fair value performed pursuant to the terms of our put right exercised in November 2023. We received total cash proceeds of $9.6 billion for our interest, consisting of $439 million in the second quarter of 2025 and a $9.2 billion advance received in the fourth quarter of 2023. The advance represented our guaranteed share of Hulu’s minimum equity value pursuant to the terms of our put right and was reduced by $557 million in 2023 for our share of prior capital calls. Upon the sale of our interest in Hulu in the second quarter of 2025, we recorded a receivable of $792 million relating to our right to receive 50% of the estimated future tax benefits resulting from the transaction and we recognized a pre-tax gain of $9.4 billion.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gain on the sale of our investment in Hulu is presented in “other income (loss), net” within “investment and other income (loss), net” in our condensed consolidated statement of income. The additional proceeds received in the current year period are presented in “proceeds from sales of businesses and investments” in investing activities in our condensed consolidated statement of cash flows. The receivable relating to our right to receive estimated future tax benefits is presented in “other current assets” and “other noncurrent assets, net” in our condensed consolidated balance sheet.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investments also includes certain short-term instruments. We had no short-term instruments as of June 30, 2025 and December 31, 2024. There were no proceeds from or purchases of short-term instruments for the six months ended June 30, 2025. Proceeds from short-term instruments were $514 million and purchases of short-term instruments were $373 million for the six months ended June 30, 2024.</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Variable Interest Entity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Universal Beijing Resort</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a 30% interest in a Universal theme park and resort in Beijing, China (“Universal Beijing Resort”). Universal Beijing Resort is a consolidated VIE with the remaining interest owned by a consortium of Chinese state-owned companies. The construction was funded through a combination of debt financing and equity contributions from the partners in accordance with their equity interests. As of June 30, 2025, Universal Beijing Resort had $3.5 billion of debt outstanding, including $3.1 billion principal amount of a term loan outstanding under the debt financing agreement. As of December 31, 2024, Universal Beijing Resort had $3.4 billion of debt outstanding, including $3.0 billion principal amount of a term loan outstanding under the debt financing agreement.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our condensed consolidated balance sheet included assets and liabilities of Universal Beijing Resort totaling $7.3 billion and $7.1 billion, respectively. As of December 31, 2024, our condensed consolidated balance sheet included assets and liabilities of Universal Beijing Resort totaling $7.3 billion and $7.0 billion, respectively. The assets and liabilities of Universal Beijing Resort primarily consist of property and equipment, operating lease assets and liabilities, and debt.</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Equity and Share-Based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Weighted-Average Common Shares Outstanding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780" w:type="dxa"/>
            <w:vAlign w:val="bottom"/>
            <w:gridSpan w:val="2"/>
          </w:tcPr>
          <w:p>
            <w:pPr>
              <w:jc w:val="right"/>
              <w:ind w:right="794"/>
              <w:spacing w:after="0"/>
              <w:rPr>
                <w:sz w:val="20"/>
                <w:szCs w:val="20"/>
                <w:color w:val="auto"/>
              </w:rPr>
            </w:pPr>
            <w:r>
              <w:rPr>
                <w:rFonts w:ascii="Times New Roman" w:cs="Times New Roman" w:eastAsia="Times New Roman" w:hAnsi="Times New Roman"/>
                <w:sz w:val="14"/>
                <w:szCs w:val="14"/>
                <w:color w:val="auto"/>
              </w:rPr>
              <w:t>Three Months Ended</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740" w:type="dxa"/>
            <w:vAlign w:val="bottom"/>
          </w:tcPr>
          <w:p>
            <w:pPr>
              <w:spacing w:after="0"/>
              <w:rPr>
                <w:sz w:val="13"/>
                <w:szCs w:val="13"/>
                <w:color w:val="auto"/>
              </w:rPr>
            </w:pPr>
          </w:p>
        </w:tc>
      </w:tr>
      <w:tr>
        <w:trPr>
          <w:trHeight w:val="192"/>
        </w:trPr>
        <w:tc>
          <w:tcPr>
            <w:tcW w:w="6080" w:type="dxa"/>
            <w:vAlign w:val="bottom"/>
          </w:tcPr>
          <w:p>
            <w:pPr>
              <w:spacing w:after="0"/>
              <w:rPr>
                <w:sz w:val="16"/>
                <w:szCs w:val="16"/>
                <w:color w:val="auto"/>
              </w:rPr>
            </w:pPr>
          </w:p>
        </w:tc>
        <w:tc>
          <w:tcPr>
            <w:tcW w:w="16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color w:val="auto"/>
              </w:rPr>
              <w:t>June 30,</w:t>
            </w:r>
          </w:p>
        </w:tc>
        <w:tc>
          <w:tcPr>
            <w:tcW w:w="740" w:type="dxa"/>
            <w:vAlign w:val="bottom"/>
            <w:tcBorders>
              <w:bottom w:val="single" w:sz="8" w:color="auto"/>
            </w:tcBorders>
          </w:tcPr>
          <w:p>
            <w:pPr>
              <w:spacing w:after="0"/>
              <w:rPr>
                <w:sz w:val="16"/>
                <w:szCs w:val="16"/>
                <w:color w:val="auto"/>
              </w:rPr>
            </w:pPr>
          </w:p>
        </w:tc>
      </w:tr>
      <w:tr>
        <w:trPr>
          <w:trHeight w:val="196"/>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8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4"/>
                <w:szCs w:val="14"/>
                <w:color w:val="auto"/>
              </w:rPr>
              <w:t>2025</w:t>
            </w: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2024</w:t>
            </w:r>
          </w:p>
        </w:tc>
        <w:tc>
          <w:tcPr>
            <w:tcW w:w="1640" w:type="dxa"/>
            <w:vAlign w:val="bottom"/>
            <w:tcBorders>
              <w:bottom w:val="single" w:sz="8" w:color="auto"/>
            </w:tcBorders>
          </w:tcPr>
          <w:p>
            <w:pPr>
              <w:jc w:val="right"/>
              <w:ind w:right="1018"/>
              <w:spacing w:after="0"/>
              <w:rPr>
                <w:sz w:val="20"/>
                <w:szCs w:val="20"/>
                <w:color w:val="auto"/>
              </w:rPr>
            </w:pPr>
            <w:r>
              <w:rPr>
                <w:rFonts w:ascii="Times New Roman" w:cs="Times New Roman" w:eastAsia="Times New Roman" w:hAnsi="Times New Roman"/>
                <w:sz w:val="14"/>
                <w:szCs w:val="14"/>
                <w:color w:val="auto"/>
              </w:rPr>
              <w:t>2025</w:t>
            </w:r>
          </w:p>
        </w:tc>
        <w:tc>
          <w:tcPr>
            <w:tcW w:w="7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w w:val="92"/>
              </w:rPr>
              <w:t>2024</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1680" w:type="dxa"/>
            <w:vAlign w:val="bottom"/>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3,720</w:t>
            </w:r>
          </w:p>
        </w:tc>
        <w:tc>
          <w:tcPr>
            <w:tcW w:w="11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3,905</w:t>
            </w:r>
          </w:p>
        </w:tc>
        <w:tc>
          <w:tcPr>
            <w:tcW w:w="164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rPr>
              <w:t>3,744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80" w:type="dxa"/>
            <w:vAlign w:val="bottom"/>
          </w:tcPr>
          <w:p>
            <w:pPr>
              <w:jc w:val="right"/>
              <w:ind w:right="478"/>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15</w:t>
            </w:r>
          </w:p>
        </w:tc>
        <w:tc>
          <w:tcPr>
            <w:tcW w:w="1640" w:type="dxa"/>
            <w:vAlign w:val="bottom"/>
          </w:tcPr>
          <w:p>
            <w:pPr>
              <w:jc w:val="right"/>
              <w:ind w:right="638"/>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1680" w:type="dxa"/>
            <w:vAlign w:val="bottom"/>
            <w:tcBorders>
              <w:bottom w:val="single" w:sz="8" w:color="auto"/>
            </w:tcBorders>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3,727</w:t>
            </w:r>
          </w:p>
        </w:tc>
        <w:tc>
          <w:tcPr>
            <w:tcW w:w="11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3,920</w:t>
            </w:r>
          </w:p>
        </w:tc>
        <w:tc>
          <w:tcPr>
            <w:tcW w:w="1640" w:type="dxa"/>
            <w:vAlign w:val="bottom"/>
            <w:tcBorders>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rPr>
              <w:t>3,756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r>
      <w:tr>
        <w:trPr>
          <w:trHeight w:val="223"/>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Antidilutive securities</w:t>
            </w:r>
          </w:p>
        </w:tc>
        <w:tc>
          <w:tcPr>
            <w:tcW w:w="16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8"/>
                <w:szCs w:val="18"/>
                <w:color w:val="auto"/>
              </w:rPr>
              <w:t>250</w:t>
            </w: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228</w:t>
            </w:r>
          </w:p>
        </w:tc>
        <w:tc>
          <w:tcPr>
            <w:tcW w:w="164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8"/>
                <w:szCs w:val="18"/>
                <w:color w:val="auto"/>
              </w:rPr>
              <w:t>234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Weighted-average common shares outstanding used in calculating diluted earnings per common share attributable to Comcast Corporation shareholders (“diluted EPS”) considers the impact of potentially dilutive securities using the treasury stock method. Antidilutive securities represent the number of potential common shares related to share-based compensation awards that were excluded from diluted EPS because their effect would have been antidilutive.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auto"/>
            </w:tcBorders>
            <w:vMerge w:val="continue"/>
          </w:tcPr>
          <w:p>
            <w:pPr>
              <w:spacing w:after="0"/>
              <w:rPr>
                <w:sz w:val="17"/>
                <w:szCs w:val="17"/>
                <w:color w:val="auto"/>
              </w:rPr>
            </w:pPr>
          </w:p>
        </w:tc>
        <w:tc>
          <w:tcPr>
            <w:tcW w:w="2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40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gains (losses) on cash flow hedges</w:t>
            </w:r>
          </w:p>
        </w:tc>
        <w:tc>
          <w:tcPr>
            <w:tcW w:w="2400" w:type="dxa"/>
            <w:vAlign w:val="bottom"/>
          </w:tcPr>
          <w:p>
            <w:pPr>
              <w:spacing w:after="0"/>
              <w:rPr>
                <w:sz w:val="19"/>
                <w:szCs w:val="19"/>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gains (losses) on employee benefit obligations and other</w:t>
            </w:r>
          </w:p>
        </w:tc>
        <w:tc>
          <w:tcPr>
            <w:tcW w:w="24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net of deferred taxes</w:t>
            </w:r>
          </w:p>
        </w:tc>
        <w:tc>
          <w:tcPr>
            <w:tcW w:w="24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525</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restricted share units (“RSUs”) and stock options to certain employees and directors as part of our long-term incentive compensation structure. Additionally, through our employee stock purchase plans, employees are able to purchase shares of our common stock at a discount through payroll deductions.</w:t>
      </w: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2025, we granted 40 million RSUs and 1 million stock options under our annual management awards program. The weighted-average fair values associated with these grants were $35.78 per RSU and $7.21 per stock option. During the three months ended June 30, 2025 and 2024, share-based compensation expense recognized in our condensed consolidated statements of income was $268 million and $261 million, respectively. During the six months ended June 30, 2025 and 2024, share-based compensation expense recognized in our condensed consolidated statements of income was $589 million and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$564 million, respectively. As of June 30, 2025, we had unrecognized pretax compensation expense of $2.7 billion related to unvested RSUs and unvested stock options.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1,803</w:t>
            </w:r>
          </w:p>
        </w:tc>
        <w:tc>
          <w:tcPr>
            <w:tcW w:w="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29"/>
        </w:trPr>
        <w:tc>
          <w:tcPr>
            <w:tcW w:w="81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(a)</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color w:val="auto"/>
              </w:rPr>
              <w:t>2,085</w:t>
            </w:r>
          </w:p>
        </w:tc>
        <w:tc>
          <w:tcPr>
            <w:tcW w:w="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Cash payments for income taxes for the six months ended June 30, 2025 include $334 million related to the purchase of third-party transferable tax credits.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w:t>
      </w:r>
    </w:p>
    <w:p>
      <w:pPr>
        <w:spacing w:after="0" w:line="9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$2.0 billion of property and equipment and intangible assets that were accrued but unpaid</w:t>
      </w:r>
    </w:p>
    <w:p>
      <w:pPr>
        <w:spacing w:after="0" w:line="76" w:lineRule="exact"/>
        <w:rPr>
          <w:rFonts w:ascii="Times New Roman" w:cs="Times New Roman" w:eastAsia="Times New Roman" w:hAnsi="Times New Roman"/>
          <w:sz w:val="18"/>
          <w:szCs w:val="18"/>
          <w:color w:val="auto"/>
        </w:rPr>
      </w:pPr>
    </w:p>
    <w:p>
      <w:pPr>
        <w:ind w:right="2480" w:firstLine="332"/>
        <w:spacing w:after="0" w:line="328" w:lineRule="auto"/>
        <w:tabs>
          <w:tab w:leader="none" w:pos="6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$0.33 per common share paid in July 2025 During the six months ended June 30, 2024:</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$2.1 billion of property and equipment and intangible assets that were accrued but unpaid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$0.31 per common share paid in July 2024</w:t>
      </w:r>
    </w:p>
    <w:p>
      <w:pPr>
        <w:spacing w:after="0" w:line="6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Cash, Cash Equivalents and Restricted Cash</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condensed consolidated balance sheets to the total of the amounts reported in our condensed 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6960" w:type="dxa"/>
            <w:vAlign w:val="bottom"/>
            <w:tcBorders>
              <w:bottom w:val="single" w:sz="8" w:color="auto"/>
            </w:tcBorders>
            <w:vMerge w:val="continue"/>
          </w:tcPr>
          <w:p>
            <w:pPr>
              <w:spacing w:after="0"/>
              <w:rPr>
                <w:sz w:val="16"/>
                <w:szCs w:val="16"/>
                <w:color w:val="auto"/>
              </w:rPr>
            </w:pPr>
          </w:p>
        </w:tc>
        <w:tc>
          <w:tcPr>
            <w:tcW w:w="2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9,687</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noncurrent assets, net</w:t>
            </w:r>
          </w:p>
        </w:tc>
        <w:tc>
          <w:tcPr>
            <w:tcW w:w="2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1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3"/>
              </w:rPr>
              <w:t>9,748</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7,377</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760"/>
        <w:spacing w:after="0" w:line="267"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condensed consolidated financial statements and related notes (“Notes”) included in this Quarterly Report on Form 10-Q and our 2024 Annual Report on Form 10-K.</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media and technology company with two primary businesses: Connectivity &amp; Platforms and Content &amp; Experiences. We present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(1) our Connectivity &amp; Platforms business in two segments: Residential Connectivity &amp; Platforms and Business Services Connectivity; and</w:t>
      </w:r>
    </w:p>
    <w:p>
      <w:pPr>
        <w:spacing w:after="0" w:line="9" w:lineRule="exact"/>
        <w:rPr>
          <w:sz w:val="20"/>
          <w:szCs w:val="20"/>
          <w:color w:val="auto"/>
        </w:rPr>
      </w:pPr>
    </w:p>
    <w:p>
      <w:pPr>
        <w:jc w:val="both"/>
        <w:ind w:firstLine="8"/>
        <w:spacing w:after="0" w:line="255" w:lineRule="auto"/>
        <w:tabs>
          <w:tab w:leader="none" w:pos="2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Content &amp; Experiences business in three segments: Media, Studios and Theme Parks. The discussion and analysis that follows includes the results of the cable television networks and complementary digital assets proposed to be included in the spin-off and does not reflect or give effect to what our results of operations and financial condition may be following the spin-off, if consummated.</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substantial portion of our revenue comes from customers whose spending patterns may be affected by prevailing economic conditions. Uncertain economic conditions, including as a result of geopolitical dynamics, changes in trade policies and foreign exchange rates could adversely affect demand for our products or services and have a negative impact on our results of operations. For a discussion of these factors and other risks, refer to Risk Factors in Item 1A of our 2024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3"/>
          </w:tcPr>
          <w:p>
            <w:pPr>
              <w:jc w:val="right"/>
              <w:ind w:right="731"/>
              <w:spacing w:after="0"/>
              <w:rPr>
                <w:sz w:val="20"/>
                <w:szCs w:val="20"/>
                <w:color w:val="auto"/>
              </w:rPr>
            </w:pPr>
            <w:r>
              <w:rPr>
                <w:rFonts w:ascii="Times New Roman" w:cs="Times New Roman" w:eastAsia="Times New Roman" w:hAnsi="Times New Roman"/>
                <w:sz w:val="14"/>
                <w:szCs w:val="14"/>
                <w:color w:val="auto"/>
              </w:rPr>
              <w:t>Three Months Ended</w:t>
            </w: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60" w:type="dxa"/>
            <w:vAlign w:val="bottom"/>
            <w:gridSpan w:val="3"/>
          </w:tcPr>
          <w:p>
            <w:pPr>
              <w:jc w:val="right"/>
              <w:ind w:right="811"/>
              <w:spacing w:after="0"/>
              <w:rPr>
                <w:sz w:val="20"/>
                <w:szCs w:val="20"/>
                <w:color w:val="auto"/>
              </w:rPr>
            </w:pPr>
            <w:r>
              <w:rPr>
                <w:rFonts w:ascii="Times New Roman" w:cs="Times New Roman" w:eastAsia="Times New Roman" w:hAnsi="Times New Roman"/>
                <w:sz w:val="14"/>
                <w:szCs w:val="14"/>
                <w:color w:val="auto"/>
              </w:rPr>
              <w:t>Six Months Ended</w:t>
            </w:r>
          </w:p>
        </w:tc>
        <w:tc>
          <w:tcPr>
            <w:tcW w:w="11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2024</w:t>
            </w:r>
          </w:p>
        </w:tc>
        <w:tc>
          <w:tcPr>
            <w:tcW w:w="12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2024</w:t>
            </w: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30,313</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29,688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60,199</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59,746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7,961</w:t>
            </w:r>
          </w:p>
        </w:tc>
        <w:tc>
          <w:tcPr>
            <w:tcW w:w="1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15,991</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16,784</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Marketing and promotion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360" w:type="dxa"/>
            <w:vAlign w:val="bottom"/>
          </w:tcPr>
          <w:p>
            <w:pPr>
              <w:spacing w:after="0"/>
              <w:rPr>
                <w:sz w:val="19"/>
                <w:szCs w:val="19"/>
                <w:color w:val="auto"/>
              </w:rPr>
            </w:pP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1,922</w:t>
            </w: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360" w:type="dxa"/>
            <w:vAlign w:val="bottom"/>
          </w:tcPr>
          <w:p>
            <w:pPr>
              <w:spacing w:after="0"/>
              <w:rPr>
                <w:sz w:val="19"/>
                <w:szCs w:val="19"/>
                <w:color w:val="auto"/>
              </w:rPr>
            </w:pPr>
          </w:p>
        </w:tc>
        <w:tc>
          <w:tcPr>
            <w:tcW w:w="10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3,940</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9,630</w:t>
            </w:r>
          </w:p>
        </w:tc>
        <w:tc>
          <w:tcPr>
            <w:tcW w:w="12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20,314</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19,487</w:t>
            </w: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360" w:type="dxa"/>
            <w:vAlign w:val="bottom"/>
          </w:tcPr>
          <w:p>
            <w:pPr>
              <w:spacing w:after="0"/>
              <w:rPr>
                <w:sz w:val="19"/>
                <w:szCs w:val="19"/>
                <w:color w:val="auto"/>
              </w:rPr>
            </w:pP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2,153</w:t>
            </w: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360" w:type="dxa"/>
            <w:vAlign w:val="bottom"/>
          </w:tcPr>
          <w:p>
            <w:pPr>
              <w:spacing w:after="0"/>
              <w:rPr>
                <w:sz w:val="19"/>
                <w:szCs w:val="19"/>
                <w:color w:val="auto"/>
              </w:rPr>
            </w:pPr>
          </w:p>
        </w:tc>
        <w:tc>
          <w:tcPr>
            <w:tcW w:w="10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4,328</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1,387</w:t>
            </w:r>
          </w:p>
        </w:tc>
        <w:tc>
          <w:tcPr>
            <w:tcW w:w="12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30.2</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2,762</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24,320</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23,053</w:t>
            </w:r>
          </w:p>
        </w:tc>
        <w:tc>
          <w:tcPr>
            <w:tcW w:w="12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48,548</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47,301</w:t>
            </w: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6,635</w:t>
            </w:r>
          </w:p>
        </w:tc>
        <w:tc>
          <w:tcPr>
            <w:tcW w:w="1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12,445</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36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(1,026)</w:t>
            </w: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36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(2,028)</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(434)</w:t>
            </w:r>
          </w:p>
        </w:tc>
        <w:tc>
          <w:tcPr>
            <w:tcW w:w="12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(137)</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360" w:type="dxa"/>
            <w:vAlign w:val="bottom"/>
          </w:tcPr>
          <w:p>
            <w:pPr>
              <w:spacing w:after="0"/>
              <w:rPr>
                <w:sz w:val="19"/>
                <w:szCs w:val="19"/>
                <w:color w:val="auto"/>
              </w:rPr>
            </w:pP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5,175</w:t>
            </w: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183.0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19,139</w:t>
            </w:r>
          </w:p>
        </w:tc>
        <w:tc>
          <w:tcPr>
            <w:tcW w:w="360" w:type="dxa"/>
            <w:vAlign w:val="bottom"/>
          </w:tcPr>
          <w:p>
            <w:pPr>
              <w:spacing w:after="0"/>
              <w:rPr>
                <w:sz w:val="19"/>
                <w:szCs w:val="19"/>
                <w:color w:val="auto"/>
              </w:rPr>
            </w:pPr>
          </w:p>
        </w:tc>
        <w:tc>
          <w:tcPr>
            <w:tcW w:w="10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10,280</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(1,336)</w:t>
            </w:r>
          </w:p>
        </w:tc>
        <w:tc>
          <w:tcPr>
            <w:tcW w:w="12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169.7</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(2,663)</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360" w:type="dxa"/>
            <w:vAlign w:val="bottom"/>
          </w:tcPr>
          <w:p>
            <w:pPr>
              <w:spacing w:after="0"/>
              <w:rPr>
                <w:sz w:val="19"/>
                <w:szCs w:val="19"/>
                <w:color w:val="auto"/>
              </w:rPr>
            </w:pP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3,839</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187.7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14,340</w:t>
            </w:r>
          </w:p>
        </w:tc>
        <w:tc>
          <w:tcPr>
            <w:tcW w:w="360" w:type="dxa"/>
            <w:vAlign w:val="bottom"/>
          </w:tcPr>
          <w:p>
            <w:pPr>
              <w:spacing w:after="0"/>
              <w:rPr>
                <w:sz w:val="19"/>
                <w:szCs w:val="19"/>
                <w:color w:val="auto"/>
              </w:rPr>
            </w:pPr>
          </w:p>
        </w:tc>
        <w:tc>
          <w:tcPr>
            <w:tcW w:w="10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7,616</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(89)</w:t>
            </w:r>
          </w:p>
        </w:tc>
        <w:tc>
          <w:tcPr>
            <w:tcW w:w="12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(169)</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69"/>
        </w:trPr>
        <w:tc>
          <w:tcPr>
            <w:tcW w:w="35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Net income attributable to Comcast</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11,123</w:t>
            </w: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3,929</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183.1 %</w:t>
            </w:r>
          </w:p>
        </w:tc>
        <w:tc>
          <w:tcPr>
            <w:tcW w:w="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14,498</w:t>
            </w: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7,785</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86.2 %</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Corporation</w:t>
            </w:r>
          </w:p>
        </w:tc>
        <w:tc>
          <w:tcPr>
            <w:tcW w:w="28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b w:val="1"/>
                <w:bCs w:val="1"/>
                <w:color w:val="auto"/>
              </w:rPr>
              <w:t>attributable to Comcast Corporation</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1.01</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197.2 %</w:t>
            </w:r>
          </w:p>
        </w:tc>
        <w:tc>
          <w:tcPr>
            <w:tcW w:w="3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1.98</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95.6 %</w:t>
            </w: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8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180"/>
              <w:spacing w:after="0" w:line="180" w:lineRule="exact"/>
              <w:rPr>
                <w:sz w:val="20"/>
                <w:szCs w:val="20"/>
                <w:color w:val="auto"/>
              </w:rPr>
            </w:pPr>
            <w:r>
              <w:rPr>
                <w:rFonts w:ascii="Times New Roman" w:cs="Times New Roman" w:eastAsia="Times New Roman" w:hAnsi="Times New Roman"/>
                <w:sz w:val="18"/>
                <w:szCs w:val="18"/>
                <w:b w:val="1"/>
                <w:bCs w:val="1"/>
                <w:color w:val="auto"/>
              </w:rPr>
              <w:t>attributable to Comcast Corporation</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1.00</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197.7 %</w:t>
            </w:r>
          </w:p>
        </w:tc>
        <w:tc>
          <w:tcPr>
            <w:tcW w:w="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1.97</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96.2 %</w:t>
            </w:r>
          </w:p>
        </w:tc>
        <w:tc>
          <w:tcPr>
            <w:tcW w:w="0" w:type="dxa"/>
            <w:vAlign w:val="bottom"/>
          </w:tcPr>
          <w:p>
            <w:pPr>
              <w:spacing w:after="0"/>
              <w:rPr>
                <w:sz w:val="1"/>
                <w:szCs w:val="1"/>
                <w:color w:val="auto"/>
              </w:rPr>
            </w:pPr>
          </w:p>
        </w:tc>
      </w:tr>
      <w:tr>
        <w:trPr>
          <w:trHeight w:val="238"/>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8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basic</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3,905</w:t>
            </w:r>
          </w:p>
        </w:tc>
        <w:tc>
          <w:tcPr>
            <w:tcW w:w="1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(4.7) %</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3,932</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(4.8) %</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outstanding – diluted</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3,920</w:t>
            </w:r>
          </w:p>
        </w:tc>
        <w:tc>
          <w:tcPr>
            <w:tcW w:w="12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(4.9) %</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3,956</w:t>
            </w:r>
          </w:p>
        </w:tc>
        <w:tc>
          <w:tcPr>
            <w:tcW w:w="11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6"/>
              </w:rPr>
              <w:t>(5.1) %</w:t>
            </w:r>
          </w:p>
        </w:tc>
        <w:tc>
          <w:tcPr>
            <w:tcW w:w="0" w:type="dxa"/>
            <w:vAlign w:val="bottom"/>
          </w:tcPr>
          <w:p>
            <w:pPr>
              <w:spacing w:after="0"/>
              <w:rPr>
                <w:sz w:val="1"/>
                <w:szCs w:val="1"/>
                <w:color w:val="auto"/>
              </w:rPr>
            </w:pPr>
          </w:p>
        </w:tc>
      </w:tr>
      <w:tr>
        <w:trPr>
          <w:trHeight w:val="75"/>
        </w:trPr>
        <w:tc>
          <w:tcPr>
            <w:tcW w:w="350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color w:val="auto"/>
                <w:vertAlign w:val="superscript"/>
              </w:rPr>
              <w:t>(a)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10,283</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10,171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19,815</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19,526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55" w:lineRule="exact"/>
        <w:rPr>
          <w:sz w:val="20"/>
          <w:szCs w:val="20"/>
          <w:color w:val="auto"/>
        </w:rPr>
      </w:pPr>
    </w:p>
    <w:p>
      <w:pPr>
        <w:ind w:left="260" w:hanging="252"/>
        <w:spacing w:after="0" w:line="302" w:lineRule="auto"/>
        <w:tabs>
          <w:tab w:leader="none" w:pos="25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Refer to the “Non-GAAP Financial Measures” section on page 26 for additional information, including our definition and our use of Adjusted EBITDA, and for a reconciliation from net income attributable to Comcast Corporation to Adjusted EBITDA.</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Consolidated revenue </w:t>
      </w:r>
      <w:r>
        <w:rPr>
          <w:rFonts w:ascii="Times New Roman" w:cs="Times New Roman" w:eastAsia="Times New Roman" w:hAnsi="Times New Roman"/>
          <w:sz w:val="18"/>
          <w:szCs w:val="18"/>
          <w:color w:val="auto"/>
        </w:rPr>
        <w:t>increased for the three months ended June 30, 2025 compared to the same period in 2024 primarily due to an increase in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Content &amp; Experiences business. Consolidated revenue remained consistent for the six months ended June 30, 2025 compared to the same period in 2024 driven by an increase in the Content &amp; Experiences business, offset by a decrease in Corporate and Other. Revenue for our segments and other businesses is discussed separately below under the heading “Segment Operating Results.”</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Consolidated costs and expenses</w:t>
      </w:r>
      <w:r>
        <w:rPr>
          <w:rFonts w:ascii="Times New Roman" w:cs="Times New Roman" w:eastAsia="Times New Roman" w:hAnsi="Times New Roman"/>
          <w:sz w:val="18"/>
          <w:szCs w:val="18"/>
          <w:color w:val="auto"/>
        </w:rPr>
        <w:t>, excluding depreciation and amortization expense, increased for the three months ended June 30, 2025 compared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to the same period in 2024 primarily due to increases in the Content &amp; Experiences business and in Corporate and Other. Consolidated costs and expenses, excluding depreciation and amortization expense, remained consistent for the six months ended June 30, 2025 compared to the same period in 2024 primarily due to an increase in the Content &amp; Experiences business, partially offset by a decrease in Corporate and Other. Costs and expenses for our segments and our corporate operations and other businesses are discussed separately below under the heading “Segment Operating Results.”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Consolidated depreciation and amortization expense </w:t>
      </w:r>
      <w:r>
        <w:rPr>
          <w:rFonts w:ascii="Times New Roman" w:cs="Times New Roman" w:eastAsia="Times New Roman" w:hAnsi="Times New Roman"/>
          <w:sz w:val="18"/>
          <w:szCs w:val="18"/>
          <w:color w:val="auto"/>
        </w:rPr>
        <w:t>increased for the three and six months ended June 30, 2025 compared to the same periods in</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2024 primarily due to increased amortization of certain acquisition-related intangible assets related to the linear media business, impairments of certain long-lived assets in the current year period and increased depreciation due to the opening of Epic Universe in May 2025.</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from acquisition-related intangible assets totaled $810 million and $1.6 billion for the three and six months ended June 30, 2025, respectively, and $563 million and $1.1 billion for the three and six months ended June 30, 2024, respectively. Amounts primarily relate to customer relationship intangible assets recorded in connection with the Sky transaction in 2018 and the NBCUniversal transaction in 2011.</w:t>
      </w:r>
    </w:p>
    <w:p>
      <w:pPr>
        <w:spacing w:after="0" w:line="67"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color w:val="auto"/>
        </w:rPr>
        <w:t xml:space="preserve">Consolidated interest expense </w:t>
      </w:r>
      <w:r>
        <w:rPr>
          <w:rFonts w:ascii="Times New Roman" w:cs="Times New Roman" w:eastAsia="Times New Roman" w:hAnsi="Times New Roman"/>
          <w:sz w:val="18"/>
          <w:szCs w:val="18"/>
          <w:color w:val="auto"/>
        </w:rPr>
        <w:t>increased for the three and six months ended June 30, 2025 primarily due to an increase in average debt outstanding</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and higher weighted-average interest rates in the current year periods, as well as decreased capitalized interest.</w:t>
      </w:r>
    </w:p>
    <w:p>
      <w:pPr>
        <w:spacing w:after="0" w:line="5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Consolidated investment and other income (loss), net </w:t>
      </w:r>
      <w:r>
        <w:rPr>
          <w:rFonts w:ascii="Times New Roman" w:cs="Times New Roman" w:eastAsia="Times New Roman" w:hAnsi="Times New Roman"/>
          <w:sz w:val="18"/>
          <w:szCs w:val="18"/>
          <w:color w:val="auto"/>
        </w:rPr>
        <w:t>increased for the three and six months ended June 30, 2025 compared to the same periods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in 2024.</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18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color w:val="auto"/>
              </w:rPr>
              <w:t>Three Months Ended</w:t>
            </w: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780" w:type="dxa"/>
            <w:vAlign w:val="bottom"/>
          </w:tcPr>
          <w:p>
            <w:pPr>
              <w:spacing w:after="0"/>
              <w:rPr>
                <w:sz w:val="13"/>
                <w:szCs w:val="13"/>
                <w:color w:val="auto"/>
              </w:rPr>
            </w:pPr>
          </w:p>
        </w:tc>
      </w:tr>
      <w:tr>
        <w:trPr>
          <w:trHeight w:val="192"/>
        </w:trPr>
        <w:tc>
          <w:tcPr>
            <w:tcW w:w="57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536"/>
              <w:spacing w:after="0"/>
              <w:rPr>
                <w:sz w:val="20"/>
                <w:szCs w:val="20"/>
                <w:color w:val="auto"/>
              </w:rPr>
            </w:pPr>
            <w:r>
              <w:rPr>
                <w:rFonts w:ascii="Times New Roman" w:cs="Times New Roman" w:eastAsia="Times New Roman" w:hAnsi="Times New Roman"/>
                <w:sz w:val="14"/>
                <w:szCs w:val="14"/>
                <w:color w:val="auto"/>
              </w:rPr>
              <w:t>June 30,</w:t>
            </w:r>
          </w:p>
        </w:tc>
        <w:tc>
          <w:tcPr>
            <w:tcW w:w="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color w:val="auto"/>
              </w:rPr>
              <w:t>June 30,</w:t>
            </w:r>
          </w:p>
        </w:tc>
        <w:tc>
          <w:tcPr>
            <w:tcW w:w="780" w:type="dxa"/>
            <w:vAlign w:val="bottom"/>
            <w:tcBorders>
              <w:bottom w:val="single" w:sz="8" w:color="auto"/>
            </w:tcBorders>
          </w:tcPr>
          <w:p>
            <w:pPr>
              <w:spacing w:after="0"/>
              <w:rPr>
                <w:sz w:val="16"/>
                <w:szCs w:val="16"/>
                <w:color w:val="auto"/>
              </w:rPr>
            </w:pPr>
          </w:p>
        </w:tc>
      </w:tr>
      <w:tr>
        <w:trPr>
          <w:trHeight w:val="196"/>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w w:val="99"/>
              </w:rPr>
              <w:t>2024</w:t>
            </w:r>
          </w:p>
        </w:tc>
      </w:tr>
      <w:tr>
        <w:trPr>
          <w:trHeight w:val="23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(222)</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rPr>
              <w:t>(286)</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760" w:type="dxa"/>
            <w:vAlign w:val="bottom"/>
          </w:tcPr>
          <w:p>
            <w:pPr>
              <w:spacing w:after="0"/>
              <w:rPr>
                <w:sz w:val="19"/>
                <w:szCs w:val="19"/>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136</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tcPr>
          <w:p>
            <w:pPr>
              <w:spacing w:after="0"/>
              <w:rPr>
                <w:sz w:val="19"/>
                <w:szCs w:val="19"/>
                <w:color w:val="auto"/>
              </w:rPr>
            </w:pPr>
          </w:p>
        </w:tc>
        <w:tc>
          <w:tcPr>
            <w:tcW w:w="10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112</w:t>
            </w:r>
          </w:p>
        </w:tc>
        <w:tc>
          <w:tcPr>
            <w:tcW w:w="540" w:type="dxa"/>
            <w:vAlign w:val="bottom"/>
          </w:tcPr>
          <w:p>
            <w:pPr>
              <w:spacing w:after="0"/>
              <w:rPr>
                <w:sz w:val="19"/>
                <w:szCs w:val="19"/>
                <w:color w:val="auto"/>
              </w:rPr>
            </w:pPr>
          </w:p>
        </w:tc>
        <w:tc>
          <w:tcPr>
            <w:tcW w:w="78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5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7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98"/>
              </w:rPr>
              <w:t>9,652</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9,754</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6"/>
              </w:rPr>
              <w:t>290</w:t>
            </w:r>
          </w:p>
        </w:tc>
      </w:tr>
      <w:tr>
        <w:trPr>
          <w:trHeight w:val="230"/>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investment and other income (loss), net</w:t>
            </w: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98"/>
              </w:rPr>
              <w:t>9,760</w:t>
            </w:r>
          </w:p>
        </w:tc>
        <w:tc>
          <w:tcPr>
            <w:tcW w:w="8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9,644</w:t>
            </w:r>
          </w:p>
        </w:tc>
        <w:tc>
          <w:tcPr>
            <w:tcW w:w="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8"/>
                <w:szCs w:val="18"/>
                <w:b w:val="1"/>
                <w:bCs w:val="1"/>
                <w:color w:val="auto"/>
              </w:rPr>
              <w:t>(137)</w:t>
            </w: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change in equity in net income (losses) of investees, net for the three months ended June 30, 2025 compared to the same period in 2024 was primarily due to our investments in Atairos and Hulu. The change in equity in net income (losses) of investees, net for the six months ended June 30, 2025 compared to the same period in 2024 was primarily due to our investment in Hulu. The income (losses) at Atairos were driven by fair value adjustments on its underlying investments with income (loss) of $(26) million and $(194) million for the three and six months ended June 30, 2025, respectively, and $(391) million and $(196) million for the three and six months ended June 30, 2024, respectively.</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realized and unrealized gains (losses) on equity securities, net for the three and six months ended June 30, 2025 was primarily due to a gain on the sale of a nonmarketable security in the current year periods and by higher net unrealized losses on nonmarketable and marketable securities in the prior year periods.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other income (loss), net for the three and six months ended June 30, 2025 primarily resulted from a $9.4 billion gain from the sale of our interest in Hulu in the current year period (see Note 7).</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Consolidated income tax expense </w:t>
      </w:r>
      <w:r>
        <w:rPr>
          <w:rFonts w:ascii="Times New Roman" w:cs="Times New Roman" w:eastAsia="Times New Roman" w:hAnsi="Times New Roman"/>
          <w:sz w:val="18"/>
          <w:szCs w:val="18"/>
          <w:color w:val="auto"/>
        </w:rPr>
        <w:t>for the three and six months ended June 30, 2025 and 2024 reflects an effective income tax rate that differs from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the federal statutory rate due to state and foreign income taxes and adjustments associated with uncertain tax positions. The increase in income tax expense for the three and six months ended June 30, 2025 compared to the same periods in 2024 were primarily driven by higher domestic income before income taxes.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Consolidated net income (loss) attributable to noncontrolling interests </w:t>
      </w:r>
      <w:r>
        <w:rPr>
          <w:rFonts w:ascii="Times New Roman" w:cs="Times New Roman" w:eastAsia="Times New Roman" w:hAnsi="Times New Roman"/>
          <w:sz w:val="18"/>
          <w:szCs w:val="18"/>
          <w:color w:val="auto"/>
        </w:rPr>
        <w:t>changed for the three months ended June 30, 2025 compared to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same period in 2024 primarily due to Universal Beijing Resort. Consolidated net income (loss) attributable to noncontrolling interests changed for the six months ended June 30, 2025 compared to the same period in 2024 primarily due to Universal Beijing Resort, partially offset by our regional sports networks and Xumo.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See Note 2 for additional information on our segments.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 Results of Operations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3"/>
            <w:vMerge w:val="restart"/>
          </w:tcPr>
          <w:p>
            <w:pPr>
              <w:jc w:val="right"/>
              <w:ind w:right="552"/>
              <w:spacing w:after="0"/>
              <w:rPr>
                <w:sz w:val="20"/>
                <w:szCs w:val="20"/>
                <w:color w:val="auto"/>
              </w:rPr>
            </w:pPr>
            <w:r>
              <w:rPr>
                <w:rFonts w:ascii="Times New Roman" w:cs="Times New Roman" w:eastAsia="Times New Roman" w:hAnsi="Times New Roman"/>
                <w:sz w:val="14"/>
                <w:szCs w:val="14"/>
                <w:color w:val="auto"/>
              </w:rPr>
              <w:t>Three Months Ended</w:t>
            </w:r>
          </w:p>
        </w:tc>
        <w:tc>
          <w:tcPr>
            <w:tcW w:w="1000" w:type="dxa"/>
            <w:vAlign w:val="bottom"/>
          </w:tcPr>
          <w:p>
            <w:pPr>
              <w:spacing w:after="0"/>
              <w:rPr>
                <w:sz w:val="13"/>
                <w:szCs w:val="13"/>
                <w:color w:val="auto"/>
              </w:rPr>
            </w:pPr>
          </w:p>
        </w:tc>
        <w:tc>
          <w:tcPr>
            <w:tcW w:w="1000" w:type="dxa"/>
            <w:vAlign w:val="bottom"/>
          </w:tcPr>
          <w:p>
            <w:pPr>
              <w:jc w:val="center"/>
              <w:ind w:right="76"/>
              <w:spacing w:after="0"/>
              <w:rPr>
                <w:sz w:val="20"/>
                <w:szCs w:val="20"/>
                <w:color w:val="auto"/>
              </w:rPr>
            </w:pPr>
            <w:r>
              <w:rPr>
                <w:rFonts w:ascii="Times New Roman" w:cs="Times New Roman" w:eastAsia="Times New Roman" w:hAnsi="Times New Roman"/>
                <w:sz w:val="14"/>
                <w:szCs w:val="14"/>
                <w:color w:val="auto"/>
              </w:rPr>
              <w:t>Constant</w:t>
            </w:r>
          </w:p>
        </w:tc>
        <w:tc>
          <w:tcPr>
            <w:tcW w:w="320" w:type="dxa"/>
            <w:vAlign w:val="bottom"/>
          </w:tcPr>
          <w:p>
            <w:pPr>
              <w:spacing w:after="0"/>
              <w:rPr>
                <w:sz w:val="13"/>
                <w:szCs w:val="13"/>
                <w:color w:val="auto"/>
              </w:rPr>
            </w:pPr>
          </w:p>
        </w:tc>
        <w:tc>
          <w:tcPr>
            <w:tcW w:w="2120" w:type="dxa"/>
            <w:vAlign w:val="bottom"/>
            <w:gridSpan w:val="3"/>
            <w:vMerge w:val="restart"/>
          </w:tcPr>
          <w:p>
            <w:pPr>
              <w:jc w:val="right"/>
              <w:ind w:right="652"/>
              <w:spacing w:after="0"/>
              <w:rPr>
                <w:sz w:val="20"/>
                <w:szCs w:val="20"/>
                <w:color w:val="auto"/>
              </w:rPr>
            </w:pPr>
            <w:r>
              <w:rPr>
                <w:rFonts w:ascii="Times New Roman" w:cs="Times New Roman" w:eastAsia="Times New Roman" w:hAnsi="Times New Roman"/>
                <w:sz w:val="14"/>
                <w:szCs w:val="14"/>
                <w:color w:val="auto"/>
              </w:rPr>
              <w:t>Six Months Ended</w:t>
            </w:r>
          </w:p>
        </w:tc>
        <w:tc>
          <w:tcPr>
            <w:tcW w:w="1020" w:type="dxa"/>
            <w:vAlign w:val="bottom"/>
          </w:tcPr>
          <w:p>
            <w:pPr>
              <w:spacing w:after="0"/>
              <w:rPr>
                <w:sz w:val="13"/>
                <w:szCs w:val="13"/>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0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color w:val="auto"/>
              </w:rPr>
              <w:t>Change</w:t>
            </w:r>
          </w:p>
        </w:tc>
        <w:tc>
          <w:tcPr>
            <w:tcW w:w="1000" w:type="dxa"/>
            <w:vAlign w:val="bottom"/>
          </w:tcPr>
          <w:p>
            <w:pPr>
              <w:jc w:val="center"/>
              <w:ind w:right="76"/>
              <w:spacing w:after="0" w:line="145" w:lineRule="exact"/>
              <w:rPr>
                <w:sz w:val="20"/>
                <w:szCs w:val="20"/>
                <w:color w:val="auto"/>
              </w:rPr>
            </w:pPr>
            <w:r>
              <w:rPr>
                <w:rFonts w:ascii="Times New Roman" w:cs="Times New Roman" w:eastAsia="Times New Roman" w:hAnsi="Times New Roman"/>
                <w:sz w:val="14"/>
                <w:szCs w:val="14"/>
                <w:color w:val="auto"/>
                <w:w w:val="99"/>
              </w:rPr>
              <w:t>Currency</w:t>
            </w:r>
          </w:p>
        </w:tc>
        <w:tc>
          <w:tcPr>
            <w:tcW w:w="32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0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color w:val="auto"/>
              </w:rPr>
              <w:t>Change</w:t>
            </w:r>
          </w:p>
        </w:tc>
        <w:tc>
          <w:tcPr>
            <w:tcW w:w="940" w:type="dxa"/>
            <w:vAlign w:val="bottom"/>
          </w:tcPr>
          <w:p>
            <w:pPr>
              <w:jc w:val="center"/>
              <w:ind w:right="36"/>
              <w:spacing w:after="0" w:line="145" w:lineRule="exact"/>
              <w:rPr>
                <w:sz w:val="20"/>
                <w:szCs w:val="20"/>
                <w:color w:val="auto"/>
              </w:rPr>
            </w:pPr>
            <w:r>
              <w:rPr>
                <w:rFonts w:ascii="Times New Roman" w:cs="Times New Roman" w:eastAsia="Times New Roman" w:hAnsi="Times New Roman"/>
                <w:sz w:val="14"/>
                <w:szCs w:val="14"/>
                <w:color w:val="auto"/>
              </w:rPr>
              <w:t>Currency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9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9"/>
                <w:szCs w:val="9"/>
                <w:color w:val="auto"/>
              </w:rPr>
              <w:t>(b)</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9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9"/>
                <w:szCs w:val="9"/>
                <w:color w:val="auto"/>
              </w:rPr>
              <w:t>(b)</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Residential Connectivity &amp;</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Platforms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17,814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17,824</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35,457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35,692</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(0.7)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2,575</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2,421</w:t>
            </w:r>
          </w:p>
        </w:tc>
        <w:tc>
          <w:tcPr>
            <w:tcW w:w="100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6.3</w:t>
            </w:r>
          </w:p>
        </w:tc>
        <w:tc>
          <w:tcPr>
            <w:tcW w:w="10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5,071</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4,829</w:t>
            </w:r>
          </w:p>
        </w:tc>
        <w:tc>
          <w:tcPr>
            <w:tcW w:w="102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5.0</w:t>
            </w:r>
          </w:p>
        </w:tc>
        <w:tc>
          <w:tcPr>
            <w:tcW w:w="9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Connectivity &amp; Platforms</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20,389</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20,245</w:t>
            </w:r>
          </w:p>
        </w:tc>
        <w:tc>
          <w:tcPr>
            <w:tcW w:w="10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0.7 %</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3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40,527</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40,521</w:t>
            </w:r>
          </w:p>
        </w:tc>
        <w:tc>
          <w:tcPr>
            <w:tcW w:w="102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Residential Connectivity &amp;</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Platforms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7,082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7,103</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14,000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13,955</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0.3 %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1,444</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1,380</w:t>
            </w:r>
          </w:p>
        </w:tc>
        <w:tc>
          <w:tcPr>
            <w:tcW w:w="100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2,866</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2,746</w:t>
            </w:r>
          </w:p>
        </w:tc>
        <w:tc>
          <w:tcPr>
            <w:tcW w:w="102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4.4</w:t>
            </w:r>
          </w:p>
        </w:tc>
        <w:tc>
          <w:tcPr>
            <w:tcW w:w="9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Connectivity &amp; Platforms</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8,526</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8,483</w:t>
            </w:r>
          </w:p>
        </w:tc>
        <w:tc>
          <w:tcPr>
            <w:tcW w:w="10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0.5 %</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3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16,866</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16,701</w:t>
            </w:r>
          </w:p>
        </w:tc>
        <w:tc>
          <w:tcPr>
            <w:tcW w:w="102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1.0 %</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0.8 %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23"/>
                <w:szCs w:val="23"/>
                <w:b w:val="1"/>
                <w:bCs w:val="1"/>
                <w:color w:val="auto"/>
                <w:vertAlign w:val="superscript"/>
              </w:rPr>
              <w:t>(a)</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Residential Connectivity &amp;</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Platforms</w:t>
            </w:r>
          </w:p>
        </w:tc>
        <w:tc>
          <w:tcPr>
            <w:tcW w:w="240" w:type="dxa"/>
            <w:vAlign w:val="bottom"/>
          </w:tcPr>
          <w:p>
            <w:pPr>
              <w:spacing w:after="0"/>
              <w:rPr>
                <w:sz w:val="21"/>
                <w:szCs w:val="21"/>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39.8 %</w:t>
            </w:r>
          </w:p>
        </w:tc>
        <w:tc>
          <w:tcPr>
            <w:tcW w:w="320" w:type="dxa"/>
            <w:vAlign w:val="bottom"/>
          </w:tcPr>
          <w:p>
            <w:pPr>
              <w:spacing w:after="0"/>
              <w:rPr>
                <w:sz w:val="21"/>
                <w:szCs w:val="21"/>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39.9 %</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 bps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bps</w:t>
            </w:r>
          </w:p>
        </w:tc>
        <w:tc>
          <w:tcPr>
            <w:tcW w:w="320" w:type="dxa"/>
            <w:vAlign w:val="bottom"/>
          </w:tcPr>
          <w:p>
            <w:pPr>
              <w:spacing w:after="0"/>
              <w:rPr>
                <w:sz w:val="21"/>
                <w:szCs w:val="21"/>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39.5 %</w:t>
            </w:r>
          </w:p>
        </w:tc>
        <w:tc>
          <w:tcPr>
            <w:tcW w:w="320" w:type="dxa"/>
            <w:vAlign w:val="bottom"/>
          </w:tcPr>
          <w:p>
            <w:pPr>
              <w:spacing w:after="0"/>
              <w:rPr>
                <w:sz w:val="21"/>
                <w:szCs w:val="21"/>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39.1 %</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40 bps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bps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56.1</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57.0</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 bps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bps</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56.5</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56.9</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(40) bps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bps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Connectivity &amp; Platforms</w:t>
            </w:r>
          </w:p>
        </w:tc>
        <w:tc>
          <w:tcPr>
            <w:tcW w:w="240" w:type="dxa"/>
            <w:vAlign w:val="bottom"/>
          </w:tcPr>
          <w:p>
            <w:pPr>
              <w:spacing w:after="0"/>
              <w:rPr>
                <w:sz w:val="14"/>
                <w:szCs w:val="14"/>
                <w:color w:val="auto"/>
              </w:rPr>
            </w:pP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41.8 %</w:t>
            </w:r>
          </w:p>
        </w:tc>
        <w:tc>
          <w:tcPr>
            <w:tcW w:w="320" w:type="dxa"/>
            <w:vAlign w:val="bottom"/>
          </w:tcPr>
          <w:p>
            <w:pPr>
              <w:spacing w:after="0"/>
              <w:rPr>
                <w:sz w:val="14"/>
                <w:szCs w:val="14"/>
                <w:color w:val="auto"/>
              </w:rPr>
            </w:pPr>
          </w:p>
        </w:tc>
        <w:tc>
          <w:tcPr>
            <w:tcW w:w="9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41.9 %</w:t>
            </w:r>
          </w:p>
        </w:tc>
        <w:tc>
          <w:tcPr>
            <w:tcW w:w="10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 bps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 bps</w:t>
            </w:r>
          </w:p>
        </w:tc>
        <w:tc>
          <w:tcPr>
            <w:tcW w:w="320" w:type="dxa"/>
            <w:vAlign w:val="bottom"/>
          </w:tcPr>
          <w:p>
            <w:pPr>
              <w:spacing w:after="0"/>
              <w:rPr>
                <w:sz w:val="14"/>
                <w:szCs w:val="14"/>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41.6 %</w:t>
            </w:r>
          </w:p>
        </w:tc>
        <w:tc>
          <w:tcPr>
            <w:tcW w:w="320" w:type="dxa"/>
            <w:vAlign w:val="bottom"/>
          </w:tcPr>
          <w:p>
            <w:pPr>
              <w:spacing w:after="0"/>
              <w:rPr>
                <w:sz w:val="14"/>
                <w:szCs w:val="14"/>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41.2 %</w:t>
            </w:r>
          </w:p>
        </w:tc>
        <w:tc>
          <w:tcPr>
            <w:tcW w:w="102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40 bps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 bps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20" w:hanging="252"/>
        <w:spacing w:after="0" w:line="281" w:lineRule="auto"/>
        <w:tabs>
          <w:tab w:leader="none" w:pos="25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Adjusted EBITDA margin is Adjusted EBITDA as a percentage of revenue. We believe this metric is useful particularly as we continue to focus on growing our higher-margin businesses and improving overall operating cost management. The changes reflect the year-over-year basis point changes in the rounded Adjusted EBITDA margins.</w:t>
      </w:r>
    </w:p>
    <w:p>
      <w:pPr>
        <w:spacing w:after="0" w:line="1" w:lineRule="exact"/>
        <w:rPr>
          <w:rFonts w:ascii="Times New Roman" w:cs="Times New Roman" w:eastAsia="Times New Roman" w:hAnsi="Times New Roman"/>
          <w:sz w:val="14"/>
          <w:szCs w:val="14"/>
          <w:color w:val="auto"/>
        </w:rPr>
      </w:pPr>
    </w:p>
    <w:p>
      <w:pPr>
        <w:ind w:left="260" w:hanging="252"/>
        <w:spacing w:after="0" w:line="285" w:lineRule="auto"/>
        <w:tabs>
          <w:tab w:leader="none" w:pos="25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26 for additional information, including our definition and our use of constant currency, and for a reconciliation of constant currency amounts.</w:t>
      </w:r>
    </w:p>
    <w:p>
      <w:pPr>
        <w:jc w:val="both"/>
        <w:spacing w:after="0" w:line="237" w:lineRule="auto"/>
        <w:rPr>
          <w:sz w:val="20"/>
          <w:szCs w:val="20"/>
          <w:color w:val="auto"/>
        </w:rPr>
      </w:pPr>
      <w:r>
        <w:rPr>
          <w:rFonts w:ascii="Times New Roman" w:cs="Times New Roman" w:eastAsia="Times New Roman" w:hAnsi="Times New Roman"/>
          <w:sz w:val="18"/>
          <w:szCs w:val="18"/>
          <w:color w:val="auto"/>
        </w:rPr>
        <w:t>We continue to focus on growing our higher-margin connectivity businesses while managing overall operating costs. We also continue to invest in our network to support higher-speed broadband offerings and to expand the number of homes and businesses passed. Our customer relationship additions/(losses) continue to be negatively impacted by an increasingly competitive environment. We are focused on increasing our residential connectivity revenue through growth in domestic broadband, domestic wireless and international connectivity revenue. At the same time, we expect continued declines in video revenue as a result of domestic customer net losses due to shifting video consumption patterns and the competitive environment, although customer net losses typically mitigate the impact of continued rate increases on programming expenses. We also expect continued declines in other revenue related to declines in wireline voice revenue. We are also focused on growing our Business Services Connectivity segment revenue by offering competitive services, including enterprise solutions.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&amp; Platforms Customer Metrics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40" w:type="dxa"/>
            <w:vAlign w:val="bottom"/>
            <w:gridSpan w:val="2"/>
          </w:tcPr>
          <w:p>
            <w:pPr>
              <w:jc w:val="right"/>
              <w:ind w:right="515"/>
              <w:spacing w:after="0"/>
              <w:rPr>
                <w:sz w:val="20"/>
                <w:szCs w:val="20"/>
                <w:color w:val="auto"/>
              </w:rPr>
            </w:pPr>
            <w:r>
              <w:rPr>
                <w:rFonts w:ascii="Times New Roman" w:cs="Times New Roman" w:eastAsia="Times New Roman" w:hAnsi="Times New Roman"/>
                <w:sz w:val="14"/>
                <w:szCs w:val="14"/>
                <w:color w:val="auto"/>
              </w:rPr>
              <w:t>Net Additions / (Losses)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15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June 30,</w:t>
            </w:r>
          </w:p>
        </w:tc>
        <w:tc>
          <w:tcPr>
            <w:tcW w:w="820" w:type="dxa"/>
            <w:vAlign w:val="bottom"/>
          </w:tcPr>
          <w:p>
            <w:pPr>
              <w:spacing w:after="0"/>
              <w:rPr>
                <w:sz w:val="11"/>
                <w:szCs w:val="11"/>
                <w:color w:val="auto"/>
              </w:rPr>
            </w:pPr>
          </w:p>
        </w:tc>
        <w:tc>
          <w:tcPr>
            <w:tcW w:w="2160" w:type="dxa"/>
            <w:vAlign w:val="bottom"/>
            <w:gridSpan w:val="2"/>
          </w:tcPr>
          <w:p>
            <w:pPr>
              <w:jc w:val="right"/>
              <w:ind w:right="453"/>
              <w:spacing w:after="0" w:line="133" w:lineRule="exact"/>
              <w:rPr>
                <w:sz w:val="20"/>
                <w:szCs w:val="20"/>
                <w:color w:val="auto"/>
              </w:rPr>
            </w:pPr>
            <w:r>
              <w:rPr>
                <w:rFonts w:ascii="Times New Roman" w:cs="Times New Roman" w:eastAsia="Times New Roman" w:hAnsi="Times New Roman"/>
                <w:sz w:val="14"/>
                <w:szCs w:val="14"/>
                <w:color w:val="auto"/>
              </w:rPr>
              <w:t>Three Months Ended</w:t>
            </w:r>
          </w:p>
        </w:tc>
        <w:tc>
          <w:tcPr>
            <w:tcW w:w="1840" w:type="dxa"/>
            <w:vAlign w:val="bottom"/>
            <w:gridSpan w:val="2"/>
          </w:tcPr>
          <w:p>
            <w:pPr>
              <w:jc w:val="right"/>
              <w:ind w:right="372"/>
              <w:spacing w:after="0" w:line="133" w:lineRule="exact"/>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2025</w:t>
            </w: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color w:val="auto"/>
              </w:rPr>
              <w:t>2025</w:t>
            </w:r>
          </w:p>
        </w:tc>
        <w:tc>
          <w:tcPr>
            <w:tcW w:w="9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2025</w:t>
            </w:r>
          </w:p>
        </w:tc>
        <w:tc>
          <w:tcPr>
            <w:tcW w:w="7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Domestic Residential Connectivity &amp; Platforms customer</w:t>
            </w: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60"/>
              <w:spacing w:after="0" w:line="243" w:lineRule="exact"/>
              <w:rPr>
                <w:sz w:val="20"/>
                <w:szCs w:val="20"/>
                <w:color w:val="auto"/>
              </w:rPr>
            </w:pPr>
            <w:r>
              <w:rPr>
                <w:rFonts w:ascii="Times New Roman" w:cs="Times New Roman" w:eastAsia="Times New Roman" w:hAnsi="Times New Roman"/>
                <w:sz w:val="18"/>
                <w:szCs w:val="18"/>
                <w:color w:val="auto"/>
              </w:rPr>
              <w:t>relationships</w:t>
            </w:r>
            <w:r>
              <w:rPr>
                <w:rFonts w:ascii="Times New Roman" w:cs="Times New Roman" w:eastAsia="Times New Roman" w:hAnsi="Times New Roman"/>
                <w:sz w:val="23"/>
                <w:szCs w:val="23"/>
                <w:color w:val="auto"/>
                <w:vertAlign w:val="superscript"/>
              </w:rPr>
              <w:t>(a)</w:t>
            </w:r>
          </w:p>
        </w:tc>
        <w:tc>
          <w:tcPr>
            <w:tcW w:w="15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30,746</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31,426</w:t>
            </w: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(223)</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(128)</w:t>
            </w:r>
          </w:p>
        </w:tc>
        <w:tc>
          <w:tcPr>
            <w:tcW w:w="114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(427)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176"/>
        </w:trPr>
        <w:tc>
          <w:tcPr>
            <w:tcW w:w="49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International Residential Connectivity &amp; Platforms customer</w:t>
            </w:r>
          </w:p>
        </w:tc>
        <w:tc>
          <w:tcPr>
            <w:tcW w:w="1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relationships</w:t>
            </w:r>
            <w:r>
              <w:rPr>
                <w:rFonts w:ascii="Times New Roman" w:cs="Times New Roman" w:eastAsia="Times New Roman" w:hAnsi="Times New Roman"/>
                <w:sz w:val="23"/>
                <w:szCs w:val="23"/>
                <w:color w:val="auto"/>
                <w:vertAlign w:val="superscript"/>
              </w:rPr>
              <w:t>(a)</w:t>
            </w:r>
          </w:p>
        </w:tc>
        <w:tc>
          <w:tcPr>
            <w:tcW w:w="152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17,698</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17,638</w:t>
            </w:r>
          </w:p>
        </w:tc>
        <w:tc>
          <w:tcPr>
            <w:tcW w:w="12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(102)</w:t>
            </w: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(144)</w:t>
            </w:r>
          </w:p>
        </w:tc>
        <w:tc>
          <w:tcPr>
            <w:tcW w:w="11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(113)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Business Services Connectivity customer relationships</w:t>
            </w:r>
            <w:r>
              <w:rPr>
                <w:rFonts w:ascii="Times New Roman" w:cs="Times New Roman" w:eastAsia="Times New Roman" w:hAnsi="Times New Roman"/>
                <w:sz w:val="23"/>
                <w:szCs w:val="23"/>
                <w:color w:val="auto"/>
                <w:vertAlign w:val="superscript"/>
              </w:rPr>
              <w:t>(b)(c)</w:t>
            </w:r>
          </w:p>
        </w:tc>
        <w:tc>
          <w:tcPr>
            <w:tcW w:w="15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2,713</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2,632</w:t>
            </w: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(37)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Connectivity &amp; Platforms customer relationships</w:t>
            </w:r>
          </w:p>
        </w:tc>
        <w:tc>
          <w:tcPr>
            <w:tcW w:w="152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51,156</w:t>
            </w: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51,696</w:t>
            </w:r>
          </w:p>
        </w:tc>
        <w:tc>
          <w:tcPr>
            <w:tcW w:w="12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(349)</w:t>
            </w: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(275)</w:t>
            </w:r>
          </w:p>
        </w:tc>
        <w:tc>
          <w:tcPr>
            <w:tcW w:w="114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(577)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Broadband</w:t>
            </w:r>
          </w:p>
        </w:tc>
        <w:tc>
          <w:tcPr>
            <w:tcW w:w="1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customers</w:t>
            </w:r>
          </w:p>
        </w:tc>
        <w:tc>
          <w:tcPr>
            <w:tcW w:w="152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28,989</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29,583</w:t>
            </w:r>
          </w:p>
        </w:tc>
        <w:tc>
          <w:tcPr>
            <w:tcW w:w="12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(201)</w:t>
            </w: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(110)</w:t>
            </w:r>
          </w:p>
        </w:tc>
        <w:tc>
          <w:tcPr>
            <w:tcW w:w="11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(384)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49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Business customers</w:t>
            </w:r>
            <w:r>
              <w:rPr>
                <w:rFonts w:ascii="Times New Roman" w:cs="Times New Roman" w:eastAsia="Times New Roman" w:hAnsi="Times New Roman"/>
                <w:sz w:val="23"/>
                <w:szCs w:val="23"/>
                <w:color w:val="auto"/>
                <w:vertAlign w:val="superscript"/>
              </w:rPr>
              <w:t>(b)(c)</w:t>
            </w:r>
          </w:p>
        </w:tc>
        <w:tc>
          <w:tcPr>
            <w:tcW w:w="15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2,551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2,485</w:t>
            </w: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broadband customers</w:t>
            </w:r>
          </w:p>
        </w:tc>
        <w:tc>
          <w:tcPr>
            <w:tcW w:w="152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31,540</w:t>
            </w: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32,068</w:t>
            </w:r>
          </w:p>
        </w:tc>
        <w:tc>
          <w:tcPr>
            <w:tcW w:w="12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(226)</w:t>
            </w: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(120)</w:t>
            </w:r>
          </w:p>
        </w:tc>
        <w:tc>
          <w:tcPr>
            <w:tcW w:w="114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(426)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Wireless</w:t>
            </w:r>
          </w:p>
        </w:tc>
        <w:tc>
          <w:tcPr>
            <w:tcW w:w="1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domestic wireless lines</w:t>
            </w:r>
            <w:r>
              <w:rPr>
                <w:rFonts w:ascii="Times New Roman" w:cs="Times New Roman" w:eastAsia="Times New Roman" w:hAnsi="Times New Roman"/>
                <w:sz w:val="23"/>
                <w:szCs w:val="23"/>
                <w:color w:val="auto"/>
                <w:vertAlign w:val="superscript"/>
              </w:rPr>
              <w:t>(d)</w:t>
            </w:r>
          </w:p>
        </w:tc>
        <w:tc>
          <w:tcPr>
            <w:tcW w:w="152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8,527</w:t>
            </w: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7,199</w:t>
            </w:r>
          </w:p>
        </w:tc>
        <w:tc>
          <w:tcPr>
            <w:tcW w:w="126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378</w:t>
            </w:r>
          </w:p>
        </w:tc>
        <w:tc>
          <w:tcPr>
            <w:tcW w:w="9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322</w:t>
            </w:r>
          </w:p>
        </w:tc>
        <w:tc>
          <w:tcPr>
            <w:tcW w:w="11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701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Video</w:t>
            </w:r>
          </w:p>
        </w:tc>
        <w:tc>
          <w:tcPr>
            <w:tcW w:w="1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video customers</w:t>
            </w:r>
          </w:p>
        </w:tc>
        <w:tc>
          <w:tcPr>
            <w:tcW w:w="152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11,771</w:t>
            </w:r>
          </w:p>
        </w:tc>
        <w:tc>
          <w:tcPr>
            <w:tcW w:w="8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13,199</w:t>
            </w:r>
          </w:p>
        </w:tc>
        <w:tc>
          <w:tcPr>
            <w:tcW w:w="12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(325)</w:t>
            </w: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(419)</w:t>
            </w:r>
          </w:p>
        </w:tc>
        <w:tc>
          <w:tcPr>
            <w:tcW w:w="114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(751)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Domestic homes and businesses passed</w:t>
            </w:r>
            <w:r>
              <w:rPr>
                <w:rFonts w:ascii="Times New Roman" w:cs="Times New Roman" w:eastAsia="Times New Roman" w:hAnsi="Times New Roman"/>
                <w:sz w:val="23"/>
                <w:szCs w:val="23"/>
                <w:color w:val="auto"/>
                <w:vertAlign w:val="superscript"/>
              </w:rPr>
              <w:t>(e)</w:t>
            </w:r>
          </w:p>
        </w:tc>
        <w:tc>
          <w:tcPr>
            <w:tcW w:w="15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64,309</w:t>
            </w: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63,031</w:t>
            </w:r>
          </w:p>
        </w:tc>
        <w:tc>
          <w:tcPr>
            <w:tcW w:w="1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Domestic broadband penetration of homes and businesses passed</w:t>
            </w:r>
            <w:r>
              <w:rPr>
                <w:rFonts w:ascii="Times New Roman" w:cs="Times New Roman" w:eastAsia="Times New Roman" w:hAnsi="Times New Roman"/>
                <w:sz w:val="23"/>
                <w:szCs w:val="23"/>
                <w:color w:val="auto"/>
                <w:vertAlign w:val="superscript"/>
              </w:rPr>
              <w:t>(f)</w:t>
            </w:r>
          </w:p>
        </w:tc>
        <w:tc>
          <w:tcPr>
            <w:tcW w:w="152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48.6 %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260" w:hanging="252"/>
        <w:spacing w:after="0" w:line="271" w:lineRule="auto"/>
        <w:tabs>
          <w:tab w:leader="none" w:pos="25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Connectivity &amp; Platforms customer relationships generally represent the number of residential customer locations that subscribe to at least one of our services. International Residential Connectivity &amp; Platforms customer relationships represent customers receiving Sky services in the United Kingdom and Italy. Because each of our services includes a variety of product tiers, which may change from time to time, net additions or losses in any one period will reflect a mix of customers at various tiers.</w:t>
      </w:r>
    </w:p>
    <w:p>
      <w:pPr>
        <w:spacing w:after="0" w:line="8" w:lineRule="exact"/>
        <w:rPr>
          <w:rFonts w:ascii="Times New Roman" w:cs="Times New Roman" w:eastAsia="Times New Roman" w:hAnsi="Times New Roman"/>
          <w:sz w:val="14"/>
          <w:szCs w:val="14"/>
          <w:color w:val="auto"/>
        </w:rPr>
      </w:pPr>
    </w:p>
    <w:p>
      <w:pPr>
        <w:jc w:val="both"/>
        <w:ind w:left="260" w:right="20" w:hanging="252"/>
        <w:spacing w:after="0" w:line="271" w:lineRule="auto"/>
        <w:tabs>
          <w:tab w:leader="none" w:pos="2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Services Connectivity customer metrics are generally counted based on the number of connections receiving services, including connections within our network in the United States, as well as connections outside of our network both in the United States and internationally. Certain arrangements whereby third parties provide connectivity services leveraging our network are also generally counted based on the number of connections served.</w:t>
      </w:r>
    </w:p>
    <w:p>
      <w:pPr>
        <w:spacing w:after="0" w:line="8" w:lineRule="exact"/>
        <w:rPr>
          <w:rFonts w:ascii="Times New Roman" w:cs="Times New Roman" w:eastAsia="Times New Roman" w:hAnsi="Times New Roman"/>
          <w:sz w:val="14"/>
          <w:szCs w:val="14"/>
          <w:color w:val="auto"/>
        </w:rPr>
      </w:pPr>
    </w:p>
    <w:p>
      <w:pPr>
        <w:jc w:val="both"/>
        <w:ind w:left="260" w:hanging="252"/>
        <w:spacing w:after="0" w:line="271" w:lineRule="auto"/>
        <w:tabs>
          <w:tab w:leader="none" w:pos="25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second quarter of 2025, Business Services Connectivity customer relationships and Domestic Broadband Business customers include connections from the acquisition of Nitel and other conforming changes, resulting in an increase of 124,000 Business Services Connectivity customer relationships and 123,000 domestic broadband business customers as of April 1, 2025. Because these adjustments were made as of April 1, 2025, they are not reflected in prior period customer metrics or in net additions / (losses) in prior and current year periods.</w:t>
      </w:r>
    </w:p>
    <w:p>
      <w:pPr>
        <w:spacing w:after="0" w:line="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wireless lines represent the number of residential and business customers’ wireless devices. An individual customer relationship may have multiple wireless lines.</w:t>
      </w:r>
    </w:p>
    <w:p>
      <w:pPr>
        <w:spacing w:after="0" w:line="41" w:lineRule="exact"/>
        <w:rPr>
          <w:rFonts w:ascii="Times New Roman" w:cs="Times New Roman" w:eastAsia="Times New Roman" w:hAnsi="Times New Roman"/>
          <w:sz w:val="14"/>
          <w:szCs w:val="14"/>
          <w:color w:val="auto"/>
        </w:rPr>
      </w:pPr>
    </w:p>
    <w:p>
      <w:pPr>
        <w:ind w:left="260" w:hanging="252"/>
        <w:spacing w:after="0" w:line="291" w:lineRule="auto"/>
        <w:tabs>
          <w:tab w:leader="none" w:pos="25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Connectivity &amp; Platforms domestic homes and businesses are considered passed if we can connect them to our network in the United States without further extending the transmission lines. Homes and businesses passed is an estimate based on the best available information.</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domestic customers located within our network by the number of domestic homes and businesses passed.</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3"/>
            <w:vMerge w:val="restart"/>
          </w:tcPr>
          <w:p>
            <w:pPr>
              <w:jc w:val="right"/>
              <w:ind w:right="256"/>
              <w:spacing w:after="0"/>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tcPr>
          <w:p>
            <w:pPr>
              <w:spacing w:after="0"/>
              <w:rPr>
                <w:sz w:val="13"/>
                <w:szCs w:val="13"/>
                <w:color w:val="auto"/>
              </w:rPr>
            </w:pPr>
          </w:p>
        </w:tc>
        <w:tc>
          <w:tcPr>
            <w:tcW w:w="94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auto"/>
              </w:rPr>
              <w:t>Constant</w:t>
            </w:r>
          </w:p>
        </w:tc>
        <w:tc>
          <w:tcPr>
            <w:tcW w:w="240" w:type="dxa"/>
            <w:vAlign w:val="bottom"/>
          </w:tcPr>
          <w:p>
            <w:pPr>
              <w:spacing w:after="0"/>
              <w:rPr>
                <w:sz w:val="13"/>
                <w:szCs w:val="13"/>
                <w:color w:val="auto"/>
              </w:rPr>
            </w:pPr>
          </w:p>
        </w:tc>
        <w:tc>
          <w:tcPr>
            <w:tcW w:w="1600" w:type="dxa"/>
            <w:vAlign w:val="bottom"/>
            <w:gridSpan w:val="3"/>
            <w:vMerge w:val="restart"/>
          </w:tcPr>
          <w:p>
            <w:pPr>
              <w:jc w:val="right"/>
              <w:ind w:right="336"/>
              <w:spacing w:after="0"/>
              <w:rPr>
                <w:sz w:val="20"/>
                <w:szCs w:val="20"/>
                <w:color w:val="auto"/>
              </w:rPr>
            </w:pPr>
            <w:r>
              <w:rPr>
                <w:rFonts w:ascii="Times New Roman" w:cs="Times New Roman" w:eastAsia="Times New Roman" w:hAnsi="Times New Roman"/>
                <w:sz w:val="14"/>
                <w:szCs w:val="14"/>
                <w:color w:val="auto"/>
              </w:rPr>
              <w:t>Six Months Ended</w:t>
            </w:r>
          </w:p>
        </w:tc>
        <w:tc>
          <w:tcPr>
            <w:tcW w:w="960" w:type="dxa"/>
            <w:vAlign w:val="bottom"/>
          </w:tcPr>
          <w:p>
            <w:pPr>
              <w:spacing w:after="0"/>
              <w:rPr>
                <w:sz w:val="13"/>
                <w:szCs w:val="13"/>
                <w:color w:val="auto"/>
              </w:rPr>
            </w:pPr>
          </w:p>
        </w:tc>
        <w:tc>
          <w:tcPr>
            <w:tcW w:w="900" w:type="dxa"/>
            <w:vAlign w:val="bottom"/>
          </w:tcPr>
          <w:p>
            <w:pPr>
              <w:jc w:val="center"/>
              <w:ind w:right="22"/>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9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Change</w:t>
            </w:r>
          </w:p>
        </w:tc>
        <w:tc>
          <w:tcPr>
            <w:tcW w:w="940" w:type="dxa"/>
            <w:vAlign w:val="bottom"/>
          </w:tcPr>
          <w:p>
            <w:pPr>
              <w:jc w:val="center"/>
              <w:ind w:right="62"/>
              <w:spacing w:after="0" w:line="145" w:lineRule="exact"/>
              <w:rPr>
                <w:sz w:val="20"/>
                <w:szCs w:val="20"/>
                <w:color w:val="auto"/>
              </w:rPr>
            </w:pPr>
            <w:r>
              <w:rPr>
                <w:rFonts w:ascii="Times New Roman" w:cs="Times New Roman" w:eastAsia="Times New Roman" w:hAnsi="Times New Roman"/>
                <w:sz w:val="14"/>
                <w:szCs w:val="14"/>
                <w:color w:val="auto"/>
                <w:w w:val="99"/>
              </w:rPr>
              <w:t>Currency</w:t>
            </w:r>
          </w:p>
        </w:tc>
        <w:tc>
          <w:tcPr>
            <w:tcW w:w="24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9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Change</w:t>
            </w:r>
          </w:p>
        </w:tc>
        <w:tc>
          <w:tcPr>
            <w:tcW w:w="900" w:type="dxa"/>
            <w:vAlign w:val="bottom"/>
          </w:tcPr>
          <w:p>
            <w:pPr>
              <w:jc w:val="center"/>
              <w:ind w:right="22"/>
              <w:spacing w:after="0" w:line="145" w:lineRule="exact"/>
              <w:rPr>
                <w:sz w:val="20"/>
                <w:szCs w:val="20"/>
                <w:color w:val="auto"/>
              </w:rPr>
            </w:pPr>
            <w:r>
              <w:rPr>
                <w:rFonts w:ascii="Times New Roman" w:cs="Times New Roman" w:eastAsia="Times New Roman" w:hAnsi="Times New Roman"/>
                <w:sz w:val="14"/>
                <w:szCs w:val="14"/>
                <w:color w:val="auto"/>
                <w:w w:val="99"/>
              </w:rPr>
              <w:t>Currency</w:t>
            </w:r>
          </w:p>
        </w:tc>
        <w:tc>
          <w:tcPr>
            <w:tcW w:w="0" w:type="dxa"/>
            <w:vAlign w:val="bottom"/>
          </w:tcPr>
          <w:p>
            <w:pPr>
              <w:spacing w:after="0"/>
              <w:rPr>
                <w:sz w:val="1"/>
                <w:szCs w:val="1"/>
                <w:color w:val="auto"/>
              </w:rPr>
            </w:pPr>
          </w:p>
        </w:tc>
      </w:tr>
      <w:tr>
        <w:trPr>
          <w:trHeight w:val="198"/>
        </w:trPr>
        <w:tc>
          <w:tcPr>
            <w:tcW w:w="3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6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9"/>
                <w:szCs w:val="9"/>
                <w:color w:val="auto"/>
              </w:rPr>
              <w:t>(a)</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7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9"/>
                <w:szCs w:val="9"/>
                <w:color w:val="auto"/>
              </w:rPr>
              <w:t>(a)</w:t>
            </w:r>
          </w:p>
        </w:tc>
        <w:tc>
          <w:tcPr>
            <w:tcW w:w="0" w:type="dxa"/>
            <w:vAlign w:val="bottom"/>
          </w:tcPr>
          <w:p>
            <w:pPr>
              <w:spacing w:after="0"/>
              <w:rPr>
                <w:sz w:val="1"/>
                <w:szCs w:val="1"/>
                <w:color w:val="auto"/>
              </w:rPr>
            </w:pPr>
          </w:p>
        </w:tc>
      </w:tr>
      <w:tr>
        <w:trPr>
          <w:trHeight w:val="194"/>
        </w:trPr>
        <w:tc>
          <w:tcPr>
            <w:tcW w:w="3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w w:val="99"/>
              </w:rPr>
              <w:t>2024</w:t>
            </w: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rPr>
              <w:t>2024</w:t>
            </w: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Average monthly total Connectivity &amp; Platforms</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per customer relationship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96"/>
              </w:rPr>
              <w:t>130.20</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130.08</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175"/>
        </w:trPr>
        <w:tc>
          <w:tcPr>
            <w:tcW w:w="38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Average monthly total Connectivity &amp; Platforms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Adjusted EBITDA per customer relationship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54.55</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1.6 %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53.61</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2.0 %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60" w:right="20" w:hanging="252"/>
        <w:spacing w:after="0" w:line="302" w:lineRule="auto"/>
        <w:tabs>
          <w:tab w:leader="none" w:pos="25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26 for additional information, including our definition and our use of constant currency, and for a reconciliation of constant currency amounts.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Average monthly total revenue per customer relationship is impacted by rate adjustments and changes in the types and levels of services received by our residential and business customers, as well as changes in advertising and other revenue and in foreign currency exchange rates. While revenue from our individual service offerings is also impacted by changes in the allocation of revenue among services sold in a bundle, the allocation does not impact average monthly total revenue per customer relationship. Each of our services has a different contribution to Adjusted EBITDA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&amp; Platforms — Supplemental Costs and Expenses Information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Connectivity &amp; Platforms supplemental costs and expenses information in the table below is presented on an aggregate basis across the Connectivity &amp; Platforms segments as the segments use certain shared infrastructure, including our network in the United States. Costs and expenses information reported separately for the Residential Connectivity &amp; Platforms and Business Services Connectivity segments includes each segment’s direct costs and an allocation of shared costs.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3"/>
            <w:vMerge w:val="restart"/>
          </w:tcPr>
          <w:p>
            <w:pPr>
              <w:jc w:val="right"/>
              <w:ind w:right="392"/>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tcPr>
          <w:p>
            <w:pPr>
              <w:spacing w:after="0"/>
              <w:rPr>
                <w:sz w:val="13"/>
                <w:szCs w:val="13"/>
                <w:color w:val="auto"/>
              </w:rPr>
            </w:pPr>
          </w:p>
        </w:tc>
        <w:tc>
          <w:tcPr>
            <w:tcW w:w="98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Constant</w:t>
            </w:r>
          </w:p>
        </w:tc>
        <w:tc>
          <w:tcPr>
            <w:tcW w:w="260" w:type="dxa"/>
            <w:vAlign w:val="bottom"/>
          </w:tcPr>
          <w:p>
            <w:pPr>
              <w:spacing w:after="0"/>
              <w:rPr>
                <w:sz w:val="13"/>
                <w:szCs w:val="13"/>
                <w:color w:val="auto"/>
              </w:rPr>
            </w:pPr>
          </w:p>
        </w:tc>
        <w:tc>
          <w:tcPr>
            <w:tcW w:w="1900" w:type="dxa"/>
            <w:vAlign w:val="bottom"/>
            <w:gridSpan w:val="3"/>
            <w:vMerge w:val="restart"/>
          </w:tcPr>
          <w:p>
            <w:pPr>
              <w:jc w:val="right"/>
              <w:ind w:right="492"/>
              <w:spacing w:after="0"/>
              <w:rPr>
                <w:sz w:val="20"/>
                <w:szCs w:val="20"/>
                <w:color w:val="auto"/>
              </w:rPr>
            </w:pPr>
            <w:r>
              <w:rPr>
                <w:rFonts w:ascii="Times New Roman" w:cs="Times New Roman" w:eastAsia="Times New Roman" w:hAnsi="Times New Roman"/>
                <w:sz w:val="14"/>
                <w:szCs w:val="14"/>
                <w:color w:val="auto"/>
              </w:rPr>
              <w:t>Six Months Ended</w:t>
            </w:r>
          </w:p>
        </w:tc>
        <w:tc>
          <w:tcPr>
            <w:tcW w:w="1020" w:type="dxa"/>
            <w:vAlign w:val="bottom"/>
          </w:tcPr>
          <w:p>
            <w:pPr>
              <w:spacing w:after="0"/>
              <w:rPr>
                <w:sz w:val="13"/>
                <w:szCs w:val="13"/>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Change</w:t>
            </w:r>
          </w:p>
        </w:tc>
        <w:tc>
          <w:tcPr>
            <w:tcW w:w="9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color w:val="auto"/>
                <w:w w:val="99"/>
              </w:rPr>
              <w:t>Currency</w:t>
            </w:r>
          </w:p>
        </w:tc>
        <w:tc>
          <w:tcPr>
            <w:tcW w:w="26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Change</w:t>
            </w:r>
          </w:p>
        </w:tc>
        <w:tc>
          <w:tcPr>
            <w:tcW w:w="9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color w:val="auto"/>
                <w:w w:val="99"/>
              </w:rPr>
              <w:t>Currency</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tcPr>
          <w:p>
            <w:pPr>
              <w:jc w:val="center"/>
              <w:ind w:right="97"/>
              <w:spacing w:after="0" w:line="202" w:lineRule="exact"/>
              <w:rPr>
                <w:sz w:val="20"/>
                <w:szCs w:val="20"/>
                <w:color w:val="auto"/>
              </w:rPr>
            </w:pPr>
            <w:r>
              <w:rPr>
                <w:rFonts w:ascii="Times New Roman" w:cs="Times New Roman" w:eastAsia="Times New Roman" w:hAnsi="Times New Roman"/>
                <w:sz w:val="14"/>
                <w:szCs w:val="14"/>
                <w:color w:val="auto"/>
                <w:w w:val="98"/>
              </w:rPr>
              <w:t>Change</w:t>
            </w:r>
            <w:r>
              <w:rPr>
                <w:rFonts w:ascii="Times New Roman" w:cs="Times New Roman" w:eastAsia="Times New Roman" w:hAnsi="Times New Roman"/>
                <w:sz w:val="18"/>
                <w:szCs w:val="18"/>
                <w:color w:val="auto"/>
                <w:w w:val="98"/>
                <w:vertAlign w:val="superscript"/>
              </w:rPr>
              <w:t>(g)</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jc w:val="center"/>
              <w:ind w:right="37"/>
              <w:spacing w:after="0" w:line="202" w:lineRule="exact"/>
              <w:rPr>
                <w:sz w:val="20"/>
                <w:szCs w:val="20"/>
                <w:color w:val="auto"/>
              </w:rPr>
            </w:pPr>
            <w:r>
              <w:rPr>
                <w:rFonts w:ascii="Times New Roman" w:cs="Times New Roman" w:eastAsia="Times New Roman" w:hAnsi="Times New Roman"/>
                <w:sz w:val="14"/>
                <w:szCs w:val="14"/>
                <w:color w:val="auto"/>
                <w:w w:val="98"/>
              </w:rPr>
              <w:t>Change</w:t>
            </w:r>
            <w:r>
              <w:rPr>
                <w:rFonts w:ascii="Times New Roman" w:cs="Times New Roman" w:eastAsia="Times New Roman" w:hAnsi="Times New Roman"/>
                <w:sz w:val="18"/>
                <w:szCs w:val="18"/>
                <w:color w:val="auto"/>
                <w:w w:val="98"/>
                <w:vertAlign w:val="superscript"/>
              </w:rPr>
              <w:t>(g)</w:t>
            </w:r>
          </w:p>
        </w:tc>
        <w:tc>
          <w:tcPr>
            <w:tcW w:w="0" w:type="dxa"/>
            <w:vAlign w:val="bottom"/>
          </w:tcPr>
          <w:p>
            <w:pPr>
              <w:spacing w:after="0"/>
              <w:rPr>
                <w:sz w:val="1"/>
                <w:szCs w:val="1"/>
                <w:color w:val="auto"/>
              </w:rPr>
            </w:pPr>
          </w:p>
        </w:tc>
      </w:tr>
      <w:tr>
        <w:trPr>
          <w:trHeight w:val="18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2024</w:t>
            </w: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2024</w:t>
            </w: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Programming</w:t>
            </w:r>
            <w:r>
              <w:rPr>
                <w:rFonts w:ascii="Times New Roman" w:cs="Times New Roman" w:eastAsia="Times New Roman" w:hAnsi="Times New Roman"/>
                <w:sz w:val="23"/>
                <w:szCs w:val="23"/>
                <w:color w:val="auto"/>
                <w:vertAlign w:val="superscript"/>
              </w:rPr>
              <w:t>(a)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3,998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4,248</w:t>
            </w: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(5.9) %</w:t>
            </w: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(7.4) %</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8,105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8,654</w:t>
            </w: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 %</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(6.9) %</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Technical and support</w:t>
            </w:r>
            <w:r>
              <w:rPr>
                <w:rFonts w:ascii="Times New Roman" w:cs="Times New Roman" w:eastAsia="Times New Roman" w:hAnsi="Times New Roman"/>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1,855</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1,845</w:t>
            </w:r>
          </w:p>
        </w:tc>
        <w:tc>
          <w:tcPr>
            <w:tcW w:w="10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0.5</w:t>
            </w:r>
          </w:p>
        </w:tc>
        <w:tc>
          <w:tcPr>
            <w:tcW w:w="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3,730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3,804</w:t>
            </w: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Direct product costs</w:t>
            </w:r>
            <w:r>
              <w:rPr>
                <w:rFonts w:ascii="Times New Roman" w:cs="Times New Roman" w:eastAsia="Times New Roman" w:hAnsi="Times New Roman"/>
                <w:sz w:val="23"/>
                <w:szCs w:val="23"/>
                <w:color w:val="auto"/>
                <w:vertAlign w:val="superscript"/>
              </w:rPr>
              <w:t>(c)</w:t>
            </w:r>
          </w:p>
        </w:tc>
        <w:tc>
          <w:tcPr>
            <w:tcW w:w="220" w:type="dxa"/>
            <w:vAlign w:val="bottom"/>
          </w:tcPr>
          <w:p>
            <w:pPr>
              <w:spacing w:after="0"/>
              <w:rPr>
                <w:sz w:val="19"/>
                <w:szCs w:val="19"/>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1,829</w:t>
            </w:r>
          </w:p>
        </w:tc>
        <w:tc>
          <w:tcPr>
            <w:tcW w:w="34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1,515</w:t>
            </w:r>
          </w:p>
        </w:tc>
        <w:tc>
          <w:tcPr>
            <w:tcW w:w="10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20.8</w:t>
            </w:r>
          </w:p>
        </w:tc>
        <w:tc>
          <w:tcPr>
            <w:tcW w:w="9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3,454</w:t>
            </w:r>
          </w:p>
        </w:tc>
        <w:tc>
          <w:tcPr>
            <w:tcW w:w="34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3,029</w:t>
            </w:r>
          </w:p>
        </w:tc>
        <w:tc>
          <w:tcPr>
            <w:tcW w:w="10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14.0</w:t>
            </w:r>
          </w:p>
        </w:tc>
        <w:tc>
          <w:tcPr>
            <w:tcW w:w="92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Marketing and promotion</w:t>
            </w:r>
            <w:r>
              <w:rPr>
                <w:rFonts w:ascii="Times New Roman" w:cs="Times New Roman" w:eastAsia="Times New Roman" w:hAnsi="Times New Roman"/>
                <w:sz w:val="23"/>
                <w:szCs w:val="23"/>
                <w:color w:val="auto"/>
                <w:vertAlign w:val="superscript"/>
              </w:rPr>
              <w:t>(d)</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1,234</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1,140</w:t>
            </w:r>
          </w:p>
        </w:tc>
        <w:tc>
          <w:tcPr>
            <w:tcW w:w="10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8.2</w:t>
            </w:r>
          </w:p>
        </w:tc>
        <w:tc>
          <w:tcPr>
            <w:tcW w:w="9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2,461</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2,313</w:t>
            </w:r>
          </w:p>
        </w:tc>
        <w:tc>
          <w:tcPr>
            <w:tcW w:w="10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6.4</w:t>
            </w:r>
          </w:p>
        </w:tc>
        <w:tc>
          <w:tcPr>
            <w:tcW w:w="9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Customer service</w:t>
            </w:r>
            <w:r>
              <w:rPr>
                <w:rFonts w:ascii="Times New Roman" w:cs="Times New Roman" w:eastAsia="Times New Roman" w:hAnsi="Times New Roman"/>
                <w:sz w:val="23"/>
                <w:szCs w:val="23"/>
                <w:color w:val="auto"/>
                <w:vertAlign w:val="superscript"/>
              </w:rPr>
              <w:t>(e)</w:t>
            </w:r>
          </w:p>
        </w:tc>
        <w:tc>
          <w:tcPr>
            <w:tcW w:w="220" w:type="dxa"/>
            <w:vAlign w:val="bottom"/>
          </w:tcPr>
          <w:p>
            <w:pPr>
              <w:spacing w:after="0"/>
              <w:rPr>
                <w:sz w:val="19"/>
                <w:szCs w:val="19"/>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675</w:t>
            </w:r>
          </w:p>
        </w:tc>
        <w:tc>
          <w:tcPr>
            <w:tcW w:w="34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682</w:t>
            </w: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1,355</w:t>
            </w:r>
          </w:p>
        </w:tc>
        <w:tc>
          <w:tcPr>
            <w:tcW w:w="34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1,392</w:t>
            </w: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3060" w:type="dxa"/>
            <w:vAlign w:val="bottom"/>
            <w:tcBorders>
              <w:bottom w:val="single" w:sz="8" w:color="auto"/>
            </w:tcBorders>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2,272</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2,331</w:t>
            </w:r>
          </w:p>
        </w:tc>
        <w:tc>
          <w:tcPr>
            <w:tcW w:w="10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4,557</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4,628</w:t>
            </w:r>
          </w:p>
        </w:tc>
        <w:tc>
          <w:tcPr>
            <w:tcW w:w="10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69"/>
        </w:trPr>
        <w:tc>
          <w:tcPr>
            <w:tcW w:w="30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Connectivity &amp; Platforms costs</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11,864</w:t>
            </w:r>
          </w:p>
        </w:tc>
        <w:tc>
          <w:tcPr>
            <w:tcW w:w="3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11,762</w:t>
            </w:r>
          </w:p>
        </w:tc>
        <w:tc>
          <w:tcPr>
            <w:tcW w:w="102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0.9 %</w:t>
            </w:r>
          </w:p>
        </w:tc>
        <w:tc>
          <w:tcPr>
            <w:tcW w:w="9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(0.7)%</w:t>
            </w: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23,661</w:t>
            </w:r>
          </w:p>
        </w:tc>
        <w:tc>
          <w:tcPr>
            <w:tcW w:w="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23,820</w:t>
            </w:r>
          </w:p>
        </w:tc>
        <w:tc>
          <w:tcPr>
            <w:tcW w:w="10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(0.7)%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w w:val="98"/>
              </w:rPr>
              <w:t>(1.3)%</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and expenses</w:t>
            </w:r>
          </w:p>
        </w:tc>
        <w:tc>
          <w:tcPr>
            <w:tcW w:w="22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260" w:hanging="252"/>
        <w:spacing w:after="0" w:line="275" w:lineRule="auto"/>
        <w:tabs>
          <w:tab w:leader="none" w:pos="25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expenses, which represent our most significant operating expense, are the fees we incur to provide video services to our customers, and primarily include fees related to the distribution of television network programming and fees charged for retransmission of the signals from local broadcast television stations. These expenses also include the costs of content on the Sky-branded entertainment television networks, including amortization of licensed content.</w:t>
      </w:r>
    </w:p>
    <w:p>
      <w:pPr>
        <w:ind w:left="260" w:right="20" w:hanging="252"/>
        <w:spacing w:after="0" w:line="291" w:lineRule="auto"/>
        <w:tabs>
          <w:tab w:leader="none" w:pos="2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support expenses primarily consists of costs for labor to complete service call and installation activities; and costs for network operations and satellite transmission, product development, fulfillment and provisioning.</w:t>
      </w:r>
    </w:p>
    <w:p>
      <w:pPr>
        <w:spacing w:after="0" w:line="1" w:lineRule="exact"/>
        <w:rPr>
          <w:rFonts w:ascii="Times New Roman" w:cs="Times New Roman" w:eastAsia="Times New Roman" w:hAnsi="Times New Roman"/>
          <w:sz w:val="14"/>
          <w:szCs w:val="14"/>
          <w:color w:val="auto"/>
        </w:rPr>
      </w:pPr>
    </w:p>
    <w:p>
      <w:pPr>
        <w:ind w:left="260" w:right="20" w:hanging="252"/>
        <w:spacing w:after="0" w:line="281" w:lineRule="auto"/>
        <w:tabs>
          <w:tab w:leader="none" w:pos="25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product costs primarily consists of access fees related to using wireless and broadband networks owned by third parties to deliver our services and costs of products sold, including wireless devices and Sky Glass smart televisions.</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promotion expenses primarily consists of the costs associated with attracting new customers and promoting our service offerings.</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service expenses primarily consists of the personnel and other costs associated with customer service and certain selling activities.</w:t>
      </w:r>
    </w:p>
    <w:p>
      <w:pPr>
        <w:spacing w:after="0" w:line="55" w:lineRule="exact"/>
        <w:rPr>
          <w:rFonts w:ascii="Times New Roman" w:cs="Times New Roman" w:eastAsia="Times New Roman" w:hAnsi="Times New Roman"/>
          <w:sz w:val="14"/>
          <w:szCs w:val="14"/>
          <w:color w:val="auto"/>
        </w:rPr>
      </w:pPr>
    </w:p>
    <w:p>
      <w:pPr>
        <w:ind w:left="260" w:hanging="252"/>
        <w:spacing w:after="0" w:line="281" w:lineRule="auto"/>
        <w:tabs>
          <w:tab w:leader="none" w:pos="25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primarily consists of administrative personnel costs; franchise and other regulatory fees; fees paid to third parties where we sell advertising on their behalf; bad debt; building and office expenses, taxes and billing costs; and other business, headquarters and support costs necessary to operate the Connectivity &amp; Platforms business.</w:t>
      </w:r>
    </w:p>
    <w:p>
      <w:pPr>
        <w:spacing w:after="0" w:line="1" w:lineRule="exact"/>
        <w:rPr>
          <w:rFonts w:ascii="Times New Roman" w:cs="Times New Roman" w:eastAsia="Times New Roman" w:hAnsi="Times New Roman"/>
          <w:sz w:val="14"/>
          <w:szCs w:val="14"/>
          <w:color w:val="auto"/>
        </w:rPr>
      </w:pPr>
    </w:p>
    <w:p>
      <w:pPr>
        <w:ind w:left="260" w:hanging="252"/>
        <w:spacing w:after="0" w:line="302" w:lineRule="auto"/>
        <w:tabs>
          <w:tab w:leader="none" w:pos="2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26 for additional information, including our definition and our use of constant currency, and for a reconciliation of constant currency amounts.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Residential Connectivity &amp; Platforms Segment Results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3"/>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Three Months Ended</w:t>
            </w:r>
          </w:p>
        </w:tc>
        <w:tc>
          <w:tcPr>
            <w:tcW w:w="1040" w:type="dxa"/>
            <w:vAlign w:val="bottom"/>
          </w:tcPr>
          <w:p>
            <w:pPr>
              <w:spacing w:after="0"/>
              <w:rPr>
                <w:sz w:val="13"/>
                <w:szCs w:val="13"/>
                <w:color w:val="auto"/>
              </w:rPr>
            </w:pPr>
          </w:p>
        </w:tc>
        <w:tc>
          <w:tcPr>
            <w:tcW w:w="1020" w:type="dxa"/>
            <w:vAlign w:val="bottom"/>
          </w:tcPr>
          <w:p>
            <w:pPr>
              <w:jc w:val="center"/>
              <w:ind w:right="95"/>
              <w:spacing w:after="0"/>
              <w:rPr>
                <w:sz w:val="20"/>
                <w:szCs w:val="20"/>
                <w:color w:val="auto"/>
              </w:rPr>
            </w:pPr>
            <w:r>
              <w:rPr>
                <w:rFonts w:ascii="Times New Roman" w:cs="Times New Roman" w:eastAsia="Times New Roman" w:hAnsi="Times New Roman"/>
                <w:sz w:val="14"/>
                <w:szCs w:val="14"/>
                <w:color w:val="auto"/>
              </w:rPr>
              <w:t>Constant</w:t>
            </w:r>
          </w:p>
        </w:tc>
        <w:tc>
          <w:tcPr>
            <w:tcW w:w="260" w:type="dxa"/>
            <w:vAlign w:val="bottom"/>
          </w:tcPr>
          <w:p>
            <w:pPr>
              <w:spacing w:after="0"/>
              <w:rPr>
                <w:sz w:val="13"/>
                <w:szCs w:val="13"/>
                <w:color w:val="auto"/>
              </w:rPr>
            </w:pPr>
          </w:p>
        </w:tc>
        <w:tc>
          <w:tcPr>
            <w:tcW w:w="1900" w:type="dxa"/>
            <w:vAlign w:val="bottom"/>
            <w:gridSpan w:val="3"/>
            <w:vMerge w:val="restart"/>
          </w:tcPr>
          <w:p>
            <w:pPr>
              <w:jc w:val="right"/>
              <w:ind w:right="491"/>
              <w:spacing w:after="0"/>
              <w:rPr>
                <w:sz w:val="20"/>
                <w:szCs w:val="20"/>
                <w:color w:val="auto"/>
              </w:rPr>
            </w:pPr>
            <w:r>
              <w:rPr>
                <w:rFonts w:ascii="Times New Roman" w:cs="Times New Roman" w:eastAsia="Times New Roman" w:hAnsi="Times New Roman"/>
                <w:sz w:val="14"/>
                <w:szCs w:val="14"/>
                <w:color w:val="auto"/>
              </w:rPr>
              <w:t>Six Months Ended</w:t>
            </w:r>
          </w:p>
        </w:tc>
        <w:tc>
          <w:tcPr>
            <w:tcW w:w="1060" w:type="dxa"/>
            <w:vAlign w:val="bottom"/>
          </w:tcPr>
          <w:p>
            <w:pPr>
              <w:spacing w:after="0"/>
              <w:rPr>
                <w:sz w:val="13"/>
                <w:szCs w:val="13"/>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5"/>
        </w:trPr>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04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color w:val="auto"/>
              </w:rPr>
              <w:t>Change</w:t>
            </w:r>
          </w:p>
        </w:tc>
        <w:tc>
          <w:tcPr>
            <w:tcW w:w="1020" w:type="dxa"/>
            <w:vAlign w:val="bottom"/>
          </w:tcPr>
          <w:p>
            <w:pPr>
              <w:jc w:val="center"/>
              <w:ind w:right="95"/>
              <w:spacing w:after="0" w:line="145" w:lineRule="exact"/>
              <w:rPr>
                <w:sz w:val="20"/>
                <w:szCs w:val="20"/>
                <w:color w:val="auto"/>
              </w:rPr>
            </w:pPr>
            <w:r>
              <w:rPr>
                <w:rFonts w:ascii="Times New Roman" w:cs="Times New Roman" w:eastAsia="Times New Roman" w:hAnsi="Times New Roman"/>
                <w:sz w:val="14"/>
                <w:szCs w:val="14"/>
                <w:color w:val="auto"/>
                <w:w w:val="99"/>
              </w:rPr>
              <w:t>Currency</w:t>
            </w:r>
          </w:p>
        </w:tc>
        <w:tc>
          <w:tcPr>
            <w:tcW w:w="26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0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color w:val="auto"/>
              </w:rPr>
              <w:t>Change</w:t>
            </w:r>
          </w:p>
        </w:tc>
        <w:tc>
          <w:tcPr>
            <w:tcW w:w="960" w:type="dxa"/>
            <w:vAlign w:val="bottom"/>
          </w:tcPr>
          <w:p>
            <w:pPr>
              <w:jc w:val="center"/>
              <w:ind w:right="35"/>
              <w:spacing w:after="0" w:line="145" w:lineRule="exact"/>
              <w:rPr>
                <w:sz w:val="20"/>
                <w:szCs w:val="20"/>
                <w:color w:val="auto"/>
              </w:rPr>
            </w:pPr>
            <w:r>
              <w:rPr>
                <w:rFonts w:ascii="Times New Roman" w:cs="Times New Roman" w:eastAsia="Times New Roman" w:hAnsi="Times New Roman"/>
                <w:sz w:val="14"/>
                <w:szCs w:val="14"/>
                <w:color w:val="auto"/>
                <w:w w:val="99"/>
              </w:rPr>
              <w:t>Currency</w:t>
            </w:r>
          </w:p>
        </w:tc>
        <w:tc>
          <w:tcPr>
            <w:tcW w:w="0" w:type="dxa"/>
            <w:vAlign w:val="bottom"/>
          </w:tcPr>
          <w:p>
            <w:pPr>
              <w:spacing w:after="0"/>
              <w:rPr>
                <w:sz w:val="1"/>
                <w:szCs w:val="1"/>
                <w:color w:val="auto"/>
              </w:rPr>
            </w:pPr>
          </w:p>
        </w:tc>
      </w:tr>
      <w:tr>
        <w:trPr>
          <w:trHeight w:val="201"/>
        </w:trPr>
        <w:tc>
          <w:tcPr>
            <w:tcW w:w="2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8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jc w:val="center"/>
              <w:ind w:right="95"/>
              <w:spacing w:after="0" w:line="201" w:lineRule="exact"/>
              <w:rPr>
                <w:sz w:val="20"/>
                <w:szCs w:val="20"/>
                <w:color w:val="auto"/>
              </w:rPr>
            </w:pPr>
            <w:r>
              <w:rPr>
                <w:rFonts w:ascii="Times New Roman" w:cs="Times New Roman" w:eastAsia="Times New Roman" w:hAnsi="Times New Roman"/>
                <w:sz w:val="14"/>
                <w:szCs w:val="14"/>
                <w:color w:val="auto"/>
                <w:w w:val="99"/>
              </w:rPr>
              <w:t>Change</w:t>
            </w:r>
            <w:r>
              <w:rPr>
                <w:rFonts w:ascii="Times New Roman" w:cs="Times New Roman" w:eastAsia="Times New Roman" w:hAnsi="Times New Roman"/>
                <w:sz w:val="18"/>
                <w:szCs w:val="18"/>
                <w:color w:val="auto"/>
                <w:w w:val="99"/>
                <w:vertAlign w:val="superscript"/>
              </w:rPr>
              <w:t>(a)</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8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tcPr>
          <w:p>
            <w:pPr>
              <w:jc w:val="center"/>
              <w:ind w:right="35"/>
              <w:spacing w:after="0" w:line="201" w:lineRule="exact"/>
              <w:rPr>
                <w:sz w:val="20"/>
                <w:szCs w:val="20"/>
                <w:color w:val="auto"/>
              </w:rPr>
            </w:pPr>
            <w:r>
              <w:rPr>
                <w:rFonts w:ascii="Times New Roman" w:cs="Times New Roman" w:eastAsia="Times New Roman" w:hAnsi="Times New Roman"/>
                <w:sz w:val="14"/>
                <w:szCs w:val="14"/>
                <w:color w:val="auto"/>
                <w:w w:val="99"/>
              </w:rPr>
              <w:t>Change</w:t>
            </w:r>
            <w:r>
              <w:rPr>
                <w:rFonts w:ascii="Times New Roman" w:cs="Times New Roman" w:eastAsia="Times New Roman" w:hAnsi="Times New Roman"/>
                <w:sz w:val="18"/>
                <w:szCs w:val="18"/>
                <w:color w:val="auto"/>
                <w:w w:val="99"/>
                <w:vertAlign w:val="superscript"/>
              </w:rPr>
              <w:t>(a)</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1"/>
              <w:spacing w:after="0" w:line="196" w:lineRule="exact"/>
              <w:rPr>
                <w:sz w:val="20"/>
                <w:szCs w:val="20"/>
                <w:color w:val="auto"/>
              </w:rPr>
            </w:pPr>
            <w:r>
              <w:rPr>
                <w:rFonts w:ascii="Times New Roman" w:cs="Times New Roman" w:eastAsia="Times New Roman" w:hAnsi="Times New Roman"/>
                <w:sz w:val="14"/>
                <w:szCs w:val="14"/>
                <w:color w:val="auto"/>
                <w:w w:val="99"/>
              </w:rPr>
              <w:t>2024</w:t>
            </w:r>
            <w:r>
              <w:rPr>
                <w:rFonts w:ascii="Times New Roman" w:cs="Times New Roman" w:eastAsia="Times New Roman" w:hAnsi="Times New Roman"/>
                <w:sz w:val="18"/>
                <w:szCs w:val="18"/>
                <w:color w:val="auto"/>
                <w:w w:val="99"/>
                <w:vertAlign w:val="superscript"/>
              </w:rPr>
              <w:t>(b)</w:t>
            </w: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1"/>
              <w:spacing w:after="0" w:line="196" w:lineRule="exact"/>
              <w:rPr>
                <w:sz w:val="20"/>
                <w:szCs w:val="20"/>
                <w:color w:val="auto"/>
              </w:rPr>
            </w:pPr>
            <w:r>
              <w:rPr>
                <w:rFonts w:ascii="Times New Roman" w:cs="Times New Roman" w:eastAsia="Times New Roman" w:hAnsi="Times New Roman"/>
                <w:sz w:val="14"/>
                <w:szCs w:val="14"/>
                <w:color w:val="auto"/>
                <w:w w:val="99"/>
              </w:rPr>
              <w:t>2024</w:t>
            </w:r>
            <w:r>
              <w:rPr>
                <w:rFonts w:ascii="Times New Roman" w:cs="Times New Roman" w:eastAsia="Times New Roman" w:hAnsi="Times New Roman"/>
                <w:sz w:val="18"/>
                <w:szCs w:val="18"/>
                <w:color w:val="auto"/>
                <w:w w:val="99"/>
                <w:vertAlign w:val="superscript"/>
              </w:rPr>
              <w:t>(b)</w:t>
            </w: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 broadband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6,530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6,429</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13,088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12,875</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 wireless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1,195</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1,019</w:t>
            </w:r>
          </w:p>
        </w:tc>
        <w:tc>
          <w:tcPr>
            <w:tcW w:w="1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17.3</w:t>
            </w:r>
          </w:p>
        </w:tc>
        <w:tc>
          <w:tcPr>
            <w:tcW w:w="10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2,318</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1,991</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16.5</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1,219</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1,056</w:t>
            </w:r>
          </w:p>
        </w:tc>
        <w:tc>
          <w:tcPr>
            <w:tcW w:w="10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15.4</w:t>
            </w: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2,351</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2,090</w:t>
            </w: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12.5</w:t>
            </w:r>
          </w:p>
        </w:tc>
        <w:tc>
          <w:tcPr>
            <w:tcW w:w="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8,945</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8,505</w:t>
            </w:r>
          </w:p>
        </w:tc>
        <w:tc>
          <w:tcPr>
            <w:tcW w:w="1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5.2</w:t>
            </w:r>
          </w:p>
        </w:tc>
        <w:tc>
          <w:tcPr>
            <w:tcW w:w="10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17,758</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16,956</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4.7</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6,722</w:t>
            </w:r>
          </w:p>
        </w:tc>
        <w:tc>
          <w:tcPr>
            <w:tcW w:w="300" w:type="dxa"/>
            <w:vAlign w:val="bottom"/>
          </w:tcPr>
          <w:p>
            <w:pPr>
              <w:spacing w:after="0"/>
              <w:rPr>
                <w:sz w:val="19"/>
                <w:szCs w:val="19"/>
                <w:color w:val="auto"/>
              </w:rPr>
            </w:pP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7,013</w:t>
            </w: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(4.2)</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13,440</w:t>
            </w:r>
          </w:p>
        </w:tc>
        <w:tc>
          <w:tcPr>
            <w:tcW w:w="320" w:type="dxa"/>
            <w:vAlign w:val="bottom"/>
          </w:tcPr>
          <w:p>
            <w:pPr>
              <w:spacing w:after="0"/>
              <w:rPr>
                <w:sz w:val="19"/>
                <w:szCs w:val="19"/>
                <w:color w:val="auto"/>
              </w:rPr>
            </w:pP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14,117</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(4.8)</w:t>
            </w:r>
          </w:p>
        </w:tc>
        <w:tc>
          <w:tcPr>
            <w:tcW w:w="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935</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993</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(5.8)</w:t>
            </w:r>
          </w:p>
        </w:tc>
        <w:tc>
          <w:tcPr>
            <w:tcW w:w="1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1,816</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1,944</w:t>
            </w:r>
          </w:p>
        </w:tc>
        <w:tc>
          <w:tcPr>
            <w:tcW w:w="10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(6.6)</w:t>
            </w:r>
          </w:p>
        </w:tc>
        <w:tc>
          <w:tcPr>
            <w:tcW w:w="9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1,213</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1,313</w:t>
            </w: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(7.6)</w:t>
            </w:r>
          </w:p>
        </w:tc>
        <w:tc>
          <w:tcPr>
            <w:tcW w:w="10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2,443</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2,675</w:t>
            </w:r>
          </w:p>
        </w:tc>
        <w:tc>
          <w:tcPr>
            <w:tcW w:w="10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(8.7)</w:t>
            </w:r>
          </w:p>
        </w:tc>
        <w:tc>
          <w:tcPr>
            <w:tcW w:w="9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17,814</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17,824</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(0.1)</w:t>
            </w:r>
          </w:p>
        </w:tc>
        <w:tc>
          <w:tcPr>
            <w:tcW w:w="1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35,457</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35,692</w:t>
            </w:r>
          </w:p>
        </w:tc>
        <w:tc>
          <w:tcPr>
            <w:tcW w:w="10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(0.7)</w:t>
            </w:r>
          </w:p>
        </w:tc>
        <w:tc>
          <w:tcPr>
            <w:tcW w:w="9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3,998</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4,248</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(5.9)</w:t>
            </w:r>
          </w:p>
        </w:tc>
        <w:tc>
          <w:tcPr>
            <w:tcW w:w="1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8,105</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8,654</w:t>
            </w:r>
          </w:p>
        </w:tc>
        <w:tc>
          <w:tcPr>
            <w:tcW w:w="10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(6.3)</w:t>
            </w:r>
          </w:p>
        </w:tc>
        <w:tc>
          <w:tcPr>
            <w:tcW w:w="9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6,734</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6,472</w:t>
            </w:r>
          </w:p>
        </w:tc>
        <w:tc>
          <w:tcPr>
            <w:tcW w:w="10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4.1</w:t>
            </w: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13,351</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13,083</w:t>
            </w: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10,733</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10,721</w:t>
            </w:r>
          </w:p>
        </w:tc>
        <w:tc>
          <w:tcPr>
            <w:tcW w:w="104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0.1</w:t>
            </w:r>
          </w:p>
        </w:tc>
        <w:tc>
          <w:tcPr>
            <w:tcW w:w="10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21,456</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21,737</w:t>
            </w:r>
          </w:p>
        </w:tc>
        <w:tc>
          <w:tcPr>
            <w:tcW w:w="106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7,082</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7,103</w:t>
            </w: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(0.3)%</w:t>
            </w:r>
          </w:p>
        </w:tc>
        <w:tc>
          <w:tcPr>
            <w:tcW w:w="10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(0.8)%</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14,000</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13,955</w:t>
            </w: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0.3 %</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20" w:hanging="252"/>
        <w:spacing w:after="0" w:line="281" w:lineRule="auto"/>
        <w:tabs>
          <w:tab w:leader="none" w:pos="25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26 for additional information, including our definition and our use of constant currency, and for a reconciliation of constant currency amounts.</w:t>
      </w:r>
    </w:p>
    <w:p>
      <w:pPr>
        <w:spacing w:after="0" w:line="1" w:lineRule="exact"/>
        <w:rPr>
          <w:rFonts w:ascii="Times New Roman" w:cs="Times New Roman" w:eastAsia="Times New Roman" w:hAnsi="Times New Roman"/>
          <w:sz w:val="14"/>
          <w:szCs w:val="14"/>
          <w:color w:val="auto"/>
        </w:rPr>
      </w:pPr>
    </w:p>
    <w:p>
      <w:pPr>
        <w:ind w:left="260" w:hanging="252"/>
        <w:spacing w:after="0" w:line="302" w:lineRule="auto"/>
        <w:tabs>
          <w:tab w:leader="none" w:pos="25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first quarter of 2025, commission revenue from the sale of certain direct to consumer (“DTC”) streaming services and revenue related to certain equipment are presented in video revenue. Previously, these amounts were presented in domestic broadband and international connectivity. Prior periods have been reclassified to reflect the current year presentation.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 – Revenue</w:t>
      </w:r>
    </w:p>
    <w:p>
      <w:pPr>
        <w:spacing w:after="0" w:line="118"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Domestic broadband revenue </w:t>
      </w:r>
      <w:r>
        <w:rPr>
          <w:rFonts w:ascii="Times New Roman" w:cs="Times New Roman" w:eastAsia="Times New Roman" w:hAnsi="Times New Roman"/>
          <w:sz w:val="18"/>
          <w:szCs w:val="18"/>
          <w:color w:val="auto"/>
        </w:rPr>
        <w:t>increased for the three and six months ended June 30, 2025 compared to the same periods in 2024 due to increases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average rates, partially offset by declines in the number of domestic broadband customers.</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Domestic wireless revenue </w:t>
      </w:r>
      <w:r>
        <w:rPr>
          <w:rFonts w:ascii="Times New Roman" w:cs="Times New Roman" w:eastAsia="Times New Roman" w:hAnsi="Times New Roman"/>
          <w:sz w:val="18"/>
          <w:szCs w:val="18"/>
          <w:color w:val="auto"/>
        </w:rPr>
        <w:t>increased for the three and six months ended June 30, 2025 compared to the same periods in 2024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increases in the number of customer lines and increases in device sales.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International connectivity revenue </w:t>
      </w:r>
      <w:r>
        <w:rPr>
          <w:rFonts w:ascii="Times New Roman" w:cs="Times New Roman" w:eastAsia="Times New Roman" w:hAnsi="Times New Roman"/>
          <w:sz w:val="18"/>
          <w:szCs w:val="18"/>
          <w:color w:val="auto"/>
        </w:rPr>
        <w:t>increased for the three and six months ended June 30, 2025 compared to the same periods in 2024 due to increases</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 broadband revenue resulting from increases in average rates and increases in wireless revenue resulting from increases in the sale of wireless services. The increases for the three and six months ended June 30, 2025 include the positive impact of foreign currency.</w:t>
      </w:r>
    </w:p>
    <w:p>
      <w:pPr>
        <w:spacing w:after="0" w:line="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Video revenue </w:t>
      </w:r>
      <w:r>
        <w:rPr>
          <w:rFonts w:ascii="Times New Roman" w:cs="Times New Roman" w:eastAsia="Times New Roman" w:hAnsi="Times New Roman"/>
          <w:sz w:val="18"/>
          <w:szCs w:val="18"/>
          <w:color w:val="auto"/>
        </w:rPr>
        <w:t>decreased for the three and six months ended June 30, 2025 compared to the same periods in 2024 due to declines in the overall number</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of video customers, partially offset by overall increases in average rates and the positive impact of foreign currency.</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Advertising revenue </w:t>
      </w:r>
      <w:r>
        <w:rPr>
          <w:rFonts w:ascii="Times New Roman" w:cs="Times New Roman" w:eastAsia="Times New Roman" w:hAnsi="Times New Roman"/>
          <w:sz w:val="18"/>
          <w:szCs w:val="18"/>
          <w:color w:val="auto"/>
        </w:rPr>
        <w:t>decreased for the three and six months ended June 30, 2025 compared to the same periods in 2024 due to lower domestic</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nonpolitical and political advertising and lower international advertising, partially offset by the positive impact of foreign currency.</w:t>
      </w:r>
    </w:p>
    <w:p>
      <w:pPr>
        <w:spacing w:after="0" w:line="1"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Times New Roman" w:cs="Times New Roman" w:eastAsia="Times New Roman" w:hAnsi="Times New Roman"/>
          <w:sz w:val="18"/>
          <w:szCs w:val="18"/>
          <w:color w:val="auto"/>
        </w:rPr>
        <w:t>decreased for the three and six months ended June 30, 2025 compared to the same periods in 2024 primarily due to decreases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residential wireline voice revenue driven by declines in the number of customers.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 – Costs and Expenses</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Programming expenses </w:t>
      </w:r>
      <w:r>
        <w:rPr>
          <w:rFonts w:ascii="Times New Roman" w:cs="Times New Roman" w:eastAsia="Times New Roman" w:hAnsi="Times New Roman"/>
          <w:sz w:val="18"/>
          <w:szCs w:val="18"/>
          <w:color w:val="auto"/>
        </w:rPr>
        <w:t>decreased for the three and six months ended June 30, 2025 compared to the same periods in 2024 primarily due to declines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the number of domestic video subscribers, partially offset by rate increases under our domestic programming contracts, increases in programming expenses for our international sports networks and the impact of foreign currency.</w:t>
      </w:r>
    </w:p>
    <w:p>
      <w:pPr>
        <w:spacing w:after="0" w:line="15"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Other expenses </w:t>
      </w:r>
      <w:r>
        <w:rPr>
          <w:rFonts w:ascii="Times New Roman" w:cs="Times New Roman" w:eastAsia="Times New Roman" w:hAnsi="Times New Roman"/>
          <w:sz w:val="18"/>
          <w:szCs w:val="18"/>
          <w:color w:val="auto"/>
        </w:rPr>
        <w:t>increased for the three months ended June 30, 2025 compared to the same period in 2024 primarily due to increased direct product</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costs, the impact of foreign currency and increased spending on marketing and promotion.</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expenses increased for the six months ended June 30, 2025 compared to the same period in 2024 primarily due to increased direct product costs, increased spending on marketing and promotion and the impact of foreign currency, partially offset by lower technical and support expenses.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Services Connectivity Segment Results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color w:val="auto"/>
              </w:rPr>
              <w:t>Three Months Ended</w:t>
            </w:r>
          </w:p>
        </w:tc>
        <w:tc>
          <w:tcPr>
            <w:tcW w:w="118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color w:val="auto"/>
              </w:rPr>
              <w:t>Change</w:t>
            </w:r>
          </w:p>
        </w:tc>
        <w:tc>
          <w:tcPr>
            <w:tcW w:w="320" w:type="dxa"/>
            <w:vAlign w:val="bottom"/>
          </w:tcPr>
          <w:p>
            <w:pPr>
              <w:spacing w:after="0"/>
              <w:rPr>
                <w:sz w:val="13"/>
                <w:szCs w:val="13"/>
                <w:color w:val="auto"/>
              </w:rPr>
            </w:pPr>
          </w:p>
        </w:tc>
        <w:tc>
          <w:tcPr>
            <w:tcW w:w="232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Six Months Ended</w:t>
            </w:r>
          </w:p>
        </w:tc>
        <w:tc>
          <w:tcPr>
            <w:tcW w:w="114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2024</w:t>
            </w: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2,575</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2,421</w:t>
            </w:r>
          </w:p>
        </w:tc>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6.3 %</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5,071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4,829</w:t>
            </w: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1,131</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1,041</w:t>
            </w:r>
          </w:p>
        </w:tc>
        <w:tc>
          <w:tcPr>
            <w:tcW w:w="11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2,205</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2,083</w:t>
            </w:r>
          </w:p>
        </w:tc>
        <w:tc>
          <w:tcPr>
            <w:tcW w:w="11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1,444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1,380</w:t>
            </w:r>
          </w:p>
        </w:tc>
        <w:tc>
          <w:tcPr>
            <w:tcW w:w="11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4.6 %</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2,866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2,746</w:t>
            </w:r>
          </w:p>
        </w:tc>
        <w:tc>
          <w:tcPr>
            <w:tcW w:w="11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4.4 %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Business services connectivity revenue </w:t>
      </w:r>
      <w:r>
        <w:rPr>
          <w:rFonts w:ascii="Times New Roman" w:cs="Times New Roman" w:eastAsia="Times New Roman" w:hAnsi="Times New Roman"/>
          <w:sz w:val="18"/>
          <w:szCs w:val="18"/>
          <w:color w:val="auto"/>
        </w:rPr>
        <w:t>increased for the three and six months ended June 30, 2025 compared to the same periods in 2024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increases in revenue from enterprise solutions offerings, including the results from Nitel, which was acquired in April 2025, and from higher average rates from small business customers.</w:t>
      </w:r>
    </w:p>
    <w:p>
      <w:pPr>
        <w:spacing w:after="0" w:line="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Business services connectivity costs and expenses </w:t>
      </w:r>
      <w:r>
        <w:rPr>
          <w:rFonts w:ascii="Times New Roman" w:cs="Times New Roman" w:eastAsia="Times New Roman" w:hAnsi="Times New Roman"/>
          <w:sz w:val="18"/>
          <w:szCs w:val="18"/>
          <w:color w:val="auto"/>
        </w:rPr>
        <w:t>increased for the three and six months ended June 30, 2025 compared to the same periods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2024 primarily due to increases in direct product costs, which includes the results from Nitel.</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 &amp; Experiences Results of Operations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3"/>
          </w:tcPr>
          <w:p>
            <w:pPr>
              <w:jc w:val="right"/>
              <w:ind w:right="731"/>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Change</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20" w:type="dxa"/>
            <w:vAlign w:val="bottom"/>
            <w:gridSpan w:val="3"/>
          </w:tcPr>
          <w:p>
            <w:pPr>
              <w:jc w:val="right"/>
              <w:ind w:right="871"/>
              <w:spacing w:after="0"/>
              <w:rPr>
                <w:sz w:val="20"/>
                <w:szCs w:val="20"/>
                <w:color w:val="auto"/>
              </w:rPr>
            </w:pPr>
            <w:r>
              <w:rPr>
                <w:rFonts w:ascii="Times New Roman" w:cs="Times New Roman" w:eastAsia="Times New Roman" w:hAnsi="Times New Roman"/>
                <w:sz w:val="14"/>
                <w:szCs w:val="14"/>
                <w:color w:val="auto"/>
              </w:rPr>
              <w:t>Six Months Ended</w:t>
            </w:r>
          </w:p>
        </w:tc>
        <w:tc>
          <w:tcPr>
            <w:tcW w:w="10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color w:val="auto"/>
              </w:rPr>
              <w:t>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color w:val="auto"/>
              </w:rPr>
              <w:t>2024</w:t>
            </w: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6,324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12,695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Studios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2,253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4,996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Theme Parks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360" w:type="dxa"/>
            <w:vAlign w:val="bottom"/>
          </w:tcPr>
          <w:p>
            <w:pPr>
              <w:spacing w:after="0"/>
              <w:rPr>
                <w:sz w:val="19"/>
                <w:szCs w:val="19"/>
                <w:color w:val="auto"/>
              </w:rPr>
            </w:pPr>
          </w:p>
        </w:tc>
        <w:tc>
          <w:tcPr>
            <w:tcW w:w="10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1,975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360" w:type="dxa"/>
            <w:vAlign w:val="bottom"/>
          </w:tcPr>
          <w:p>
            <w:pPr>
              <w:spacing w:after="0"/>
              <w:rPr>
                <w:sz w:val="19"/>
                <w:szCs w:val="19"/>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3,954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(505)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(1,236)</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Content &amp; Experiences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10,625</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10,057</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5.6 %</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21,081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20,431</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3.2 %</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1,356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2,182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Studios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tcPr>
          <w:p>
            <w:pPr>
              <w:spacing w:after="0"/>
              <w:rPr>
                <w:sz w:val="19"/>
                <w:szCs w:val="19"/>
                <w:color w:val="auto"/>
              </w:rPr>
            </w:pPr>
          </w:p>
        </w:tc>
        <w:tc>
          <w:tcPr>
            <w:tcW w:w="10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60" w:type="dxa"/>
            <w:vAlign w:val="bottom"/>
          </w:tcPr>
          <w:p>
            <w:pPr>
              <w:spacing w:after="0"/>
              <w:rPr>
                <w:sz w:val="19"/>
                <w:szCs w:val="19"/>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367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Theme Parks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632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1,264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Headquarters and Other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6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(198)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360" w:type="dxa"/>
            <w:vAlign w:val="bottom"/>
          </w:tcPr>
          <w:p>
            <w:pPr>
              <w:spacing w:after="0"/>
              <w:rPr>
                <w:sz w:val="19"/>
                <w:szCs w:val="19"/>
                <w:color w:val="auto"/>
              </w:rPr>
            </w:pPr>
          </w:p>
        </w:tc>
        <w:tc>
          <w:tcPr>
            <w:tcW w:w="11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(442)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70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Content &amp; Experiences Adjusted</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1,949</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3.6 %</w:t>
            </w:r>
          </w:p>
        </w:tc>
        <w:tc>
          <w:tcPr>
            <w:tcW w:w="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3,509</w:t>
            </w: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3,442</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8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gridSpan w:val="2"/>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our Media segment as a combined television and streaming business. We expect that the number of subscribers and audience ratings at our linear television networks will continue to decline as a result of the competitive environment and shifting video consumption patterns, which we aim to mitigate over time by growth in paid subscribers and advertising revenue at Peacock. We expect to continue to incur significant costs related to content and marketing at Peacock. Revenue and programming expenses are also impacted by the timing of certain sporting events, including our acquisition of NBA rights, which begin in the fourth quarter of 2025.</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Studios segment generates revenue primarily from third parties and from licensing content to our Media segment. While results of operations for our Studios segment are not impacted, results for our total Content &amp; Experiences business may be impacted as the Studios segment licenses content to the Media segment, including for Peacock, rather than licensing the content to third parties.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invest significantly in existing and new theme park attractions, hotels and infrastructure, including Epic Universe in Orlando, which opened in May 2025, as well as in new destinations and experiences, which we believe will have a positive impact on attendance and guest spending at our theme parks.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Segment Results of Operations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3"/>
          </w:tcPr>
          <w:p>
            <w:pPr>
              <w:jc w:val="right"/>
              <w:ind w:right="732"/>
              <w:spacing w:after="0"/>
              <w:rPr>
                <w:sz w:val="20"/>
                <w:szCs w:val="20"/>
                <w:color w:val="auto"/>
              </w:rPr>
            </w:pPr>
            <w:r>
              <w:rPr>
                <w:rFonts w:ascii="Times New Roman" w:cs="Times New Roman" w:eastAsia="Times New Roman" w:hAnsi="Times New Roman"/>
                <w:sz w:val="14"/>
                <w:szCs w:val="14"/>
                <w:color w:val="auto"/>
              </w:rPr>
              <w:t>Three Months Ended</w:t>
            </w:r>
          </w:p>
        </w:tc>
        <w:tc>
          <w:tcPr>
            <w:tcW w:w="12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40" w:type="dxa"/>
            <w:vAlign w:val="bottom"/>
            <w:gridSpan w:val="3"/>
          </w:tcPr>
          <w:p>
            <w:pPr>
              <w:jc w:val="right"/>
              <w:ind w:right="792"/>
              <w:spacing w:after="0"/>
              <w:rPr>
                <w:sz w:val="20"/>
                <w:szCs w:val="20"/>
                <w:color w:val="auto"/>
              </w:rPr>
            </w:pPr>
            <w:r>
              <w:rPr>
                <w:rFonts w:ascii="Times New Roman" w:cs="Times New Roman" w:eastAsia="Times New Roman" w:hAnsi="Times New Roman"/>
                <w:sz w:val="14"/>
                <w:szCs w:val="14"/>
                <w:color w:val="auto"/>
              </w:rPr>
              <w:t>Six Months Ended</w:t>
            </w:r>
          </w:p>
        </w:tc>
        <w:tc>
          <w:tcPr>
            <w:tcW w:w="120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2024</w:t>
            </w:r>
          </w:p>
        </w:tc>
        <w:tc>
          <w:tcPr>
            <w:tcW w:w="12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2024</w:t>
            </w: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 advertising</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1,991</w:t>
            </w:r>
          </w:p>
        </w:tc>
        <w:tc>
          <w:tcPr>
            <w:tcW w:w="1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(7.2)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4,016</w:t>
            </w: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(7.0) %</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Domestic distribution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2,764</w:t>
            </w:r>
          </w:p>
        </w:tc>
        <w:tc>
          <w:tcPr>
            <w:tcW w:w="12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5,670</w:t>
            </w:r>
          </w:p>
        </w:tc>
        <w:tc>
          <w:tcPr>
            <w:tcW w:w="12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networks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38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1,102</w:t>
            </w: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14.9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38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2,123</w:t>
            </w:r>
          </w:p>
        </w:tc>
        <w:tc>
          <w:tcPr>
            <w:tcW w:w="12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467</w:t>
            </w:r>
          </w:p>
        </w:tc>
        <w:tc>
          <w:tcPr>
            <w:tcW w:w="124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887</w:t>
            </w:r>
          </w:p>
        </w:tc>
        <w:tc>
          <w:tcPr>
            <w:tcW w:w="120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6,440</w:t>
            </w:r>
          </w:p>
        </w:tc>
        <w:tc>
          <w:tcPr>
            <w:tcW w:w="38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6,324</w:t>
            </w: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12,880</w:t>
            </w:r>
          </w:p>
        </w:tc>
        <w:tc>
          <w:tcPr>
            <w:tcW w:w="38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12,695</w:t>
            </w:r>
          </w:p>
        </w:tc>
        <w:tc>
          <w:tcPr>
            <w:tcW w:w="120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38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3,595</w:t>
            </w:r>
          </w:p>
        </w:tc>
        <w:tc>
          <w:tcPr>
            <w:tcW w:w="1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38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7,735</w:t>
            </w: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Marketing and promotion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287</w:t>
            </w:r>
          </w:p>
        </w:tc>
        <w:tc>
          <w:tcPr>
            <w:tcW w:w="12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601</w:t>
            </w:r>
          </w:p>
        </w:tc>
        <w:tc>
          <w:tcPr>
            <w:tcW w:w="12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1,087</w:t>
            </w:r>
          </w:p>
        </w:tc>
        <w:tc>
          <w:tcPr>
            <w:tcW w:w="12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2,177</w:t>
            </w:r>
          </w:p>
        </w:tc>
        <w:tc>
          <w:tcPr>
            <w:tcW w:w="12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4,968</w:t>
            </w:r>
          </w:p>
        </w:tc>
        <w:tc>
          <w:tcPr>
            <w:tcW w:w="12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10,513</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1,482</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1,356</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9.3 %</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2,486</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2,182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13.9 %</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Revenue</w:t>
      </w:r>
    </w:p>
    <w:p>
      <w:pPr>
        <w:spacing w:after="0" w:line="10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Domestic advertising revenue </w:t>
      </w:r>
      <w:r>
        <w:rPr>
          <w:rFonts w:ascii="Times New Roman" w:cs="Times New Roman" w:eastAsia="Times New Roman" w:hAnsi="Times New Roman"/>
          <w:sz w:val="18"/>
          <w:szCs w:val="18"/>
          <w:color w:val="auto"/>
        </w:rPr>
        <w:t>decreased for the three and six months ended June 30, 2025 compared to the same periods in 2024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decreases in revenue at our linear television networks.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Domestic distribution revenue </w:t>
      </w:r>
      <w:r>
        <w:rPr>
          <w:rFonts w:ascii="Times New Roman" w:cs="Times New Roman" w:eastAsia="Times New Roman" w:hAnsi="Times New Roman"/>
          <w:sz w:val="18"/>
          <w:szCs w:val="18"/>
          <w:color w:val="auto"/>
        </w:rPr>
        <w:t>increased for the three and six months ended June 30, 2025 compared to the same periods in 2024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increases in revenue at Peacock, partially offset by decreases in revenue at our linear television networks. The decreases at our networks were primarily due to declines in the number of subscribers, partially offset by contractual rate increases.</w:t>
      </w:r>
    </w:p>
    <w:p>
      <w:pPr>
        <w:spacing w:after="0" w:line="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International networks revenue </w:t>
      </w:r>
      <w:r>
        <w:rPr>
          <w:rFonts w:ascii="Times New Roman" w:cs="Times New Roman" w:eastAsia="Times New Roman" w:hAnsi="Times New Roman"/>
          <w:sz w:val="18"/>
          <w:szCs w:val="18"/>
          <w:color w:val="auto"/>
        </w:rPr>
        <w:t>increased for the three and six months ended June 30, 2025 compared to the same periods in 2024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increases in revenue associated with the distribution of sports networks and the positive impact of foreign currency.</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Media segment total revenue included $1.2 billion and $2.5 billion related to Peacock for the three and six months ended June 30, 2025, respectively. Media segment total revenue included $1.0 billion and $2.1 billion related to Peacock for the three and six months ended June 30, 2024, respectively. We had 41 million and 33 million paid subscribers of Peacock as of June 30, 2025 and 2024, respectively. Peacock paid subscribers represent customers from which we recognize distribution revenue, including both customers that pay us directly and customers receiving the service through arrangements with companies who sell Peacock on our behalf. In these arrangements, paid subscribers are counted based on the terms of the arrangement when the related revenue is recognized. As a result, certain customers are counted when they activate their account, while other customers are counted when the Peacock service is made available to them as part of their bundled service offering regardless of whether it is activated. The increase in paid subscribers in 2025 is mainly due to availability of Peacock through a third-party’s bundled service offering.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Costs and Expenses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Programming and production costs </w:t>
      </w:r>
      <w:r>
        <w:rPr>
          <w:rFonts w:ascii="Times New Roman" w:cs="Times New Roman" w:eastAsia="Times New Roman" w:hAnsi="Times New Roman"/>
          <w:sz w:val="18"/>
          <w:szCs w:val="18"/>
          <w:color w:val="auto"/>
        </w:rPr>
        <w:t>decreased for the three and six months ended June 30, 2025 compared to the same periods in 2024 primarily due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to lower sports programming costs at our domestic television networks, mainly reflecting lower sports volumes compared to the prior year periods, and lower programming costs at Peacock, partially offset by increases in entertainment content costs for our domestic television networks and increases in sports programming costs for our international television networks. The decrease for the three months ended June 30, 2025 was also partially offset by the impact of foreign currency.</w:t>
      </w:r>
    </w:p>
    <w:p>
      <w:pPr>
        <w:spacing w:after="0" w:line="2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Marketing and promotion expenses </w:t>
      </w:r>
      <w:r>
        <w:rPr>
          <w:rFonts w:ascii="Times New Roman" w:cs="Times New Roman" w:eastAsia="Times New Roman" w:hAnsi="Times New Roman"/>
          <w:sz w:val="18"/>
          <w:szCs w:val="18"/>
          <w:color w:val="auto"/>
        </w:rPr>
        <w:t>increased for the three months ended June 30, 2025 compared to the same period in 2024 primarily due to higher</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costs related to marketing for Peacock.</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Marketing and promotion expenses increased for the six months ended June 30, 2025 compared to the same period in 2024 primarily due to higher costs related to marketing for entertainment programming.</w:t>
      </w:r>
    </w:p>
    <w:p>
      <w:pPr>
        <w:spacing w:after="0" w:line="5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Media segment total costs and expenses included $1.3 billion and $2.8 billion related to Peacock for the three and six months ended June 30, 2025, respectively. Media segment total costs and expenses included $1.4 billion and $3.1 billion related to Peacock for the three and six months ended June 30, 2024,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Studios Segment Results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3"/>
          </w:tcPr>
          <w:p>
            <w:pPr>
              <w:jc w:val="right"/>
              <w:ind w:right="712"/>
              <w:spacing w:after="0"/>
              <w:rPr>
                <w:sz w:val="20"/>
                <w:szCs w:val="20"/>
                <w:color w:val="auto"/>
              </w:rPr>
            </w:pPr>
            <w:r>
              <w:rPr>
                <w:rFonts w:ascii="Times New Roman" w:cs="Times New Roman" w:eastAsia="Times New Roman" w:hAnsi="Times New Roman"/>
                <w:sz w:val="14"/>
                <w:szCs w:val="14"/>
                <w:color w:val="auto"/>
              </w:rPr>
              <w:t>Three Months Ended</w:t>
            </w:r>
          </w:p>
        </w:tc>
        <w:tc>
          <w:tcPr>
            <w:tcW w:w="10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Change</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60" w:type="dxa"/>
            <w:vAlign w:val="bottom"/>
            <w:gridSpan w:val="3"/>
          </w:tcPr>
          <w:p>
            <w:pPr>
              <w:jc w:val="right"/>
              <w:ind w:right="812"/>
              <w:spacing w:after="0"/>
              <w:rPr>
                <w:sz w:val="20"/>
                <w:szCs w:val="20"/>
                <w:color w:val="auto"/>
              </w:rPr>
            </w:pPr>
            <w:r>
              <w:rPr>
                <w:rFonts w:ascii="Times New Roman" w:cs="Times New Roman" w:eastAsia="Times New Roman" w:hAnsi="Times New Roman"/>
                <w:sz w:val="14"/>
                <w:szCs w:val="14"/>
                <w:color w:val="auto"/>
              </w:rPr>
              <w:t>Six Months Ended</w:t>
            </w:r>
          </w:p>
        </w:tc>
        <w:tc>
          <w:tcPr>
            <w:tcW w:w="9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2024</w:t>
            </w:r>
          </w:p>
        </w:tc>
        <w:tc>
          <w:tcPr>
            <w:tcW w:w="10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licensing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1,714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3,815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237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567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302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614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2,432</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2,253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4,996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1,499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3,358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38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394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38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236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445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2,130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4,629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124</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367</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4.3 %</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Revenue</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Content licensing revenue </w:t>
      </w:r>
      <w:r>
        <w:rPr>
          <w:rFonts w:ascii="Times New Roman" w:cs="Times New Roman" w:eastAsia="Times New Roman" w:hAnsi="Times New Roman"/>
          <w:sz w:val="18"/>
          <w:szCs w:val="18"/>
          <w:color w:val="auto"/>
        </w:rPr>
        <w:t>increased for the three and six months ended June 30, 2025 compared to the same periods in 2024 primarily due to the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timing of when content was made available by our television studios under licensing agreements, partially offset by the timing of when content was made available by our film studios.</w:t>
      </w:r>
    </w:p>
    <w:p>
      <w:pPr>
        <w:spacing w:after="0" w:line="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Theatrical revenue </w:t>
      </w:r>
      <w:r>
        <w:rPr>
          <w:rFonts w:ascii="Times New Roman" w:cs="Times New Roman" w:eastAsia="Times New Roman" w:hAnsi="Times New Roman"/>
          <w:sz w:val="18"/>
          <w:szCs w:val="18"/>
          <w:color w:val="auto"/>
        </w:rPr>
        <w:t>increased for the three months ended June 30, 2025 compared to the same period in 2024 primarily due to higher revenue from</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recent releases, including </w:t>
      </w:r>
      <w:r>
        <w:rPr>
          <w:rFonts w:ascii="Times New Roman" w:cs="Times New Roman" w:eastAsia="Times New Roman" w:hAnsi="Times New Roman"/>
          <w:sz w:val="18"/>
          <w:szCs w:val="18"/>
          <w:i w:val="1"/>
          <w:iCs w:val="1"/>
          <w:color w:val="auto"/>
        </w:rPr>
        <w:t>How to Train Your Dragon.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Theatrical revenue was consistent for the six months ended June 30, 2025 compared to the same period in 2024 primarily due to revenue from recent releases impacting the current year period, including </w:t>
      </w:r>
      <w:r>
        <w:rPr>
          <w:rFonts w:ascii="Times New Roman" w:cs="Times New Roman" w:eastAsia="Times New Roman" w:hAnsi="Times New Roman"/>
          <w:sz w:val="18"/>
          <w:szCs w:val="18"/>
          <w:i w:val="1"/>
          <w:iCs w:val="1"/>
          <w:color w:val="auto"/>
        </w:rPr>
        <w:t>How to Train Your Dragon,</w:t>
      </w:r>
      <w:r>
        <w:rPr>
          <w:rFonts w:ascii="Times New Roman" w:cs="Times New Roman" w:eastAsia="Times New Roman" w:hAnsi="Times New Roman"/>
          <w:sz w:val="18"/>
          <w:szCs w:val="18"/>
          <w:color w:val="auto"/>
        </w:rPr>
        <w:t xml:space="preserve"> offset by revenue from releases impacting the prior year period, including </w:t>
      </w:r>
      <w:r>
        <w:rPr>
          <w:rFonts w:ascii="Times New Roman" w:cs="Times New Roman" w:eastAsia="Times New Roman" w:hAnsi="Times New Roman"/>
          <w:sz w:val="18"/>
          <w:szCs w:val="18"/>
          <w:i w:val="1"/>
          <w:iCs w:val="1"/>
          <w:color w:val="auto"/>
        </w:rPr>
        <w:t>Kung Fu Panda 4.</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Costs and Expenses</w:t>
      </w:r>
    </w:p>
    <w:p>
      <w:pPr>
        <w:spacing w:after="0" w:line="11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Programming and production costs </w:t>
      </w:r>
      <w:r>
        <w:rPr>
          <w:rFonts w:ascii="Times New Roman" w:cs="Times New Roman" w:eastAsia="Times New Roman" w:hAnsi="Times New Roman"/>
          <w:sz w:val="18"/>
          <w:szCs w:val="18"/>
          <w:color w:val="auto"/>
        </w:rPr>
        <w:t>increased for the three and six months ended June 30, 2025 compared to the same periods in 2024 primarily due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to higher costs associated with content licensing sales.</w:t>
      </w:r>
    </w:p>
    <w:p>
      <w:pPr>
        <w:spacing w:after="0" w:line="1"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Marketing and promotion expenses </w:t>
      </w:r>
      <w:r>
        <w:rPr>
          <w:rFonts w:ascii="Times New Roman" w:cs="Times New Roman" w:eastAsia="Times New Roman" w:hAnsi="Times New Roman"/>
          <w:sz w:val="18"/>
          <w:szCs w:val="18"/>
          <w:color w:val="auto"/>
        </w:rPr>
        <w:t>increased for the three and six months ended June 30, 2025 compared to the same periods in 2024 primarily due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to increased spending on recent and upcoming theatrical film releases in the current year periods.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color w:val="auto"/>
              </w:rPr>
              <w:t>Three Months Ended</w:t>
            </w:r>
          </w:p>
        </w:tc>
        <w:tc>
          <w:tcPr>
            <w:tcW w:w="100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Change</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60" w:type="dxa"/>
            <w:vAlign w:val="bottom"/>
            <w:gridSpan w:val="3"/>
          </w:tcPr>
          <w:p>
            <w:pPr>
              <w:jc w:val="right"/>
              <w:ind w:right="815"/>
              <w:spacing w:after="0"/>
              <w:rPr>
                <w:sz w:val="20"/>
                <w:szCs w:val="20"/>
                <w:color w:val="auto"/>
              </w:rPr>
            </w:pPr>
            <w:r>
              <w:rPr>
                <w:rFonts w:ascii="Times New Roman" w:cs="Times New Roman" w:eastAsia="Times New Roman" w:hAnsi="Times New Roman"/>
                <w:sz w:val="14"/>
                <w:szCs w:val="14"/>
                <w:color w:val="auto"/>
              </w:rPr>
              <w:t>Six Months Ended</w:t>
            </w:r>
          </w:p>
        </w:tc>
        <w:tc>
          <w:tcPr>
            <w:tcW w:w="9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2024</w:t>
            </w: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1,975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3,954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1,343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2,690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632</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1,264</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Theme parks segment revenue </w:t>
      </w:r>
      <w:r>
        <w:rPr>
          <w:rFonts w:ascii="Times New Roman" w:cs="Times New Roman" w:eastAsia="Times New Roman" w:hAnsi="Times New Roman"/>
          <w:sz w:val="18"/>
          <w:szCs w:val="18"/>
          <w:color w:val="auto"/>
        </w:rPr>
        <w:t>increased for the three and six months ended June 30, 2025 compared to the same periods in 2024 driven by our</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domestic theme parks, due to higher revenue at our theme park in Orlando driven by the opening of Epic Universe in May 2025, and by our international theme parks, which include the positive impact from foreign currency. The increase at our domestic theme parks for the six months ended June 30, 2025 also includes a partial offset driven by lower revenue at our theme park in Hollywood.</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Theme parks segment costs and expenses </w:t>
      </w:r>
      <w:r>
        <w:rPr>
          <w:rFonts w:ascii="Times New Roman" w:cs="Times New Roman" w:eastAsia="Times New Roman" w:hAnsi="Times New Roman"/>
          <w:sz w:val="18"/>
          <w:szCs w:val="18"/>
          <w:color w:val="auto"/>
        </w:rPr>
        <w:t>increased for the three and six months ended June 30, 2025 compared to the same periods in 2024</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primarily due to operating costs associated with Epic Universe.</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 &amp; Experiences Headquarters,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 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3"/>
          </w:tcPr>
          <w:p>
            <w:pPr>
              <w:jc w:val="right"/>
              <w:ind w:right="735"/>
              <w:spacing w:after="0"/>
              <w:rPr>
                <w:sz w:val="20"/>
                <w:szCs w:val="20"/>
                <w:color w:val="auto"/>
              </w:rPr>
            </w:pPr>
            <w:r>
              <w:rPr>
                <w:rFonts w:ascii="Times New Roman" w:cs="Times New Roman" w:eastAsia="Times New Roman" w:hAnsi="Times New Roman"/>
                <w:sz w:val="14"/>
                <w:szCs w:val="14"/>
                <w:color w:val="auto"/>
              </w:rPr>
              <w:t>Three Months Ended</w:t>
            </w:r>
          </w:p>
        </w:tc>
        <w:tc>
          <w:tcPr>
            <w:tcW w:w="122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80" w:type="dxa"/>
            <w:vAlign w:val="bottom"/>
            <w:gridSpan w:val="3"/>
          </w:tcPr>
          <w:p>
            <w:pPr>
              <w:jc w:val="right"/>
              <w:ind w:right="815"/>
              <w:spacing w:after="0"/>
              <w:rPr>
                <w:sz w:val="20"/>
                <w:szCs w:val="20"/>
                <w:color w:val="auto"/>
              </w:rPr>
            </w:pPr>
            <w:r>
              <w:rPr>
                <w:rFonts w:ascii="Times New Roman" w:cs="Times New Roman" w:eastAsia="Times New Roman" w:hAnsi="Times New Roman"/>
                <w:sz w:val="14"/>
                <w:szCs w:val="14"/>
                <w:color w:val="auto"/>
              </w:rPr>
              <w:t>Six Months Ended</w:t>
            </w:r>
          </w:p>
        </w:tc>
        <w:tc>
          <w:tcPr>
            <w:tcW w:w="116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2024</w:t>
            </w: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2024</w:t>
            </w:r>
          </w:p>
        </w:tc>
        <w:tc>
          <w:tcPr>
            <w:tcW w:w="11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22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208</w:t>
            </w:r>
          </w:p>
        </w:tc>
        <w:tc>
          <w:tcPr>
            <w:tcW w:w="12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rPr>
              <w:t>30.5</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463</w:t>
            </w:r>
          </w:p>
        </w:tc>
        <w:tc>
          <w:tcPr>
            <w:tcW w:w="11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(198)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(442)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560"/>
        <w:spacing w:after="0" w:line="395" w:lineRule="auto"/>
        <w:rPr>
          <w:sz w:val="20"/>
          <w:szCs w:val="20"/>
          <w:color w:val="auto"/>
        </w:rPr>
      </w:pPr>
      <w:r>
        <w:rPr>
          <w:rFonts w:ascii="Times New Roman" w:cs="Times New Roman" w:eastAsia="Times New Roman" w:hAnsi="Times New Roman"/>
          <w:sz w:val="18"/>
          <w:szCs w:val="18"/>
          <w:color w:val="auto"/>
        </w:rPr>
        <w:t xml:space="preserve">Headquarters and Other expenses primarily consist of overhead, personnel and other costs necessary to operate the Content &amp; Experiences business. </w:t>
      </w:r>
      <w:r>
        <w:rPr>
          <w:rFonts w:ascii="Arial" w:cs="Arial" w:eastAsia="Arial" w:hAnsi="Arial"/>
          <w:sz w:val="18"/>
          <w:szCs w:val="18"/>
          <w:b w:val="1"/>
          <w:bCs w:val="1"/>
          <w:color w:val="auto"/>
        </w:rPr>
        <w:t>Eliminations</w:t>
      </w:r>
    </w:p>
    <w:tbl>
      <w:tblPr>
        <w:tblLayout w:type="fixed"/>
        <w:tblInd w:w="0" w:type="dxa"/>
        <w:tblCellMar>
          <w:top w:w="0" w:type="dxa"/>
          <w:left w:w="0" w:type="dxa"/>
          <w:bottom w:w="0" w:type="dxa"/>
          <w:right w:w="0" w:type="dxa"/>
        </w:tblCellMar>
      </w:tblPr>
      <w:tr>
        <w:trPr>
          <w:trHeight w:val="150"/>
        </w:trPr>
        <w:tc>
          <w:tcPr>
            <w:tcW w:w="3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3"/>
          </w:tcPr>
          <w:p>
            <w:pPr>
              <w:jc w:val="right"/>
              <w:ind w:right="755"/>
              <w:spacing w:after="0" w:line="150" w:lineRule="exact"/>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Change</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0" w:type="dxa"/>
            <w:vAlign w:val="bottom"/>
            <w:gridSpan w:val="3"/>
          </w:tcPr>
          <w:p>
            <w:pPr>
              <w:ind w:left="400"/>
              <w:spacing w:after="0" w:line="150" w:lineRule="exact"/>
              <w:rPr>
                <w:sz w:val="20"/>
                <w:szCs w:val="20"/>
                <w:color w:val="auto"/>
              </w:rPr>
            </w:pPr>
            <w:r>
              <w:rPr>
                <w:rFonts w:ascii="Times New Roman" w:cs="Times New Roman" w:eastAsia="Times New Roman" w:hAnsi="Times New Roman"/>
                <w:sz w:val="14"/>
                <w:szCs w:val="14"/>
                <w:color w:val="auto"/>
              </w:rPr>
              <w:t>Six Months Ended</w:t>
            </w:r>
          </w:p>
        </w:tc>
        <w:tc>
          <w:tcPr>
            <w:tcW w:w="96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2024</w:t>
            </w: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2024</w:t>
            </w: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(505)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(1,303)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(1,236)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(541)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(1,373)</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(1,306)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36</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70</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70</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Amounts represent eliminations of transactions between segments in our Content &amp; Experiences business, the most significant being content licensing between the Studios and Media segments, which are affected by the timing of recognition of content licenses.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Eliminations increase or decrease to the extent that additional content is made available to our other segments within the Content &amp; Experiences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for additional information on transactions between our segments.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Change</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80" w:type="dxa"/>
            <w:vAlign w:val="bottom"/>
            <w:gridSpan w:val="3"/>
          </w:tcPr>
          <w:p>
            <w:pPr>
              <w:jc w:val="right"/>
              <w:ind w:right="835"/>
              <w:spacing w:after="0"/>
              <w:rPr>
                <w:sz w:val="20"/>
                <w:szCs w:val="20"/>
                <w:color w:val="auto"/>
              </w:rPr>
            </w:pPr>
            <w:r>
              <w:rPr>
                <w:rFonts w:ascii="Times New Roman" w:cs="Times New Roman" w:eastAsia="Times New Roman" w:hAnsi="Times New Roman"/>
                <w:sz w:val="14"/>
                <w:szCs w:val="14"/>
                <w:color w:val="auto"/>
              </w:rPr>
              <w:t>Six Months Ended</w:t>
            </w:r>
          </w:p>
        </w:tc>
        <w:tc>
          <w:tcPr>
            <w:tcW w:w="116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2024</w:t>
            </w: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2024</w:t>
            </w:r>
          </w:p>
        </w:tc>
        <w:tc>
          <w:tcPr>
            <w:tcW w:w="11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8"/>
                <w:szCs w:val="18"/>
                <w:color w:val="auto"/>
                <w:w w:val="96"/>
              </w:rPr>
              <w:t>708</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706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1,473</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(1.6) %</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8"/>
                <w:szCs w:val="18"/>
                <w:color w:val="auto"/>
                <w:w w:val="96"/>
              </w:rPr>
              <w:t>990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8"/>
                <w:szCs w:val="18"/>
                <w:color w:val="auto"/>
              </w:rPr>
              <w:t>966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2,062</w:t>
            </w:r>
          </w:p>
        </w:tc>
        <w:tc>
          <w:tcPr>
            <w:tcW w:w="11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w w:val="97"/>
              </w:rPr>
              <w:t>(282)</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b w:val="1"/>
                <w:bCs w:val="1"/>
                <w:color w:val="auto"/>
                <w:w w:val="97"/>
              </w:rPr>
              <w:t>(260)</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(590)</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w w:val="98"/>
              </w:rPr>
              <w:t>(0.6)%</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primarily consists of overhead and personnel costs; Sky-branded video services and television networks in Germany; Comcast Spectacor, which owns the Philadelphia Flyers and the Wells Fargo Center arena in Philadelphia, Pennsylvania; and Xumo, our consolidated streaming platform joint venture.</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Corporate and Other revenue </w:t>
      </w:r>
      <w:r>
        <w:rPr>
          <w:rFonts w:ascii="Times New Roman" w:cs="Times New Roman" w:eastAsia="Times New Roman" w:hAnsi="Times New Roman"/>
          <w:sz w:val="18"/>
          <w:szCs w:val="18"/>
          <w:color w:val="auto"/>
        </w:rPr>
        <w:t>was consistent for the three months ended June 30, 2025 compared to the same period in 2024 primarily driven by an</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increase from Sky operations in Germany, which includes the positive impact of foreign currency partially offset by an underlying decrease in revenue, offset by a decrease in revenue from Comcast Spectacor.</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revenue decreased for the six months ended June 30, 2025 compared to the same period in 2024 primarily due to a decrease in revenue from Comcast Spectacor, partially offset by an increase from Sky operations in Germany, which includes the positive impact of foreign currency and an underlying increase in revenue.</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Corporate and Other costs and expenses </w:t>
      </w:r>
      <w:r>
        <w:rPr>
          <w:rFonts w:ascii="Times New Roman" w:cs="Times New Roman" w:eastAsia="Times New Roman" w:hAnsi="Times New Roman"/>
          <w:sz w:val="18"/>
          <w:szCs w:val="18"/>
          <w:color w:val="auto"/>
        </w:rPr>
        <w:t>increased for the three months ended June 30, 2025 compared to the same period in 2024 primarily due to</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higher costs related to Sky operations in Germany, which includes the impact of foreign currency partially offset by lower underlying costs, and an increase related to corporate functions.</w:t>
      </w:r>
    </w:p>
    <w:p>
      <w:pPr>
        <w:spacing w:after="0" w:line="6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Corporate and Other costs and expenses decreased for the six months ended June 30, 2025 primarily due to lower costs related to Sky operations in Germany, partially offset by higher costs at Xumo.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color w:val="auto"/>
              </w:rPr>
              <w:t>Three Months Ended</w:t>
            </w:r>
          </w:p>
        </w:tc>
        <w:tc>
          <w:tcPr>
            <w:tcW w:w="122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8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Six Months Ended</w:t>
            </w:r>
          </w:p>
        </w:tc>
        <w:tc>
          <w:tcPr>
            <w:tcW w:w="116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2024</w:t>
            </w:r>
          </w:p>
        </w:tc>
        <w:tc>
          <w:tcPr>
            <w:tcW w:w="12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2024</w:t>
            </w: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(1,320)</w:t>
            </w:r>
          </w:p>
        </w:tc>
        <w:tc>
          <w:tcPr>
            <w:tcW w:w="1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6.8 %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(2,859)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(2,678)</w:t>
            </w:r>
          </w:p>
        </w:tc>
        <w:tc>
          <w:tcPr>
            <w:tcW w:w="1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9"/>
              </w:rPr>
              <w:t>6.7 %</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(1,320)</w:t>
            </w:r>
          </w:p>
        </w:tc>
        <w:tc>
          <w:tcPr>
            <w:tcW w:w="12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(2,891)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(2,651)</w:t>
            </w:r>
          </w:p>
        </w:tc>
        <w:tc>
          <w:tcPr>
            <w:tcW w:w="11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w:t>
            </w:r>
          </w:p>
        </w:tc>
        <w:tc>
          <w:tcPr>
            <w:tcW w:w="12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NM</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32</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(27)</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represent eliminations of transactions between our Connectivity &amp; Platforms, Content &amp; Experiences and other businesses, the most significant being distribution of television network programming between the Media and Residential Connectivity &amp; Platforms segments. Eliminations of transactions between segments within Content &amp; Experiences are presented separately. Refer to Note 2 for additional information on transactions between our segments.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from Net Income Attributable to Comcast Corporation to Adjusted EBITDA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2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color w:val="auto"/>
              </w:rPr>
              <w:t>Three Months Ended</w:t>
            </w: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92"/>
        </w:trPr>
        <w:tc>
          <w:tcPr>
            <w:tcW w:w="49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636"/>
              <w:spacing w:after="0"/>
              <w:rPr>
                <w:sz w:val="20"/>
                <w:szCs w:val="20"/>
                <w:color w:val="auto"/>
              </w:rPr>
            </w:pPr>
            <w:r>
              <w:rPr>
                <w:rFonts w:ascii="Times New Roman" w:cs="Times New Roman" w:eastAsia="Times New Roman" w:hAnsi="Times New Roman"/>
                <w:sz w:val="14"/>
                <w:szCs w:val="14"/>
                <w:color w:val="auto"/>
              </w:rPr>
              <w:t>June 30,</w:t>
            </w:r>
          </w:p>
        </w:tc>
        <w:tc>
          <w:tcPr>
            <w:tcW w:w="6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w w:val="92"/>
              </w:rPr>
              <w:t>11,123</w:t>
            </w:r>
          </w:p>
        </w:tc>
        <w:tc>
          <w:tcPr>
            <w:tcW w:w="9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3,929</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14,498</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7,785</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860" w:type="dxa"/>
            <w:vAlign w:val="bottom"/>
          </w:tcPr>
          <w:p>
            <w:pPr>
              <w:spacing w:after="0"/>
              <w:rPr>
                <w:sz w:val="19"/>
                <w:szCs w:val="19"/>
                <w:color w:val="auto"/>
              </w:rPr>
            </w:pP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c>
          <w:tcPr>
            <w:tcW w:w="96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4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3,603</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1,336</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4,799</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1,105</w:t>
            </w:r>
          </w:p>
        </w:tc>
        <w:tc>
          <w:tcPr>
            <w:tcW w:w="96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1,026</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2,155</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8"/>
              </w:rPr>
              <w:t>(9,760)</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434</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(9,644)</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2,349</w:t>
            </w:r>
          </w:p>
        </w:tc>
        <w:tc>
          <w:tcPr>
            <w:tcW w:w="96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2,153</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4,580</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1,805</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1,387</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3,423</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r>
      <w:tr>
        <w:trPr>
          <w:trHeight w:val="229"/>
        </w:trPr>
        <w:tc>
          <w:tcPr>
            <w:tcW w:w="49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(a)</w:t>
            </w:r>
          </w:p>
        </w:tc>
        <w:tc>
          <w:tcPr>
            <w:tcW w:w="8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137</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162</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w w:val="92"/>
              </w:rPr>
              <w:t>10,283</w:t>
            </w:r>
          </w:p>
        </w:tc>
        <w:tc>
          <w:tcPr>
            <w:tcW w:w="9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10,171</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19,815</w:t>
            </w:r>
          </w:p>
        </w:tc>
        <w:tc>
          <w:tcPr>
            <w:tcW w:w="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19,526</w:t>
            </w:r>
          </w:p>
        </w:tc>
      </w:tr>
    </w:tbl>
    <w:p>
      <w:pPr>
        <w:spacing w:after="0" w:line="85" w:lineRule="exact"/>
        <w:rPr>
          <w:sz w:val="20"/>
          <w:szCs w:val="20"/>
          <w:color w:val="auto"/>
        </w:rPr>
      </w:pPr>
    </w:p>
    <w:p>
      <w:pPr>
        <w:jc w:val="both"/>
        <w:ind w:left="260" w:hanging="252"/>
        <w:spacing w:after="0" w:line="265" w:lineRule="auto"/>
        <w:tabs>
          <w:tab w:leader="none" w:pos="25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impact of certain events, gains, losses or other charges that are excluded from Adjusted EBITDA. For the periods presented, Adjusted EBITDA excludes transaction and transaction-related costs associated with the proposed spin-off of Versant, as well as other operating and administrative expenses related to our investment portfolio. Transaction costs are incremental costs directly related to effectuating the proposed spin-off and primarily include legal, audit and advisory fees, as well as legal entity separation costs. Transaction-related costs are incremental costs incurred in anticipation of the separation, including costs that reflect strategic decisions about how the standalone Versant business will be structured or operated, which may be different than if it remained part of Comcast. Transaction-related costs primarily include certain spin-related employee compensation, severance and retention bonuses; IT separation and implementation costs; and other one-time costs.</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Three Months Ended</w:t>
            </w:r>
          </w:p>
        </w:tc>
        <w:tc>
          <w:tcPr>
            <w:tcW w:w="340" w:type="dxa"/>
            <w:vAlign w:val="bottom"/>
          </w:tcPr>
          <w:p>
            <w:pPr>
              <w:spacing w:after="0"/>
              <w:rPr>
                <w:sz w:val="13"/>
                <w:szCs w:val="13"/>
                <w:color w:val="auto"/>
              </w:rPr>
            </w:pPr>
          </w:p>
        </w:tc>
        <w:tc>
          <w:tcPr>
            <w:tcW w:w="21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96"/>
        </w:trPr>
        <w:tc>
          <w:tcPr>
            <w:tcW w:w="5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June 30,</w:t>
            </w:r>
          </w:p>
        </w:tc>
        <w:tc>
          <w:tcPr>
            <w:tcW w:w="860" w:type="dxa"/>
            <w:vAlign w:val="bottom"/>
            <w:tcBorders>
              <w:bottom w:val="single" w:sz="8" w:color="auto"/>
            </w:tcBorders>
          </w:tcPr>
          <w:p>
            <w:pPr>
              <w:spacing w:after="0"/>
              <w:rPr>
                <w:sz w:val="17"/>
                <w:szCs w:val="17"/>
                <w:color w:val="auto"/>
              </w:rPr>
            </w:pPr>
          </w:p>
        </w:tc>
      </w:tr>
      <w:tr>
        <w:trPr>
          <w:trHeight w:val="196"/>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2024</w:t>
            </w:r>
          </w:p>
        </w:tc>
      </w:tr>
      <w:tr>
        <w:trPr>
          <w:trHeight w:val="20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Transaction-related costs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 costs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80" w:type="dxa"/>
            <w:vAlign w:val="bottom"/>
          </w:tcPr>
          <w:p>
            <w:pPr>
              <w:spacing w:after="0"/>
              <w:rPr>
                <w:sz w:val="16"/>
                <w:szCs w:val="16"/>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380" w:type="dxa"/>
            <w:vAlign w:val="bottom"/>
          </w:tcPr>
          <w:p>
            <w:pPr>
              <w:spacing w:after="0"/>
              <w:rPr>
                <w:sz w:val="16"/>
                <w:szCs w:val="16"/>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related to our investment portfolio</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(9)</w:t>
            </w:r>
          </w:p>
        </w:tc>
      </w:tr>
      <w:tr>
        <w:trPr>
          <w:trHeight w:val="210"/>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Adjustments</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w:t>
            </w:r>
          </w:p>
        </w:tc>
        <w:tc>
          <w:tcPr>
            <w:tcW w:w="3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(3)</w:t>
            </w:r>
          </w:p>
        </w:tc>
        <w:tc>
          <w:tcPr>
            <w:tcW w:w="3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w:t>
            </w:r>
          </w:p>
        </w:tc>
        <w:tc>
          <w:tcPr>
            <w:tcW w:w="3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(9)</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Connectivity &amp; Platforms Constant Currency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gridSpan w:val="7"/>
          </w:tcPr>
          <w:p>
            <w:pPr>
              <w:jc w:val="center"/>
              <w:ind w:right="493"/>
              <w:spacing w:after="0"/>
              <w:rPr>
                <w:sz w:val="20"/>
                <w:szCs w:val="20"/>
                <w:color w:val="auto"/>
              </w:rPr>
            </w:pPr>
            <w:r>
              <w:rPr>
                <w:rFonts w:ascii="Times New Roman" w:cs="Times New Roman" w:eastAsia="Times New Roman" w:hAnsi="Times New Roman"/>
                <w:sz w:val="14"/>
                <w:szCs w:val="14"/>
                <w:color w:val="auto"/>
              </w:rPr>
              <w:t>Three Months Ended June 30, 2024</w:t>
            </w:r>
          </w:p>
        </w:tc>
        <w:tc>
          <w:tcPr>
            <w:tcW w:w="300" w:type="dxa"/>
            <w:vAlign w:val="bottom"/>
          </w:tcPr>
          <w:p>
            <w:pPr>
              <w:spacing w:after="0"/>
              <w:rPr>
                <w:sz w:val="16"/>
                <w:szCs w:val="16"/>
                <w:color w:val="auto"/>
              </w:rPr>
            </w:pPr>
          </w:p>
        </w:tc>
        <w:tc>
          <w:tcPr>
            <w:tcW w:w="2720" w:type="dxa"/>
            <w:vAlign w:val="bottom"/>
            <w:gridSpan w:val="5"/>
          </w:tcPr>
          <w:p>
            <w:pPr>
              <w:ind w:left="700"/>
              <w:spacing w:after="0"/>
              <w:rPr>
                <w:sz w:val="20"/>
                <w:szCs w:val="20"/>
                <w:color w:val="auto"/>
              </w:rPr>
            </w:pPr>
            <w:r>
              <w:rPr>
                <w:rFonts w:ascii="Times New Roman" w:cs="Times New Roman" w:eastAsia="Times New Roman" w:hAnsi="Times New Roman"/>
                <w:sz w:val="14"/>
                <w:szCs w:val="14"/>
                <w:color w:val="auto"/>
              </w:rPr>
              <w:t>Six Months Ended June 30, 2024</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As Reported</w:t>
            </w:r>
          </w:p>
        </w:tc>
        <w:tc>
          <w:tcPr>
            <w:tcW w:w="1400" w:type="dxa"/>
            <w:vAlign w:val="bottom"/>
            <w:gridSpan w:val="3"/>
          </w:tcPr>
          <w:p>
            <w:pPr>
              <w:jc w:val="center"/>
              <w:ind w:left="156"/>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480" w:type="dxa"/>
            <w:vAlign w:val="bottom"/>
            <w:gridSpan w:val="3"/>
          </w:tcPr>
          <w:p>
            <w:pPr>
              <w:jc w:val="right"/>
              <w:ind w:right="153"/>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300" w:type="dxa"/>
            <w:vAlign w:val="bottom"/>
          </w:tcPr>
          <w:p>
            <w:pPr>
              <w:spacing w:after="0"/>
              <w:rPr>
                <w:sz w:val="11"/>
                <w:szCs w:val="11"/>
                <w:color w:val="auto"/>
              </w:rPr>
            </w:pPr>
          </w:p>
        </w:tc>
        <w:tc>
          <w:tcPr>
            <w:tcW w:w="10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color w:val="auto"/>
              </w:rPr>
              <w:t>As Reported</w:t>
            </w:r>
          </w:p>
        </w:tc>
        <w:tc>
          <w:tcPr>
            <w:tcW w:w="1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0" w:type="dxa"/>
            <w:vAlign w:val="bottom"/>
          </w:tcPr>
          <w:p>
            <w:pPr>
              <w:spacing w:after="0"/>
              <w:rPr>
                <w:sz w:val="11"/>
                <w:szCs w:val="11"/>
                <w:color w:val="auto"/>
              </w:rPr>
            </w:pPr>
          </w:p>
        </w:tc>
        <w:tc>
          <w:tcPr>
            <w:tcW w:w="12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color w:val="auto"/>
              </w:rPr>
              <w:t>Currency</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Amounts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332"/>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18,040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35,692</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35,865</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2,422</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4,829</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revenue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20,245</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20,462</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40,521</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40,695</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7,136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13,955</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13,986</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1,380</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2,746</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169"/>
        </w:trPr>
        <w:tc>
          <w:tcPr>
            <w:tcW w:w="33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Connectivity &amp; Platforms Adjusted</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8,483</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4"/>
                <w:szCs w:val="14"/>
                <w:color w:val="auto"/>
              </w:rPr>
            </w:pPr>
          </w:p>
        </w:tc>
        <w:tc>
          <w:tcPr>
            <w:tcW w:w="1080" w:type="dxa"/>
            <w:vAlign w:val="bottom"/>
            <w:vMerge w:val="restart"/>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8,516</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16,701</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Pr>
          <w:p>
            <w:pPr>
              <w:spacing w:after="0"/>
              <w:rPr>
                <w:sz w:val="14"/>
                <w:szCs w:val="14"/>
                <w:color w:val="auto"/>
              </w:rPr>
            </w:pPr>
          </w:p>
        </w:tc>
        <w:tc>
          <w:tcPr>
            <w:tcW w:w="90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16,732</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bps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39.6 %</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bps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bps</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56.9</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bps</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169"/>
        </w:trPr>
        <w:tc>
          <w:tcPr>
            <w:tcW w:w="33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Connectivity &amp; Platforms Adjusted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41.9 %</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 bps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41.6 %</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41.2 %</w:t>
            </w: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 bps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41.1 %</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80" w:type="dxa"/>
            <w:vAlign w:val="bottom"/>
            <w:gridSpan w:val="6"/>
          </w:tcPr>
          <w:p>
            <w:pPr>
              <w:jc w:val="center"/>
              <w:ind w:right="693"/>
              <w:spacing w:after="0"/>
              <w:rPr>
                <w:sz w:val="20"/>
                <w:szCs w:val="20"/>
                <w:color w:val="auto"/>
              </w:rPr>
            </w:pPr>
            <w:r>
              <w:rPr>
                <w:rFonts w:ascii="Times New Roman" w:cs="Times New Roman" w:eastAsia="Times New Roman" w:hAnsi="Times New Roman"/>
                <w:sz w:val="14"/>
                <w:szCs w:val="14"/>
                <w:color w:val="auto"/>
              </w:rPr>
              <w:t>Three Months Ended June 30, 2024</w:t>
            </w:r>
          </w:p>
        </w:tc>
        <w:tc>
          <w:tcPr>
            <w:tcW w:w="300" w:type="dxa"/>
            <w:vAlign w:val="bottom"/>
          </w:tcPr>
          <w:p>
            <w:pPr>
              <w:spacing w:after="0"/>
              <w:rPr>
                <w:sz w:val="24"/>
                <w:szCs w:val="24"/>
                <w:color w:val="auto"/>
              </w:rPr>
            </w:pPr>
          </w:p>
        </w:tc>
        <w:tc>
          <w:tcPr>
            <w:tcW w:w="2720" w:type="dxa"/>
            <w:vAlign w:val="bottom"/>
            <w:gridSpan w:val="5"/>
          </w:tcPr>
          <w:p>
            <w:pPr>
              <w:jc w:val="center"/>
              <w:ind w:left="675"/>
              <w:spacing w:after="0"/>
              <w:rPr>
                <w:sz w:val="20"/>
                <w:szCs w:val="20"/>
                <w:color w:val="auto"/>
              </w:rPr>
            </w:pPr>
            <w:r>
              <w:rPr>
                <w:rFonts w:ascii="Times New Roman" w:cs="Times New Roman" w:eastAsia="Times New Roman" w:hAnsi="Times New Roman"/>
                <w:sz w:val="14"/>
                <w:szCs w:val="14"/>
                <w:color w:val="auto"/>
              </w:rPr>
              <w:t>Six Months Ended June 30, 2024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136"/>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300" w:type="dxa"/>
            <w:vAlign w:val="bottom"/>
          </w:tcPr>
          <w:p>
            <w:pPr>
              <w:spacing w:after="0"/>
              <w:rPr>
                <w:sz w:val="11"/>
                <w:szCs w:val="11"/>
                <w:color w:val="auto"/>
              </w:rPr>
            </w:pPr>
          </w:p>
        </w:tc>
        <w:tc>
          <w:tcPr>
            <w:tcW w:w="106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color w:val="auto"/>
              </w:rPr>
              <w:t>As Reported</w:t>
            </w:r>
          </w:p>
        </w:tc>
        <w:tc>
          <w:tcPr>
            <w:tcW w:w="1200" w:type="dxa"/>
            <w:vAlign w:val="bottom"/>
            <w:gridSpan w:val="2"/>
          </w:tcPr>
          <w:p>
            <w:pPr>
              <w:jc w:val="center"/>
              <w:ind w:left="75"/>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0" w:type="dxa"/>
            <w:vAlign w:val="bottom"/>
          </w:tcPr>
          <w:p>
            <w:pPr>
              <w:spacing w:after="0"/>
              <w:rPr>
                <w:sz w:val="11"/>
                <w:szCs w:val="11"/>
                <w:color w:val="auto"/>
              </w:rPr>
            </w:pP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4"/>
                <w:szCs w:val="14"/>
                <w:color w:val="auto"/>
                <w:w w:val="99"/>
              </w:rPr>
              <w:t>Currency</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175"/>
        </w:trPr>
        <w:tc>
          <w:tcPr>
            <w:tcW w:w="36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Average monthly total Connectivity &amp; Platforms</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per customer relationship</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0" w:type="dxa"/>
            <w:vAlign w:val="bottom"/>
          </w:tcPr>
          <w:p>
            <w:pPr>
              <w:spacing w:after="0"/>
              <w:rPr>
                <w:sz w:val="1"/>
                <w:szCs w:val="1"/>
                <w:color w:val="auto"/>
              </w:rPr>
            </w:pPr>
          </w:p>
        </w:tc>
      </w:tr>
      <w:tr>
        <w:trPr>
          <w:trHeight w:val="175"/>
        </w:trPr>
        <w:tc>
          <w:tcPr>
            <w:tcW w:w="3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Average monthly total Connectivity &amp; Platforms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 per customer relationship</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0" w:type="dxa"/>
            <w:vAlign w:val="bottom"/>
          </w:tcPr>
          <w:p>
            <w:pPr>
              <w:spacing w:after="0"/>
              <w:rPr>
                <w:sz w:val="1"/>
                <w:szCs w:val="1"/>
                <w:color w:val="auto"/>
              </w:rPr>
            </w:pPr>
          </w:p>
        </w:tc>
      </w:tr>
      <w:tr>
        <w:trPr>
          <w:trHeight w:val="416"/>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80" w:type="dxa"/>
            <w:vAlign w:val="bottom"/>
            <w:gridSpan w:val="6"/>
          </w:tcPr>
          <w:p>
            <w:pPr>
              <w:jc w:val="center"/>
              <w:ind w:right="693"/>
              <w:spacing w:after="0"/>
              <w:rPr>
                <w:sz w:val="20"/>
                <w:szCs w:val="20"/>
                <w:color w:val="auto"/>
              </w:rPr>
            </w:pPr>
            <w:r>
              <w:rPr>
                <w:rFonts w:ascii="Times New Roman" w:cs="Times New Roman" w:eastAsia="Times New Roman" w:hAnsi="Times New Roman"/>
                <w:sz w:val="14"/>
                <w:szCs w:val="14"/>
                <w:color w:val="auto"/>
              </w:rPr>
              <w:t>Three Months Ended June 30, 2024</w:t>
            </w:r>
          </w:p>
        </w:tc>
        <w:tc>
          <w:tcPr>
            <w:tcW w:w="300" w:type="dxa"/>
            <w:vAlign w:val="bottom"/>
          </w:tcPr>
          <w:p>
            <w:pPr>
              <w:spacing w:after="0"/>
              <w:rPr>
                <w:sz w:val="24"/>
                <w:szCs w:val="24"/>
                <w:color w:val="auto"/>
              </w:rPr>
            </w:pPr>
          </w:p>
        </w:tc>
        <w:tc>
          <w:tcPr>
            <w:tcW w:w="2720" w:type="dxa"/>
            <w:vAlign w:val="bottom"/>
            <w:gridSpan w:val="5"/>
          </w:tcPr>
          <w:p>
            <w:pPr>
              <w:jc w:val="center"/>
              <w:ind w:left="675"/>
              <w:spacing w:after="0"/>
              <w:rPr>
                <w:sz w:val="20"/>
                <w:szCs w:val="20"/>
                <w:color w:val="auto"/>
              </w:rPr>
            </w:pPr>
            <w:r>
              <w:rPr>
                <w:rFonts w:ascii="Times New Roman" w:cs="Times New Roman" w:eastAsia="Times New Roman" w:hAnsi="Times New Roman"/>
                <w:sz w:val="14"/>
                <w:szCs w:val="14"/>
                <w:color w:val="auto"/>
              </w:rPr>
              <w:t>Six Months Ended June 30, 2024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136"/>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300" w:type="dxa"/>
            <w:vAlign w:val="bottom"/>
          </w:tcPr>
          <w:p>
            <w:pPr>
              <w:spacing w:after="0"/>
              <w:rPr>
                <w:sz w:val="11"/>
                <w:szCs w:val="11"/>
                <w:color w:val="auto"/>
              </w:rPr>
            </w:pPr>
          </w:p>
        </w:tc>
        <w:tc>
          <w:tcPr>
            <w:tcW w:w="106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color w:val="auto"/>
              </w:rPr>
              <w:t>As Reported</w:t>
            </w:r>
          </w:p>
        </w:tc>
        <w:tc>
          <w:tcPr>
            <w:tcW w:w="1200" w:type="dxa"/>
            <w:vAlign w:val="bottom"/>
            <w:gridSpan w:val="2"/>
          </w:tcPr>
          <w:p>
            <w:pPr>
              <w:jc w:val="center"/>
              <w:ind w:left="75"/>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0" w:type="dxa"/>
            <w:vAlign w:val="bottom"/>
          </w:tcPr>
          <w:p>
            <w:pPr>
              <w:spacing w:after="0"/>
              <w:rPr>
                <w:sz w:val="11"/>
                <w:szCs w:val="11"/>
                <w:color w:val="auto"/>
              </w:rPr>
            </w:pP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4"/>
                <w:szCs w:val="14"/>
                <w:color w:val="auto"/>
                <w:w w:val="99"/>
              </w:rPr>
              <w:t>Currency</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Programming</w:t>
            </w:r>
          </w:p>
        </w:tc>
        <w:tc>
          <w:tcPr>
            <w:tcW w:w="3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Technical and support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product costs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44</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service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0" w:type="dxa"/>
            <w:vAlign w:val="bottom"/>
          </w:tcPr>
          <w:p>
            <w:pPr>
              <w:spacing w:after="0"/>
              <w:rPr>
                <w:sz w:val="1"/>
                <w:szCs w:val="1"/>
                <w:color w:val="auto"/>
              </w:rPr>
            </w:pPr>
          </w:p>
        </w:tc>
      </w:tr>
      <w:tr>
        <w:trPr>
          <w:trHeight w:val="169"/>
        </w:trPr>
        <w:tc>
          <w:tcPr>
            <w:tcW w:w="33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Connectivity &amp; Platforms costs and</w:t>
            </w:r>
          </w:p>
        </w:tc>
        <w:tc>
          <w:tcPr>
            <w:tcW w:w="30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11,762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11,946</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23,820</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23,963</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gridSpan w:val="2"/>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gridSpan w:val="2"/>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gridSpan w:val="2"/>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12"/>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Residential Connectivity &amp; Platforms Constant Currency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0" w:type="dxa"/>
            <w:vAlign w:val="bottom"/>
            <w:gridSpan w:val="5"/>
          </w:tcPr>
          <w:p>
            <w:pPr>
              <w:jc w:val="center"/>
              <w:ind w:right="131"/>
              <w:spacing w:after="0"/>
              <w:rPr>
                <w:sz w:val="20"/>
                <w:szCs w:val="20"/>
                <w:color w:val="auto"/>
              </w:rPr>
            </w:pPr>
            <w:r>
              <w:rPr>
                <w:rFonts w:ascii="Times New Roman" w:cs="Times New Roman" w:eastAsia="Times New Roman" w:hAnsi="Times New Roman"/>
                <w:sz w:val="14"/>
                <w:szCs w:val="14"/>
                <w:color w:val="auto"/>
              </w:rPr>
              <w:t>Three Months Ended June 30, 2024</w:t>
            </w:r>
          </w:p>
        </w:tc>
        <w:tc>
          <w:tcPr>
            <w:tcW w:w="260" w:type="dxa"/>
            <w:vAlign w:val="bottom"/>
          </w:tcPr>
          <w:p>
            <w:pPr>
              <w:spacing w:after="0"/>
              <w:rPr>
                <w:sz w:val="16"/>
                <w:szCs w:val="16"/>
                <w:color w:val="auto"/>
              </w:rPr>
            </w:pPr>
          </w:p>
        </w:tc>
        <w:tc>
          <w:tcPr>
            <w:tcW w:w="2680" w:type="dxa"/>
            <w:vAlign w:val="bottom"/>
            <w:gridSpan w:val="4"/>
          </w:tcPr>
          <w:p>
            <w:pPr>
              <w:jc w:val="center"/>
              <w:ind w:left="633"/>
              <w:spacing w:after="0"/>
              <w:rPr>
                <w:sz w:val="20"/>
                <w:szCs w:val="20"/>
                <w:color w:val="auto"/>
              </w:rPr>
            </w:pPr>
            <w:r>
              <w:rPr>
                <w:rFonts w:ascii="Times New Roman" w:cs="Times New Roman" w:eastAsia="Times New Roman" w:hAnsi="Times New Roman"/>
                <w:sz w:val="14"/>
                <w:szCs w:val="14"/>
                <w:color w:val="auto"/>
              </w:rPr>
              <w:t>Six Months Ended June 30, 2024</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0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320" w:type="dxa"/>
            <w:vAlign w:val="bottom"/>
            <w:gridSpan w:val="2"/>
          </w:tcPr>
          <w:p>
            <w:pPr>
              <w:jc w:val="right"/>
              <w:ind w:right="31"/>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260" w:type="dxa"/>
            <w:vAlign w:val="bottom"/>
          </w:tcPr>
          <w:p>
            <w:pPr>
              <w:spacing w:after="0"/>
              <w:rPr>
                <w:sz w:val="11"/>
                <w:szCs w:val="11"/>
                <w:color w:val="auto"/>
              </w:rPr>
            </w:pPr>
          </w:p>
        </w:tc>
        <w:tc>
          <w:tcPr>
            <w:tcW w:w="10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color w:val="auto"/>
                <w:w w:val="99"/>
              </w:rPr>
              <w:t>Currency</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Amounts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color w:val="auto"/>
              </w:rPr>
              <w:t>Currency</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 broadband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6,429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 wireless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1,116</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8,564</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16,956</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7,130</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14,117</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14,208</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1,013</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1,333</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17,824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18,040</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35,692</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35,865</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Programming</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4,317</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6,586</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13,083</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10,903</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21,879</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7,103</w:t>
            </w:r>
          </w:p>
        </w:tc>
        <w:tc>
          <w:tcPr>
            <w:tcW w:w="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7,136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13,955</w:t>
            </w:r>
          </w:p>
        </w:tc>
        <w:tc>
          <w:tcPr>
            <w:tcW w:w="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3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13,986</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Adjustments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20" w:type="dxa"/>
            <w:vAlign w:val="bottom"/>
          </w:tcPr>
          <w:p>
            <w:pPr>
              <w:jc w:val="center"/>
              <w:ind w:right="888"/>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96"/>
        </w:trPr>
        <w:tc>
          <w:tcPr>
            <w:tcW w:w="80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center"/>
              <w:ind w:right="908"/>
              <w:spacing w:after="0"/>
              <w:rPr>
                <w:sz w:val="20"/>
                <w:szCs w:val="20"/>
                <w:color w:val="auto"/>
              </w:rPr>
            </w:pPr>
            <w:r>
              <w:rPr>
                <w:rFonts w:ascii="Times New Roman" w:cs="Times New Roman" w:eastAsia="Times New Roman" w:hAnsi="Times New Roman"/>
                <w:sz w:val="14"/>
                <w:szCs w:val="14"/>
                <w:color w:val="auto"/>
              </w:rPr>
              <w:t>June 30,</w:t>
            </w:r>
          </w:p>
        </w:tc>
      </w:tr>
      <w:tr>
        <w:trPr>
          <w:trHeight w:val="188"/>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(in billions)</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222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2024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9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457"/>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2980" w:type="dxa"/>
            <w:vAlign w:val="bottom"/>
          </w:tcPr>
          <w:p>
            <w:pPr>
              <w:spacing w:after="0"/>
              <w:rPr>
                <w:sz w:val="24"/>
                <w:szCs w:val="24"/>
                <w:color w:val="auto"/>
              </w:rPr>
            </w:pPr>
          </w:p>
        </w:tc>
        <w:tc>
          <w:tcPr>
            <w:tcW w:w="1280" w:type="dxa"/>
            <w:vAlign w:val="bottom"/>
          </w:tcPr>
          <w:p>
            <w:pPr>
              <w:jc w:val="right"/>
              <w:ind w:right="535"/>
              <w:spacing w:after="0"/>
              <w:rPr>
                <w:sz w:val="20"/>
                <w:szCs w:val="20"/>
                <w:color w:val="auto"/>
              </w:rPr>
            </w:pPr>
            <w:r>
              <w:rPr>
                <w:rFonts w:ascii="Times New Roman" w:cs="Times New Roman" w:eastAsia="Times New Roman" w:hAnsi="Times New Roman"/>
                <w:sz w:val="14"/>
                <w:szCs w:val="14"/>
                <w:color w:val="auto"/>
              </w:rPr>
              <w:t>June 30,</w:t>
            </w:r>
          </w:p>
        </w:tc>
        <w:tc>
          <w:tcPr>
            <w:tcW w:w="340" w:type="dxa"/>
            <w:vAlign w:val="bottom"/>
          </w:tcPr>
          <w:p>
            <w:pPr>
              <w:spacing w:after="0"/>
              <w:rPr>
                <w:sz w:val="24"/>
                <w:szCs w:val="24"/>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380" w:type="dxa"/>
            <w:vAlign w:val="bottom"/>
            <w:tcBorders>
              <w:bottom w:val="single" w:sz="8" w:color="auto"/>
            </w:tcBorders>
            <w:vMerge w:val="continue"/>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101.5</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significant availability under our revolving credit facility and our commercial paper program to meet our short-term liquidity requirements. Our commercial paper program generally provides a lower-cost source of borrowing to fund our short-term working capital requirements. As of June 30, 2025, amounts available under our revolving credit facility, net of amounts outstanding under our commercial paper program and outstanding letters of credit and bank guarantees, totaled $11.8 billion.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revolving credit facility contains a financial covenant pertaining to leverage, which is the ratio of debt to EBITDA, as defined in the agreement. Compliance with this financial covenant is tested on a quarterly basis. As of June 30, 2025, we met this financial covenant, and we expect to remain in compliance with this financial covenant.</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11,650</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8,003</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703</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(614)</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interest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(1,803)</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income taxes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(2,085)</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r>
      <w:tr>
        <w:trPr>
          <w:trHeight w:val="229"/>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investments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254</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16,109</w:t>
            </w:r>
          </w:p>
        </w:tc>
        <w:tc>
          <w:tcPr>
            <w:tcW w:w="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12,572</w:t>
            </w:r>
          </w:p>
        </w:tc>
      </w:tr>
    </w:tbl>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variance in changes in operating assets and liabilities for the six months ended June 30, 2025 compared to the same period in 2024 was primarily related to the timing of our accounts payables, decreases in receivables and the timing of amortization and related payments for our film and television costs, including the timing of sports, partially offset by increases in inventory.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of income taxes decreased for the six months ended June 30, 2025 compared to the same period in 2024 primarily due to higher payments in the prior year period relating to the preceding tax year, primarily driven by the sale of our investment in Hulu, partially offset by the timing of transferable tax credit purchases.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receive a federal income tax refund in the current year as a result of carrying back a capital loss created primarily as part of a 2024 internal corporate reorganization to offset capital gains recognized in our federal income tax returns for 2021 through 2023.</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on July 4, 2025, legislation was signed into law in the United States, which is expected to significantly reduce our payments of income taxes beginning in the second half of 2025. Among other things, this legislation provides for immediate deduction of 100% of the costs of qualified property, including significant portions of our capital expenditures and film and television production costs, acquired and placed into service after January 19, 2025, compared to the 40% and 20% deductions that would have applied in 2025 and 2026, respectively, under prior law. The legislation also reinstates the immediate deduction of domestic research and development expenses, retroactive to 2022, repealing the prior requirement to capitalize and amortize such costs over five years. We are continuing to determine the impact the legislation will have on our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increased for the six months ended June 30, 2025 compared to the same period in 2024 primarily due to the acquisition of Nitel in 2025, the purchase of an equity method investment in the current year period and proceeds from the maturity of short-term investments in the prior year period, partially offset by $439 million of additional proceeds received in the current year period for the sale of our interest in Hulu (see Note 7), decreased capital expenditures, purchases of short-term investments in the prior year period and proceeds from the sale of a nonmarketable security in the current year period. Capital expenditures decreased for the six months ended June 30, 2025 compared to the same period in 2024 primarily reflecting decreased spending on Epic Universe driven by the opening in 2025 and decreased spending by the Connectivity &amp; Platforms businesses on scalable infrastructure and customer premise equipment.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for the six months ended June 30, 2025 compared to the same period in 2024 primarily due to lower proceeds from borrowings in the current year period, partially offset by lower repurchases of common stock in the current year period.</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May 2025, we issued $2.5 billion aggregate principal amount of fixed-rate senior notes, which have maturities ranging between 2032 and 2055 and a weighted-average interest rate of 5.51%. The net proceeds from this issuance were intended for the early redemption of all outstanding amounts of our $1.5 billion aggregate principal amount of 3.375% Notes due August 2025, which was completed in June 2025, and for general corporate purposes.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we made debt repayments of $1.9 billion, including $1.2 billion of 3.375% Notes due August 2025 and $129 million of 3.950% Notes due October 2025, as well as $419 million principal amount of notes due at maturity.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In particular, we may repurchase varying amounts of our outstanding public notes and debentures with short to medium term maturities through privately negotiated or market transactions. See Notes 5 and 7 for additional information on our financing activities.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we repurchased a total of 106 million shares of our Class A common stock for $3.7 billion. In January 2025, our Board of Directors terminated the existing share repurchase program authorization and approved a new share repurchase program authorization of $15.0 billion, which has no expiration date. As of June 30, 2025, we had $12.0 billion remaining under the authorization. We did not purchase any shares outside of this program. We expect to repurchase additional shares of our Class A common stock under this new authorization in the open market or in private transactions, subject to market and other conditions.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paid $345 million and $307 million for the six months ended June 30, 2025 and 2024, respectively, related to employee taxes associated with the administration of our share-based compensation plans and excise taxes related to share repurchases.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2025, our Board of Directors approved a 6.5% increase in our dividend to $1.32 per share on an annualized basis. During the six months ended June 30, 2025, we paid dividends of $2.5 billion. In May 2025, our Board of Directors approved our second quarter dividend of $0.33 per share, which was paid in July 2025. We expect to continue to pay quarterly dividends, although each dividend is subject to approval by our Board of Directors.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and Guarantee Structure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500" w:type="dxa"/>
            <w:vAlign w:val="bottom"/>
          </w:tcPr>
          <w:p>
            <w:pPr>
              <w:spacing w:after="0"/>
              <w:rPr>
                <w:sz w:val="13"/>
                <w:szCs w:val="13"/>
                <w:color w:val="auto"/>
              </w:rPr>
            </w:pPr>
          </w:p>
        </w:tc>
        <w:tc>
          <w:tcPr>
            <w:tcW w:w="1360" w:type="dxa"/>
            <w:vAlign w:val="bottom"/>
          </w:tcPr>
          <w:p>
            <w:pPr>
              <w:jc w:val="right"/>
              <w:ind w:right="533"/>
              <w:spacing w:after="0"/>
              <w:rPr>
                <w:sz w:val="20"/>
                <w:szCs w:val="20"/>
                <w:color w:val="auto"/>
              </w:rPr>
            </w:pPr>
            <w:r>
              <w:rPr>
                <w:rFonts w:ascii="Times New Roman" w:cs="Times New Roman" w:eastAsia="Times New Roman" w:hAnsi="Times New Roman"/>
                <w:sz w:val="14"/>
                <w:szCs w:val="14"/>
                <w:color w:val="auto"/>
              </w:rPr>
              <w:t>June 30,</w:t>
            </w:r>
          </w:p>
        </w:tc>
        <w:tc>
          <w:tcPr>
            <w:tcW w:w="280" w:type="dxa"/>
            <w:vAlign w:val="bottom"/>
          </w:tcPr>
          <w:p>
            <w:pPr>
              <w:spacing w:after="0"/>
              <w:rPr>
                <w:sz w:val="13"/>
                <w:szCs w:val="13"/>
                <w:color w:val="auto"/>
              </w:rPr>
            </w:pPr>
          </w:p>
        </w:tc>
        <w:tc>
          <w:tcPr>
            <w:tcW w:w="144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07"/>
        </w:trPr>
        <w:tc>
          <w:tcPr>
            <w:tcW w:w="76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Pr>
          <w:p>
            <w:pPr>
              <w:spacing w:after="0"/>
              <w:rPr>
                <w:sz w:val="9"/>
                <w:szCs w:val="9"/>
                <w:color w:val="auto"/>
              </w:rPr>
            </w:pPr>
          </w:p>
        </w:tc>
        <w:tc>
          <w:tcPr>
            <w:tcW w:w="144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86"/>
        </w:trPr>
        <w:tc>
          <w:tcPr>
            <w:tcW w:w="76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Cross-Guarantees</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Comcast</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NBCUniversal</w:t>
            </w:r>
            <w:r>
              <w:rPr>
                <w:rFonts w:ascii="Times New Roman" w:cs="Times New Roman" w:eastAsia="Times New Roman" w:hAnsi="Times New Roman"/>
                <w:sz w:val="23"/>
                <w:szCs w:val="23"/>
                <w:color w:val="auto"/>
                <w:vertAlign w:val="superscript"/>
              </w:rPr>
              <w:t>(a)</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Comcast Cable</w:t>
            </w:r>
            <w:r>
              <w:rPr>
                <w:rFonts w:ascii="Times New Roman" w:cs="Times New Roman" w:eastAsia="Times New Roman" w:hAnsi="Times New Roman"/>
                <w:sz w:val="23"/>
                <w:szCs w:val="23"/>
                <w:color w:val="auto"/>
                <w:vertAlign w:val="superscript"/>
              </w:rPr>
              <w:t>(a)</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One-Way Guarantees</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Sky</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Not Guaranteed</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Universal Beijing Resort</w:t>
            </w:r>
            <w:r>
              <w:rPr>
                <w:rFonts w:ascii="Times New Roman" w:cs="Times New Roman" w:eastAsia="Times New Roman" w:hAnsi="Times New Roman"/>
                <w:sz w:val="23"/>
                <w:szCs w:val="23"/>
                <w:color w:val="auto"/>
                <w:vertAlign w:val="superscript"/>
              </w:rPr>
              <w:t>(b)</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Debt issuance costs, premiums, discounts, fair value adjustments for acquisition accounting and hedged</w:t>
            </w: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positions, net</w:t>
            </w:r>
          </w:p>
        </w:tc>
        <w:tc>
          <w:tcPr>
            <w:tcW w:w="5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81" w:lineRule="auto"/>
        <w:tabs>
          <w:tab w:leader="none" w:pos="33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NBCUniversal Media, LLC (“NBCUniversal”), Comcast Cable Communications, LLC (“Comcast Cable”) and Comcast Holdings Corporation (“Comcast Holdings”), which is included within other debt subject to one-way guarantees, are each consolidated subsidiaries subject to the periodic reporting requirements of the SEC. The guarantee structures and related disclosures in this section, together with Exhibit 22 to our 2024 Annual Report on Form 10-K, satisfy these reporting obligations.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Beijing Resort debt financing is secured by the assets of Universal Beijing Resort and the equity interests of the investors. See Note 7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Cross-Guarantees</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2025 and December 31, 2024, the combined Guarantors have noncurrent notes payable to non-guarantor subsidiaries of $98 billion and $88 billion, respectively, and noncurrent notes receivable from non-guarantor subsidiaries of $14 billion for both periods.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One-Way Guarantees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Comcast provides full and unconditional guarantees of certain debt issued by Sky Limited (“Sky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including all of its senior notes, and other consolidated subsidiaries not subject to the periodic reporting requirements of the SEC.</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2025 and December 31, 2024, Comcast and Comcast Holdings, the combined issuer and guarantor of the guaranteed subordinated debt, have noncurrent senior notes payable to non-guarantor subsidiaries of $63 billion and $53 billion, respectively, and noncurrent notes receivable from non-guarantor subsidiaries of $10 billion for both periods.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more complete discussion of the accounting estimates that we have identified as critical in the preparation of our condensed consolidated financial statements, please refer to our Management’s Discussion and Analysis of Financial Condition and Results of Operations in our 2024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evaluated the information required under this item that was disclosed in our 2024 Annual Report on Form 10-K and there have been no material changes to this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included in this Quarterly Report on Form 10-Q for a discussion of legal proceedings.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Item 1A of our 2024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Comcast’s common stock repurchases during the three months ended June 30, 2025.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color w:val="auto"/>
              </w:rPr>
              <w:t>Total Dollar</w:t>
            </w:r>
          </w:p>
        </w:tc>
        <w:tc>
          <w:tcPr>
            <w:tcW w:w="240" w:type="dxa"/>
            <w:vAlign w:val="bottom"/>
          </w:tcPr>
          <w:p>
            <w:pPr>
              <w:spacing w:after="0"/>
              <w:rPr>
                <w:sz w:val="13"/>
                <w:szCs w:val="13"/>
                <w:color w:val="auto"/>
              </w:rPr>
            </w:pPr>
          </w:p>
        </w:tc>
        <w:tc>
          <w:tcPr>
            <w:tcW w:w="1660" w:type="dxa"/>
            <w:vAlign w:val="bottom"/>
          </w:tcPr>
          <w:p>
            <w:pPr>
              <w:jc w:val="center"/>
              <w:ind w:right="140"/>
              <w:spacing w:after="0"/>
              <w:rPr>
                <w:sz w:val="20"/>
                <w:szCs w:val="20"/>
                <w:color w:val="auto"/>
              </w:rPr>
            </w:pPr>
            <w:r>
              <w:rPr>
                <w:rFonts w:ascii="Times New Roman" w:cs="Times New Roman" w:eastAsia="Times New Roman" w:hAnsi="Times New Roman"/>
                <w:sz w:val="14"/>
                <w:szCs w:val="14"/>
                <w:color w:val="auto"/>
              </w:rPr>
              <w:t>Maximum Dollar</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Pr>
          <w:p>
            <w:pPr>
              <w:spacing w:after="0"/>
              <w:rPr>
                <w:sz w:val="12"/>
                <w:szCs w:val="12"/>
                <w:color w:val="auto"/>
              </w:rPr>
            </w:pPr>
          </w:p>
        </w:tc>
        <w:tc>
          <w:tcPr>
            <w:tcW w:w="1100" w:type="dxa"/>
            <w:vAlign w:val="bottom"/>
            <w:vMerge w:val="restart"/>
          </w:tcPr>
          <w:p>
            <w:pPr>
              <w:jc w:val="center"/>
              <w:ind w:right="259"/>
              <w:spacing w:after="0"/>
              <w:rPr>
                <w:sz w:val="20"/>
                <w:szCs w:val="20"/>
                <w:color w:val="auto"/>
              </w:rPr>
            </w:pPr>
            <w:r>
              <w:rPr>
                <w:rFonts w:ascii="Times New Roman" w:cs="Times New Roman" w:eastAsia="Times New Roman" w:hAnsi="Times New Roman"/>
                <w:sz w:val="14"/>
                <w:szCs w:val="14"/>
                <w:color w:val="auto"/>
              </w:rPr>
              <w:t>Average</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3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Value of Shares That</w:t>
            </w:r>
          </w:p>
        </w:tc>
        <w:tc>
          <w:tcPr>
            <w:tcW w:w="0" w:type="dxa"/>
            <w:vAlign w:val="bottom"/>
          </w:tcPr>
          <w:p>
            <w:pPr>
              <w:spacing w:after="0"/>
              <w:rPr>
                <w:sz w:val="1"/>
                <w:szCs w:val="1"/>
                <w:color w:val="auto"/>
              </w:rPr>
            </w:pPr>
          </w:p>
        </w:tc>
      </w:tr>
      <w:tr>
        <w:trPr>
          <w:trHeight w:val="144"/>
        </w:trPr>
        <w:tc>
          <w:tcPr>
            <w:tcW w:w="196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center"/>
              <w:ind w:right="239"/>
              <w:spacing w:after="0" w:line="145" w:lineRule="exact"/>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2"/>
                <w:szCs w:val="12"/>
                <w:color w:val="auto"/>
              </w:rPr>
            </w:pPr>
          </w:p>
        </w:tc>
        <w:tc>
          <w:tcPr>
            <w:tcW w:w="1660" w:type="dxa"/>
            <w:vAlign w:val="bottom"/>
          </w:tcPr>
          <w:p>
            <w:pPr>
              <w:jc w:val="center"/>
              <w:ind w:right="140"/>
              <w:spacing w:after="0" w:line="145" w:lineRule="exact"/>
              <w:rPr>
                <w:sz w:val="20"/>
                <w:szCs w:val="20"/>
                <w:color w:val="auto"/>
              </w:rPr>
            </w:pPr>
            <w:r>
              <w:rPr>
                <w:rFonts w:ascii="Times New Roman" w:cs="Times New Roman" w:eastAsia="Times New Roman" w:hAnsi="Times New Roman"/>
                <w:sz w:val="14"/>
                <w:szCs w:val="14"/>
                <w:color w:val="auto"/>
                <w:w w:val="99"/>
              </w:rPr>
              <w:t>May Yet Be</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440" w:type="dxa"/>
            <w:vAlign w:val="bottom"/>
          </w:tcPr>
          <w:p>
            <w:pPr>
              <w:spacing w:after="0"/>
              <w:rPr>
                <w:sz w:val="12"/>
                <w:szCs w:val="12"/>
                <w:color w:val="auto"/>
              </w:rPr>
            </w:pPr>
          </w:p>
        </w:tc>
        <w:tc>
          <w:tcPr>
            <w:tcW w:w="110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color w:val="auto"/>
              </w:rPr>
              <w:t>Price</w:t>
            </w: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 Purchased</w:t>
            </w:r>
          </w:p>
        </w:tc>
        <w:tc>
          <w:tcPr>
            <w:tcW w:w="360" w:type="dxa"/>
            <w:vAlign w:val="bottom"/>
          </w:tcPr>
          <w:p>
            <w:pPr>
              <w:spacing w:after="0"/>
              <w:rPr>
                <w:sz w:val="12"/>
                <w:szCs w:val="12"/>
                <w:color w:val="auto"/>
              </w:rPr>
            </w:pPr>
          </w:p>
        </w:tc>
        <w:tc>
          <w:tcPr>
            <w:tcW w:w="152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1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Purchased Under the Publicly</w:t>
            </w:r>
          </w:p>
        </w:tc>
        <w:tc>
          <w:tcPr>
            <w:tcW w:w="0" w:type="dxa"/>
            <w:vAlign w:val="bottom"/>
          </w:tcPr>
          <w:p>
            <w:pPr>
              <w:spacing w:after="0"/>
              <w:rPr>
                <w:sz w:val="1"/>
                <w:szCs w:val="1"/>
                <w:color w:val="auto"/>
              </w:rPr>
            </w:pPr>
          </w:p>
        </w:tc>
      </w:tr>
      <w:tr>
        <w:trPr>
          <w:trHeight w:val="135"/>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20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Shares</w:t>
            </w:r>
          </w:p>
        </w:tc>
        <w:tc>
          <w:tcPr>
            <w:tcW w:w="440" w:type="dxa"/>
            <w:vAlign w:val="bottom"/>
          </w:tcPr>
          <w:p>
            <w:pPr>
              <w:spacing w:after="0"/>
              <w:rPr>
                <w:sz w:val="11"/>
                <w:szCs w:val="11"/>
                <w:color w:val="auto"/>
              </w:rPr>
            </w:pPr>
          </w:p>
        </w:tc>
        <w:tc>
          <w:tcPr>
            <w:tcW w:w="1100" w:type="dxa"/>
            <w:vAlign w:val="bottom"/>
          </w:tcPr>
          <w:p>
            <w:pPr>
              <w:jc w:val="center"/>
              <w:ind w:right="279"/>
              <w:spacing w:after="0" w:line="135" w:lineRule="exact"/>
              <w:rPr>
                <w:sz w:val="20"/>
                <w:szCs w:val="20"/>
                <w:color w:val="auto"/>
              </w:rPr>
            </w:pPr>
            <w:r>
              <w:rPr>
                <w:rFonts w:ascii="Times New Roman" w:cs="Times New Roman" w:eastAsia="Times New Roman" w:hAnsi="Times New Roman"/>
                <w:sz w:val="14"/>
                <w:szCs w:val="14"/>
                <w:color w:val="auto"/>
                <w:w w:val="96"/>
              </w:rPr>
              <w:t>Per</w:t>
            </w:r>
          </w:p>
        </w:tc>
        <w:tc>
          <w:tcPr>
            <w:tcW w:w="1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as Part of Publicly</w:t>
            </w:r>
          </w:p>
        </w:tc>
        <w:tc>
          <w:tcPr>
            <w:tcW w:w="1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Under the Publicly Announced</w:t>
            </w:r>
          </w:p>
        </w:tc>
        <w:tc>
          <w:tcPr>
            <w:tcW w:w="240" w:type="dxa"/>
            <w:vAlign w:val="bottom"/>
          </w:tcPr>
          <w:p>
            <w:pPr>
              <w:spacing w:after="0"/>
              <w:rPr>
                <w:sz w:val="11"/>
                <w:szCs w:val="11"/>
                <w:color w:val="auto"/>
              </w:rPr>
            </w:pPr>
          </w:p>
        </w:tc>
        <w:tc>
          <w:tcPr>
            <w:tcW w:w="166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Announced</w:t>
            </w:r>
          </w:p>
        </w:tc>
        <w:tc>
          <w:tcPr>
            <w:tcW w:w="0" w:type="dxa"/>
            <w:vAlign w:val="bottom"/>
          </w:tcPr>
          <w:p>
            <w:pPr>
              <w:spacing w:after="0"/>
              <w:rPr>
                <w:sz w:val="1"/>
                <w:szCs w:val="1"/>
                <w:color w:val="auto"/>
              </w:rPr>
            </w:pPr>
          </w:p>
        </w:tc>
      </w:tr>
      <w:tr>
        <w:trPr>
          <w:trHeight w:val="203"/>
        </w:trPr>
        <w:tc>
          <w:tcPr>
            <w:tcW w:w="196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Purchased</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color w:val="auto"/>
              </w:rPr>
              <w:t>Share</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Announced Authorization</w:t>
            </w: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color w:val="auto"/>
              </w:rPr>
              <w:t>Authorization</w:t>
            </w: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120"/>
              <w:spacing w:after="0" w:line="202" w:lineRule="exact"/>
              <w:rPr>
                <w:sz w:val="20"/>
                <w:szCs w:val="20"/>
                <w:color w:val="auto"/>
              </w:rPr>
            </w:pPr>
            <w:r>
              <w:rPr>
                <w:rFonts w:ascii="Times New Roman" w:cs="Times New Roman" w:eastAsia="Times New Roman" w:hAnsi="Times New Roman"/>
                <w:sz w:val="14"/>
                <w:szCs w:val="14"/>
                <w:color w:val="auto"/>
                <w:w w:val="98"/>
              </w:rPr>
              <w:t>Authorization</w:t>
            </w:r>
            <w:r>
              <w:rPr>
                <w:rFonts w:ascii="Times New Roman" w:cs="Times New Roman" w:eastAsia="Times New Roman" w:hAnsi="Times New Roman"/>
                <w:sz w:val="18"/>
                <w:szCs w:val="18"/>
                <w:color w:val="auto"/>
                <w:w w:val="98"/>
                <w:vertAlign w:val="superscript"/>
              </w:rPr>
              <w:t>(a)</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1-30, 2025</w:t>
            </w:r>
          </w:p>
        </w:tc>
        <w:tc>
          <w:tcPr>
            <w:tcW w:w="2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22,083,752</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34.19</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22,083,752</w:t>
            </w:r>
          </w:p>
        </w:tc>
        <w:tc>
          <w:tcPr>
            <w:tcW w:w="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755,023,294</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12,920,172,646</w:t>
            </w:r>
          </w:p>
        </w:tc>
        <w:tc>
          <w:tcPr>
            <w:tcW w:w="0" w:type="dxa"/>
            <w:vAlign w:val="bottom"/>
          </w:tcPr>
          <w:p>
            <w:pPr>
              <w:spacing w:after="0"/>
              <w:rPr>
                <w:sz w:val="1"/>
                <w:szCs w:val="1"/>
                <w:color w:val="auto"/>
              </w:rPr>
            </w:pP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1-31, 2025</w:t>
            </w:r>
          </w:p>
        </w:tc>
        <w:tc>
          <w:tcPr>
            <w:tcW w:w="204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16,861,674</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34.69</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16,861,674</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585,006,970</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12,335,165,676</w:t>
            </w:r>
          </w:p>
        </w:tc>
        <w:tc>
          <w:tcPr>
            <w:tcW w:w="0" w:type="dxa"/>
            <w:vAlign w:val="bottom"/>
          </w:tcPr>
          <w:p>
            <w:pPr>
              <w:spacing w:after="0"/>
              <w:rPr>
                <w:sz w:val="1"/>
                <w:szCs w:val="1"/>
                <w:color w:val="auto"/>
              </w:rPr>
            </w:pPr>
          </w:p>
        </w:tc>
      </w:tr>
      <w:tr>
        <w:trPr>
          <w:trHeight w:val="229"/>
        </w:trPr>
        <w:tc>
          <w:tcPr>
            <w:tcW w:w="1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1-30, 2025</w:t>
            </w:r>
          </w:p>
        </w:tc>
        <w:tc>
          <w:tcPr>
            <w:tcW w:w="20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10,337,795</w:t>
            </w:r>
          </w:p>
        </w:tc>
        <w:tc>
          <w:tcPr>
            <w:tcW w:w="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34.82</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10,337,795</w:t>
            </w:r>
          </w:p>
        </w:tc>
        <w:tc>
          <w:tcPr>
            <w:tcW w:w="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359,970,098</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11,975,195,578</w:t>
            </w:r>
          </w:p>
        </w:tc>
        <w:tc>
          <w:tcPr>
            <w:tcW w:w="0" w:type="dxa"/>
            <w:vAlign w:val="bottom"/>
          </w:tcPr>
          <w:p>
            <w:pPr>
              <w:spacing w:after="0"/>
              <w:rPr>
                <w:sz w:val="1"/>
                <w:szCs w:val="1"/>
                <w:color w:val="auto"/>
              </w:rPr>
            </w:pPr>
          </w:p>
        </w:tc>
      </w:tr>
      <w:tr>
        <w:trPr>
          <w:trHeight w:val="230"/>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49,283,221</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34.49</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49,283,221</w:t>
            </w:r>
          </w:p>
        </w:tc>
        <w:tc>
          <w:tcPr>
            <w:tcW w:w="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1,700,000,362</w:t>
            </w:r>
          </w:p>
        </w:tc>
        <w:tc>
          <w:tcPr>
            <w:tcW w:w="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11,975,195,578</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0" w:right="20" w:hanging="332"/>
        <w:spacing w:after="0" w:line="281" w:lineRule="auto"/>
        <w:tabs>
          <w:tab w:leader="none" w:pos="33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2024, our Board of Directors approved a new share repurchase authorization of $15 billion, which had no expiration date. In January of 2025, our Board of Directors terminated the existing program and approved a new share repurchase authorization of $15 billion effective as of January 31, 2025, which has no expiration date. We expect to repurchase additional shares of our Class A common stock under this authorization, in the open market or in private transactions, subject to market and other conditions.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Exhibit</w:t>
      </w:r>
    </w:p>
    <w:p>
      <w:pPr>
        <w:ind w:left="280"/>
        <w:spacing w:after="0"/>
        <w:tabs>
          <w:tab w:leader="none" w:pos="88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 w:lineRule="exact"/>
        <w:rPr>
          <w:sz w:val="20"/>
          <w:szCs w:val="20"/>
          <w:color w:val="auto"/>
        </w:rPr>
      </w:pPr>
    </w:p>
    <w:p>
      <w:pPr>
        <w:ind w:left="900" w:right="140" w:hanging="876"/>
        <w:spacing w:after="0" w:line="237" w:lineRule="auto"/>
        <w:tabs>
          <w:tab w:leader="none" w:pos="880" w:val="left"/>
        </w:tabs>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0000FF"/>
        </w:rPr>
        <w:tab/>
        <w:t>Comcast-NBCUniversal 2011 Employee Stock Purchase Plan, as amended and restated, effective June 18, 2025 (incorporated by reference to Exhibit 10.1 to Comcast’s Current Report on Form 8-K filed June 20, 2025).</w:t>
      </w:r>
    </w:p>
    <w:p>
      <w:pPr>
        <w:spacing w:after="0" w:line="10" w:lineRule="exact"/>
        <w:rPr>
          <w:sz w:val="20"/>
          <w:szCs w:val="20"/>
          <w:color w:val="auto"/>
        </w:rPr>
      </w:pPr>
    </w:p>
    <w:p>
      <w:pPr>
        <w:ind w:left="900" w:hanging="874"/>
        <w:spacing w:after="0"/>
        <w:tabs>
          <w:tab w:leader="none" w:pos="900" w:val="left"/>
        </w:tabs>
        <w:numPr>
          <w:ilvl w:val="0"/>
          <w:numId w:val="1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Section 302 of the Sarbanes-Oxley Act of 2002.</w:t>
      </w:r>
    </w:p>
    <w:p>
      <w:pPr>
        <w:spacing w:after="0" w:line="27" w:lineRule="exact"/>
        <w:rPr>
          <w:rFonts w:ascii="Times New Roman" w:cs="Times New Roman" w:eastAsia="Times New Roman" w:hAnsi="Times New Roman"/>
          <w:sz w:val="18"/>
          <w:szCs w:val="18"/>
          <w:u w:val="single" w:color="auto"/>
          <w:color w:val="0000FF"/>
        </w:rPr>
      </w:pPr>
    </w:p>
    <w:p>
      <w:pPr>
        <w:ind w:left="900" w:hanging="874"/>
        <w:spacing w:after="0"/>
        <w:tabs>
          <w:tab w:leader="none" w:pos="900" w:val="left"/>
        </w:tabs>
        <w:numPr>
          <w:ilvl w:val="0"/>
          <w:numId w:val="1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Section 906 of the Sarbanes-Oxley Act of 2002.</w:t>
      </w:r>
    </w:p>
    <w:p>
      <w:pPr>
        <w:spacing w:after="0" w:line="23" w:lineRule="exact"/>
        <w:rPr>
          <w:sz w:val="20"/>
          <w:szCs w:val="20"/>
          <w:color w:val="auto"/>
        </w:rPr>
      </w:pPr>
    </w:p>
    <w:p>
      <w:pPr>
        <w:jc w:val="both"/>
        <w:ind w:left="900" w:right="20" w:hanging="874"/>
        <w:spacing w:after="0" w:line="219"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Comcast Corporation’s Quarterly Report on Form 10-Q for the six months ended June 30, 2025, filed with the Securities and Exchange Commission on July 31, 2025, formatted in Inline Extensible Business Reporting Language (iXBRL): (i) the Condensed Consolidated Statements of Income; (ii) the Condensed Consolidated Statements of Comprehensive Income; (iii) the Condensed Consolidated Statements of Cash Flows; (iv) the Condensed Consolidated Balance Sheets; (v) the Condensed Consolidated Statements of Changes in Equity; and (vi) the Notes to Condensed Consolidated Financial Statements.</w:t>
      </w:r>
    </w:p>
    <w:p>
      <w:pPr>
        <w:spacing w:after="0" w:line="9"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p>
    <w:p>
      <w:pPr>
        <w:ind w:left="900" w:hanging="87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Constitutes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77" w:lineRule="exact"/>
        <w:rPr>
          <w:sz w:val="20"/>
          <w:szCs w:val="20"/>
          <w:color w:val="auto"/>
        </w:rPr>
      </w:pPr>
    </w:p>
    <w:p>
      <w:pPr>
        <w:ind w:left="5800"/>
        <w:spacing w:after="0"/>
        <w:tabs>
          <w:tab w:leader="none" w:pos="6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1032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Daniel C. Murdock</w:t>
      </w:r>
    </w:p>
    <w:p>
      <w:pPr>
        <w:ind w:left="6380"/>
        <w:spacing w:after="0" w:line="205" w:lineRule="auto"/>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7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4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36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I, Jason S. Armstrong, certify that:</w:t>
      </w:r>
    </w:p>
    <w:p>
      <w:pPr>
        <w:spacing w:after="0" w:line="63"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4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13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68"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Brian L. Roberts, the Chief Executive Officer and Jason S. Armstrong, the Chief Financial Officer of Comcast Corporation, each certifies that, to the best of his knowledge:</w:t>
      </w:r>
    </w:p>
    <w:p>
      <w:pPr>
        <w:spacing w:after="0" w:line="54"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660" w:right="52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Comcast Corporation.</w:t>
      </w:r>
    </w:p>
    <w:p>
      <w:pPr>
        <w:spacing w:after="0" w:line="9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34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2"/>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31"/>
    </w:lvl>
  </w:abstractNum>
  <w:abstractNum w:abstractNumId="19">
    <w:nsid w:val="721DA317"/>
    <w:multiLevelType w:val="hybridMultilevel"/>
    <w:lvl w:ilvl="0">
      <w:lvlJc w:val="left"/>
      <w:lvlText w:val="%1"/>
      <w:numFmt w:val="decimal"/>
      <w:start w:val="10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55" Type="http://schemas.openxmlformats.org/officeDocument/2006/relationships/hyperlink" Target="https://www.sec.gov/Archives/edgar/data/1166691/000116669125000027/exhibit101-nbcuesp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2025-07-31T14:21:28Z</dcterms:created>
  <dcterms:modified xsi:type="dcterms:W3CDTF">2025-07-31T14:21:28Z</dcterms:modified>
</cp:coreProperties>
</file>