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1"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December 8, 2004</w:t>
      </w:r>
    </w:p>
    <w:p>
      <w:pPr>
        <w:spacing w:after="0" w:line="12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503" w:right="639" w:bottom="1440" w:gutter="0" w:footer="0" w:header="0"/>
        </w:sectPr>
      </w:pPr>
    </w:p>
    <w:p>
      <w:pPr>
        <w:spacing w:after="0" w:line="121" w:lineRule="exact"/>
        <w:rPr>
          <w:sz w:val="24"/>
          <w:szCs w:val="24"/>
          <w:color w:val="auto"/>
        </w:rPr>
      </w:pPr>
    </w:p>
    <w:p>
      <w:pPr>
        <w:ind w:left="1460"/>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000-50093</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27-0000798</w:t>
      </w:r>
    </w:p>
    <w:p>
      <w:pPr>
        <w:spacing w:after="0" w:line="47" w:lineRule="exact"/>
        <w:rPr>
          <w:sz w:val="24"/>
          <w:szCs w:val="24"/>
          <w:color w:val="auto"/>
        </w:rPr>
      </w:pPr>
    </w:p>
    <w:p>
      <w:pPr>
        <w:sectPr>
          <w:pgSz w:w="11900" w:h="16838" w:orient="portrait"/>
          <w:cols w:equalWidth="0" w:num="3">
            <w:col w:w="4740" w:space="720"/>
            <w:col w:w="3000" w:space="720"/>
            <w:col w:w="1840"/>
          </w:cols>
          <w:pgMar w:left="240" w:top="503"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43" w:lineRule="exact"/>
        <w:rPr>
          <w:sz w:val="24"/>
          <w:szCs w:val="24"/>
          <w:color w:val="auto"/>
        </w:rPr>
      </w:pPr>
    </w:p>
    <w:p>
      <w:pPr>
        <w:sectPr>
          <w:pgSz w:w="11900" w:h="16838" w:orient="portrait"/>
          <w:cols w:equalWidth="0" w:num="3">
            <w:col w:w="4740" w:space="720"/>
            <w:col w:w="2880" w:space="720"/>
            <w:col w:w="1960"/>
          </w:cols>
          <w:pgMar w:left="240" w:top="503" w:right="639" w:bottom="1440" w:gutter="0" w:footer="0" w:header="0"/>
          <w:type w:val="continuous"/>
        </w:sectPr>
      </w:pPr>
    </w:p>
    <w:p>
      <w:pPr>
        <w:ind w:left="1500"/>
        <w:spacing w:after="0"/>
        <w:rPr>
          <w:sz w:val="20"/>
          <w:szCs w:val="20"/>
          <w:color w:val="auto"/>
        </w:rPr>
      </w:pPr>
      <w:r>
        <w:rPr>
          <w:rFonts w:ascii="Arial" w:cs="Arial" w:eastAsia="Arial" w:hAnsi="Arial"/>
          <w:sz w:val="16"/>
          <w:szCs w:val="16"/>
          <w:b w:val="1"/>
          <w:bCs w:val="1"/>
          <w:color w:val="auto"/>
        </w:rPr>
        <w:t>1500 Market Street Philadelphia, PA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19102-2148</w:t>
      </w:r>
    </w:p>
    <w:p>
      <w:pPr>
        <w:spacing w:after="0" w:line="55" w:lineRule="exact"/>
        <w:rPr>
          <w:sz w:val="24"/>
          <w:szCs w:val="24"/>
          <w:color w:val="auto"/>
        </w:rPr>
      </w:pPr>
    </w:p>
    <w:p>
      <w:pPr>
        <w:sectPr>
          <w:pgSz w:w="11900" w:h="16838" w:orient="portrait"/>
          <w:cols w:equalWidth="0" w:num="2">
            <w:col w:w="7540" w:space="720"/>
            <w:col w:w="2760"/>
          </w:cols>
          <w:pgMar w:left="240" w:top="503"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640"/>
          </w:cols>
          <w:pgMar w:left="240" w:top="503"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(215) 665-1700</w:t>
      </w:r>
    </w:p>
    <w:p>
      <w:pPr>
        <w:spacing w:after="0" w:line="15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3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03"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December 8, 2004, Comcast Corporation’s Board of Directors adopted the 2005 Deferred Compensation Plan (the “Plan”), which will become effective January 1, 2005. Under the Plan, Comcast Corporation will provide employees and non-employee directors who are eligible to participate in the Plan with the opportunity to defer compensation. The amount of compensation to be deferred by each participating employee or non-employee director (each a “Participant”) will be based on elections by each Participant. Deferred compensation will be credited to participants’ account balances under the Plan. Account balances of employee Participants will be credited with income, gains and losses based on a fixed annual rate of interest. Account balances of non-employee director Participants will be credited with income, gains and losses based on either a fixed annual rate of interest or on the performance of Comcast Corporation’s Class A Common Stock, at the non-employee director Participant’s investment direction under the Plan. Participants will be eligible to receive distributions of the amounts credited to their account balance at a time or times established under the rules of the Plan on a basis consistent with applicable tax law principles. A copy of the Plan is attached hereto pursuant to paragraph (c) of Item 9.01 of Form 8-K as Exhibit 10.1.</w:t>
      </w:r>
    </w:p>
    <w:p>
      <w:pPr>
        <w:spacing w:after="0" w:line="10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83"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Comcast Corporation 2005 Deferred Compensation Plan.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400"/>
          </w:cols>
          <w:pgMar w:left="240" w:top="274" w:right="259" w:bottom="1440" w:gutter="0" w:footer="0" w:header="0"/>
        </w:sectPr>
      </w:pP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color w:val="auto"/>
        </w:rPr>
        <w:t>Dated: December 8, 2004</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right="1600"/>
        <w:spacing w:after="0"/>
        <w:rPr>
          <w:sz w:val="20"/>
          <w:szCs w:val="20"/>
          <w:color w:val="auto"/>
        </w:rPr>
      </w:pPr>
      <w:r>
        <w:rPr>
          <w:rFonts w:ascii="Arial" w:cs="Arial" w:eastAsia="Arial" w:hAnsi="Arial"/>
          <w:sz w:val="16"/>
          <w:szCs w:val="16"/>
          <w:color w:val="auto"/>
        </w:rPr>
        <w:t>COMCAST CORPORATION</w:t>
      </w:r>
    </w:p>
    <w:p>
      <w:pPr>
        <w:spacing w:after="0" w:line="38" w:lineRule="exact"/>
        <w:rPr>
          <w:sz w:val="20"/>
          <w:szCs w:val="20"/>
          <w:color w:val="auto"/>
        </w:rPr>
      </w:pPr>
    </w:p>
    <w:p>
      <w:pPr>
        <w:jc w:val="center"/>
        <w:ind w:right="16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ectPr>
          <w:pgSz w:w="11900" w:h="16838" w:orient="portrait"/>
          <w:cols w:equalWidth="0" w:num="2">
            <w:col w:w="6960" w:space="720"/>
            <w:col w:w="3720"/>
          </w:cols>
          <w:pgMar w:left="240" w:top="274" w:right="259" w:bottom="1440" w:gutter="0" w:footer="0" w:header="0"/>
          <w:type w:val="continuous"/>
        </w:sectPr>
      </w:pPr>
    </w:p>
    <w:p>
      <w:pPr>
        <w:spacing w:after="0" w:line="19"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10795</wp:posOffset>
            </wp:positionV>
            <wp:extent cx="32499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6300" w:space="100"/>
            <w:col w:w="5000"/>
          </w:cols>
          <w:pgMar w:left="240" w:top="274" w:right="259" w:bottom="1440" w:gutter="0" w:footer="0" w:header="0"/>
          <w:type w:val="continuous"/>
        </w:sectPr>
      </w:pPr>
    </w:p>
    <w:p>
      <w:pPr>
        <w:ind w:left="6400"/>
        <w:spacing w:after="0"/>
        <w:rPr>
          <w:sz w:val="20"/>
          <w:szCs w:val="20"/>
          <w:color w:val="auto"/>
        </w:rPr>
      </w:pPr>
      <w:r>
        <w:rPr>
          <w:rFonts w:ascii="Arial" w:cs="Arial" w:eastAsia="Arial" w:hAnsi="Arial"/>
          <w:sz w:val="16"/>
          <w:szCs w:val="16"/>
          <w:color w:val="auto"/>
        </w:rPr>
        <w:t>Arthur R. Block, Senior Vice President,</w:t>
      </w:r>
    </w:p>
    <w:p>
      <w:pPr>
        <w:spacing w:after="0" w:line="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General Counsel and Secretary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274"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900" w:type="dxa"/>
            <w:vAlign w:val="bottom"/>
          </w:tcPr>
          <w:p>
            <w:pPr>
              <w:jc w:val="center"/>
              <w:ind w:left="2452"/>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880" w:type="dxa"/>
            <w:vAlign w:val="bottom"/>
          </w:tcPr>
          <w:p>
            <w:pPr>
              <w:jc w:val="right"/>
              <w:ind w:right="22"/>
              <w:spacing w:after="0"/>
              <w:rPr>
                <w:sz w:val="20"/>
                <w:szCs w:val="20"/>
                <w:color w:val="auto"/>
              </w:rPr>
            </w:pPr>
            <w:r>
              <w:rPr>
                <w:rFonts w:ascii="Arial" w:cs="Arial" w:eastAsia="Arial" w:hAnsi="Arial"/>
                <w:sz w:val="14"/>
                <w:szCs w:val="14"/>
                <w:b w:val="1"/>
                <w:bCs w:val="1"/>
                <w:color w:val="auto"/>
              </w:rPr>
              <w:t>Exhibit No.</w:t>
            </w:r>
          </w:p>
        </w:tc>
        <w:tc>
          <w:tcPr>
            <w:tcW w:w="76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r>
      <w:tr>
        <w:trPr>
          <w:trHeight w:val="316"/>
        </w:trPr>
        <w:tc>
          <w:tcPr>
            <w:tcW w:w="880" w:type="dxa"/>
            <w:vAlign w:val="bottom"/>
          </w:tcPr>
          <w:p>
            <w:pPr>
              <w:jc w:val="right"/>
              <w:spacing w:after="0"/>
              <w:rPr>
                <w:sz w:val="20"/>
                <w:szCs w:val="20"/>
                <w:color w:val="auto"/>
              </w:rPr>
            </w:pPr>
            <w:r>
              <w:rPr>
                <w:rFonts w:ascii="Arial" w:cs="Arial" w:eastAsia="Arial" w:hAnsi="Arial"/>
                <w:sz w:val="18"/>
                <w:szCs w:val="18"/>
                <w:color w:val="auto"/>
              </w:rPr>
              <w:t>10.1</w:t>
            </w:r>
          </w:p>
        </w:tc>
        <w:tc>
          <w:tcPr>
            <w:tcW w:w="76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Comcast Corporation 2005 Deferred Compensation Plan</w:t>
            </w:r>
          </w:p>
        </w:tc>
      </w:tr>
      <w:tr>
        <w:trPr>
          <w:trHeight w:val="365"/>
        </w:trPr>
        <w:tc>
          <w:tcPr>
            <w:tcW w:w="880" w:type="dxa"/>
            <w:vAlign w:val="bottom"/>
          </w:tcPr>
          <w:p>
            <w:pPr>
              <w:spacing w:after="0"/>
              <w:rPr>
                <w:sz w:val="24"/>
                <w:szCs w:val="24"/>
                <w:color w:val="auto"/>
              </w:rPr>
            </w:pPr>
          </w:p>
        </w:tc>
        <w:tc>
          <w:tcPr>
            <w:tcW w:w="5520" w:type="dxa"/>
            <w:vAlign w:val="bottom"/>
            <w:gridSpan w:val="3"/>
          </w:tcPr>
          <w:p>
            <w:pPr>
              <w:jc w:val="right"/>
              <w:ind w:right="492"/>
              <w:spacing w:after="0"/>
              <w:rPr>
                <w:sz w:val="20"/>
                <w:szCs w:val="20"/>
                <w:color w:val="auto"/>
              </w:rPr>
            </w:pPr>
            <w:r>
              <w:rPr>
                <w:rFonts w:ascii="Arial" w:cs="Arial" w:eastAsia="Arial" w:hAnsi="Arial"/>
                <w:sz w:val="18"/>
                <w:szCs w:val="18"/>
                <w:color w:val="auto"/>
              </w:rPr>
              <w:t>-3-</w:t>
            </w:r>
          </w:p>
        </w:tc>
      </w:tr>
    </w:tbl>
    <w:p>
      <w:pPr>
        <w:jc w:val="right"/>
        <w:ind w:right="492"/>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DEFERRED COMPENSATION PLAN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 BACKGROUND AND COVERAGE OF PLAN</w:t>
      </w:r>
    </w:p>
    <w:p>
      <w:pPr>
        <w:spacing w:after="0" w:line="164"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Background and Adoption of Plan</w:t>
      </w:r>
      <w:r>
        <w:rPr>
          <w:rFonts w:ascii="Arial" w:cs="Arial" w:eastAsia="Arial" w:hAnsi="Arial"/>
          <w:sz w:val="18"/>
          <w:szCs w:val="18"/>
          <w:color w:val="auto"/>
        </w:rPr>
        <w:t>. In recognition of the services provided by certain key employees and in order to make additional retirement benefits and increased financial security available on a tax-favored basis to those individuals, the Board of Directors of Comcast Corporation, a Pennsylvania corporation (the “Board”), hereby adopts the Comcast Corporation 2005 Deferred Compensation Plan (the “Plan”), effective January 1, 2005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13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Prior to the Effective Date, the Comcast Corporation 2002 Deferred Compensation Plan (the “2002 Plan”) was in effect. In order to preserve the favorable tax treatment available to deferrals under the 2002 Plan in light of the American Jobs Creation Act of 2004 and the regulations issued by the Department of the Treasury thereunder (the “</w:t>
      </w:r>
      <w:r>
        <w:rPr>
          <w:rFonts w:ascii="Arial" w:cs="Arial" w:eastAsia="Arial" w:hAnsi="Arial"/>
          <w:sz w:val="16"/>
          <w:szCs w:val="16"/>
          <w:u w:val="single" w:color="auto"/>
          <w:color w:val="auto"/>
        </w:rPr>
        <w:t>AJCA</w:t>
      </w:r>
      <w:r>
        <w:rPr>
          <w:rFonts w:ascii="Arial" w:cs="Arial" w:eastAsia="Arial" w:hAnsi="Arial"/>
          <w:sz w:val="16"/>
          <w:szCs w:val="16"/>
          <w:color w:val="auto"/>
        </w:rPr>
        <w:t>”), the Board has prohibited future deferrals under the 2002 Plan of amounts earned and vested on and after the Effective Date. Amounts earned and vested prior to the Effective Date are and will remain subject to the terms of the 2002 Plan. Amounts earned and vested on and after the Effective Date will be available to be deferred pursuant to the Plan, subject to its terms and conditions.</w:t>
      </w:r>
    </w:p>
    <w:p>
      <w:pPr>
        <w:spacing w:after="0" w:line="10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Reservation of Right to Amend to Comply with AJCA</w:t>
      </w:r>
      <w:r>
        <w:rPr>
          <w:rFonts w:ascii="Arial" w:cs="Arial" w:eastAsia="Arial" w:hAnsi="Arial"/>
          <w:sz w:val="18"/>
          <w:szCs w:val="18"/>
          <w:color w:val="auto"/>
        </w:rPr>
        <w:t>. The Board reserves the right to amend the Plan, either retroactively or prospectively, in whatever respect is required to achieve and maintain compliance with the requirements of the AJCA.</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Plan Unfunded and Limited to Outside Directors and Select Group of Management or Highly Compensated Employees</w:t>
      </w:r>
      <w:r>
        <w:rPr>
          <w:rFonts w:ascii="Arial" w:cs="Arial" w:eastAsia="Arial" w:hAnsi="Arial"/>
          <w:sz w:val="16"/>
          <w:szCs w:val="16"/>
          <w:color w:val="auto"/>
        </w:rPr>
        <w:t>. The Plan is unfunded and is maintained primarily for the purpose of providing outside directors and a select group of management or highly compensated employees the opportunity to defer the receipt of compensation otherwise payable to such outside directors and eligible employees in accordance with the terms of the Plan.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 DEFINITIONS</w:t>
      </w:r>
    </w:p>
    <w:p>
      <w:pPr>
        <w:spacing w:after="0" w:line="164"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w:t>
      </w:r>
    </w:p>
    <w:p>
      <w:pPr>
        <w:spacing w:after="0" w:line="77" w:lineRule="exact"/>
        <w:rPr>
          <w:sz w:val="20"/>
          <w:szCs w:val="20"/>
          <w:color w:val="auto"/>
        </w:rPr>
      </w:pPr>
    </w:p>
    <w:p>
      <w:pPr>
        <w:ind w:left="1140" w:hanging="237"/>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Participant who is in active service as an Outside Director;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Participant who is actively employed by a Participating Company as an Eligible Employee.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Committee.</w:t>
      </w:r>
    </w:p>
    <w:p>
      <w:pPr>
        <w:sectPr>
          <w:pgSz w:w="11900" w:h="16838" w:orient="portrait"/>
          <w:cols w:equalWidth="0" w:num="1">
            <w:col w:w="11420"/>
          </w:cols>
          <w:pgMar w:left="240" w:top="274" w:right="239" w:bottom="1440" w:gutter="0" w:footer="0" w:header="0"/>
        </w:sectPr>
      </w:pPr>
    </w:p>
    <w:bookmarkStart w:id="4" w:name="page5"/>
    <w:bookmarkEnd w:id="4"/>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3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77" w:lineRule="exact"/>
        <w:rPr>
          <w:sz w:val="20"/>
          <w:szCs w:val="20"/>
          <w:color w:val="auto"/>
        </w:rPr>
      </w:pPr>
    </w:p>
    <w:p>
      <w:pPr>
        <w:ind w:left="460" w:right="300" w:firstLine="443"/>
        <w:spacing w:after="0" w:line="325" w:lineRule="auto"/>
        <w:tabs>
          <w:tab w:leader="none" w:pos="1137" w:val="left"/>
        </w:tabs>
        <w:numPr>
          <w:ilvl w:val="0"/>
          <w:numId w:val="4"/>
        </w:numPr>
        <w:rPr>
          <w:rFonts w:ascii="Arial" w:cs="Arial" w:eastAsia="Arial" w:hAnsi="Arial"/>
          <w:sz w:val="16"/>
          <w:szCs w:val="16"/>
          <w:color w:val="auto"/>
        </w:rPr>
      </w:pPr>
      <w:r>
        <w:rPr>
          <w:rFonts w:ascii="Arial" w:cs="Arial" w:eastAsia="Arial" w:hAnsi="Arial"/>
          <w:sz w:val="16"/>
          <w:szCs w:val="16"/>
          <w:color w:val="auto"/>
        </w:rPr>
        <w:t>Except as otherwise provided in Sections 2.7(b), the Applicable Interest Rate means the interest rate that, when compounded daily pursuant to rules established by the Administrator from time to time, is mathematically equivalent to 12% per annum, compounded annually.</w:t>
      </w:r>
    </w:p>
    <w:p>
      <w:pPr>
        <w:spacing w:after="0" w:line="1" w:lineRule="exact"/>
        <w:rPr>
          <w:rFonts w:ascii="Arial" w:cs="Arial" w:eastAsia="Arial" w:hAnsi="Arial"/>
          <w:sz w:val="16"/>
          <w:szCs w:val="16"/>
          <w:color w:val="auto"/>
        </w:rPr>
      </w:pPr>
    </w:p>
    <w:p>
      <w:pPr>
        <w:ind w:left="460" w:firstLine="443"/>
        <w:spacing w:after="0" w:line="294" w:lineRule="auto"/>
        <w:tabs>
          <w:tab w:leader="none" w:pos="1147" w:val="left"/>
        </w:tabs>
        <w:numPr>
          <w:ilvl w:val="0"/>
          <w:numId w:val="4"/>
        </w:numPr>
        <w:rPr>
          <w:rFonts w:ascii="Arial" w:cs="Arial" w:eastAsia="Arial" w:hAnsi="Arial"/>
          <w:sz w:val="16"/>
          <w:szCs w:val="16"/>
          <w:color w:val="auto"/>
        </w:rPr>
      </w:pPr>
      <w:r>
        <w:rPr>
          <w:rFonts w:ascii="Arial" w:cs="Arial" w:eastAsia="Arial" w:hAnsi="Arial"/>
          <w:sz w:val="16"/>
          <w:szCs w:val="16"/>
          <w:color w:val="auto"/>
        </w:rPr>
        <w:t>Except to the extent otherwise required by Section 10.2, effective for the period beginning as soon as administratively practicable following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Notwithstanding the foregoing, the Administrator may delegate its authority to determine the Applicable Interest Rate under this Section 2.6(b) to an officer of the Company or committee of two or more officers of the Company.</w:t>
      </w:r>
    </w:p>
    <w:p>
      <w:pPr>
        <w:spacing w:after="0" w:line="10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Beneficiary</w:t>
      </w:r>
      <w:r>
        <w:rPr>
          <w:rFonts w:ascii="Arial" w:cs="Arial" w:eastAsia="Arial" w:hAnsi="Arial"/>
          <w:sz w:val="16"/>
          <w:szCs w:val="16"/>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5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2.9. “</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2.11.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of the Company.</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18"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Company Stock</w:t>
      </w:r>
      <w:r>
        <w:rPr>
          <w:rFonts w:ascii="Arial" w:cs="Arial" w:eastAsia="Arial" w:hAnsi="Arial"/>
          <w:sz w:val="16"/>
          <w:szCs w:val="16"/>
          <w:color w:val="auto"/>
        </w:rPr>
        <w:t>” means with respect to amounts credited to the Company Stock Fund pursuant to deferral elections by Outside Directors made pursuant to Section 3.1(a), Comcast Corporation Class A Common Stock, par value $0.01, including a fractional share, and such other securities issued by Comcast Corporation as may be subject to adjustment in the event that shares of either class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2.13. The Committee’s adjustment shall be effective and binding for all purposes of the Plan.</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based on the Fair Market Value of the Company Stock for such December 31.</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Compensation</w:t>
      </w:r>
      <w:r>
        <w:rPr>
          <w:rFonts w:ascii="Arial" w:cs="Arial" w:eastAsia="Arial" w:hAnsi="Arial"/>
          <w:sz w:val="18"/>
          <w:szCs w:val="18"/>
          <w:color w:val="auto"/>
        </w:rPr>
        <w:t>” means:</w:t>
      </w:r>
    </w:p>
    <w:p>
      <w:pPr>
        <w:spacing w:after="0" w:line="77" w:lineRule="exact"/>
        <w:rPr>
          <w:sz w:val="20"/>
          <w:szCs w:val="20"/>
          <w:color w:val="auto"/>
        </w:rPr>
      </w:pPr>
    </w:p>
    <w:p>
      <w:pPr>
        <w:ind w:left="460" w:right="140" w:firstLine="443"/>
        <w:spacing w:after="0" w:line="259" w:lineRule="auto"/>
        <w:tabs>
          <w:tab w:leader="none" w:pos="113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case of an Outside Director, the total remuneration payable in cash or payable in Company Stock (as elected by the Outside Director pursuant to the Comcast Corporation 2003 Director Compensation Plan) for services as a member of the Board and as a member of any Committee of the Board; and</w:t>
      </w:r>
    </w:p>
    <w:p>
      <w:pPr>
        <w:spacing w:after="0" w:line="45"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case of an Eligible Employee, the total cash remuneration for services payable by a Participating Company, excluding (i) Severance Pay and (ii) sales commissions or other similar payments or awards.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2.16. “</w:t>
      </w:r>
      <w:r>
        <w:rPr>
          <w:rFonts w:ascii="Arial" w:cs="Arial" w:eastAsia="Arial" w:hAnsi="Arial"/>
          <w:sz w:val="16"/>
          <w:szCs w:val="16"/>
          <w:u w:val="single" w:color="auto"/>
          <w:color w:val="auto"/>
        </w:rPr>
        <w:t>Death Tax Clearance Date</w:t>
      </w:r>
      <w:r>
        <w:rPr>
          <w:rFonts w:ascii="Arial" w:cs="Arial" w:eastAsia="Arial" w:hAnsi="Arial"/>
          <w:sz w:val="16"/>
          <w:szCs w:val="16"/>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 w:name="page7"/>
    <w:bookmarkEnd w:id="6"/>
    <w:p>
      <w:pPr>
        <w:ind w:right="10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2.17. “</w:t>
      </w:r>
      <w:r>
        <w:rPr>
          <w:rFonts w:ascii="Arial" w:cs="Arial" w:eastAsia="Arial" w:hAnsi="Arial"/>
          <w:sz w:val="16"/>
          <w:szCs w:val="16"/>
          <w:u w:val="single" w:color="auto"/>
          <w:color w:val="auto"/>
        </w:rPr>
        <w:t>Death Taxes</w:t>
      </w:r>
      <w:r>
        <w:rPr>
          <w:rFonts w:ascii="Arial" w:cs="Arial" w:eastAsia="Arial" w:hAnsi="Arial"/>
          <w:sz w:val="16"/>
          <w:szCs w:val="16"/>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7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Deceased Participant</w:t>
      </w:r>
      <w:r>
        <w:rPr>
          <w:rFonts w:ascii="Arial" w:cs="Arial" w:eastAsia="Arial" w:hAnsi="Arial"/>
          <w:sz w:val="18"/>
          <w:szCs w:val="18"/>
          <w:color w:val="auto"/>
        </w:rPr>
        <w:t>” means a Participant whose employment, or, in the case of a Participant who was an Outside Director, a Participant whose service as an Outside Director, is terminated by death.</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77" w:lineRule="exact"/>
        <w:rPr>
          <w:sz w:val="20"/>
          <w:szCs w:val="20"/>
          <w:color w:val="auto"/>
        </w:rPr>
      </w:pPr>
    </w:p>
    <w:p>
      <w:pPr>
        <w:ind w:left="460" w:right="340" w:firstLine="443"/>
        <w:spacing w:after="0" w:line="325" w:lineRule="auto"/>
        <w:tabs>
          <w:tab w:leader="none" w:pos="1137"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1" w:lineRule="exact"/>
        <w:rPr>
          <w:rFonts w:ascii="Arial" w:cs="Arial" w:eastAsia="Arial" w:hAnsi="Arial"/>
          <w:sz w:val="16"/>
          <w:szCs w:val="16"/>
          <w:color w:val="auto"/>
        </w:rPr>
      </w:pPr>
    </w:p>
    <w:p>
      <w:pPr>
        <w:ind w:left="460" w:right="100" w:firstLine="443"/>
        <w:spacing w:after="0" w:line="306" w:lineRule="auto"/>
        <w:tabs>
          <w:tab w:leader="none" w:pos="1147" w:val="left"/>
        </w:tabs>
        <w:numPr>
          <w:ilvl w:val="0"/>
          <w:numId w:val="6"/>
        </w:numPr>
        <w:rPr>
          <w:rFonts w:ascii="Arial" w:cs="Arial" w:eastAsia="Arial" w:hAnsi="Arial"/>
          <w:sz w:val="16"/>
          <w:szCs w:val="16"/>
          <w:color w:val="auto"/>
        </w:rPr>
      </w:pPr>
      <w:r>
        <w:rPr>
          <w:rFonts w:ascii="Arial" w:cs="Arial" w:eastAsia="Arial" w:hAnsi="Arial"/>
          <w:sz w:val="16"/>
          <w:szCs w:val="16"/>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Disabled Participant</w:t>
      </w:r>
      <w:r>
        <w:rPr>
          <w:rFonts w:ascii="Arial" w:cs="Arial" w:eastAsia="Arial" w:hAnsi="Arial"/>
          <w:sz w:val="18"/>
          <w:szCs w:val="18"/>
          <w:color w:val="auto"/>
        </w:rPr>
        <w:t>” means:</w:t>
      </w:r>
    </w:p>
    <w:p>
      <w:pPr>
        <w:spacing w:after="0" w:line="77" w:lineRule="exact"/>
        <w:rPr>
          <w:sz w:val="20"/>
          <w:szCs w:val="20"/>
          <w:color w:val="auto"/>
        </w:rPr>
      </w:pPr>
    </w:p>
    <w:p>
      <w:pPr>
        <w:ind w:left="460" w:firstLine="443"/>
        <w:spacing w:after="0" w:line="268" w:lineRule="auto"/>
        <w:tabs>
          <w:tab w:leader="none" w:pos="1137"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a Participant whose service as an Outside Director, is terminated by reason of Disability;</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Section 2.20(a) acting on behalf of such individual.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w:t>
      </w:r>
    </w:p>
    <w:p>
      <w:pPr>
        <w:spacing w:after="0" w:line="77" w:lineRule="exact"/>
        <w:rPr>
          <w:sz w:val="20"/>
          <w:szCs w:val="20"/>
          <w:color w:val="auto"/>
        </w:rPr>
      </w:pPr>
    </w:p>
    <w:p>
      <w:pPr>
        <w:ind w:left="1140" w:hanging="237"/>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Grandfathered Employee.</w:t>
      </w:r>
    </w:p>
    <w:p>
      <w:pPr>
        <w:spacing w:after="0" w:line="76"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37" w:lineRule="exact"/>
        <w:rPr>
          <w:rFonts w:ascii="Arial" w:cs="Arial" w:eastAsia="Arial" w:hAnsi="Arial"/>
          <w:sz w:val="18"/>
          <w:szCs w:val="18"/>
          <w:color w:val="auto"/>
        </w:rPr>
      </w:pPr>
    </w:p>
    <w:p>
      <w:pPr>
        <w:ind w:left="1140" w:hanging="237"/>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Each other employee of a Participating Company who is designated by the Committee, in its discretion, as an Eligible Employee.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77" w:lineRule="exact"/>
        <w:rPr>
          <w:sz w:val="20"/>
          <w:szCs w:val="20"/>
          <w:color w:val="auto"/>
        </w:rPr>
      </w:pPr>
    </w:p>
    <w:p>
      <w:pPr>
        <w:ind w:left="460" w:right="60" w:firstLine="443"/>
        <w:spacing w:after="0" w:line="268" w:lineRule="auto"/>
        <w:tabs>
          <w:tab w:leader="none" w:pos="1137"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shares of Company Stock are listed on a stock exchange, Fair Market Value shall be determined based on the last reported sale price of a share on the principal</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 on which shares are listed on the date of determination, or if such date is not a trading day, the next trading date.</w:t>
      </w:r>
    </w:p>
    <w:p>
      <w:pPr>
        <w:spacing w:after="0" w:line="77" w:lineRule="exact"/>
        <w:rPr>
          <w:sz w:val="20"/>
          <w:szCs w:val="20"/>
          <w:color w:val="auto"/>
        </w:rPr>
      </w:pPr>
    </w:p>
    <w:p>
      <w:pPr>
        <w:ind w:left="460" w:right="200" w:firstLine="443"/>
        <w:spacing w:after="0" w:line="259" w:lineRule="auto"/>
        <w:tabs>
          <w:tab w:leader="none" w:pos="11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45" w:lineRule="exact"/>
        <w:rPr>
          <w:rFonts w:ascii="Arial" w:cs="Arial" w:eastAsia="Arial" w:hAnsi="Arial"/>
          <w:sz w:val="18"/>
          <w:szCs w:val="18"/>
          <w:color w:val="auto"/>
        </w:rPr>
      </w:pPr>
    </w:p>
    <w:p>
      <w:pPr>
        <w:ind w:left="1140" w:hanging="237"/>
        <w:spacing w:after="0"/>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shares of Company Stock are not so listed nor trades of shares so reported, Fair Market Value shall be determined by the Committee in good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faith.</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Grandfathered Employee</w:t>
      </w:r>
      <w:r>
        <w:rPr>
          <w:rFonts w:ascii="Arial" w:cs="Arial" w:eastAsia="Arial" w:hAnsi="Arial"/>
          <w:sz w:val="18"/>
          <w:szCs w:val="18"/>
          <w:color w:val="auto"/>
        </w:rPr>
        <w:t>” means:</w:t>
      </w:r>
    </w:p>
    <w:p>
      <w:pPr>
        <w:spacing w:after="0" w:line="77" w:lineRule="exact"/>
        <w:rPr>
          <w:sz w:val="20"/>
          <w:szCs w:val="20"/>
          <w:color w:val="auto"/>
        </w:rPr>
      </w:pPr>
    </w:p>
    <w:p>
      <w:pPr>
        <w:ind w:left="460" w:right="440" w:firstLine="443"/>
        <w:spacing w:after="0" w:line="268" w:lineRule="auto"/>
        <w:tabs>
          <w:tab w:leader="none" w:pos="11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employee of a Participating Company who, as of December 31, 1989, was eligible to participate in the Prior Plan and who has been in continuous service to the Company or an Affiliate since December 31, 1989.</w:t>
      </w:r>
    </w:p>
    <w:p>
      <w:pPr>
        <w:spacing w:after="0" w:line="37"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employee of a Participating Company who was, at any time before January 1, 1995, eligible to participate in the Comcast Corporation Deferred Compensation Plan and whose Annual Rate of Pay is $90,000 or more as of both (i) the date on which an Initial Election is filed with the Administrator and (ii) the first day of each calendar year beginning after December 31, 1994.</w:t>
      </w:r>
    </w:p>
    <w:p>
      <w:pPr>
        <w:spacing w:after="0" w:line="45" w:lineRule="exact"/>
        <w:rPr>
          <w:rFonts w:ascii="Arial" w:cs="Arial" w:eastAsia="Arial" w:hAnsi="Arial"/>
          <w:sz w:val="18"/>
          <w:szCs w:val="18"/>
          <w:color w:val="auto"/>
        </w:rPr>
      </w:pPr>
    </w:p>
    <w:p>
      <w:pPr>
        <w:ind w:left="460" w:firstLine="443"/>
        <w:spacing w:after="0" w:line="259" w:lineRule="auto"/>
        <w:tabs>
          <w:tab w:leader="none" w:pos="11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individual who was an employee of an entity that was a Participating Company in the Prior Plan as of June 30, 2002 and who has an Annual Rate of Pay of $125,000 as of each of (i) June 30, 2002; (ii) the date on which an Initial Election is filed with the Administrator and (iii) the first day of each calendar year beginning after December 31, 2002.</w:t>
      </w:r>
    </w:p>
    <w:p>
      <w:pPr>
        <w:spacing w:after="0" w:line="45"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employee of a Participating Company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3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2.24. “</w:t>
      </w:r>
      <w:r>
        <w:rPr>
          <w:rFonts w:ascii="Arial" w:cs="Arial" w:eastAsia="Arial" w:hAnsi="Arial"/>
          <w:sz w:val="15"/>
          <w:szCs w:val="15"/>
          <w:u w:val="single" w:color="auto"/>
          <w:color w:val="auto"/>
        </w:rPr>
        <w:t>Hardship</w:t>
      </w:r>
      <w:r>
        <w:rPr>
          <w:rFonts w:ascii="Arial" w:cs="Arial" w:eastAsia="Arial" w:hAnsi="Arial"/>
          <w:sz w:val="15"/>
          <w:szCs w:val="15"/>
          <w:color w:val="auto"/>
        </w:rPr>
        <w:t>” means a Participant’s severe financial hardship due to an unforeseeable emergency resulting from a sudden and unexpected illness or accident of the Participant, or, a sudden and unexpected illness or accident of a dependent (as defined by section 152(a) of the Code) of the Participant, or loss of the Participant’s property due to casualty, or other similar and extraordinary unforeseeable circumstances arising as a result of events beyond the control of the Participant. A need to send the Participant’s child to college or a desire to purchase a home is not an unforeseeable emergency. No Hardship shall be deemed to exist to the extent that the financial hardship is or may be relieved (a) through reimbursement or compensation by insurance or otherwise, (b) by borrowing from commercial sources on reasonable commercial terms to the extent that this borrowing would not itself cause a severe financial hardship, (c) by cessation of deferrals under the Plan, or (d) by liquidation of the Participant’s other assets (including assets of the Participant’s spouse and minor children that are</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 w:name="page9"/>
    <w:bookmarkEnd w:id="8"/>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reasonably available to the Participant) to the extent that this liquidation would not itself cause severe financial hardship. For the purposes of the preceding sentence, the Participant’s resources shall be deemed to include those assets of his spouse and minor children that are reasonably available to the Participant; however, property held for the Participant’s child under an irrevocable trust or under a </w:t>
      </w:r>
      <w:r>
        <w:rPr>
          <w:rFonts w:ascii="Arial" w:cs="Arial" w:eastAsia="Arial" w:hAnsi="Arial"/>
          <w:sz w:val="16"/>
          <w:szCs w:val="16"/>
          <w:i w:val="1"/>
          <w:iCs w:val="1"/>
          <w:color w:val="auto"/>
        </w:rPr>
        <w:t>Uniform Gifts to Minors Act</w:t>
      </w:r>
      <w:r>
        <w:rPr>
          <w:rFonts w:ascii="Arial" w:cs="Arial" w:eastAsia="Arial" w:hAnsi="Arial"/>
          <w:sz w:val="16"/>
          <w:szCs w:val="16"/>
          <w:color w:val="auto"/>
        </w:rPr>
        <w:t xml:space="preserve"> custodianship or </w:t>
      </w:r>
      <w:r>
        <w:rPr>
          <w:rFonts w:ascii="Arial" w:cs="Arial" w:eastAsia="Arial" w:hAnsi="Arial"/>
          <w:sz w:val="16"/>
          <w:szCs w:val="16"/>
          <w:i w:val="1"/>
          <w:iCs w:val="1"/>
          <w:color w:val="auto"/>
        </w:rPr>
        <w:t>Uniform Transfers to Minors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 </w:t>
      </w:r>
      <w:r>
        <w:rPr>
          <w:rFonts w:ascii="Arial" w:cs="Arial" w:eastAsia="Arial" w:hAnsi="Arial"/>
          <w:sz w:val="16"/>
          <w:szCs w:val="16"/>
          <w:color w:val="auto"/>
        </w:rPr>
        <w:t>custodianship shall not be treated as a resource of the Participant. The Board shall determine whether the circumstances of the Participant constitute an</w:t>
      </w:r>
      <w:r>
        <w:rPr>
          <w:rFonts w:ascii="Arial" w:cs="Arial" w:eastAsia="Arial" w:hAnsi="Arial"/>
          <w:sz w:val="16"/>
          <w:szCs w:val="16"/>
          <w:i w:val="1"/>
          <w:iCs w:val="1"/>
          <w:color w:val="auto"/>
        </w:rPr>
        <w:t xml:space="preserve"> </w:t>
      </w:r>
      <w:r>
        <w:rPr>
          <w:rFonts w:ascii="Arial" w:cs="Arial" w:eastAsia="Arial" w:hAnsi="Arial"/>
          <w:sz w:val="16"/>
          <w:szCs w:val="16"/>
          <w:color w:val="auto"/>
        </w:rPr>
        <w:t>unforeseeable emergency and thus a Hardship within the meaning of this Section. Following a uniform procedure, the Board’s determination shall consider any facts or conditions deemed necessary or advisable by the Board, and the Participant shall be required to submit any evidence of the Participant’s circumstances that the Board requires. The determination as to whether the Participant’s circumstances are a case of Hardship shall be based on the facts of each case; provided however, that all determinations as to Hardship shall be uniformly and consistently made according to the provisions of this Section for all Participants in similar circumstances.</w:t>
      </w:r>
    </w:p>
    <w:p>
      <w:pPr>
        <w:spacing w:after="0" w:line="10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Inactive Participant</w:t>
      </w:r>
      <w:r>
        <w:rPr>
          <w:rFonts w:ascii="Arial" w:cs="Arial" w:eastAsia="Arial" w:hAnsi="Arial"/>
          <w:sz w:val="18"/>
          <w:szCs w:val="18"/>
          <w:color w:val="auto"/>
        </w:rPr>
        <w:t>” means each Participant (other than a Retired Participant, Deceased Participant or Disabled Participant) who is not in active service as an Outside Director and is not actively employed by a Participating Company.</w:t>
      </w:r>
    </w:p>
    <w:p>
      <w:pPr>
        <w:spacing w:after="0" w:line="11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2.26. “</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7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Administrator, filed with the Administrator in accordance with Article 3, pursuant to which an Outside Director or an Eligible Employee may:</w:t>
      </w:r>
    </w:p>
    <w:p>
      <w:pPr>
        <w:spacing w:after="0" w:line="37" w:lineRule="exact"/>
        <w:rPr>
          <w:sz w:val="20"/>
          <w:szCs w:val="20"/>
          <w:color w:val="auto"/>
        </w:rPr>
      </w:pPr>
    </w:p>
    <w:p>
      <w:pPr>
        <w:ind w:left="460" w:right="180" w:firstLine="443"/>
        <w:spacing w:after="0" w:line="268" w:lineRule="auto"/>
        <w:tabs>
          <w:tab w:leader="none" w:pos="11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Elect to defer all or any portion of the Compensation payable for the performance of services as an Outside Director or as an Eligible Employee following the time that such election is filed;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w:t>
      </w:r>
    </w:p>
    <w:p>
      <w:pPr>
        <w:spacing w:after="0" w:line="77" w:lineRule="exact"/>
        <w:rPr>
          <w:sz w:val="20"/>
          <w:szCs w:val="20"/>
          <w:color w:val="auto"/>
        </w:rPr>
      </w:pPr>
    </w:p>
    <w:p>
      <w:pPr>
        <w:ind w:left="1140" w:hanging="237"/>
        <w:spacing w:after="0"/>
        <w:tabs>
          <w:tab w:leader="none" w:pos="11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who becomes an employee of a Participating Company and has an Annual Rate of Pay of $200,000 or more as of his employment commencement</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date, or</w:t>
      </w:r>
    </w:p>
    <w:p>
      <w:pPr>
        <w:spacing w:after="0" w:line="70" w:lineRule="exact"/>
        <w:rPr>
          <w:rFonts w:ascii="Arial" w:cs="Arial" w:eastAsia="Arial" w:hAnsi="Arial"/>
          <w:sz w:val="15"/>
          <w:szCs w:val="15"/>
          <w:color w:val="auto"/>
        </w:rPr>
      </w:pPr>
    </w:p>
    <w:p>
      <w:pPr>
        <w:ind w:left="460" w:right="640" w:firstLine="443"/>
        <w:spacing w:after="0" w:line="268" w:lineRule="auto"/>
        <w:tabs>
          <w:tab w:leader="none" w:pos="11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who has an Annual Rate of Pay that is increased to $200,000 or more and who, immediately preceding such increase, was not an Eligible Employee.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w:t>
      </w:r>
    </w:p>
    <w:p>
      <w:pPr>
        <w:spacing w:after="0" w:line="77" w:lineRule="exact"/>
        <w:rPr>
          <w:sz w:val="20"/>
          <w:szCs w:val="20"/>
          <w:color w:val="auto"/>
        </w:rPr>
      </w:pPr>
    </w:p>
    <w:p>
      <w:pPr>
        <w:ind w:left="460" w:right="300" w:firstLine="443"/>
        <w:spacing w:after="0" w:line="370" w:lineRule="auto"/>
        <w:tabs>
          <w:tab w:leader="none" w:pos="1137" w:val="left"/>
        </w:tabs>
        <w:numPr>
          <w:ilvl w:val="0"/>
          <w:numId w:val="14"/>
        </w:numPr>
        <w:rPr>
          <w:rFonts w:ascii="Arial" w:cs="Arial" w:eastAsia="Arial" w:hAnsi="Arial"/>
          <w:sz w:val="15"/>
          <w:szCs w:val="15"/>
          <w:color w:val="auto"/>
        </w:rPr>
      </w:pPr>
      <w:r>
        <w:rPr>
          <w:rFonts w:ascii="Arial" w:cs="Arial" w:eastAsia="Arial" w:hAnsi="Arial"/>
          <w:sz w:val="15"/>
          <w:szCs w:val="15"/>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ind w:left="460" w:right="900" w:firstLine="443"/>
        <w:spacing w:after="0" w:line="422" w:lineRule="auto"/>
        <w:tabs>
          <w:tab w:leader="none" w:pos="1147"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a Participant who is an Outside Director immediately preceding his termination of service, his normal retirement from the Board. 2.30. “</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not an employee of a Participating Company.</w:t>
      </w:r>
    </w:p>
    <w:p>
      <w:pPr>
        <w:spacing w:after="0" w:line="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2.31. “</w:t>
      </w:r>
      <w:r>
        <w:rPr>
          <w:rFonts w:ascii="Arial" w:cs="Arial" w:eastAsia="Arial" w:hAnsi="Arial"/>
          <w:sz w:val="16"/>
          <w:szCs w:val="16"/>
          <w:u w:val="single" w:color="auto"/>
          <w:color w:val="auto"/>
        </w:rPr>
        <w:t>Participant</w:t>
      </w:r>
      <w:r>
        <w:rPr>
          <w:rFonts w:ascii="Arial" w:cs="Arial" w:eastAsia="Arial" w:hAnsi="Arial"/>
          <w:sz w:val="16"/>
          <w:szCs w:val="16"/>
          <w:color w:val="auto"/>
        </w:rPr>
        <w: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w:t>
      </w:r>
    </w:p>
    <w:p>
      <w:pPr>
        <w:spacing w:after="0" w:line="77" w:lineRule="exact"/>
        <w:rPr>
          <w:sz w:val="20"/>
          <w:szCs w:val="20"/>
          <w:color w:val="auto"/>
        </w:rPr>
      </w:pPr>
    </w:p>
    <w:p>
      <w:pPr>
        <w:ind w:left="1140" w:hanging="237"/>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Comcast Holdings Corporation;</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Comcast Cable Communications, LLC, and its subsidiaries;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Comcast International Holdings, Inc.;</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Comcast Online Communications, Inc.;</w:t>
      </w:r>
    </w:p>
    <w:p>
      <w:pPr>
        <w:spacing w:after="0" w:line="76" w:lineRule="exact"/>
        <w:rPr>
          <w:rFonts w:ascii="Arial" w:cs="Arial" w:eastAsia="Arial" w:hAnsi="Arial"/>
          <w:sz w:val="18"/>
          <w:szCs w:val="18"/>
          <w:color w:val="auto"/>
        </w:rPr>
      </w:pPr>
    </w:p>
    <w:p>
      <w:pPr>
        <w:ind w:left="1120" w:hanging="217"/>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Comcast Business Communications, Inc.;</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Comcast Cable Communications Holdings, Inc. and its subsidiaries;</w:t>
      </w:r>
    </w:p>
    <w:p>
      <w:pPr>
        <w:spacing w:after="0" w:line="76"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Comcast Shared Services Corporation (“CSSC”), to the extent individual employees of CSSC or groups of CSSC employees, categorized by their secondment, are designated as eligible to participate by the Committee or its delegate; and</w:t>
      </w:r>
    </w:p>
    <w:p>
      <w:pPr>
        <w:spacing w:after="0" w:line="37" w:lineRule="exact"/>
        <w:rPr>
          <w:rFonts w:ascii="Arial" w:cs="Arial" w:eastAsia="Arial" w:hAnsi="Arial"/>
          <w:sz w:val="18"/>
          <w:szCs w:val="18"/>
          <w:color w:val="auto"/>
        </w:rPr>
      </w:pPr>
    </w:p>
    <w:p>
      <w:pPr>
        <w:ind w:left="1120" w:hanging="217"/>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entities that are subsidiaries of the Company as designated by the Committee in its sole discretion.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the AJCA.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2.34. “</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 period of at least 12 months during which a Participant may earn Performance-Based Compensation.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2005 Deferred Compensation Plan, as set forth herein, and as amended from time to time.</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Prime Rate</w:t>
      </w:r>
      <w:r>
        <w:rPr>
          <w:rFonts w:ascii="Arial" w:cs="Arial" w:eastAsia="Arial" w:hAnsi="Arial"/>
          <w:sz w:val="18"/>
          <w:szCs w:val="18"/>
          <w:color w:val="auto"/>
        </w:rPr>
        <w:t>” means, for any calendar year, the interest rate that, when compounded daily pursuant to rules established by the Administrator from time to time, is mathematically equivalent to the prime rate of interest (compounded annually) as published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 w:name="page11"/>
    <w:bookmarkEnd w:id="10"/>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Comcast Corporation 2002 Deferred Compensation Plan, as in effect as of December 31, 2003.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Retired Participant</w:t>
      </w:r>
      <w:r>
        <w:rPr>
          <w:rFonts w:ascii="Arial" w:cs="Arial" w:eastAsia="Arial" w:hAnsi="Arial"/>
          <w:sz w:val="18"/>
          <w:szCs w:val="18"/>
          <w:color w:val="auto"/>
        </w:rPr>
        <w:t>” means a Participant who has terminated service pursuant to a Normal Retirement.</w:t>
      </w:r>
    </w:p>
    <w:p>
      <w:pPr>
        <w:spacing w:after="0" w:line="15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Severance Pay</w:t>
      </w:r>
      <w:r>
        <w:rPr>
          <w:rFonts w:ascii="Arial" w:cs="Arial" w:eastAsia="Arial" w:hAnsi="Arial"/>
          <w:sz w:val="18"/>
          <w:szCs w:val="18"/>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Administrator, filed with the Administrator in accordance with Article 3, pursuant to which a Participant or Beneficiary may elect to defer the time of payment of amounts previously deferred in accordance with the terms of a previously made Initial Election or Subsequent Election.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2.42. “</w:t>
      </w:r>
      <w:r>
        <w:rPr>
          <w:rFonts w:ascii="Arial" w:cs="Arial" w:eastAsia="Arial" w:hAnsi="Arial"/>
          <w:sz w:val="16"/>
          <w:szCs w:val="16"/>
          <w:u w:val="single" w:color="auto"/>
          <w:color w:val="auto"/>
        </w:rPr>
        <w:t>Surviving Spouse</w:t>
      </w:r>
      <w:r>
        <w:rPr>
          <w:rFonts w:ascii="Arial" w:cs="Arial" w:eastAsia="Arial" w:hAnsi="Arial"/>
          <w:sz w:val="16"/>
          <w:szCs w:val="16"/>
          <w:color w:val="auto"/>
        </w:rPr>
        <w:t>” means the widow or widower, as the case may be, of a Deceased Participant or a Deceased Beneficiary (as applicable).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either of the following events:</w:t>
      </w:r>
    </w:p>
    <w:p>
      <w:pPr>
        <w:spacing w:after="0" w:line="77" w:lineRule="exact"/>
        <w:rPr>
          <w:sz w:val="20"/>
          <w:szCs w:val="20"/>
          <w:color w:val="auto"/>
        </w:rPr>
      </w:pPr>
    </w:p>
    <w:p>
      <w:pPr>
        <w:ind w:left="1140" w:hanging="237"/>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3 - INITIAL AND SUBSEQUENT ELECTIONS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Elections.</w:t>
      </w:r>
    </w:p>
    <w:p>
      <w:pPr>
        <w:spacing w:after="0" w:line="77" w:lineRule="exact"/>
        <w:rPr>
          <w:sz w:val="20"/>
          <w:szCs w:val="20"/>
          <w:color w:val="auto"/>
        </w:rPr>
      </w:pPr>
    </w:p>
    <w:p>
      <w:pPr>
        <w:ind w:left="460" w:right="100" w:firstLine="443"/>
        <w:spacing w:after="0" w:line="290" w:lineRule="auto"/>
        <w:tabs>
          <w:tab w:leader="none" w:pos="1137"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Initial Elections</w:t>
      </w:r>
      <w:r>
        <w:rPr>
          <w:rFonts w:ascii="Arial" w:cs="Arial" w:eastAsia="Arial" w:hAnsi="Arial"/>
          <w:sz w:val="16"/>
          <w:szCs w:val="16"/>
          <w:color w:val="auto"/>
        </w:rPr>
        <w:t>. Each Outside Director and Eligible Employee shall have the right to defer all or any portion of the Compensation that he would otherwise be entitled to receive in a calendar year (net of applicable withholdings) by filing an Initial Election at the time and in the manner described in this Article 3. The Compensation of such Outside Director or Eligible Employee for a calendar year shall be reduced in an amount equal to the portion of the Compensation deferred by such Outside Director or Eligible Employee for such calendar year pursuant to such Outside Director’s or Eligible Employee’s Initial Election. Such reduction shall be effected on a pro rata basis from each periodic installment payment of such Outside Director’s or Eligible Employee’s Compensation for the calendar year (in accordance with the general pay practices of the Participating Company), and credited, as a bookkeeping entry, to such Outside Director’s or Eligible Employee’s Account in accordance with Section 5.1.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1" w:name="page12"/>
    <w:bookmarkEnd w:id="11"/>
    <w:p>
      <w:pPr>
        <w:ind w:left="460"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Amounts credited to the Accounts of Outside Directors in the form of Company Stock shall be credited to the Company Stock Fund and credited with income, gains and losses in accordance with Section 5.2(c).</w:t>
      </w:r>
    </w:p>
    <w:p>
      <w:pPr>
        <w:spacing w:after="0" w:line="37" w:lineRule="exact"/>
        <w:rPr>
          <w:sz w:val="20"/>
          <w:szCs w:val="20"/>
          <w:color w:val="auto"/>
        </w:rPr>
      </w:pPr>
    </w:p>
    <w:p>
      <w:pPr>
        <w:ind w:left="460" w:right="340" w:firstLine="443"/>
        <w:spacing w:after="0" w:line="259" w:lineRule="auto"/>
        <w:tabs>
          <w:tab w:leader="none" w:pos="114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Subsequent Elections</w:t>
      </w:r>
      <w:r>
        <w:rPr>
          <w:rFonts w:ascii="Arial" w:cs="Arial" w:eastAsia="Arial" w:hAnsi="Arial"/>
          <w:sz w:val="18"/>
          <w:szCs w:val="18"/>
          <w:color w:val="auto"/>
        </w:rPr>
        <w:t>. Each Participant or Beneficiary shall have the right to elect to defer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2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Filing of Initial Election: General</w:t>
      </w:r>
      <w:r>
        <w:rPr>
          <w:rFonts w:ascii="Arial" w:cs="Arial" w:eastAsia="Arial" w:hAnsi="Arial"/>
          <w:sz w:val="16"/>
          <w:szCs w:val="16"/>
          <w:color w:val="auto"/>
        </w:rPr>
        <w:t>. An Initial Election shall be made on the form provided by the Administrator for this purpose. Except as provided in Section 3.3, no such Initial Election shall be effective with respect to Compensation other than Performance-Based Compensation unless it is filed with the Administrator on or before December 31 of the calendar year preceding the calendar year to which the Initial Election applies. No such Initial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Filing of Initial Election by New Key Employees and New Outside Directors</w:t>
      </w:r>
      <w:r>
        <w:rPr>
          <w:rFonts w:ascii="Arial" w:cs="Arial" w:eastAsia="Arial" w:hAnsi="Arial"/>
          <w:sz w:val="18"/>
          <w:szCs w:val="18"/>
          <w:color w:val="auto"/>
        </w:rPr>
        <w:t>.</w:t>
      </w:r>
    </w:p>
    <w:p>
      <w:pPr>
        <w:spacing w:after="0" w:line="77" w:lineRule="exact"/>
        <w:rPr>
          <w:sz w:val="20"/>
          <w:szCs w:val="20"/>
          <w:color w:val="auto"/>
        </w:rPr>
      </w:pPr>
    </w:p>
    <w:p>
      <w:pPr>
        <w:ind w:left="460" w:firstLine="443"/>
        <w:spacing w:after="0" w:line="254" w:lineRule="auto"/>
        <w:tabs>
          <w:tab w:leader="none" w:pos="113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New Key Employees</w:t>
      </w:r>
      <w:r>
        <w:rPr>
          <w:rFonts w:ascii="Arial" w:cs="Arial" w:eastAsia="Arial" w:hAnsi="Arial"/>
          <w:sz w:val="18"/>
          <w:szCs w:val="18"/>
          <w:color w:val="auto"/>
        </w:rPr>
        <w:t>. Notwithstanding Section 3.1 and Section 3.2, a New Key Employee may elect to defer all or any portion of his Compensation that he would otherwise be entitled to receive in the calendar year in which the New Key Employee was employed, beginning with the payroll period next following the filing of an Initial Election with the Administrator and before the close of such calendar year by making and filing the Initial Election with the Administrator within 30 days of such New Key Employee’s date of hire or within 30 days of the date such New Key Employee first becomes eligible to participate in the Plan. Any Initial Election by such New Key Employee for succeeding calendar years shall be made in accordance with Section 3.1 and Section 3.2.</w:t>
      </w:r>
    </w:p>
    <w:p>
      <w:pPr>
        <w:spacing w:after="0" w:line="49" w:lineRule="exact"/>
        <w:rPr>
          <w:rFonts w:ascii="Arial" w:cs="Arial" w:eastAsia="Arial" w:hAnsi="Arial"/>
          <w:sz w:val="18"/>
          <w:szCs w:val="18"/>
          <w:color w:val="auto"/>
        </w:rPr>
      </w:pPr>
    </w:p>
    <w:p>
      <w:pPr>
        <w:ind w:left="460" w:right="40" w:firstLine="443"/>
        <w:spacing w:after="0" w:line="291" w:lineRule="auto"/>
        <w:tabs>
          <w:tab w:leader="none" w:pos="1147"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New Outside Directors</w:t>
      </w:r>
      <w:r>
        <w:rPr>
          <w:rFonts w:ascii="Arial" w:cs="Arial" w:eastAsia="Arial" w:hAnsi="Arial"/>
          <w:sz w:val="16"/>
          <w:szCs w:val="16"/>
          <w:color w:val="auto"/>
        </w:rPr>
        <w:t>. Notwithstanding Section 3.1 and Section 3.2, an Outside Director may elect to defer all or any portion of his Compensation that he would otherwise be entitled to receive in the calendar year in which an Outside Director’s election as a member of the Board becomes effective (provided that such Outside Director is not a member of the Board immediately preceding such effective date), beginning with Compensation payable following the filing of an Initial Election with the Administrator and before the close of such calendar year by making and filing the Initial Election with the Administrator within 30 days of the effective date of such Outside Director’s election. Any Initial Election by such Outside Director for succeeding calendar years shall be made in accordance with Section 3.1 and Section 3.2</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Calendar Years to which Initial Election May Apply</w:t>
      </w:r>
      <w:r>
        <w:rPr>
          <w:rFonts w:ascii="Arial" w:cs="Arial" w:eastAsia="Arial" w:hAnsi="Arial"/>
          <w:sz w:val="18"/>
          <w:szCs w:val="18"/>
          <w:color w:val="auto"/>
        </w:rPr>
        <w:t>. A separate Initial Election may be made for each calendar year as to which an Outside Director or Eligible Employee desires to defer all or any portion of such Outside Director’s or Eligible Employee’s Compensation. The failure of an Outside Director or Eligible Employee to make an Initial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Election for any calendar year shall not affect such Outside Director’s or Eligible Employee’s right to make an Initial Election for any other calendar year.</w:t>
      </w:r>
    </w:p>
    <w:p>
      <w:pPr>
        <w:spacing w:after="0" w:line="100" w:lineRule="exact"/>
        <w:rPr>
          <w:sz w:val="20"/>
          <w:szCs w:val="20"/>
          <w:color w:val="auto"/>
        </w:rPr>
      </w:pPr>
    </w:p>
    <w:p>
      <w:pPr>
        <w:ind w:left="460" w:firstLine="443"/>
        <w:spacing w:after="0" w:line="291" w:lineRule="auto"/>
        <w:tabs>
          <w:tab w:leader="none" w:pos="1137"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Initial Election of Distribution Date</w:t>
      </w:r>
      <w:r>
        <w:rPr>
          <w:rFonts w:ascii="Arial" w:cs="Arial" w:eastAsia="Arial" w:hAnsi="Arial"/>
          <w:sz w:val="16"/>
          <w:szCs w:val="16"/>
          <w:color w:val="auto"/>
        </w:rPr>
        <w:t>. Each Outside Director or Eligible Employee shall, contemporaneously with an Initial Election, also elect the time of payment of the amount of the deferred Compensation to which such Initial Election relates; provided, however, that, subject to acceleration (to the extent permitted under the AJCA) pursuant to Section 3.5(e), Section 3.7, Section 7.1, Section 7.2, or Article 8, no distribution may commence earlier than January 2nd of the third calendar year beginning after the date the Initial Election is filed with the Administrator, nor later than January 2nd of the eleventh calendar year beginning after the date the Initial Election is filed with the Administrator. Further, each Outside Director or Eligible Employee may select with each Initial Election the manner of distribution in accordance with Article 4.</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Subsequent Elections and Elections to Accelerate Payment on Death or Disability</w:t>
      </w:r>
      <w:r>
        <w:rPr>
          <w:rFonts w:ascii="Arial" w:cs="Arial" w:eastAsia="Arial" w:hAnsi="Arial"/>
          <w:sz w:val="18"/>
          <w:szCs w:val="18"/>
          <w:color w:val="auto"/>
        </w:rPr>
        <w:t>. No Subsequent Election shall be effective until 12 months after the date on which such Subsequent Election is made.</w:t>
      </w:r>
    </w:p>
    <w:p>
      <w:pPr>
        <w:spacing w:after="0" w:line="37" w:lineRule="exact"/>
        <w:rPr>
          <w:sz w:val="20"/>
          <w:szCs w:val="20"/>
          <w:color w:val="auto"/>
        </w:rPr>
      </w:pPr>
    </w:p>
    <w:p>
      <w:pPr>
        <w:ind w:left="460" w:right="60" w:firstLine="443"/>
        <w:spacing w:after="0" w:line="306" w:lineRule="auto"/>
        <w:tabs>
          <w:tab w:leader="none" w:pos="1137"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Active Participants</w:t>
      </w:r>
      <w:r>
        <w:rPr>
          <w:rFonts w:ascii="Arial" w:cs="Arial" w:eastAsia="Arial" w:hAnsi="Arial"/>
          <w:sz w:val="16"/>
          <w:szCs w:val="16"/>
          <w:color w:val="auto"/>
        </w:rPr>
        <w:t>. Each Active Participant, who has made an Initial Election, or who has made a Subsequent Election, may elect to defer the time of payment of any part or all of such Participant’s Account for a minimum of five and a maximum of ten additional years from the previously-elected payment date, by filing a Subsequent Election with the Administrator The number of Subsequent Elections under this Section 3.5(a) shall not be limited.</w:t>
      </w:r>
    </w:p>
    <w:p>
      <w:pPr>
        <w:spacing w:after="0" w:line="12" w:lineRule="exact"/>
        <w:rPr>
          <w:rFonts w:ascii="Arial" w:cs="Arial" w:eastAsia="Arial" w:hAnsi="Arial"/>
          <w:sz w:val="16"/>
          <w:szCs w:val="16"/>
          <w:color w:val="auto"/>
        </w:rPr>
      </w:pPr>
    </w:p>
    <w:p>
      <w:pPr>
        <w:ind w:left="460" w:right="40" w:firstLine="443"/>
        <w:spacing w:after="0" w:line="294" w:lineRule="auto"/>
        <w:tabs>
          <w:tab w:leader="none" w:pos="1147"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Inactive Participants</w:t>
      </w:r>
      <w:r>
        <w:rPr>
          <w:rFonts w:ascii="Arial" w:cs="Arial" w:eastAsia="Arial" w:hAnsi="Arial"/>
          <w:sz w:val="16"/>
          <w:szCs w:val="16"/>
          <w:color w:val="auto"/>
        </w:rPr>
        <w:t>. The Committee may, in its sole and absolute discretion, permit an Inactive Participant to make a Subsequent Election defer the time of payment of any part or all of such Inactive Participant’s Account for a minimum of five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3.5(b) shall be determined by the Committee in its sole and absolute discretion.</w:t>
      </w:r>
    </w:p>
    <w:p>
      <w:pPr>
        <w:spacing w:after="0" w:line="21" w:lineRule="exact"/>
        <w:rPr>
          <w:rFonts w:ascii="Arial" w:cs="Arial" w:eastAsia="Arial" w:hAnsi="Arial"/>
          <w:sz w:val="16"/>
          <w:szCs w:val="16"/>
          <w:color w:val="auto"/>
        </w:rPr>
      </w:pPr>
    </w:p>
    <w:p>
      <w:pPr>
        <w:ind w:left="1140" w:hanging="237"/>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Surviving Spouses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20" w:firstLine="421"/>
        <w:spacing w:after="0" w:line="306" w:lineRule="auto"/>
        <w:tabs>
          <w:tab w:leader="none" w:pos="1549"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Acceleration Election</w:t>
      </w:r>
      <w:r>
        <w:rPr>
          <w:rFonts w:ascii="Arial" w:cs="Arial" w:eastAsia="Arial" w:hAnsi="Arial"/>
          <w:sz w:val="16"/>
          <w:szCs w:val="16"/>
          <w:color w:val="auto"/>
        </w:rPr>
        <w:t>. To the extent permitted under the AJCA (except to the extent that Section 3.7(b) applies), a Surviving Spouse who is a Deceased Participant’s Beneficiary may elect to accelerate the time of payment of the Deceased Participant’s Account from the date payment would otherwise be made to a time that is as soon as reasonably practicable following the Deceased Participant’s date of death.</w:t>
      </w:r>
    </w:p>
    <w:p>
      <w:pPr>
        <w:spacing w:after="0" w:line="12" w:lineRule="exact"/>
        <w:rPr>
          <w:rFonts w:ascii="Arial" w:cs="Arial" w:eastAsia="Arial" w:hAnsi="Arial"/>
          <w:sz w:val="16"/>
          <w:szCs w:val="16"/>
          <w:color w:val="auto"/>
        </w:rPr>
      </w:pPr>
    </w:p>
    <w:p>
      <w:pPr>
        <w:ind w:left="920" w:right="80" w:firstLine="421"/>
        <w:spacing w:after="0" w:line="298" w:lineRule="auto"/>
        <w:tabs>
          <w:tab w:leader="none" w:pos="1598"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Subsequent Election</w:t>
      </w:r>
      <w:r>
        <w:rPr>
          <w:rFonts w:ascii="Arial" w:cs="Arial" w:eastAsia="Arial" w:hAnsi="Arial"/>
          <w:sz w:val="16"/>
          <w:szCs w:val="16"/>
          <w:color w:val="auto"/>
        </w:rPr>
        <w:t>. A Surviving Spouse who is a Deceased Participant’s Beneficiary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Surviving Spouse shall specify the change in the time of payment, which shall be no less than five (5) years nor more than ten (10) years from the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3" w:name="page14"/>
    <w:bookmarkEnd w:id="13"/>
    <w:p>
      <w:pPr>
        <w:ind w:left="460"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previously-elected payment date, or such Surviving Spouse may elect to defer payment until such Surviving Spouse’s death. A Surviving Spouse may make a total of two (2) Subsequent Elections under this Section 3.5(c)(ii), with respect to all or any part of the Deceased Participant’s Account. Subsequent Elections pursuant to this Section 3.5(c)(ii) may specify different changes with respect to different parts of the Deceased Participant’s Account.</w:t>
      </w:r>
    </w:p>
    <w:p>
      <w:pPr>
        <w:spacing w:after="0" w:line="49" w:lineRule="exact"/>
        <w:rPr>
          <w:sz w:val="20"/>
          <w:szCs w:val="20"/>
          <w:color w:val="auto"/>
        </w:rPr>
      </w:pPr>
    </w:p>
    <w:p>
      <w:pPr>
        <w:ind w:left="700" w:hanging="257"/>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Beneficiary of a Deceased Participant Other Than a Surviving Spouse.</w:t>
      </w:r>
    </w:p>
    <w:p>
      <w:pPr>
        <w:spacing w:after="0" w:line="76" w:lineRule="exact"/>
        <w:rPr>
          <w:rFonts w:ascii="Arial" w:cs="Arial" w:eastAsia="Arial" w:hAnsi="Arial"/>
          <w:sz w:val="18"/>
          <w:szCs w:val="18"/>
          <w:color w:val="auto"/>
        </w:rPr>
      </w:pPr>
    </w:p>
    <w:p>
      <w:pPr>
        <w:ind w:left="1100" w:hanging="219"/>
        <w:spacing w:after="0"/>
        <w:tabs>
          <w:tab w:leader="none" w:pos="1100"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Acceleration Election</w:t>
      </w:r>
      <w:r>
        <w:rPr>
          <w:rFonts w:ascii="Arial" w:cs="Arial" w:eastAsia="Arial" w:hAnsi="Arial"/>
          <w:sz w:val="16"/>
          <w:szCs w:val="16"/>
          <w:color w:val="auto"/>
        </w:rPr>
        <w:t>. To the extent permitted under the AJCA (except to the extent that Section 3.7(b) applies), a Beneficiary of a</w:t>
      </w:r>
    </w:p>
    <w:p>
      <w:pPr>
        <w:spacing w:after="0" w:line="38" w:lineRule="exact"/>
        <w:rPr>
          <w:rFonts w:ascii="Arial" w:cs="Arial" w:eastAsia="Arial" w:hAnsi="Arial"/>
          <w:sz w:val="16"/>
          <w:szCs w:val="16"/>
          <w:color w:val="auto"/>
        </w:rPr>
      </w:pPr>
    </w:p>
    <w:p>
      <w:pPr>
        <w:ind w:left="460" w:right="40"/>
        <w:spacing w:after="0" w:line="321" w:lineRule="auto"/>
        <w:rPr>
          <w:rFonts w:ascii="Arial" w:cs="Arial" w:eastAsia="Arial" w:hAnsi="Arial"/>
          <w:sz w:val="16"/>
          <w:szCs w:val="16"/>
          <w:color w:val="auto"/>
        </w:rPr>
      </w:pPr>
      <w:r>
        <w:rPr>
          <w:rFonts w:ascii="Arial" w:cs="Arial" w:eastAsia="Arial" w:hAnsi="Arial"/>
          <w:sz w:val="16"/>
          <w:szCs w:val="16"/>
          <w:color w:val="auto"/>
        </w:rPr>
        <w:t>Deceased Participant other than a Surviving Spouse may elect to accelerate the time of payment of the Deceased Participant’s Account from the date payment would otherwise be made to a time that is as soon as reasonably practicable following the Deceased Participant’s date of death.</w:t>
      </w:r>
    </w:p>
    <w:p>
      <w:pPr>
        <w:spacing w:after="0" w:line="1" w:lineRule="exact"/>
        <w:rPr>
          <w:rFonts w:ascii="Arial" w:cs="Arial" w:eastAsia="Arial" w:hAnsi="Arial"/>
          <w:sz w:val="16"/>
          <w:szCs w:val="16"/>
          <w:color w:val="auto"/>
        </w:rPr>
      </w:pPr>
    </w:p>
    <w:p>
      <w:pPr>
        <w:ind w:left="460" w:firstLine="421"/>
        <w:spacing w:after="0" w:line="291" w:lineRule="auto"/>
        <w:tabs>
          <w:tab w:leader="none" w:pos="1138"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Subsequent Election</w:t>
      </w:r>
      <w:r>
        <w:rPr>
          <w:rFonts w:ascii="Arial" w:cs="Arial" w:eastAsia="Arial" w:hAnsi="Arial"/>
          <w:sz w:val="16"/>
          <w:szCs w:val="16"/>
          <w:color w:val="auto"/>
        </w:rPr>
        <w:t>. A Beneficiary of a Deceased Participant other than a Surviving Spouse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Beneficiary shall specify the deferral of the time of payment, which shall be no less than five (5) years nor more than ten (10) years from the previously-elected payment date. A Beneficiary may make one (1) Subsequent Election under this Section 3.5(d)(i), with respect to all or any part of the Deceased Participant’s Account. Subsequent Elections pursuant to this Section 3.5(d)(i) may specify different changes with respect to different parts of the Deceased Participant’s Account.</w:t>
      </w:r>
    </w:p>
    <w:p>
      <w:pPr>
        <w:spacing w:after="0" w:line="25" w:lineRule="exact"/>
        <w:rPr>
          <w:rFonts w:ascii="Arial" w:cs="Arial" w:eastAsia="Arial" w:hAnsi="Arial"/>
          <w:sz w:val="16"/>
          <w:szCs w:val="16"/>
          <w:color w:val="auto"/>
        </w:rPr>
      </w:pPr>
    </w:p>
    <w:p>
      <w:pPr>
        <w:jc w:val="both"/>
        <w:ind w:right="80" w:firstLine="443"/>
        <w:spacing w:after="0" w:line="259" w:lineRule="auto"/>
        <w:tabs>
          <w:tab w:leader="none" w:pos="67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Disabled Participant</w:t>
      </w:r>
      <w:r>
        <w:rPr>
          <w:rFonts w:ascii="Arial" w:cs="Arial" w:eastAsia="Arial" w:hAnsi="Arial"/>
          <w:sz w:val="18"/>
          <w:szCs w:val="18"/>
          <w:color w:val="auto"/>
        </w:rPr>
        <w:t>. To the extent permitted under the AJCA, a Disabled Participant may elect to accelerate the time of payment of the Disabled Participant’s Account from the date payment would otherwise be made to a time that is as soon as reasonably practicable following the time the Disability occurred.</w:t>
      </w:r>
    </w:p>
    <w:p>
      <w:pPr>
        <w:spacing w:after="0" w:line="45" w:lineRule="exact"/>
        <w:rPr>
          <w:rFonts w:ascii="Arial" w:cs="Arial" w:eastAsia="Arial" w:hAnsi="Arial"/>
          <w:sz w:val="18"/>
          <w:szCs w:val="18"/>
          <w:color w:val="auto"/>
        </w:rPr>
      </w:pPr>
    </w:p>
    <w:p>
      <w:pPr>
        <w:ind w:firstLine="443"/>
        <w:spacing w:after="0" w:line="291" w:lineRule="auto"/>
        <w:tabs>
          <w:tab w:leader="none" w:pos="657"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Retired Participants and Disabled Participants</w:t>
      </w:r>
      <w:r>
        <w:rPr>
          <w:rFonts w:ascii="Arial" w:cs="Arial" w:eastAsia="Arial" w:hAnsi="Arial"/>
          <w:sz w:val="16"/>
          <w:szCs w:val="16"/>
          <w:color w:val="auto"/>
        </w:rPr>
        <w:t>. The Committee may, in its sole and absolute discretion, permit a Retired Participant or a Disabled Participant to make a Subsequent Election to defer the time of payment of any part or all of such Retired or Disabled Participant’s Account that would not otherwise become payable within twelve (12) months of such Subsequent Election for a minimum of five (5) years and a maximum of ten (10) additional years from the previously-elected payment date, by filing a Subsequent Election with the Administrator on or before the close of business on the date that is at least twelve (12) months before the date on which the lump-sum distribution or initial installment payment would otherwise be made. The number of Subsequent Elections under this Section 3.5(f) shall be determined by the Committee in its sole and absolute discretion.</w:t>
      </w:r>
    </w:p>
    <w:p>
      <w:pPr>
        <w:spacing w:after="0" w:line="25" w:lineRule="exact"/>
        <w:rPr>
          <w:rFonts w:ascii="Arial" w:cs="Arial" w:eastAsia="Arial" w:hAnsi="Arial"/>
          <w:sz w:val="16"/>
          <w:szCs w:val="16"/>
          <w:color w:val="auto"/>
        </w:rPr>
      </w:pPr>
    </w:p>
    <w:p>
      <w:pPr>
        <w:ind w:right="20" w:firstLine="443"/>
        <w:spacing w:after="0" w:line="256" w:lineRule="auto"/>
        <w:tabs>
          <w:tab w:leader="none" w:pos="68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Most Recently Filed Initial Election or Subsequent Election Controlling</w:t>
      </w:r>
      <w:r>
        <w:rPr>
          <w:rFonts w:ascii="Arial" w:cs="Arial" w:eastAsia="Arial" w:hAnsi="Arial"/>
          <w:sz w:val="18"/>
          <w:szCs w:val="18"/>
          <w:color w:val="auto"/>
        </w:rPr>
        <w:t>. Subject to acceleration pursuant to Section 3.5(e), Section 3.7 or Section 7.1 (to the extent permitted under the AJCA),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14" w:name="page15"/>
    <w:bookmarkEnd w:id="14"/>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3.6. </w:t>
      </w:r>
      <w:r>
        <w:rPr>
          <w:rFonts w:ascii="Arial" w:cs="Arial" w:eastAsia="Arial" w:hAnsi="Arial"/>
          <w:sz w:val="18"/>
          <w:szCs w:val="18"/>
          <w:u w:val="single" w:color="auto"/>
          <w:color w:val="auto"/>
        </w:rPr>
        <w:t>Distribution in Full Upon Terminating Event</w:t>
      </w:r>
      <w:r>
        <w:rPr>
          <w:rFonts w:ascii="Arial" w:cs="Arial" w:eastAsia="Arial" w:hAnsi="Arial"/>
          <w:sz w:val="18"/>
          <w:szCs w:val="18"/>
          <w:color w:val="auto"/>
        </w:rPr>
        <w:t>. The Company shall give Participants at least thirty (30) days notice (or, if not practicable, such shorter notice as may be reasonably practicable) prior to the anticipated date of the consummation of a Terminating Event. To the extent permitted under the AJCA, the Committee may, in its discretion, provide in such notice that notwithstanding any other provision of the Plan or the terms of any Initial Election or Subsequent Election, upon the consummation of a Terminating Event, the Account balance of each Participant shall be distributed in full and any outstanding Initial Elections or Subsequent Elections shall be revoked.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Withholding and Payment of Death Taxes</w:t>
      </w:r>
      <w:r>
        <w:rPr>
          <w:rFonts w:ascii="Arial" w:cs="Arial" w:eastAsia="Arial" w:hAnsi="Arial"/>
          <w:sz w:val="18"/>
          <w:szCs w:val="18"/>
          <w:color w:val="auto"/>
        </w:rPr>
        <w:t>.</w:t>
      </w:r>
    </w:p>
    <w:p>
      <w:pPr>
        <w:spacing w:after="0" w:line="77" w:lineRule="exact"/>
        <w:rPr>
          <w:sz w:val="20"/>
          <w:szCs w:val="20"/>
          <w:color w:val="auto"/>
        </w:rPr>
      </w:pPr>
    </w:p>
    <w:p>
      <w:pPr>
        <w:ind w:left="460" w:firstLine="443"/>
        <w:spacing w:after="0" w:line="298" w:lineRule="auto"/>
        <w:tabs>
          <w:tab w:leader="none" w:pos="1137"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and to the extent permitted under the AJCA, the Administrator shall apply the terms of Section 3.7(b) to the Decedent’s Account unless the Decedent affirmatively has elected, in writing, filed with the Administrator, to waive the application of Section 3.7(b).</w:t>
      </w:r>
    </w:p>
    <w:p>
      <w:pPr>
        <w:spacing w:after="0" w:line="18"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Unless the Decedent affirmatively has elected, pursuant to Section 3.7(a), that the terms of this Section 3.7(b) not apply, but only to the extent permitted under the AJCA:</w:t>
      </w:r>
    </w:p>
    <w:p>
      <w:pPr>
        <w:spacing w:after="0" w:line="37" w:lineRule="exact"/>
        <w:rPr>
          <w:rFonts w:ascii="Arial" w:cs="Arial" w:eastAsia="Arial" w:hAnsi="Arial"/>
          <w:sz w:val="18"/>
          <w:szCs w:val="18"/>
          <w:color w:val="auto"/>
        </w:rPr>
      </w:pPr>
    </w:p>
    <w:p>
      <w:pPr>
        <w:ind w:left="920" w:right="180" w:firstLine="421"/>
        <w:spacing w:after="0" w:line="268" w:lineRule="auto"/>
        <w:tabs>
          <w:tab w:leader="none" w:pos="15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37" w:lineRule="exact"/>
        <w:rPr>
          <w:rFonts w:ascii="Arial" w:cs="Arial" w:eastAsia="Arial" w:hAnsi="Arial"/>
          <w:sz w:val="18"/>
          <w:szCs w:val="18"/>
          <w:color w:val="auto"/>
        </w:rPr>
      </w:pPr>
    </w:p>
    <w:p>
      <w:pPr>
        <w:ind w:left="920" w:right="280" w:firstLine="421"/>
        <w:spacing w:after="0" w:line="268" w:lineRule="auto"/>
        <w:tabs>
          <w:tab w:leader="none" w:pos="1598"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37" w:lineRule="exact"/>
        <w:rPr>
          <w:rFonts w:ascii="Arial" w:cs="Arial" w:eastAsia="Arial" w:hAnsi="Arial"/>
          <w:sz w:val="18"/>
          <w:szCs w:val="18"/>
          <w:color w:val="auto"/>
        </w:rPr>
      </w:pPr>
    </w:p>
    <w:p>
      <w:pPr>
        <w:ind w:left="920" w:firstLine="421"/>
        <w:spacing w:after="0" w:line="323" w:lineRule="auto"/>
        <w:tabs>
          <w:tab w:leader="none" w:pos="1647" w:val="left"/>
        </w:tabs>
        <w:numPr>
          <w:ilvl w:val="1"/>
          <w:numId w:val="24"/>
        </w:numPr>
        <w:rPr>
          <w:rFonts w:ascii="Arial" w:cs="Arial" w:eastAsia="Arial" w:hAnsi="Arial"/>
          <w:sz w:val="15"/>
          <w:szCs w:val="15"/>
          <w:color w:val="auto"/>
        </w:rPr>
      </w:pPr>
      <w:r>
        <w:rPr>
          <w:rFonts w:ascii="Arial" w:cs="Arial" w:eastAsia="Arial" w:hAnsi="Arial"/>
          <w:sz w:val="15"/>
          <w:szCs w:val="15"/>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3" w:lineRule="exact"/>
        <w:rPr>
          <w:rFonts w:ascii="Arial" w:cs="Arial" w:eastAsia="Arial" w:hAnsi="Arial"/>
          <w:sz w:val="15"/>
          <w:szCs w:val="15"/>
          <w:color w:val="auto"/>
        </w:rPr>
      </w:pPr>
    </w:p>
    <w:p>
      <w:pPr>
        <w:ind w:left="920" w:firstLine="421"/>
        <w:spacing w:after="0" w:line="255" w:lineRule="auto"/>
        <w:tabs>
          <w:tab w:leader="none" w:pos="16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5" w:name="page16"/>
    <w:bookmarkEnd w:id="15"/>
    <w:p>
      <w:pPr>
        <w:ind w:left="9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amounts as are required to enable the Beneficiary to pay the Beneficiary’s income tax liability attributable to the Beneficiary’s recognition of income resulting from a distribution from the Decedent’s Account pursuant to this Section 3.7(b)(iv);</w:t>
      </w:r>
    </w:p>
    <w:p>
      <w:pPr>
        <w:spacing w:after="0" w:line="37" w:lineRule="exact"/>
        <w:rPr>
          <w:sz w:val="20"/>
          <w:szCs w:val="20"/>
          <w:color w:val="auto"/>
        </w:rPr>
      </w:pPr>
    </w:p>
    <w:p>
      <w:pPr>
        <w:ind w:left="920" w:right="20" w:firstLine="421"/>
        <w:spacing w:after="0" w:line="325" w:lineRule="auto"/>
        <w:tabs>
          <w:tab w:leader="none" w:pos="1588"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1" w:lineRule="exact"/>
        <w:rPr>
          <w:rFonts w:ascii="Arial" w:cs="Arial" w:eastAsia="Arial" w:hAnsi="Arial"/>
          <w:sz w:val="16"/>
          <w:szCs w:val="16"/>
          <w:color w:val="auto"/>
        </w:rPr>
      </w:pPr>
    </w:p>
    <w:p>
      <w:pPr>
        <w:ind w:left="920" w:firstLine="421"/>
        <w:spacing w:after="0" w:line="268" w:lineRule="auto"/>
        <w:tabs>
          <w:tab w:leader="none" w:pos="16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4 - MANNER OF DISTRIBUTION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Manner of Distribution</w:t>
      </w:r>
      <w:r>
        <w:rPr>
          <w:rFonts w:ascii="Arial" w:cs="Arial" w:eastAsia="Arial" w:hAnsi="Arial"/>
          <w:sz w:val="18"/>
          <w:szCs w:val="18"/>
          <w:color w:val="auto"/>
        </w:rPr>
        <w:t>.</w:t>
      </w:r>
    </w:p>
    <w:p>
      <w:pPr>
        <w:spacing w:after="0" w:line="77" w:lineRule="exact"/>
        <w:rPr>
          <w:sz w:val="20"/>
          <w:szCs w:val="20"/>
          <w:color w:val="auto"/>
        </w:rPr>
      </w:pPr>
    </w:p>
    <w:p>
      <w:pPr>
        <w:ind w:left="1140" w:hanging="237"/>
        <w:spacing w:after="0"/>
        <w:tabs>
          <w:tab w:leader="none" w:pos="11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Amounts credited to an Account shall be distributed, pursuant to an Initial Election or Subsequent Election in either (i) a lump sum payment or</w:t>
      </w:r>
    </w:p>
    <w:p>
      <w:pPr>
        <w:spacing w:after="0" w:line="38" w:lineRule="exact"/>
        <w:rPr>
          <w:rFonts w:ascii="Arial" w:cs="Arial" w:eastAsia="Arial" w:hAnsi="Arial"/>
          <w:sz w:val="16"/>
          <w:szCs w:val="16"/>
          <w:color w:val="auto"/>
        </w:rPr>
      </w:pPr>
    </w:p>
    <w:p>
      <w:pPr>
        <w:ind w:left="460" w:right="160" w:firstLine="4"/>
        <w:spacing w:after="0" w:line="261" w:lineRule="auto"/>
        <w:tabs>
          <w:tab w:leader="none" w:pos="7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substantially equal monthly or annual installments over a five (5), ten (10) or fifteen (15) year period. Installment distributions payable in the form of shares of Company Stock shall be rounded to the nearest whole share.</w:t>
      </w:r>
    </w:p>
    <w:p>
      <w:pPr>
        <w:spacing w:after="0" w:line="43" w:lineRule="exact"/>
        <w:rPr>
          <w:rFonts w:ascii="Arial" w:cs="Arial" w:eastAsia="Arial" w:hAnsi="Arial"/>
          <w:sz w:val="18"/>
          <w:szCs w:val="18"/>
          <w:color w:val="auto"/>
        </w:rPr>
      </w:pPr>
    </w:p>
    <w:p>
      <w:pPr>
        <w:ind w:left="1160" w:hanging="257"/>
        <w:spacing w:after="0"/>
        <w:tabs>
          <w:tab w:leader="none" w:pos="11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Notwithstanding any Initial Election or, to the extent permitted by the AJCA, any Subsequent Election, or any other provision of the Plan to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contrary:</w:t>
      </w:r>
    </w:p>
    <w:p>
      <w:pPr>
        <w:spacing w:after="0" w:line="70" w:lineRule="exact"/>
        <w:rPr>
          <w:rFonts w:ascii="Arial" w:cs="Arial" w:eastAsia="Arial" w:hAnsi="Arial"/>
          <w:sz w:val="16"/>
          <w:szCs w:val="16"/>
          <w:color w:val="auto"/>
        </w:rPr>
      </w:pPr>
    </w:p>
    <w:p>
      <w:pPr>
        <w:ind w:left="920" w:right="160" w:firstLine="421"/>
        <w:spacing w:after="0" w:line="259" w:lineRule="auto"/>
        <w:tabs>
          <w:tab w:leader="none" w:pos="1549" w:val="left"/>
        </w:tabs>
        <w:numPr>
          <w:ilvl w:val="2"/>
          <w:numId w:val="27"/>
        </w:numPr>
        <w:rPr>
          <w:rFonts w:ascii="Arial" w:cs="Arial" w:eastAsia="Arial" w:hAnsi="Arial"/>
          <w:sz w:val="18"/>
          <w:szCs w:val="18"/>
          <w:color w:val="auto"/>
        </w:rPr>
      </w:pPr>
      <w:r>
        <w:rPr>
          <w:rFonts w:ascii="Arial" w:cs="Arial" w:eastAsia="Arial" w:hAnsi="Arial"/>
          <w:sz w:val="18"/>
          <w:szCs w:val="18"/>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45" w:lineRule="exact"/>
        <w:rPr>
          <w:rFonts w:ascii="Arial" w:cs="Arial" w:eastAsia="Arial" w:hAnsi="Arial"/>
          <w:sz w:val="18"/>
          <w:szCs w:val="18"/>
          <w:color w:val="auto"/>
        </w:rPr>
      </w:pPr>
    </w:p>
    <w:p>
      <w:pPr>
        <w:ind w:left="1600" w:hanging="259"/>
        <w:spacing w:after="0"/>
        <w:tabs>
          <w:tab w:leader="none" w:pos="1600" w:val="left"/>
        </w:tabs>
        <w:numPr>
          <w:ilvl w:val="2"/>
          <w:numId w:val="27"/>
        </w:numPr>
        <w:rPr>
          <w:rFonts w:ascii="Arial" w:cs="Arial" w:eastAsia="Arial" w:hAnsi="Arial"/>
          <w:sz w:val="16"/>
          <w:szCs w:val="16"/>
          <w:color w:val="auto"/>
        </w:rPr>
      </w:pPr>
      <w:r>
        <w:rPr>
          <w:rFonts w:ascii="Arial" w:cs="Arial" w:eastAsia="Arial" w:hAnsi="Arial"/>
          <w:sz w:val="16"/>
          <w:szCs w:val="16"/>
          <w:color w:val="auto"/>
        </w:rPr>
        <w:t>following a Participant’s termination of employment for any reason, if the amount credited to the Participant’s Account has a value of</w:t>
      </w:r>
    </w:p>
    <w:p>
      <w:pPr>
        <w:spacing w:after="0" w:line="38" w:lineRule="exact"/>
        <w:rPr>
          <w:sz w:val="20"/>
          <w:szCs w:val="20"/>
          <w:color w:val="auto"/>
        </w:rPr>
      </w:pPr>
    </w:p>
    <w:p>
      <w:pPr>
        <w:ind w:left="920" w:right="100"/>
        <w:spacing w:after="0" w:line="261" w:lineRule="auto"/>
        <w:rPr>
          <w:sz w:val="20"/>
          <w:szCs w:val="20"/>
          <w:color w:val="auto"/>
        </w:rPr>
      </w:pPr>
      <w:r>
        <w:rPr>
          <w:rFonts w:ascii="Arial" w:cs="Arial" w:eastAsia="Arial" w:hAnsi="Arial"/>
          <w:sz w:val="18"/>
          <w:szCs w:val="18"/>
          <w:color w:val="auto"/>
        </w:rPr>
        <w:t>$25,000 or less, the Administrator may, in its sole discretion, direct that such amount be distributed to the Participant (or Beneficiary, as applicable) in one lump sum payment.</w:t>
      </w:r>
    </w:p>
    <w:p>
      <w:pPr>
        <w:spacing w:after="0" w:line="12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Determination of Account Balances for Purposes of Distribution</w:t>
      </w:r>
      <w:r>
        <w:rPr>
          <w:rFonts w:ascii="Arial" w:cs="Arial" w:eastAsia="Arial" w:hAnsi="Arial"/>
          <w:sz w:val="16"/>
          <w:szCs w:val="16"/>
          <w:color w:val="auto"/>
        </w:rPr>
        <w:t>. The amount of any distribution made pursuant to Section 4.1 shall be based on the balances in the Participant’s Account on the date of distribution. For this purpose, the balance in a Participant’s Account shall be calculated by crediting income, gains and losses under the Company Stock Fund and Income Fund, as applicable, through the date immediately preceding the date of distribution.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5 - BOOK ACCOUNTS</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Deferred Compensation Account</w:t>
      </w:r>
      <w:r>
        <w:rPr>
          <w:rFonts w:ascii="Arial" w:cs="Arial" w:eastAsia="Arial" w:hAnsi="Arial"/>
          <w:sz w:val="18"/>
          <w:szCs w:val="18"/>
          <w:color w:val="auto"/>
        </w:rPr>
        <w:t>. A deferred Compensation Account shall be established for each Outside Director and Eligible Employee when such Outside Director or Eligible Employee becomes a Participant. Compensation deferred pursuant to the Plan shall be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credited to the Account on the date such Compensation would otherwise have been payable to the Participant.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w:t>
      </w:r>
    </w:p>
    <w:p>
      <w:pPr>
        <w:spacing w:after="0" w:line="77" w:lineRule="exact"/>
        <w:rPr>
          <w:sz w:val="20"/>
          <w:szCs w:val="20"/>
          <w:color w:val="auto"/>
        </w:rPr>
      </w:pPr>
    </w:p>
    <w:p>
      <w:pPr>
        <w:ind w:left="460" w:right="680" w:firstLine="443"/>
        <w:spacing w:after="0" w:line="268" w:lineRule="auto"/>
        <w:tabs>
          <w:tab w:leader="none" w:pos="113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this Section 5.2, the Administrator shall credit income, gains and losses with respect to each Participant’s Account as if it were invested in the Income Fund.</w:t>
      </w:r>
    </w:p>
    <w:p>
      <w:pPr>
        <w:spacing w:after="0" w:line="37"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Investment Fund Elections</w:t>
      </w:r>
      <w:r>
        <w:rPr>
          <w:rFonts w:ascii="Arial" w:cs="Arial" w:eastAsia="Arial" w:hAnsi="Arial"/>
          <w:sz w:val="18"/>
          <w:szCs w:val="18"/>
          <w:color w:val="auto"/>
        </w:rPr>
        <w:t>. Except for amounts credited to the Accounts of Participants who are Outside Directors who have elected to defer the receipt of Compensation payable in the form of Company Stock, all amounts credited to Participants’ Accounts shall be credited with income, gains and losses as if it were invested in the Income Fund.</w:t>
      </w:r>
    </w:p>
    <w:p>
      <w:pPr>
        <w:spacing w:after="0" w:line="45" w:lineRule="exact"/>
        <w:rPr>
          <w:rFonts w:ascii="Arial" w:cs="Arial" w:eastAsia="Arial" w:hAnsi="Arial"/>
          <w:sz w:val="18"/>
          <w:szCs w:val="18"/>
          <w:color w:val="auto"/>
        </w:rPr>
      </w:pPr>
    </w:p>
    <w:p>
      <w:pPr>
        <w:ind w:left="460" w:firstLine="443"/>
        <w:spacing w:after="0" w:line="256" w:lineRule="auto"/>
        <w:tabs>
          <w:tab w:leader="none" w:pos="113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Outside Director Stock Fund Credits</w:t>
      </w:r>
      <w:r>
        <w:rPr>
          <w:rFonts w:ascii="Arial" w:cs="Arial" w:eastAsia="Arial" w:hAnsi="Arial"/>
          <w:sz w:val="18"/>
          <w:szCs w:val="18"/>
          <w:color w:val="auto"/>
        </w:rPr>
        <w:t>. Amounts credited to the Accounts of Outside Directors in the form of Company Stock shall be credited with income, gains and losses as if they were invested in the Company Stock Fund. No portion of such Participant’s Account may be deemed transferred to the Income Fund. Distributions of amounts credited to the Company Stock Fund with respect to Outside Directors’ Accounts shall be distributable in the form of Company Stock, rounded to the nearest whole share.</w:t>
      </w:r>
    </w:p>
    <w:p>
      <w:pPr>
        <w:spacing w:after="0" w:line="48" w:lineRule="exact"/>
        <w:rPr>
          <w:rFonts w:ascii="Arial" w:cs="Arial" w:eastAsia="Arial" w:hAnsi="Arial"/>
          <w:sz w:val="18"/>
          <w:szCs w:val="18"/>
          <w:color w:val="auto"/>
        </w:rPr>
      </w:pPr>
    </w:p>
    <w:p>
      <w:pPr>
        <w:ind w:left="460" w:right="120" w:firstLine="443"/>
        <w:spacing w:after="0" w:line="323" w:lineRule="auto"/>
        <w:tabs>
          <w:tab w:leader="none" w:pos="1147" w:val="left"/>
        </w:tabs>
        <w:numPr>
          <w:ilvl w:val="0"/>
          <w:numId w:val="28"/>
        </w:numPr>
        <w:rPr>
          <w:rFonts w:ascii="Arial" w:cs="Arial" w:eastAsia="Arial" w:hAnsi="Arial"/>
          <w:sz w:val="15"/>
          <w:szCs w:val="15"/>
          <w:color w:val="auto"/>
        </w:rPr>
      </w:pPr>
      <w:r>
        <w:rPr>
          <w:rFonts w:ascii="Arial" w:cs="Arial" w:eastAsia="Arial" w:hAnsi="Arial"/>
          <w:sz w:val="15"/>
          <w:szCs w:val="15"/>
          <w:u w:val="single" w:color="auto"/>
          <w:color w:val="auto"/>
        </w:rPr>
        <w:t>Timing of Credits</w:t>
      </w:r>
      <w:r>
        <w:rPr>
          <w:rFonts w:ascii="Arial" w:cs="Arial" w:eastAsia="Arial" w:hAnsi="Arial"/>
          <w:sz w:val="15"/>
          <w:szCs w:val="15"/>
          <w:color w:val="auto"/>
        </w:rPr>
        <w:t>. Compensation deferred pursuant to the Plan shall be deemed invested in the Income Fund on the date such Compensation would otherwise have been payable to the Participant.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8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Regardless of whether or not the Company is a Participant’s employer, all Compensation deferred under this Plan shall continue for all purposes to be a part of the general funds of the Company.</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Participants’ Status as General Creditors</w:t>
      </w:r>
      <w:r>
        <w:rPr>
          <w:rFonts w:ascii="Arial" w:cs="Arial" w:eastAsia="Arial" w:hAnsi="Arial"/>
          <w:sz w:val="18"/>
          <w:szCs w:val="18"/>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 NO ALIENATION OF BENEFITS; PAYEE DESIGNATION</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Except as otherwise required by applicable law, the right of any Participant or Beneficiary to any benefit or interest under any of the provisions of this Plan shall not be subject to encumbrance, attachment, execution, garnishment, assignment, pledge, alienation, sale,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 or anticipation, either by the voluntary or involuntary act of any Participant or any Participant’s Beneficiary or by operation of law, nor shall such payment, right, or interest be subject to any other legal or equitable process. However,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7 - DEATH OF PARTICIPANT</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Death of Participant</w:t>
      </w:r>
      <w:r>
        <w:rPr>
          <w:rFonts w:ascii="Arial" w:cs="Arial" w:eastAsia="Arial" w:hAnsi="Arial"/>
          <w:sz w:val="18"/>
          <w:szCs w:val="18"/>
          <w:color w:val="auto"/>
        </w:rPr>
        <w: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accelerate or defer the time of payment pursuant to Section 3.5.</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Designation of Beneficiaries</w:t>
      </w:r>
      <w:r>
        <w:rPr>
          <w:rFonts w:ascii="Arial" w:cs="Arial" w:eastAsia="Arial" w:hAnsi="Arial"/>
          <w:sz w:val="16"/>
          <w:szCs w:val="16"/>
          <w:color w:val="auto"/>
        </w:rPr>
        <w:t>. Each Participant and Beneficiary shall have the right to designate one or more Beneficiaries to receive distributions in the event of the Participant’s or Beneficiary’s death by filing with the Administrator a Beneficiary designation on the form provided by the Administrator for such purpose. The designation of a Beneficiary or Beneficiaries may be changed by a Participant or Beneficiary at any time prior to such Participant’s or Beneficiary’s death by the delivery to the Administrator of a new Beneficiary designation form.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8 - HARDSHIP DISTRIBUTIONS</w:t>
      </w:r>
    </w:p>
    <w:p>
      <w:pPr>
        <w:spacing w:after="0" w:line="164"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 INTERPRETATION</w:t>
      </w:r>
    </w:p>
    <w:p>
      <w:pPr>
        <w:spacing w:after="0" w:line="16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Claims Procedure</w:t>
      </w:r>
      <w:r>
        <w:rPr>
          <w:rFonts w:ascii="Arial" w:cs="Arial" w:eastAsia="Arial" w:hAnsi="Arial"/>
          <w:sz w:val="18"/>
          <w:szCs w:val="18"/>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 w:name="page19"/>
    <w:bookmarkEnd w:id="1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Applicant may file a claim for benefits with the Administrator on a form supplied by the Administrator. If the Administrator wholly or partially denies a claim, the Administrator shall provide the Applicant with a written notice stating:</w:t>
      </w:r>
    </w:p>
    <w:p>
      <w:pPr>
        <w:spacing w:after="0" w:line="37" w:lineRule="exact"/>
        <w:rPr>
          <w:sz w:val="20"/>
          <w:szCs w:val="20"/>
          <w:color w:val="auto"/>
        </w:rPr>
      </w:pPr>
    </w:p>
    <w:p>
      <w:pPr>
        <w:ind w:left="1140" w:hanging="237"/>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76" w:lineRule="exact"/>
        <w:rPr>
          <w:rFonts w:ascii="Arial" w:cs="Arial" w:eastAsia="Arial" w:hAnsi="Arial"/>
          <w:sz w:val="18"/>
          <w:szCs w:val="18"/>
          <w:color w:val="auto"/>
        </w:rPr>
      </w:pPr>
    </w:p>
    <w:p>
      <w:pPr>
        <w:ind w:left="460" w:right="120" w:firstLine="443"/>
        <w:spacing w:after="0" w:line="268" w:lineRule="auto"/>
        <w:tabs>
          <w:tab w:leader="none" w:pos="113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Applicant to perfect the claim and an explanation of why such material or information is necessary;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5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3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Administrator at the following address: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 AMENDMENT OR TERMINATION</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Except as otherwise provided by Section 10.2, the Company, by action of the Board or by action of the Committee, shall have the right 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time, or from time to time, to amend or modify this Plan. The Company, by action of the Board, shall have the right to terminate this Plan at any time.</w:t>
      </w:r>
    </w:p>
    <w:p>
      <w:pPr>
        <w:spacing w:after="0" w:line="18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Amendment of Rate of Credited Earnings</w:t>
      </w:r>
      <w:r>
        <w:rPr>
          <w:rFonts w:ascii="Arial" w:cs="Arial" w:eastAsia="Arial" w:hAnsi="Arial"/>
          <w:sz w:val="16"/>
          <w:szCs w:val="16"/>
          <w:color w:val="auto"/>
        </w:rPr>
        <w:t>.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11 - WITHHOLDING OF TAXES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12 - MISCELLANEOUS PROVISIONS</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contained herein shall be construed as conferring upon any Participant the right to remain in service as an Outside Director or in the employment of a Participating Company as an executive or in any other capacity.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Expenses of Plan</w:t>
      </w:r>
      <w:r>
        <w:rPr>
          <w:rFonts w:ascii="Arial" w:cs="Arial" w:eastAsia="Arial" w:hAnsi="Arial"/>
          <w:sz w:val="18"/>
          <w:szCs w:val="18"/>
          <w:color w:val="auto"/>
        </w:rPr>
        <w:t>. All expenses of the Plan shall be paid by the Participating Companies.</w:t>
      </w:r>
    </w:p>
    <w:p>
      <w:pPr>
        <w:spacing w:after="0" w:line="15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7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Law Governing Construction</w:t>
      </w:r>
      <w:r>
        <w:rPr>
          <w:rFonts w:ascii="Arial" w:cs="Arial" w:eastAsia="Arial" w:hAnsi="Arial"/>
          <w:sz w:val="18"/>
          <w:szCs w:val="18"/>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Headings Not a Part Hereof</w:t>
      </w:r>
      <w:r>
        <w:rPr>
          <w:rFonts w:ascii="Arial" w:cs="Arial" w:eastAsia="Arial" w:hAnsi="Arial"/>
          <w:sz w:val="18"/>
          <w:szCs w:val="18"/>
          <w:color w:val="auto"/>
        </w:rPr>
        <w:t>. Any headings preceding the text of the several Articles, Sections, subsections, or paragraphs hereof are inserted solely for convenience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reference and shall not constitute a part of the Plan, nor shall they affect its meaning, construction, or effect.</w:t>
      </w:r>
    </w:p>
    <w:p>
      <w:pPr>
        <w:spacing w:after="0" w:line="15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6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 13 - EFFECTIVE DATE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date of this Plan shall be January 1, 2005.</w:t>
      </w:r>
    </w:p>
    <w:p>
      <w:pPr>
        <w:spacing w:after="0" w:line="158" w:lineRule="exact"/>
        <w:rPr>
          <w:sz w:val="20"/>
          <w:szCs w:val="20"/>
          <w:color w:val="auto"/>
        </w:rPr>
      </w:pPr>
    </w:p>
    <w:p>
      <w:pPr>
        <w:ind w:firstLine="456"/>
        <w:spacing w:after="0" w:line="292" w:lineRule="auto"/>
        <w:rPr>
          <w:sz w:val="20"/>
          <w:szCs w:val="20"/>
          <w:color w:val="auto"/>
        </w:rPr>
      </w:pPr>
      <w:r>
        <w:rPr>
          <w:rFonts w:ascii="Arial" w:cs="Arial" w:eastAsia="Arial" w:hAnsi="Arial"/>
          <w:sz w:val="18"/>
          <w:szCs w:val="18"/>
          <w:color w:val="auto"/>
        </w:rPr>
        <w:t>IN WITNESS WHEREOF, COMCAST CORPORATION has caused this Plan to be executed by its officers thereunto duly authorized, and its corporate seal to be affixed hereto, as of the 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December, 2004.</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L. C</w:t>
      </w:r>
      <w:r>
        <w:rPr>
          <w:rFonts w:ascii="Arial" w:cs="Arial" w:eastAsia="Arial" w:hAnsi="Arial"/>
          <w:sz w:val="13"/>
          <w:szCs w:val="13"/>
          <w:color w:val="auto"/>
        </w:rPr>
        <w:t>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7120"/>
        <w:spacing w:after="0"/>
        <w:tabs>
          <w:tab w:leader="none" w:pos="74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RTHUR</w:t>
      </w:r>
      <w:r>
        <w:rPr>
          <w:rFonts w:ascii="Arial" w:cs="Arial" w:eastAsia="Arial" w:hAnsi="Arial"/>
          <w:sz w:val="16"/>
          <w:szCs w:val="16"/>
          <w:color w:val="auto"/>
        </w:rPr>
        <w:t xml:space="preserve"> R. B</w:t>
      </w:r>
      <w:r>
        <w:rPr>
          <w:rFonts w:ascii="Arial" w:cs="Arial" w:eastAsia="Arial" w:hAnsi="Arial"/>
          <w:sz w:val="13"/>
          <w:szCs w:val="13"/>
          <w:color w:val="auto"/>
        </w:rPr>
        <w:t>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sectPr>
      <w:pgSz w:w="11900" w:h="16838" w:orient="portrait"/>
      <w:cols w:equalWidth="0" w:num="1">
        <w:col w:w="11160"/>
      </w:cols>
      <w:pgMar w:left="240" w:top="28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lowerLetter"/>
      <w:start w:val="3"/>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1)"/>
      <w:numFmt w:val="lowerLetter"/>
      <w:start w:val="1"/>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1)"/>
      <w:numFmt w:val="lowerLetter"/>
      <w:start w:val="2"/>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lowerLetter"/>
      <w:start w:val="1"/>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2"/>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2"/>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lvl w:ilvl="1">
      <w:lvlJc w:val="left"/>
      <w:lvlText w:val="(%2)"/>
      <w:numFmt w:val="lowerRoman"/>
      <w:start w:val="1"/>
    </w:lvl>
  </w:abstractNum>
  <w:abstractNum w:abstractNumId="22">
    <w:nsid w:val="B03E0C6"/>
    <w:multiLevelType w:val="hybridMultilevel"/>
    <w:lvl w:ilvl="0">
      <w:lvlJc w:val="left"/>
      <w:lvlText w:val="(%1)"/>
      <w:numFmt w:val="lowerLetter"/>
      <w:start w:val="4"/>
    </w:lvl>
    <w:lvl w:ilvl="1">
      <w:lvlJc w:val="left"/>
      <w:lvlText w:val="(%2)"/>
      <w:numFmt w:val="lowerRoman"/>
      <w:start w:val="1"/>
    </w:lvl>
  </w:abstractNum>
  <w:abstractNum w:abstractNumId="23">
    <w:nsid w:val="189A769B"/>
    <w:multiLevelType w:val="hybridMultilevel"/>
    <w:lvl w:ilvl="0">
      <w:lvlJc w:val="left"/>
      <w:lvlText w:val="(%1)"/>
      <w:numFmt w:val="lowerLetter"/>
      <w:start w:val="1"/>
    </w:lvl>
    <w:lvl w:ilvl="1">
      <w:lvlJc w:val="left"/>
      <w:lvlText w:val="(%2)"/>
      <w:numFmt w:val="lowerRoman"/>
      <w:start w:val="1"/>
    </w:lvl>
  </w:abstractNum>
  <w:abstractNum w:abstractNumId="24">
    <w:nsid w:val="54E49EB4"/>
    <w:multiLevelType w:val="hybridMultilevel"/>
    <w:lvl w:ilvl="0">
      <w:lvlJc w:val="left"/>
      <w:lvlText w:val="(%1)"/>
      <w:numFmt w:val="lowerRoman"/>
      <w:start w:val="5"/>
    </w:lvl>
  </w:abstractNum>
  <w:abstractNum w:abstractNumId="25">
    <w:nsid w:val="71F3245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6">
    <w:nsid w:val="2CA88611"/>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2019-12-15T05:13:13Z</dcterms:created>
  <dcterms:modified xsi:type="dcterms:W3CDTF">2019-12-15T05:13:13Z</dcterms:modified>
</cp:coreProperties>
</file>