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60"/>
        <w:spacing w:after="0"/>
        <w:rPr>
          <w:sz w:val="20"/>
          <w:szCs w:val="20"/>
          <w:color w:val="auto"/>
        </w:rPr>
      </w:pPr>
      <w:r>
        <w:rPr>
          <w:rFonts w:ascii="Courier New" w:cs="Courier New" w:eastAsia="Courier New" w:hAnsi="Courier New"/>
          <w:sz w:val="15"/>
          <w:szCs w:val="15"/>
          <w:color w:val="auto"/>
        </w:rPr>
        <w:t>Filed by Comcast Corporation</w:t>
      </w:r>
    </w:p>
    <w:p>
      <w:pPr>
        <w:ind w:left="3860"/>
        <w:spacing w:after="0" w:line="237" w:lineRule="auto"/>
        <w:rPr>
          <w:sz w:val="20"/>
          <w:szCs w:val="20"/>
          <w:color w:val="auto"/>
        </w:rPr>
      </w:pPr>
      <w:r>
        <w:rPr>
          <w:rFonts w:ascii="Courier New" w:cs="Courier New" w:eastAsia="Courier New" w:hAnsi="Courier New"/>
          <w:sz w:val="15"/>
          <w:szCs w:val="15"/>
          <w:color w:val="auto"/>
        </w:rPr>
        <w:t>Pursuant to Rule 425 under the</w:t>
      </w:r>
    </w:p>
    <w:p>
      <w:pPr>
        <w:ind w:left="3860"/>
        <w:spacing w:after="0" w:line="238" w:lineRule="auto"/>
        <w:rPr>
          <w:sz w:val="20"/>
          <w:szCs w:val="20"/>
          <w:color w:val="auto"/>
        </w:rPr>
      </w:pPr>
      <w:r>
        <w:rPr>
          <w:rFonts w:ascii="Courier New" w:cs="Courier New" w:eastAsia="Courier New" w:hAnsi="Courier New"/>
          <w:sz w:val="15"/>
          <w:szCs w:val="15"/>
          <w:color w:val="auto"/>
        </w:rPr>
        <w:t>Securities Act of 1933 and deemed</w:t>
      </w:r>
    </w:p>
    <w:p>
      <w:pPr>
        <w:spacing w:after="0" w:line="5"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filed pursuant to Rule 14a-12 under</w:t>
      </w:r>
    </w:p>
    <w:p>
      <w:pPr>
        <w:spacing w:after="0" w:line="10"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1"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Subject Company: AT&amp;T Corp.</w:t>
      </w:r>
    </w:p>
    <w:p>
      <w:pPr>
        <w:ind w:left="3860"/>
        <w:spacing w:after="0" w:line="237" w:lineRule="auto"/>
        <w:rPr>
          <w:sz w:val="20"/>
          <w:szCs w:val="20"/>
          <w:color w:val="auto"/>
        </w:rPr>
      </w:pPr>
      <w:r>
        <w:rPr>
          <w:rFonts w:ascii="Courier New" w:cs="Courier New" w:eastAsia="Courier New" w:hAnsi="Courier New"/>
          <w:sz w:val="15"/>
          <w:szCs w:val="15"/>
          <w:color w:val="auto"/>
        </w:rPr>
        <w:t>Commission File No. 1-1105</w:t>
      </w:r>
    </w:p>
    <w:p>
      <w:pPr>
        <w:spacing w:after="0" w:line="167"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Date: March 4, 2002</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presentation was used by Comcast at Bear Stearns 15th Annual Media, Entertainment &amp; Information Conference: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Bear Stearns 15th Annual</w:t>
      </w:r>
    </w:p>
    <w:p>
      <w:pPr>
        <w:jc w:val="center"/>
        <w:ind w:right="3139"/>
        <w:spacing w:after="0" w:line="237" w:lineRule="auto"/>
        <w:rPr>
          <w:sz w:val="20"/>
          <w:szCs w:val="20"/>
          <w:color w:val="auto"/>
        </w:rPr>
      </w:pPr>
      <w:r>
        <w:rPr>
          <w:rFonts w:ascii="Courier New" w:cs="Courier New" w:eastAsia="Courier New" w:hAnsi="Courier New"/>
          <w:sz w:val="15"/>
          <w:szCs w:val="15"/>
          <w:color w:val="auto"/>
        </w:rPr>
        <w:t>Media, Entertainment &amp; Information Conference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March 4, 2002</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COMCAST Logo</w:t>
      </w:r>
    </w:p>
    <w:p>
      <w:pPr>
        <w:sectPr>
          <w:pgSz w:w="11900" w:h="16838" w:orient="portrait"/>
          <w:cols w:equalWidth="0" w:num="1">
            <w:col w:w="10239"/>
          </w:cols>
          <w:pgMar w:left="220" w:top="22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Safe Harbor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 Concerning Forward-Looking Statements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effects of legislative and regulatory changes; (2) the potential for increased competition; (3) technological changes; (4) the need to generate substantial growth in the subscriber base by successfully launching, marketing and providing services in identified markets; (5) pricing pressures which could affect demand for Comcast's services; (6) Comcast's ability to expand its distribution; (7) changes in labor, programming, equipment and capital costs; (8) Comcast's continued ability to create or acquire programming and products that customers will find attractive; (9) future acquisitions, strategic partnerships and divestitures; (10) general business and economic conditions; (11) other risks described from time to time in Comcast's periodic reports filed with the Securities and Exchange Commission; and (12) with respect to statements relating to the proposed combination of Comcast and AT&amp;T Broadband, factors that could cause actual results of the combined businesses of Comcast and AT&amp;T Broadband to differ materially from expected results for such businesses, including failure to integrate the businesses successfully or to achieve the expected combination benefits.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617"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COMCAST Logo</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Stephen B. Burke</w:t>
      </w:r>
    </w:p>
    <w:p>
      <w:pPr>
        <w:ind w:left="3160"/>
        <w:spacing w:after="0" w:line="237" w:lineRule="auto"/>
        <w:rPr>
          <w:sz w:val="20"/>
          <w:szCs w:val="20"/>
          <w:color w:val="auto"/>
        </w:rPr>
      </w:pPr>
      <w:r>
        <w:rPr>
          <w:rFonts w:ascii="Courier New" w:cs="Courier New" w:eastAsia="Courier New" w:hAnsi="Courier New"/>
          <w:sz w:val="15"/>
          <w:szCs w:val="15"/>
          <w:color w:val="auto"/>
        </w:rPr>
        <w:t>President</w:t>
      </w:r>
    </w:p>
    <w:p>
      <w:pPr>
        <w:jc w:val="right"/>
        <w:ind w:right="5499"/>
        <w:spacing w:after="0" w:line="238" w:lineRule="auto"/>
        <w:rPr>
          <w:sz w:val="20"/>
          <w:szCs w:val="20"/>
          <w:color w:val="auto"/>
        </w:rPr>
      </w:pPr>
      <w:r>
        <w:rPr>
          <w:rFonts w:ascii="Courier New" w:cs="Courier New" w:eastAsia="Courier New" w:hAnsi="Courier New"/>
          <w:sz w:val="15"/>
          <w:szCs w:val="15"/>
          <w:color w:val="auto"/>
        </w:rPr>
        <w:t>Comcast Cable Communications</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2001 Achievements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Rebuild of Our Cable Systems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Exceeded New Service Goals</w:t>
      </w:r>
    </w:p>
    <w:p>
      <w:pPr>
        <w:ind w:left="360" w:hanging="350"/>
        <w:spacing w:after="0" w:line="237"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Million Digital Subscriptions</w:t>
      </w:r>
    </w:p>
    <w:p>
      <w:pPr>
        <w:spacing w:after="0" w:line="5"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950,000 High-Speed Internet Subscribers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Delivered Accelerating OCF Growth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Nearly 2 Million Subscribers</w:t>
      </w:r>
    </w:p>
    <w:p>
      <w:pPr>
        <w:spacing w:after="0" w:line="237" w:lineRule="auto"/>
        <w:rPr>
          <w:sz w:val="20"/>
          <w:szCs w:val="20"/>
          <w:color w:val="auto"/>
        </w:rPr>
      </w:pPr>
      <w:r>
        <w:rPr>
          <w:rFonts w:ascii="Courier New" w:cs="Courier New" w:eastAsia="Courier New" w:hAnsi="Courier New"/>
          <w:sz w:val="15"/>
          <w:szCs w:val="15"/>
          <w:color w:val="auto"/>
        </w:rPr>
        <w:t>While Improving OCF Margins</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61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Upgraded Network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Homes Passed</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Than 550MMz</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3.4</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550MHz  to 750MHz</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1.7</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750MHz or More</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1.6</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4.4</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5.5</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9.7</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800" w:type="dxa"/>
            <w:vAlign w:val="bottom"/>
          </w:tcPr>
          <w:p>
            <w:pPr>
              <w:spacing w:after="0"/>
              <w:rPr>
                <w:sz w:val="14"/>
                <w:szCs w:val="14"/>
                <w:color w:val="auto"/>
              </w:rPr>
            </w:pP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rPr>
                <w:sz w:val="14"/>
                <w:szCs w:val="14"/>
                <w:color w:val="auto"/>
              </w:rPr>
            </w:pP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95%</w:t>
            </w:r>
          </w:p>
        </w:tc>
      </w:tr>
      <w:tr>
        <w:trPr>
          <w:trHeight w:val="841"/>
        </w:trPr>
        <w:tc>
          <w:tcPr>
            <w:tcW w:w="180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96"/>
              </w:rPr>
              <w:t>COMCAST Logo</w:t>
            </w:r>
          </w:p>
        </w:tc>
      </w:tr>
    </w:tbl>
    <w:p>
      <w:pPr>
        <w:sectPr>
          <w:pgSz w:w="11900" w:h="16838" w:orient="portrait"/>
          <w:cols w:equalWidth="0" w:num="1">
            <w:col w:w="10239"/>
          </w:cols>
          <w:pgMar w:left="220" w:top="785" w:right="1440" w:bottom="1440" w:gutter="0" w:footer="0" w:header="0"/>
        </w:sectPr>
      </w:pPr>
    </w:p>
    <w:bookmarkStart w:id="5" w:name="page6"/>
    <w:bookmarkEnd w:id="5"/>
    <w:p>
      <w:pPr>
        <w:ind w:left="980"/>
        <w:spacing w:after="0"/>
        <w:rPr>
          <w:sz w:val="20"/>
          <w:szCs w:val="20"/>
          <w:color w:val="auto"/>
        </w:rPr>
      </w:pPr>
      <w:r>
        <w:rPr>
          <w:rFonts w:ascii="Courier New" w:cs="Courier New" w:eastAsia="Courier New" w:hAnsi="Courier New"/>
          <w:sz w:val="14"/>
          <w:szCs w:val="14"/>
          <w:color w:val="auto"/>
        </w:rPr>
        <w:t>Leveraging an Upgraded Network</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-&gt; New Services</w:t>
      </w:r>
    </w:p>
    <w:p>
      <w:pPr>
        <w:sectPr>
          <w:pgSz w:w="11900" w:h="16838" w:orient="portrait"/>
          <w:cols w:equalWidth="0" w:num="1">
            <w:col w:w="9019"/>
          </w:cols>
          <w:pgMar w:left="1440" w:top="79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COMCAST digital 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Subscriptions</w:t>
      </w:r>
    </w:p>
    <w:p>
      <w:pPr>
        <w:spacing w:after="0" w:line="237" w:lineRule="auto"/>
        <w:rPr>
          <w:sz w:val="20"/>
          <w:szCs w:val="20"/>
          <w:color w:val="auto"/>
        </w:rPr>
      </w:pPr>
      <w:r>
        <w:rPr>
          <w:rFonts w:ascii="Courier New" w:cs="Courier New" w:eastAsia="Courier New" w:hAnsi="Courier New"/>
          <w:sz w:val="15"/>
          <w:szCs w:val="15"/>
          <w:color w:val="auto"/>
        </w:rPr>
        <w:t>(000s)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YE98</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YE99</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YE00</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YE01</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YE02E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Subscriptions</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78</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515</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1,350</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2,300</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3,000*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10.2%</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18.7%</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2002 Guidance: 600-700,000 net additions.</w:t>
      </w:r>
    </w:p>
    <w:p>
      <w:pPr>
        <w:sectPr>
          <w:pgSz w:w="11900" w:h="16838" w:orient="portrait"/>
          <w:cols w:equalWidth="0" w:num="1">
            <w:col w:w="10239"/>
          </w:cols>
          <w:pgMar w:left="220" w:top="785"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Digital Growth Strategy</w:t>
      </w:r>
    </w:p>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[Graph representing Digital Penetration increasing to 100%+ through the combination of Digital Classic ($9.95), Digital Plus ($14.95), Video-On-Demand, Interactive TV and T Commerce has been omitted.]</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Building on the Digital Platform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Video-On-Demand</w:t>
      </w:r>
    </w:p>
    <w:p>
      <w:pPr>
        <w:spacing w:after="0" w:line="166" w:lineRule="exact"/>
        <w:rPr>
          <w:sz w:val="20"/>
          <w:szCs w:val="20"/>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Differentiate vs. Satellite</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Digital Penetration</w:t>
      </w:r>
    </w:p>
    <w:p>
      <w:pPr>
        <w:spacing w:after="0" w:line="172" w:lineRule="exact"/>
        <w:rPr>
          <w:rFonts w:ascii="Courier New" w:cs="Courier New" w:eastAsia="Courier New" w:hAnsi="Courier New"/>
          <w:sz w:val="15"/>
          <w:szCs w:val="15"/>
          <w:color w:val="auto"/>
        </w:rPr>
      </w:pPr>
    </w:p>
    <w:p>
      <w:pPr>
        <w:jc w:val="right"/>
        <w:ind w:left="1140" w:right="7439" w:hanging="1130"/>
        <w:spacing w:after="0" w:line="261" w:lineRule="auto"/>
        <w:tabs>
          <w:tab w:leader="none" w:pos="35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Today:   3 Million VOD-Ready Homes in 16 Markets</w:t>
      </w:r>
    </w:p>
    <w:p>
      <w:pPr>
        <w:spacing w:after="0" w:line="159" w:lineRule="exact"/>
        <w:rPr>
          <w:rFonts w:ascii="Courier New" w:cs="Courier New" w:eastAsia="Courier New" w:hAnsi="Courier New"/>
          <w:sz w:val="14"/>
          <w:szCs w:val="14"/>
          <w:color w:val="auto"/>
        </w:rPr>
      </w:pPr>
    </w:p>
    <w:p>
      <w:pPr>
        <w:ind w:left="1140" w:right="7259" w:hanging="1130"/>
        <w:spacing w:after="0" w:line="234" w:lineRule="auto"/>
        <w:tabs>
          <w:tab w:leader="none" w:pos="35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YE02:5-6 Million VOD-Ready Homes</w:t>
      </w:r>
    </w:p>
    <w:p>
      <w:pPr>
        <w:sectPr>
          <w:pgSz w:w="11900" w:h="16838" w:orient="portrait"/>
          <w:cols w:equalWidth="0" w:num="1">
            <w:col w:w="10239"/>
          </w:cols>
          <w:pgMar w:left="220" w:top="953"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953"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Building on the Digital Platform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High-Definition Television</w:t>
      </w:r>
    </w:p>
    <w:p>
      <w:pPr>
        <w:spacing w:after="0" w:line="341" w:lineRule="exact"/>
        <w:rPr>
          <w:sz w:val="20"/>
          <w:szCs w:val="20"/>
          <w:color w:val="auto"/>
        </w:rPr>
      </w:pPr>
    </w:p>
    <w:p>
      <w:pPr>
        <w:ind w:left="1580" w:right="6459" w:hanging="1570"/>
        <w:spacing w:after="0" w:line="235" w:lineRule="auto"/>
        <w:tabs>
          <w:tab w:leader="none" w:pos="79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Today: Availability to 1.3MM Customers in Mid-Atlantic Super Cluster</w:t>
      </w:r>
    </w:p>
    <w:p>
      <w:pPr>
        <w:spacing w:after="0" w:line="173" w:lineRule="exact"/>
        <w:rPr>
          <w:rFonts w:ascii="Courier New" w:cs="Courier New" w:eastAsia="Courier New" w:hAnsi="Courier New"/>
          <w:sz w:val="15"/>
          <w:szCs w:val="15"/>
          <w:color w:val="auto"/>
        </w:rPr>
      </w:pPr>
    </w:p>
    <w:p>
      <w:pPr>
        <w:ind w:left="800" w:right="6899" w:hanging="790"/>
        <w:spacing w:after="0" w:line="234"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Broadcasts Include: ABC, NBC, HBO and Showtime</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640" w:type="dxa"/>
            <w:vAlign w:val="bottom"/>
            <w:gridSpan w:val="3"/>
          </w:tcPr>
          <w:p>
            <w:pPr>
              <w:spacing w:after="0"/>
              <w:rPr>
                <w:sz w:val="20"/>
                <w:szCs w:val="20"/>
                <w:color w:val="auto"/>
              </w:rPr>
            </w:pPr>
            <w:r>
              <w:rPr>
                <w:rFonts w:ascii="Courier New" w:cs="Courier New" w:eastAsia="Courier New" w:hAnsi="Courier New"/>
                <w:sz w:val="15"/>
                <w:szCs w:val="15"/>
                <w:color w:val="auto"/>
              </w:rPr>
              <w:t>COMCAST High-Speed Internet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Subscribers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(000s)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rPr>
              <w:t>YE98</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YE99</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YE00</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YE01</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YE02E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w:t>
            </w:r>
          </w:p>
        </w:tc>
        <w:tc>
          <w:tcPr>
            <w:tcW w:w="7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51</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142</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400</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948</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1,400*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w:t>
            </w:r>
          </w:p>
        </w:tc>
        <w:tc>
          <w:tcPr>
            <w:tcW w:w="7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9.5%</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12.2%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2002 Guidance: 400-500,000 net additions.</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COMCAST High-Speed Internet</w:t>
      </w:r>
    </w:p>
    <w:p>
      <w:pPr>
        <w:spacing w:after="0" w:line="166"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Completed Transition to Comcast Network</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Control and Network Reliability</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Cash Flow Opportunity After Transition</w:t>
      </w:r>
    </w:p>
    <w:p>
      <w:pPr>
        <w:spacing w:after="0" w:line="172" w:lineRule="exact"/>
        <w:rPr>
          <w:rFonts w:ascii="Courier New" w:cs="Courier New" w:eastAsia="Courier New" w:hAnsi="Courier New"/>
          <w:sz w:val="15"/>
          <w:szCs w:val="15"/>
          <w:color w:val="auto"/>
        </w:rPr>
      </w:pPr>
    </w:p>
    <w:p>
      <w:pPr>
        <w:ind w:left="360" w:right="5239" w:hanging="350"/>
        <w:spacing w:after="0" w:line="46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to Support Multiple ISPs and Tiered Services o First ISP Deal: Juno and NetZero</w:t>
      </w:r>
    </w:p>
    <w:p>
      <w:pPr>
        <w:sectPr>
          <w:pgSz w:w="11900" w:h="16838" w:orient="portrait"/>
          <w:cols w:equalWidth="0" w:num="1">
            <w:col w:w="10239"/>
          </w:cols>
          <w:pgMar w:left="220" w:top="78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New Services: Revenue Growth</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190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190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2001</w:t>
            </w:r>
          </w:p>
        </w:tc>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rPr>
              <w:t>2002E</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High-Speed Internet</w:t>
            </w:r>
          </w:p>
        </w:tc>
        <w:tc>
          <w:tcPr>
            <w:tcW w:w="7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2.7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115</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294</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Cable</w:t>
            </w:r>
          </w:p>
        </w:tc>
        <w:tc>
          <w:tcPr>
            <w:tcW w:w="7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114.7</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241</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340</w:t>
            </w:r>
          </w:p>
        </w:tc>
      </w:tr>
      <w:tr>
        <w:trPr>
          <w:trHeight w:val="673"/>
        </w:trPr>
        <w:tc>
          <w:tcPr>
            <w:tcW w:w="190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96"/>
              </w:rPr>
              <w:t>COMCAST Logo</w:t>
            </w:r>
          </w:p>
        </w:tc>
      </w:tr>
    </w:tbl>
    <w:p>
      <w:pPr>
        <w:sectPr>
          <w:pgSz w:w="11900" w:h="16838" w:orient="portrait"/>
          <w:cols w:equalWidth="0" w:num="1">
            <w:col w:w="10239"/>
          </w:cols>
          <w:pgMar w:left="220" w:top="785"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w w:val="99"/>
              </w:rPr>
              <w:t>Accelerating Contribution to Cash Flow</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05"/>
        </w:trPr>
        <w:tc>
          <w:tcPr>
            <w:tcW w:w="1900" w:type="dxa"/>
            <w:vAlign w:val="bottom"/>
          </w:tcPr>
          <w:p>
            <w:pPr>
              <w:spacing w:after="0"/>
              <w:rPr>
                <w:sz w:val="20"/>
                <w:szCs w:val="20"/>
                <w:color w:val="auto"/>
              </w:rPr>
            </w:pPr>
            <w:r>
              <w:rPr>
                <w:rFonts w:ascii="Courier New" w:cs="Courier New" w:eastAsia="Courier New" w:hAnsi="Courier New"/>
                <w:sz w:val="15"/>
                <w:szCs w:val="15"/>
                <w:color w:val="auto"/>
              </w:rPr>
              <w:t>$ In Millions</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190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rPr>
              <w:t>2002E</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High-Speed Internet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w:t>
            </w: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Cable</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w:t>
            </w: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w:t>
            </w:r>
          </w:p>
        </w:tc>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272</w:t>
            </w:r>
          </w:p>
        </w:tc>
      </w:tr>
      <w:tr>
        <w:trPr>
          <w:trHeight w:val="673"/>
        </w:trPr>
        <w:tc>
          <w:tcPr>
            <w:tcW w:w="190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96"/>
              </w:rPr>
              <w:t>COMCAST Logo</w:t>
            </w:r>
          </w:p>
        </w:tc>
      </w:tr>
    </w:tbl>
    <w:p>
      <w:pPr>
        <w:sectPr>
          <w:pgSz w:w="11900" w:h="16838" w:orient="portrait"/>
          <w:cols w:equalWidth="0" w:num="1">
            <w:col w:w="10239"/>
          </w:cols>
          <w:pgMar w:left="220" w:top="78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Integration Success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3.6 Million Subscribers in Past Two Years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EBITDA</w:t>
      </w:r>
    </w:p>
    <w:p>
      <w:pPr>
        <w:spacing w:after="0" w:line="237" w:lineRule="auto"/>
        <w:rPr>
          <w:sz w:val="20"/>
          <w:szCs w:val="20"/>
          <w:color w:val="auto"/>
        </w:rPr>
      </w:pPr>
      <w:r>
        <w:rPr>
          <w:rFonts w:ascii="Courier New" w:cs="Courier New" w:eastAsia="Courier New" w:hAnsi="Courier New"/>
          <w:sz w:val="15"/>
          <w:szCs w:val="15"/>
          <w:color w:val="auto"/>
        </w:rPr>
        <w:t>(in Billions)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6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EBITDA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$0.9877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$1.0966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$1.899</w:t>
            </w: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$2.193</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EBITDA Margins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49.3%</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47.6%</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48.1%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45%</w:t>
            </w: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42.7%</w:t>
            </w: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6300" w:type="dxa"/>
            <w:vAlign w:val="bottom"/>
            <w:gridSpan w:val="7"/>
          </w:tcPr>
          <w:p>
            <w:pPr>
              <w:jc w:val="right"/>
              <w:ind w:right="1067"/>
              <w:spacing w:after="0"/>
              <w:rPr>
                <w:sz w:val="20"/>
                <w:szCs w:val="20"/>
                <w:color w:val="auto"/>
              </w:rPr>
            </w:pPr>
            <w:r>
              <w:rPr>
                <w:rFonts w:ascii="Courier New" w:cs="Courier New" w:eastAsia="Courier New" w:hAnsi="Courier New"/>
                <w:sz w:val="15"/>
                <w:szCs w:val="15"/>
                <w:color w:val="auto"/>
              </w:rPr>
              <w:t>Excludes Impact of High-Speed Internet Transition in 2001</w:t>
            </w:r>
          </w:p>
        </w:tc>
      </w:tr>
      <w:tr>
        <w:trPr>
          <w:trHeight w:val="50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Bear Stearns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COMCAST Logo</w:t>
            </w:r>
          </w:p>
        </w:tc>
      </w:tr>
    </w:tbl>
    <w:p>
      <w:pPr>
        <w:sectPr>
          <w:pgSz w:w="11900" w:h="16838" w:orient="portrait"/>
          <w:cols w:equalWidth="0" w:num="1">
            <w:col w:w="10239"/>
          </w:cols>
          <w:pgMar w:left="220" w:top="78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Integration Success: Our Roadmap</w:t>
      </w:r>
    </w:p>
    <w:p>
      <w:pPr>
        <w:spacing w:after="0" w:line="335" w:lineRule="exact"/>
        <w:rPr>
          <w:sz w:val="20"/>
          <w:szCs w:val="20"/>
          <w:color w:val="auto"/>
        </w:rPr>
      </w:pPr>
    </w:p>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 Priorities</w:t>
      </w:r>
    </w:p>
    <w:p>
      <w:pPr>
        <w:ind w:left="1060" w:hanging="351"/>
        <w:spacing w:after="0" w:line="237"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Cash Flow Growth</w:t>
      </w:r>
    </w:p>
    <w:p>
      <w:pPr>
        <w:ind w:left="1060" w:hanging="351"/>
        <w:spacing w:after="0" w:line="237"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Products</w:t>
      </w:r>
    </w:p>
    <w:p>
      <w:pPr>
        <w:spacing w:after="0" w:line="167"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Local Management</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Budgeting</w:t>
      </w:r>
    </w:p>
    <w:p>
      <w:pPr>
        <w:spacing w:after="0" w:line="172"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 by Line Reviews by Senior Management</w:t>
      </w:r>
    </w:p>
    <w:p>
      <w:pPr>
        <w:spacing w:after="0" w:line="171"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Follow-Up</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Integration Success: Acquired Systems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1.4MM Subscribers Acquired January 2001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2002E</w:t>
            </w:r>
          </w:p>
        </w:tc>
      </w:tr>
      <w:tr>
        <w:trPr>
          <w:trHeight w:val="168"/>
        </w:trPr>
        <w:tc>
          <w:tcPr>
            <w:tcW w:w="2760" w:type="dxa"/>
            <w:vAlign w:val="bottom"/>
          </w:tcPr>
          <w:p>
            <w:pPr>
              <w:spacing w:after="0"/>
              <w:rPr>
                <w:sz w:val="14"/>
                <w:szCs w:val="14"/>
                <w:color w:val="auto"/>
              </w:rPr>
            </w:pP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$831.3</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$878.2</w:t>
            </w:r>
          </w:p>
        </w:tc>
        <w:tc>
          <w:tcPr>
            <w:tcW w:w="1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$964.6</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 (Millions)</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$262.5</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$330.9</w:t>
            </w:r>
          </w:p>
        </w:tc>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$391.3</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OCF Margin</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31.6%</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37.7%</w:t>
            </w: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40.6%</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Annual OCF/ Avg. Subscriber</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$179.7</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$224.3</w:t>
            </w:r>
          </w:p>
        </w:tc>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$262.3</w:t>
            </w:r>
          </w:p>
        </w:tc>
      </w:tr>
      <w:tr>
        <w:trPr>
          <w:trHeight w:val="673"/>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6"/>
              </w:rPr>
              <w:t>COMCAST Logo</w:t>
            </w:r>
          </w:p>
        </w:tc>
      </w:tr>
    </w:tbl>
    <w:p>
      <w:pPr>
        <w:sectPr>
          <w:pgSz w:w="11900" w:h="16838" w:orient="portrait"/>
          <w:cols w:equalWidth="0" w:num="1">
            <w:col w:w="10239"/>
          </w:cols>
          <w:pgMar w:left="220" w:top="78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Integration Success: Acquired Systems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1.4MM Subscribers Acquired January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Royal Oak, MI (78K Subs)</w:t>
            </w:r>
          </w:p>
        </w:tc>
        <w:tc>
          <w:tcPr>
            <w:tcW w:w="14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2002E</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$48.1</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$51.6</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$58.9</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Cash Flow (Millions)</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$11.8</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OCF Margin</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34.7%</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Annual OCF/Avg. Subscriber</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$151.9</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$227.6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$301.0</w:t>
            </w:r>
          </w:p>
        </w:tc>
      </w:tr>
      <w:tr>
        <w:trPr>
          <w:trHeight w:val="841"/>
        </w:trPr>
        <w:tc>
          <w:tcPr>
            <w:tcW w:w="268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COMCAST Logo</w:t>
            </w:r>
          </w:p>
        </w:tc>
      </w:tr>
    </w:tbl>
    <w:p>
      <w:pPr>
        <w:sectPr>
          <w:pgSz w:w="11900" w:h="16838" w:orient="portrait"/>
          <w:cols w:equalWidth="0" w:num="1">
            <w:col w:w="10239"/>
          </w:cols>
          <w:pgMar w:left="220" w:top="78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Integration Success: Acquired Systems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1.4MM Subscribers Acquired January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Ann Arbor, MI (134K Subs)</w:t>
            </w:r>
          </w:p>
        </w:tc>
        <w:tc>
          <w:tcPr>
            <w:tcW w:w="14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2002E</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$68.3</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Cash Flow (Millions)</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OCF Margin</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Annual OCF/Avg. Subscriber</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$122.7</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$267.7</w:t>
            </w:r>
          </w:p>
        </w:tc>
      </w:tr>
      <w:tr>
        <w:trPr>
          <w:trHeight w:val="841"/>
        </w:trPr>
        <w:tc>
          <w:tcPr>
            <w:tcW w:w="268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COMCAST Logo</w:t>
            </w:r>
          </w:p>
        </w:tc>
      </w:tr>
    </w:tbl>
    <w:p>
      <w:pPr>
        <w:sectPr>
          <w:pgSz w:w="11900" w:h="16838" w:orient="portrait"/>
          <w:cols w:equalWidth="0" w:num="1">
            <w:col w:w="10239"/>
          </w:cols>
          <w:pgMar w:left="220" w:top="78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Integration Success: Acquired Systems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2000</w:t>
            </w:r>
          </w:p>
        </w:tc>
        <w:tc>
          <w:tcPr>
            <w:tcW w:w="13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2001</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2002E</w:t>
            </w:r>
          </w:p>
        </w:tc>
      </w:tr>
      <w:tr>
        <w:trPr>
          <w:trHeight w:val="168"/>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w:t>
            </w:r>
          </w:p>
        </w:tc>
        <w:tc>
          <w:tcPr>
            <w:tcW w:w="13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4.6</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15.5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(Millions)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 Subscribers</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12,776</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20,768</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28,020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Homes Passed (000)</w:t>
            </w:r>
          </w:p>
        </w:tc>
        <w:tc>
          <w:tcPr>
            <w:tcW w:w="7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176</w:t>
            </w:r>
          </w:p>
        </w:tc>
        <w:tc>
          <w:tcPr>
            <w:tcW w:w="6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188</w:t>
            </w: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r>
      <w:tr>
        <w:trPr>
          <w:trHeight w:val="673"/>
        </w:trPr>
        <w:tc>
          <w:tcPr>
            <w:tcW w:w="2460" w:type="dxa"/>
            <w:vAlign w:val="bottom"/>
          </w:tcPr>
          <w:p>
            <w:pPr>
              <w:spacing w:after="0"/>
              <w:rPr>
                <w:sz w:val="20"/>
                <w:szCs w:val="20"/>
                <w:color w:val="auto"/>
              </w:rPr>
            </w:pPr>
            <w:r>
              <w:rPr>
                <w:rFonts w:ascii="Courier New" w:cs="Courier New" w:eastAsia="Courier New" w:hAnsi="Courier New"/>
                <w:sz w:val="15"/>
                <w:szCs w:val="15"/>
                <w:color w:val="auto"/>
              </w:rPr>
              <w:t>Bear Stearns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4, 2002</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COMCAST Logo</w:t>
            </w:r>
          </w:p>
        </w:tc>
      </w:tr>
    </w:tbl>
    <w:p>
      <w:pPr>
        <w:sectPr>
          <w:pgSz w:w="11900" w:h="16838" w:orient="portrait"/>
          <w:cols w:equalWidth="0" w:num="1">
            <w:col w:w="10239"/>
          </w:cols>
          <w:pgMar w:left="220" w:top="95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COMCAST Logo</w:t>
      </w:r>
    </w:p>
    <w:p>
      <w:pPr>
        <w:spacing w:after="0" w:line="335"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John R. Alchin</w:t>
      </w:r>
    </w:p>
    <w:p>
      <w:pPr>
        <w:spacing w:after="0" w:line="5"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Executive Vice President and Treasurer</w:t>
      </w:r>
    </w:p>
    <w:p>
      <w:pPr>
        <w:spacing w:after="0" w:line="3"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9179"/>
          </w:cols>
          <w:pgMar w:left="1280" w:top="78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Strong Operating Performance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Accelerating Cash Flow Growth</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 in Millions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700" w:type="dxa"/>
            <w:vAlign w:val="bottom"/>
          </w:tcPr>
          <w:p>
            <w:pPr>
              <w:spacing w:after="0"/>
              <w:rPr>
                <w:sz w:val="24"/>
                <w:szCs w:val="24"/>
                <w:color w:val="auto"/>
              </w:rPr>
            </w:pPr>
          </w:p>
        </w:tc>
        <w:tc>
          <w:tcPr>
            <w:tcW w:w="8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FY00</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FY01</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FY02E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$2009.1</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$2,251.3</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$2,543</w:t>
            </w:r>
          </w:p>
        </w:tc>
      </w:tr>
      <w:tr>
        <w:trPr>
          <w:trHeight w:val="168"/>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12-14%</w:t>
            </w:r>
          </w:p>
        </w:tc>
      </w:tr>
      <w:tr>
        <w:trPr>
          <w:trHeight w:val="505"/>
        </w:trPr>
        <w:tc>
          <w:tcPr>
            <w:tcW w:w="700" w:type="dxa"/>
            <w:vAlign w:val="bottom"/>
          </w:tcPr>
          <w:p>
            <w:pPr>
              <w:spacing w:after="0"/>
              <w:rPr>
                <w:sz w:val="24"/>
                <w:szCs w:val="24"/>
                <w:color w:val="auto"/>
              </w:rPr>
            </w:pPr>
          </w:p>
        </w:tc>
        <w:tc>
          <w:tcPr>
            <w:tcW w:w="8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FY00</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FY01</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FY02E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QVC</w:t>
            </w:r>
          </w:p>
        </w:tc>
        <w:tc>
          <w:tcPr>
            <w:tcW w:w="8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$619.2</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$722.3</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$838</w:t>
            </w:r>
          </w:p>
        </w:tc>
      </w:tr>
      <w:tr>
        <w:trPr>
          <w:trHeight w:val="168"/>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mid-teens</w:t>
            </w:r>
          </w:p>
        </w:tc>
      </w:tr>
      <w:tr>
        <w:trPr>
          <w:trHeight w:val="505"/>
        </w:trPr>
        <w:tc>
          <w:tcPr>
            <w:tcW w:w="700" w:type="dxa"/>
            <w:vAlign w:val="bottom"/>
          </w:tcPr>
          <w:p>
            <w:pPr>
              <w:spacing w:after="0"/>
              <w:rPr>
                <w:sz w:val="24"/>
                <w:szCs w:val="24"/>
                <w:color w:val="auto"/>
              </w:rPr>
            </w:pPr>
          </w:p>
        </w:tc>
        <w:tc>
          <w:tcPr>
            <w:tcW w:w="8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FY00</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FY01</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FY02E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Content</w:t>
            </w:r>
          </w:p>
        </w:tc>
        <w:tc>
          <w:tcPr>
            <w:tcW w:w="8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$130.3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$189.2</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mid-teens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10.2% Revenue Growth and</w:t>
      </w:r>
    </w:p>
    <w:p>
      <w:pPr>
        <w:ind w:left="620"/>
        <w:spacing w:after="0" w:line="237" w:lineRule="auto"/>
        <w:rPr>
          <w:sz w:val="20"/>
          <w:szCs w:val="20"/>
          <w:color w:val="auto"/>
        </w:rPr>
      </w:pPr>
      <w:r>
        <w:rPr>
          <w:rFonts w:ascii="Courier New" w:cs="Courier New" w:eastAsia="Courier New" w:hAnsi="Courier New"/>
          <w:sz w:val="15"/>
          <w:szCs w:val="15"/>
          <w:color w:val="auto"/>
        </w:rPr>
        <w:t>12.3% Cash Flow Growth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Pro Forma Results; Excludes Impact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High-Speed Internet Transition in 2001</w:t>
      </w:r>
    </w:p>
    <w:p>
      <w:pPr>
        <w:sectPr>
          <w:pgSz w:w="11900" w:h="16838" w:orient="portrait"/>
          <w:cols w:equalWidth="0" w:num="1">
            <w:col w:w="10239"/>
          </w:cols>
          <w:pgMar w:left="220" w:top="785"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Strong Operating Performance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Free Cash Flow Generation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w w:val="98"/>
              </w:rPr>
              <w:t>Decrease in cable capital expenditures</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(Billions)</w:t>
            </w:r>
          </w:p>
        </w:tc>
        <w:tc>
          <w:tcPr>
            <w:tcW w:w="60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1999</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2000</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3"/>
              </w:rPr>
              <w:t>2002E</w:t>
            </w:r>
          </w:p>
        </w:tc>
      </w:tr>
      <w:tr>
        <w:trPr>
          <w:trHeight w:val="168"/>
        </w:trPr>
        <w:tc>
          <w:tcPr>
            <w:tcW w:w="12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0.711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0.739</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1.248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1.855</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$0.898</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$0.893</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$1.636</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$2.181</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2"/>
              </w:rPr>
              <w:t>$1.496</w:t>
            </w:r>
          </w:p>
        </w:tc>
      </w:tr>
      <w:tr>
        <w:trPr>
          <w:trHeight w:val="673"/>
        </w:trPr>
        <w:tc>
          <w:tcPr>
            <w:tcW w:w="27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 . . leads to significant FCF</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generation</w:t>
            </w:r>
          </w:p>
        </w:tc>
        <w:tc>
          <w:tcPr>
            <w:tcW w:w="600" w:type="dxa"/>
            <w:vAlign w:val="bottom"/>
          </w:tcPr>
          <w:p>
            <w:pPr>
              <w:spacing w:after="0"/>
              <w:rPr>
                <w:sz w:val="24"/>
                <w:szCs w:val="24"/>
                <w:color w:val="auto"/>
              </w:rPr>
            </w:pPr>
          </w:p>
        </w:tc>
      </w:tr>
      <w:tr>
        <w:trPr>
          <w:trHeight w:val="505"/>
        </w:trPr>
        <w:tc>
          <w:tcPr>
            <w:tcW w:w="120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1999</w:t>
            </w:r>
          </w:p>
        </w:tc>
        <w:tc>
          <w:tcPr>
            <w:tcW w:w="6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2002E</w:t>
            </w:r>
          </w:p>
        </w:tc>
      </w:tr>
      <w:tr>
        <w:trPr>
          <w:trHeight w:val="168"/>
        </w:trPr>
        <w:tc>
          <w:tcPr>
            <w:tcW w:w="12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FCF</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$66.3</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$402.6</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$266.6</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$110.1</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$800</w:t>
            </w:r>
          </w:p>
        </w:tc>
      </w:tr>
    </w:tbl>
    <w:p>
      <w:pPr>
        <w:spacing w:after="0" w:line="200" w:lineRule="exact"/>
        <w:rPr>
          <w:sz w:val="20"/>
          <w:szCs w:val="20"/>
          <w:color w:val="auto"/>
        </w:rPr>
      </w:pPr>
    </w:p>
    <w:p>
      <w:pPr>
        <w:spacing w:after="0" w:line="309"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Free Cash Flow = EBITDA - Cap Ex - Interest Expense - Cash Taxes. Excludes One-Time Tax Payments, OCF losses from Business Telephony Initiatives and High-Speed Internet Transition Costs</w:t>
      </w:r>
    </w:p>
    <w:p>
      <w:pPr>
        <w:sectPr>
          <w:pgSz w:w="11900" w:h="16838" w:orient="portrait"/>
          <w:cols w:equalWidth="0" w:num="1">
            <w:col w:w="10239"/>
          </w:cols>
          <w:pgMar w:left="220" w:top="785"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Financial Flexibility</w:t>
            </w: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w w:val="96"/>
              </w:rPr>
              <w:t>At 12/31/01:</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4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Solidly Investment Grade</w:t>
            </w:r>
          </w:p>
        </w:tc>
        <w:tc>
          <w:tcPr>
            <w:tcW w:w="520" w:type="dxa"/>
            <w:vAlign w:val="bottom"/>
          </w:tcPr>
          <w:p>
            <w:pPr>
              <w:spacing w:after="0"/>
              <w:rPr>
                <w:sz w:val="14"/>
                <w:szCs w:val="14"/>
                <w:color w:val="auto"/>
              </w:rPr>
            </w:pP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0" w:type="dxa"/>
            <w:vAlign w:val="bottom"/>
          </w:tcPr>
          <w:p>
            <w:pPr>
              <w:spacing w:after="0"/>
              <w:rPr>
                <w:sz w:val="14"/>
                <w:szCs w:val="14"/>
                <w:color w:val="auto"/>
              </w:rPr>
            </w:pPr>
          </w:p>
        </w:tc>
        <w:tc>
          <w:tcPr>
            <w:tcW w:w="42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7"/>
              </w:rPr>
              <w:t>Consolidated Leverage (Debt/EBITDA)(1)</w:t>
            </w:r>
          </w:p>
        </w:tc>
        <w:tc>
          <w:tcPr>
            <w:tcW w:w="520" w:type="dxa"/>
            <w:vAlign w:val="bottom"/>
          </w:tcPr>
          <w:p>
            <w:pPr>
              <w:spacing w:after="0"/>
              <w:rPr>
                <w:sz w:val="14"/>
                <w:szCs w:val="14"/>
                <w:color w:val="auto"/>
              </w:rPr>
            </w:pP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3.6x</w:t>
            </w:r>
          </w:p>
        </w:tc>
      </w:tr>
      <w:tr>
        <w:trPr>
          <w:trHeight w:val="168"/>
        </w:trPr>
        <w:tc>
          <w:tcPr>
            <w:tcW w:w="220" w:type="dxa"/>
            <w:vAlign w:val="bottom"/>
          </w:tcPr>
          <w:p>
            <w:pPr>
              <w:spacing w:after="0"/>
              <w:rPr>
                <w:sz w:val="14"/>
                <w:szCs w:val="14"/>
                <w:color w:val="auto"/>
              </w:rPr>
            </w:pPr>
          </w:p>
        </w:tc>
        <w:tc>
          <w:tcPr>
            <w:tcW w:w="42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Consolidated Interest Coverage</w:t>
            </w:r>
          </w:p>
        </w:tc>
        <w:tc>
          <w:tcPr>
            <w:tcW w:w="520" w:type="dxa"/>
            <w:vAlign w:val="bottom"/>
          </w:tcPr>
          <w:p>
            <w:pPr>
              <w:spacing w:after="0"/>
              <w:rPr>
                <w:sz w:val="14"/>
                <w:szCs w:val="14"/>
                <w:color w:val="auto"/>
              </w:rPr>
            </w:pP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4.0x</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Significant Liquidity</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42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Cash</w:t>
            </w:r>
          </w:p>
        </w:tc>
        <w:tc>
          <w:tcPr>
            <w:tcW w:w="5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 MM</w:t>
            </w:r>
          </w:p>
        </w:tc>
      </w:tr>
      <w:tr>
        <w:trPr>
          <w:trHeight w:val="168"/>
        </w:trPr>
        <w:tc>
          <w:tcPr>
            <w:tcW w:w="220" w:type="dxa"/>
            <w:vAlign w:val="bottom"/>
          </w:tcPr>
          <w:p>
            <w:pPr>
              <w:spacing w:after="0"/>
              <w:rPr>
                <w:sz w:val="14"/>
                <w:szCs w:val="14"/>
                <w:color w:val="auto"/>
              </w:rPr>
            </w:pPr>
          </w:p>
        </w:tc>
        <w:tc>
          <w:tcPr>
            <w:tcW w:w="42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Investments</w:t>
            </w:r>
          </w:p>
        </w:tc>
        <w:tc>
          <w:tcPr>
            <w:tcW w:w="5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$4.302 Bn</w:t>
            </w:r>
          </w:p>
        </w:tc>
      </w:tr>
      <w:tr>
        <w:trPr>
          <w:trHeight w:val="168"/>
        </w:trPr>
        <w:tc>
          <w:tcPr>
            <w:tcW w:w="220" w:type="dxa"/>
            <w:vAlign w:val="bottom"/>
          </w:tcPr>
          <w:p>
            <w:pPr>
              <w:spacing w:after="0"/>
              <w:rPr>
                <w:sz w:val="14"/>
                <w:szCs w:val="14"/>
                <w:color w:val="auto"/>
              </w:rPr>
            </w:pPr>
          </w:p>
        </w:tc>
        <w:tc>
          <w:tcPr>
            <w:tcW w:w="42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Unused Bank Lines</w:t>
            </w:r>
          </w:p>
        </w:tc>
        <w:tc>
          <w:tcPr>
            <w:tcW w:w="5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$3.250 Bn</w:t>
            </w:r>
          </w:p>
        </w:tc>
      </w:tr>
      <w:tr>
        <w:trPr>
          <w:trHeight w:val="336"/>
        </w:trPr>
        <w:tc>
          <w:tcPr>
            <w:tcW w:w="220" w:type="dxa"/>
            <w:vAlign w:val="bottom"/>
          </w:tcPr>
          <w:p>
            <w:pPr>
              <w:spacing w:after="0"/>
              <w:rPr>
                <w:sz w:val="24"/>
                <w:szCs w:val="24"/>
                <w:color w:val="auto"/>
              </w:rPr>
            </w:pPr>
          </w:p>
        </w:tc>
        <w:tc>
          <w:tcPr>
            <w:tcW w:w="61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Modest Near-Term Maturities:(Dollars In Millions)</w:t>
            </w:r>
          </w:p>
        </w:tc>
      </w:tr>
      <w:tr>
        <w:trPr>
          <w:trHeight w:val="336"/>
        </w:trPr>
        <w:tc>
          <w:tcPr>
            <w:tcW w:w="220" w:type="dxa"/>
            <w:vAlign w:val="bottom"/>
          </w:tcPr>
          <w:p>
            <w:pPr>
              <w:spacing w:after="0"/>
              <w:rPr>
                <w:sz w:val="24"/>
                <w:szCs w:val="24"/>
                <w:color w:val="auto"/>
              </w:rPr>
            </w:pPr>
          </w:p>
        </w:tc>
        <w:tc>
          <w:tcPr>
            <w:tcW w:w="4260" w:type="dxa"/>
            <w:vAlign w:val="bottom"/>
          </w:tcPr>
          <w:p>
            <w:pPr>
              <w:ind w:left="3560"/>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220" w:type="dxa"/>
            <w:vAlign w:val="bottom"/>
          </w:tcPr>
          <w:p>
            <w:pPr>
              <w:spacing w:after="0"/>
              <w:rPr>
                <w:sz w:val="14"/>
                <w:szCs w:val="14"/>
                <w:color w:val="auto"/>
              </w:rPr>
            </w:pPr>
          </w:p>
        </w:tc>
        <w:tc>
          <w:tcPr>
            <w:tcW w:w="4260" w:type="dxa"/>
            <w:vAlign w:val="bottom"/>
          </w:tcPr>
          <w:p>
            <w:pPr>
              <w:ind w:left="35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4260" w:type="dxa"/>
            <w:vAlign w:val="bottom"/>
          </w:tcPr>
          <w:p>
            <w:pPr>
              <w:ind w:left="3560"/>
              <w:spacing w:after="0" w:line="168" w:lineRule="exact"/>
              <w:rPr>
                <w:sz w:val="20"/>
                <w:szCs w:val="20"/>
                <w:color w:val="auto"/>
              </w:rPr>
            </w:pPr>
            <w:r>
              <w:rPr>
                <w:rFonts w:ascii="Courier New" w:cs="Courier New" w:eastAsia="Courier New" w:hAnsi="Courier New"/>
                <w:sz w:val="15"/>
                <w:szCs w:val="15"/>
                <w:color w:val="auto"/>
              </w:rPr>
              <w:t>450</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75</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Net of Zones; Excludes Excite @Home Transition Costs</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AT&amp;T COMCAST LOGO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5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OCF Growth Exceeding 20%</w:t>
            </w:r>
          </w:p>
        </w:tc>
        <w:tc>
          <w:tcPr>
            <w:tcW w:w="480" w:type="dxa"/>
            <w:vAlign w:val="bottom"/>
          </w:tcPr>
          <w:p>
            <w:pPr>
              <w:spacing w:after="0"/>
              <w:rPr>
                <w:sz w:val="14"/>
                <w:szCs w:val="14"/>
                <w:color w:val="auto"/>
              </w:rPr>
            </w:pPr>
          </w:p>
        </w:tc>
      </w:tr>
      <w:tr>
        <w:trPr>
          <w:trHeight w:val="673"/>
        </w:trPr>
        <w:tc>
          <w:tcPr>
            <w:tcW w:w="28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68"/>
        </w:trPr>
        <w:tc>
          <w:tcPr>
            <w:tcW w:w="2860" w:type="dxa"/>
            <w:vAlign w:val="bottom"/>
          </w:tcPr>
          <w:p>
            <w:pPr>
              <w:spacing w:after="0"/>
              <w:rPr>
                <w:sz w:val="14"/>
                <w:szCs w:val="14"/>
                <w:color w:val="auto"/>
              </w:rPr>
            </w:pP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AT&amp;T Broadband OCF</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Margin Improvement</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26%</w:t>
            </w:r>
          </w:p>
        </w:tc>
        <w:tc>
          <w:tcPr>
            <w:tcW w:w="1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--------------&gt;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Synergies (Millions)</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$300</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Comcast Cable OCF Growth(1)</w:t>
            </w:r>
          </w:p>
        </w:tc>
        <w:tc>
          <w:tcPr>
            <w:tcW w:w="820" w:type="dxa"/>
            <w:vAlign w:val="bottom"/>
          </w:tcPr>
          <w:p>
            <w:pPr>
              <w:ind w:left="300"/>
              <w:spacing w:after="0"/>
              <w:rPr>
                <w:sz w:val="20"/>
                <w:szCs w:val="20"/>
                <w:color w:val="auto"/>
              </w:rPr>
            </w:pPr>
            <w:r>
              <w:rPr>
                <w:rFonts w:ascii="Courier New" w:cs="Courier New" w:eastAsia="Courier New" w:hAnsi="Courier New"/>
                <w:sz w:val="15"/>
                <w:szCs w:val="15"/>
                <w:color w:val="auto"/>
              </w:rPr>
              <w:t>11%</w:t>
            </w:r>
          </w:p>
        </w:tc>
        <w:tc>
          <w:tcPr>
            <w:tcW w:w="17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--------------&gt;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200" w:lineRule="exact"/>
        <w:rPr>
          <w:sz w:val="20"/>
          <w:szCs w:val="20"/>
          <w:color w:val="auto"/>
        </w:rPr>
      </w:pPr>
    </w:p>
    <w:p>
      <w:pPr>
        <w:spacing w:after="0" w:line="303" w:lineRule="exact"/>
        <w:rPr>
          <w:sz w:val="20"/>
          <w:szCs w:val="20"/>
          <w:color w:val="auto"/>
        </w:rPr>
      </w:pPr>
    </w:p>
    <w:p>
      <w:pPr>
        <w:ind w:left="100"/>
        <w:spacing w:after="0"/>
        <w:tabs>
          <w:tab w:leader="none" w:pos="3320" w:val="left"/>
        </w:tabs>
        <w:rPr>
          <w:sz w:val="20"/>
          <w:szCs w:val="20"/>
          <w:color w:val="auto"/>
        </w:rPr>
      </w:pPr>
      <w:r>
        <w:rPr>
          <w:rFonts w:ascii="Courier New" w:cs="Courier New" w:eastAsia="Courier New" w:hAnsi="Courier New"/>
          <w:sz w:val="15"/>
          <w:szCs w:val="15"/>
          <w:color w:val="auto"/>
        </w:rPr>
        <w:t>(1) For Illustrative Purposes Only.</w:t>
      </w:r>
      <w:r>
        <w:rPr>
          <w:sz w:val="20"/>
          <w:szCs w:val="20"/>
          <w:color w:val="auto"/>
        </w:rPr>
        <w:tab/>
      </w:r>
      <w:r>
        <w:rPr>
          <w:rFonts w:ascii="Courier New" w:cs="Courier New" w:eastAsia="Courier New" w:hAnsi="Courier New"/>
          <w:sz w:val="14"/>
          <w:szCs w:val="14"/>
          <w:color w:val="auto"/>
        </w:rPr>
        <w:t>Not Indicative of Guidance.</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617"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AT&amp;T COMCAST LOGO</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21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12/31/02</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2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22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Investment Grade</w:t>
            </w:r>
          </w:p>
        </w:tc>
        <w:tc>
          <w:tcPr>
            <w:tcW w:w="6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Debt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Cash Flow</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w:t>
            </w:r>
          </w:p>
        </w:tc>
        <w:tc>
          <w:tcPr>
            <w:tcW w:w="1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QUIPS Convert to</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Equity</w:t>
            </w:r>
          </w:p>
        </w:tc>
        <w:tc>
          <w:tcPr>
            <w:tcW w:w="6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o   Rapid Reduction in Leverage</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$10BN</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$3.4BN</w:t>
            </w: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w:t>
            </w:r>
          </w:p>
        </w:tc>
        <w:tc>
          <w:tcPr>
            <w:tcW w:w="1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OCF Growth</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w:t>
            </w:r>
          </w:p>
        </w:tc>
        <w:tc>
          <w:tcPr>
            <w:tcW w:w="2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Asset Monetization</w:t>
            </w:r>
          </w:p>
        </w:tc>
        <w:tc>
          <w:tcPr>
            <w:tcW w:w="62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AT&amp;T Broadband</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$20BN(1)</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$2.5BN</w:t>
            </w: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w:t>
            </w:r>
          </w:p>
        </w:tc>
        <w:tc>
          <w:tcPr>
            <w:tcW w:w="1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Solid Investment</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Grade Profile:</w:t>
            </w:r>
          </w:p>
        </w:tc>
      </w:tr>
      <w:tr>
        <w:trPr>
          <w:trHeight w:val="168"/>
        </w:trPr>
        <w:tc>
          <w:tcPr>
            <w:tcW w:w="13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Leverage Ratio</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After Asset</w:t>
            </w:r>
          </w:p>
        </w:tc>
      </w:tr>
      <w:tr>
        <w:trPr>
          <w:trHeight w:val="168"/>
        </w:trPr>
        <w:tc>
          <w:tcPr>
            <w:tcW w:w="13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$30BN</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$5.9BN</w:t>
            </w:r>
          </w:p>
        </w:tc>
        <w:tc>
          <w:tcPr>
            <w:tcW w:w="620" w:type="dxa"/>
            <w:vAlign w:val="bottom"/>
          </w:tcPr>
          <w:p>
            <w:pPr>
              <w:spacing w:after="0"/>
              <w:rPr>
                <w:sz w:val="14"/>
                <w:szCs w:val="14"/>
                <w:color w:val="auto"/>
              </w:rPr>
            </w:pPr>
          </w:p>
        </w:tc>
        <w:tc>
          <w:tcPr>
            <w:tcW w:w="2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Monetization:(1)</w:t>
            </w:r>
          </w:p>
        </w:tc>
        <w:tc>
          <w:tcPr>
            <w:tcW w:w="62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QUIPS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$5BN</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2002</w:t>
            </w: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13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3.6x</w:t>
            </w: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3.0x</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2.5x</w:t>
            </w:r>
          </w:p>
        </w:tc>
      </w:tr>
    </w:tbl>
    <w:p>
      <w:pPr>
        <w:spacing w:after="0" w:line="166" w:lineRule="exact"/>
        <w:rPr>
          <w:sz w:val="20"/>
          <w:szCs w:val="20"/>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$5 billion of Exchangeable Securities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Illustrative Purposes Only.  Not Indicative of Guidance</w:t>
      </w:r>
    </w:p>
    <w:p>
      <w:pPr>
        <w:sectPr>
          <w:pgSz w:w="11900" w:h="16838" w:orient="portrait"/>
          <w:cols w:equalWidth="0" w:num="1">
            <w:col w:w="10239"/>
          </w:cols>
          <w:pgMar w:left="220" w:top="785"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AT&amp;T COMCAST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Organizational Structure</w:t>
      </w:r>
    </w:p>
    <w:p>
      <w:pPr>
        <w:spacing w:after="0" w:line="237" w:lineRule="auto"/>
        <w:rPr>
          <w:sz w:val="20"/>
          <w:szCs w:val="20"/>
          <w:color w:val="auto"/>
        </w:rPr>
      </w:pPr>
      <w:r>
        <w:rPr>
          <w:rFonts w:ascii="Courier New" w:cs="Courier New" w:eastAsia="Courier New" w:hAnsi="Courier New"/>
          <w:sz w:val="15"/>
          <w:szCs w:val="15"/>
          <w:color w:val="auto"/>
        </w:rPr>
        <w:t>Guarantees Equalize Credit Across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gridSpan w:val="2"/>
          </w:tcPr>
          <w:p>
            <w:pPr>
              <w:jc w:val="right"/>
              <w:ind w:right="1407"/>
              <w:spacing w:after="0"/>
              <w:rPr>
                <w:sz w:val="20"/>
                <w:szCs w:val="20"/>
                <w:color w:val="auto"/>
              </w:rPr>
            </w:pPr>
            <w:r>
              <w:rPr>
                <w:rFonts w:ascii="Courier New" w:cs="Courier New" w:eastAsia="Courier New" w:hAnsi="Courier New"/>
                <w:sz w:val="15"/>
                <w:szCs w:val="15"/>
                <w:color w:val="auto"/>
              </w:rPr>
              <w:t>AT&amp;T COMCAST</w:t>
            </w:r>
          </w:p>
        </w:tc>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Corporation</w:t>
            </w:r>
          </w:p>
        </w:tc>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[Primary Borrower]</w:t>
            </w:r>
          </w:p>
        </w:tc>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2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w w:val="88"/>
              </w:rPr>
              <w:t>|</w:t>
            </w:r>
          </w:p>
        </w:tc>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7960" w:type="dxa"/>
            <w:vAlign w:val="bottom"/>
            <w:gridSpan w:val="4"/>
          </w:tcPr>
          <w:p>
            <w:pPr>
              <w:ind w:left="960"/>
              <w:spacing w:after="0" w:line="168" w:lineRule="exact"/>
              <w:rPr>
                <w:sz w:val="20"/>
                <w:szCs w:val="20"/>
                <w:color w:val="auto"/>
              </w:rPr>
            </w:pPr>
            <w:r>
              <w:rPr>
                <w:rFonts w:ascii="Courier New" w:cs="Courier New" w:eastAsia="Courier New" w:hAnsi="Courier New"/>
                <w:sz w:val="15"/>
                <w:szCs w:val="15"/>
                <w:color w:val="auto"/>
                <w:w w:val="99"/>
              </w:rPr>
              <w:t>__________________________________|___________________________________________</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Comcast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Corporation</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AT&amp;T</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[Unrestricted Group]</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6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Broadband</w:t>
            </w:r>
          </w:p>
        </w:tc>
      </w:tr>
      <w:tr>
        <w:trPr>
          <w:trHeight w:val="168"/>
        </w:trPr>
        <w:tc>
          <w:tcPr>
            <w:tcW w:w="1940" w:type="dxa"/>
            <w:vAlign w:val="bottom"/>
          </w:tcPr>
          <w:p>
            <w:pPr>
              <w:spacing w:after="0"/>
              <w:rPr>
                <w:sz w:val="14"/>
                <w:szCs w:val="14"/>
                <w:color w:val="auto"/>
              </w:rPr>
            </w:pP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68"/>
        </w:trPr>
        <w:tc>
          <w:tcPr>
            <w:tcW w:w="7880" w:type="dxa"/>
            <w:vAlign w:val="bottom"/>
            <w:gridSpan w:val="4"/>
          </w:tcPr>
          <w:p>
            <w:pPr>
              <w:jc w:val="right"/>
              <w:ind w:right="80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w:t>
            </w:r>
          </w:p>
        </w:tc>
        <w:tc>
          <w:tcPr>
            <w:tcW w:w="366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___________|__________</w:t>
            </w:r>
          </w:p>
        </w:tc>
      </w:tr>
      <w:tr>
        <w:trPr>
          <w:trHeight w:val="168"/>
        </w:trPr>
        <w:tc>
          <w:tcPr>
            <w:tcW w:w="19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88"/>
              </w:rPr>
              <w:t>|</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88"/>
              </w:rPr>
              <w:t>|</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88"/>
              </w:rPr>
              <w:t>|</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 Entertainment</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QVC</w:t>
            </w:r>
          </w:p>
        </w:tc>
        <w:tc>
          <w:tcPr>
            <w:tcW w:w="188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5"/>
              </w:rPr>
              <w:t>Comcast</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Comcast Cable</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MediaOne</w:t>
            </w:r>
          </w:p>
        </w:tc>
        <w:tc>
          <w:tcPr>
            <w:tcW w:w="16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AT&amp;T</w:t>
            </w:r>
          </w:p>
        </w:tc>
      </w:tr>
      <w:tr>
        <w:trPr>
          <w:trHeight w:val="168"/>
        </w:trPr>
        <w:tc>
          <w:tcPr>
            <w:tcW w:w="19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Televison</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Inc</w:t>
            </w:r>
          </w:p>
        </w:tc>
        <w:tc>
          <w:tcPr>
            <w:tcW w:w="188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Spectacor</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Comunications</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Group Inc.</w:t>
            </w:r>
          </w:p>
        </w:tc>
        <w:tc>
          <w:tcPr>
            <w:tcW w:w="16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Broadband</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[Unrestricted Group]</w:t>
            </w:r>
          </w:p>
        </w:tc>
        <w:tc>
          <w:tcPr>
            <w:tcW w:w="2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[Unrestricted Group]</w:t>
            </w:r>
          </w:p>
        </w:tc>
        <w:tc>
          <w:tcPr>
            <w:tcW w:w="1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[Unrestricted Group]</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[Restricted Group]</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[Restricted Group]</w:t>
            </w:r>
          </w:p>
        </w:tc>
        <w:tc>
          <w:tcPr>
            <w:tcW w:w="1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[Restricted Group]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620"/>
        <w:spacing w:after="0" w:line="235" w:lineRule="auto"/>
        <w:rPr>
          <w:sz w:val="20"/>
          <w:szCs w:val="20"/>
          <w:color w:val="auto"/>
        </w:rPr>
      </w:pPr>
      <w:r>
        <w:rPr>
          <w:rFonts w:ascii="Courier New" w:cs="Courier New" w:eastAsia="Courier New" w:hAnsi="Courier New"/>
          <w:sz w:val="15"/>
          <w:szCs w:val="15"/>
          <w:color w:val="auto"/>
        </w:rPr>
        <w:t>[Guarantees are between (i) AT&amp;T Comcast Corporation and each of Comcast Cable Communications, MediaOne Group, Inc. and AT&amp;T Broadband LLC, (ii) Comcast Cable Communications and MediaOne Group, Inc. and (iii) MediaOne Group, Inc. and AT&amp;T Broadband LLC.]</w:t>
      </w:r>
    </w:p>
    <w:p>
      <w:pPr>
        <w:sectPr>
          <w:pgSz w:w="11900" w:h="16838" w:orient="portrait"/>
          <w:cols w:equalWidth="0" w:num="1">
            <w:col w:w="11540"/>
          </w:cols>
          <w:pgMar w:left="220" w:top="78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5680"/>
          </w:cols>
          <w:pgMar w:left="220" w:top="785" w:right="139"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AT&amp;T COMCAST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Funding Plan: Well On Its Way</w:t>
      </w:r>
    </w:p>
    <w:p>
      <w:pPr>
        <w:spacing w:after="0" w:line="166"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Billion Already Committed By Five Major Financial Institutions</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Requirement at Closing: $11-$14 Billion</w:t>
      </w:r>
    </w:p>
    <w:p>
      <w:pPr>
        <w:spacing w:after="0" w:line="172" w:lineRule="exact"/>
        <w:rPr>
          <w:rFonts w:ascii="Courier New" w:cs="Courier New" w:eastAsia="Courier New" w:hAnsi="Courier New"/>
          <w:sz w:val="15"/>
          <w:szCs w:val="15"/>
          <w:color w:val="auto"/>
        </w:rPr>
      </w:pPr>
    </w:p>
    <w:p>
      <w:pPr>
        <w:ind w:left="360" w:right="3399" w:hanging="350"/>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Repayment of AT&amp;T Intercompany Debt and Near-Term Liquidity Needs for AT&amp;T Comcast</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Liquidity Cushion in $4.5 Billion of Current Bank Facilities That Remain In Place</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2">
            <w:col w:w="5140" w:space="720"/>
            <w:col w:w="4379"/>
          </w:cols>
          <w:pgMar w:left="220" w:top="785" w:right="1440" w:bottom="1440" w:gutter="0" w:footer="0" w:header="0"/>
          <w:type w:val="continuous"/>
        </w:sectPr>
      </w:pPr>
    </w:p>
    <w:bookmarkStart w:id="28" w:name="page29"/>
    <w:bookmarkEnd w:id="28"/>
    <w:p>
      <w:pPr>
        <w:ind w:left="1760"/>
        <w:spacing w:after="0"/>
        <w:rPr>
          <w:sz w:val="20"/>
          <w:szCs w:val="20"/>
          <w:color w:val="auto"/>
        </w:rPr>
      </w:pPr>
      <w:r>
        <w:rPr>
          <w:rFonts w:ascii="Courier New" w:cs="Courier New" w:eastAsia="Courier New" w:hAnsi="Courier New"/>
          <w:sz w:val="14"/>
          <w:szCs w:val="14"/>
          <w:color w:val="auto"/>
        </w:rPr>
        <w:t>COMCAST LOGO</w:t>
      </w:r>
    </w:p>
    <w:p>
      <w:pPr>
        <w:sectPr>
          <w:pgSz w:w="11900" w:h="16838" w:orient="portrait"/>
          <w:cols w:equalWidth="0" w:num="1">
            <w:col w:w="9019"/>
          </w:cols>
          <w:pgMar w:left="1440" w:top="792"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Note: The following notice is included to meet certain legal requirements: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business,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 statements whether as a result of new information, future events or otherwise.</w:t>
      </w:r>
    </w:p>
    <w:p>
      <w:pPr>
        <w:spacing w:after="0" w:line="200" w:lineRule="exact"/>
        <w:rPr>
          <w:sz w:val="20"/>
          <w:szCs w:val="20"/>
          <w:color w:val="auto"/>
        </w:rPr>
      </w:pPr>
    </w:p>
    <w:p>
      <w:pPr>
        <w:spacing w:after="0" w:line="30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proposed transactions,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39"/>
      </w:cols>
      <w:pgMar w:left="220" w:top="9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2019-12-16T11:50:13Z</dcterms:created>
  <dcterms:modified xsi:type="dcterms:W3CDTF">2019-12-16T11:50:13Z</dcterms:modified>
</cp:coreProperties>
</file>