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0"/>
        </w:rPr>
      </w:pPr>
      <w:r>
        <w:rPr>
          <w:rFonts w:ascii="Times New Roman;serif" w:hAnsi="Times New Roman;serif"/>
          <w:b/>
          <w:color w:val="000000"/>
          <w:sz w:val="30"/>
        </w:rPr>
        <w:t xml:space="preserve">FORM 8-K </w:t>
      </w:r>
    </w:p>
    <w:p>
      <w:pPr>
        <w:pStyle w:val="TextBody"/>
        <w:bidi w:val="0"/>
        <w:spacing w:lineRule="auto" w:line="288" w:before="120" w:after="283"/>
        <w:jc w:val="center"/>
        <w:rPr>
          <w:rFonts w:ascii="Times New Roman;serif" w:hAnsi="Times New Roman;serif"/>
          <w:b/>
          <w:color w:val="000000"/>
          <w:sz w:val="30"/>
        </w:rPr>
      </w:pPr>
      <w:r>
        <w:rPr>
          <w:rFonts w:ascii="Times New Roman;serif" w:hAnsi="Times New Roman;serif"/>
          <w:b/>
          <w:color w:val="000000"/>
          <w:sz w:val="30"/>
        </w:rPr>
        <w:t>CURRENT REPORT</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Pursuant to Section 13 or 15(d) of the</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Exchange Act of 1934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December 19, 2025 </w:t>
      </w:r>
    </w:p>
    <w:tbl>
      <w:tblPr>
        <w:tblW w:w="8677" w:type="dxa"/>
        <w:jc w:val="center"/>
        <w:tblInd w:w="0" w:type="dxa"/>
        <w:tblLayout w:type="fixed"/>
        <w:tblCellMar>
          <w:top w:w="28" w:type="dxa"/>
          <w:left w:w="28" w:type="dxa"/>
          <w:bottom w:w="28" w:type="dxa"/>
          <w:right w:w="28" w:type="dxa"/>
        </w:tblCellMar>
      </w:tblPr>
      <w:tblGrid>
        <w:gridCol w:w="541"/>
        <w:gridCol w:w="474"/>
        <w:gridCol w:w="474"/>
        <w:gridCol w:w="474"/>
        <w:gridCol w:w="474"/>
        <w:gridCol w:w="484"/>
        <w:gridCol w:w="536"/>
        <w:gridCol w:w="536"/>
        <w:gridCol w:w="536"/>
        <w:gridCol w:w="536"/>
        <w:gridCol w:w="536"/>
        <w:gridCol w:w="542"/>
        <w:gridCol w:w="740"/>
        <w:gridCol w:w="740"/>
        <w:gridCol w:w="1054"/>
      </w:tblGrid>
      <w:tr>
        <w:trPr/>
        <w:tc>
          <w:tcPr>
            <w:tcW w:w="54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2"/>
              </w:rPr>
            </w:pPr>
            <w:r>
              <w:rPr>
                <w:rFonts w:ascii="Times New Roman;serif" w:hAnsi="Times New Roman;serif"/>
                <w:b/>
                <w:color w:val="000000"/>
                <w:sz w:val="32"/>
              </w:rPr>
              <w:t>Comcast Corporation</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(Exact Name of Registrant</w:t>
              <w:br/>
              <w:t>as Specified in its Charter)</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001-32871</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27-0000798</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Comcast Center</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Philadelphia, PA</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19103-2838</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pPr>
      <w:r>
        <w:rPr>
          <w:rFonts w:ascii="Times New Roman;serif" w:hAnsi="Times New Roman;serif"/>
          <w:b w:val="false"/>
          <w:color w:val="000000"/>
          <w:sz w:val="16"/>
        </w:rPr>
        <w:t xml:space="preserve">Registrant’s telephone number, including area code: </w:t>
      </w:r>
      <w:r>
        <w:rPr>
          <w:rFonts w:ascii="Times New Roman;serif" w:hAnsi="Times New Roman;serif"/>
          <w:b/>
          <w:color w:val="000000"/>
          <w:sz w:val="20"/>
        </w:rPr>
        <w:t xml:space="preserve">(215) 286-1700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before="0" w:after="0"/>
        <w:jc w:val="left"/>
        <w:rPr/>
      </w:pPr>
      <w:r>
        <w:rPr/>
      </w:r>
    </w:p>
    <w:p>
      <w:pPr>
        <w:pStyle w:val="TextBody"/>
        <w:bidi w:val="0"/>
        <w:spacing w:lineRule="auto" w:line="264" w:before="0" w:after="200"/>
        <w:jc w:val="left"/>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w:t>
      </w:r>
    </w:p>
    <w:p>
      <w:pPr>
        <w:pStyle w:val="TextBody"/>
        <w:bidi w:val="0"/>
        <w:spacing w:lineRule="auto" w:line="264" w:before="0" w:after="200"/>
        <w:jc w:val="left"/>
        <w:rPr/>
      </w:pPr>
      <w:r>
        <w:rPr>
          <w:color w:val="000000"/>
        </w:rPr>
        <w:t xml:space="preserve">☐ </w:t>
      </w:r>
      <w:r>
        <w:rPr>
          <w:rFonts w:ascii="Times New Roman;serif" w:hAnsi="Times New Roman;serif"/>
          <w:b w:val="false"/>
          <w:color w:val="000000"/>
          <w:sz w:val="16"/>
        </w:rPr>
        <w:t>Written communications pursuant to Rule 425 under the Securities Act (17 CFR 230.425)</w:t>
      </w:r>
    </w:p>
    <w:p>
      <w:pPr>
        <w:pStyle w:val="TextBody"/>
        <w:bidi w:val="0"/>
        <w:spacing w:lineRule="auto" w:line="264" w:before="0" w:after="200"/>
        <w:jc w:val="left"/>
        <w:rPr/>
      </w:pPr>
      <w:r>
        <w:rPr>
          <w:color w:val="000000"/>
        </w:rPr>
        <w:t xml:space="preserve">☐ </w:t>
      </w:r>
      <w:r>
        <w:rPr>
          <w:rFonts w:ascii="Times New Roman;serif" w:hAnsi="Times New Roman;serif"/>
          <w:b w:val="false"/>
          <w:color w:val="000000"/>
          <w:sz w:val="16"/>
        </w:rPr>
        <w:t>Soliciting material pursuant to Rule 14a-12 under the Exchange Act (17 CFR 240.14a-12)</w:t>
      </w:r>
    </w:p>
    <w:p>
      <w:pPr>
        <w:pStyle w:val="TextBody"/>
        <w:bidi w:val="0"/>
        <w:spacing w:lineRule="auto" w:line="264" w:before="0" w:after="200"/>
        <w:jc w:val="left"/>
        <w:rPr/>
      </w:pPr>
      <w:r>
        <w:rPr>
          <w:color w:val="000000"/>
        </w:rPr>
        <w:t xml:space="preserve">☐ </w:t>
      </w:r>
      <w:r>
        <w:rPr>
          <w:rFonts w:ascii="Times New Roman;serif" w:hAnsi="Times New Roman;serif"/>
          <w:b w:val="false"/>
          <w:color w:val="000000"/>
          <w:sz w:val="16"/>
        </w:rPr>
        <w:t>Pre-commencement communications pursuant to Rule 14d-2(b) under the Exchange Act (17 CFR 240.14d-2(b))</w:t>
      </w:r>
    </w:p>
    <w:p>
      <w:pPr>
        <w:pStyle w:val="TextBody"/>
        <w:bidi w:val="0"/>
        <w:spacing w:lineRule="auto" w:line="264" w:before="0" w:after="200"/>
        <w:jc w:val="left"/>
        <w:rPr/>
      </w:pPr>
      <w:r>
        <w:rPr>
          <w:color w:val="000000"/>
        </w:rPr>
        <w:t xml:space="preserve">☐ </w:t>
      </w:r>
      <w:r>
        <w:rPr>
          <w:rFonts w:ascii="Times New Roman;serif" w:hAnsi="Times New Roman;serif"/>
          <w:b w:val="false"/>
          <w:color w:val="000000"/>
          <w:sz w:val="16"/>
        </w:rPr>
        <w:t>Pre-commencement communications pursuant to Rule 13e-4(c) under the Exchange Act (17 CFR 240.13e-4(c))</w:t>
      </w:r>
    </w:p>
    <w:tbl>
      <w:tblPr>
        <w:tblW w:w="10205" w:type="dxa"/>
        <w:jc w:val="center"/>
        <w:tblInd w:w="0" w:type="dxa"/>
        <w:tblLayout w:type="fixed"/>
        <w:tblCellMar>
          <w:top w:w="28" w:type="dxa"/>
          <w:left w:w="28" w:type="dxa"/>
          <w:bottom w:w="28" w:type="dxa"/>
          <w:right w:w="28" w:type="dxa"/>
        </w:tblCellMar>
      </w:tblPr>
      <w:tblGrid>
        <w:gridCol w:w="1420"/>
        <w:gridCol w:w="1226"/>
        <w:gridCol w:w="1225"/>
        <w:gridCol w:w="258"/>
        <w:gridCol w:w="258"/>
        <w:gridCol w:w="258"/>
        <w:gridCol w:w="481"/>
        <w:gridCol w:w="475"/>
        <w:gridCol w:w="471"/>
        <w:gridCol w:w="258"/>
        <w:gridCol w:w="258"/>
        <w:gridCol w:w="258"/>
        <w:gridCol w:w="980"/>
        <w:gridCol w:w="980"/>
        <w:gridCol w:w="1399"/>
      </w:tblGrid>
      <w:tr>
        <w:trPr/>
        <w:tc>
          <w:tcPr>
            <w:tcW w:w="142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$0.01 par value</w:t>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CMCSA</w:t>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0.000% Notes due 2026</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CMCS26</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0.250% Notes due 2027</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CMCS27</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1.500% Notes due 2029</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CMCS29</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0.250% Notes due 2029</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CMCS29A</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0.750% Notes due 2032</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CMCS32</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3.250% Notes due 2032</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CMCS32A</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1.875% Notes due 2036</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CMCS36</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3.550% Notes due 2036</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CMCS36A</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1.250% Notes due 2040</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CMCS40</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5.250% Notes due 2040</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CMCS40A</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5.50% Notes due 2029</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CCGBP29</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 Exchangeable Subordinated Debentures due 2029</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CCZ</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64"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64" w:before="0" w:after="0"/>
        <w:jc w:val="left"/>
        <w:rPr>
          <w:color w:val="000000"/>
        </w:rPr>
      </w:pPr>
      <w:r>
        <w:rPr>
          <w:color w:val="000000"/>
        </w:rPr>
        <w:t> </w:t>
      </w:r>
    </w:p>
    <w:p>
      <w:pPr>
        <w:pStyle w:val="TextBody"/>
        <w:bidi w:val="0"/>
        <w:spacing w:lineRule="auto" w:line="264" w:before="0" w:after="0"/>
        <w:jc w:val="left"/>
        <w:rPr/>
      </w:pPr>
      <w:r>
        <w:rPr>
          <w:rFonts w:ascii="Times New Roman;serif" w:hAnsi="Times New Roman;serif"/>
          <w:b w:val="false"/>
          <w:color w:val="000000"/>
          <w:sz w:val="16"/>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64" w:before="0" w:after="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19, 2025, Comcast Corporation (the “Company”) entered into a new employment agreement (the “Agreement”) with Michael J. Cavanagh in connection with his upcoming appointment as Co-Chief Executive Officer of the Company on January 2, 2026. The Agreement secures Mr. Cavanagh’s employment through January 1, 2029.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the Agreement, Mr. Cavanagh will be entitled to an annual base salary of $2,750,000; his annual performance-based cash bonus target will continue to be 300% of his base salary. In connection with entering into the Agreement, Mr. Cavanagh also received an award of performance-based restricted stock units (the “Performance Award”) that was valued at approximately $35 million, with the number of shares determined by using a five-day volume weighted-average price of Class A common stock for the period ending the day before the record date for the planned Versant spin-off. The Performance Award will cliff vest after a three-year period upon satisfaction of both time-based and performance-based conditions, with the performance-based component being generally consistent with metrics used in our annual equity compensation program. The Performance Award provides that if Mr. Cavanagh resigns from the Company for Good Reason or his employment is terminated by the Company without Cause (as such terms are defined in the Agreement), then the Performance Award will vest for an additional 24 months and on a pro-rata basis based on actual performance. In the event of Mr. Cavanagh’s termination of employment due to death or disability, the Performance Award will vest in full based on target performance (in the case of death) or actual performance (in the case of disability).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Agreement and the Performance Award is a summary and is qualified in its entirety by reference to the full text of the Agreement (which will be filed as an exhibit to the Company’s Annual Report on Form 10-K for the fiscal year ending December 31, 2025) and form of performance-based restricted stock unit award agreement previously filed as an exhibit to our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9.01(d). Exhibits.</w:t>
      </w:r>
    </w:p>
    <w:tbl>
      <w:tblPr>
        <w:tblW w:w="8733"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360"/>
        <w:gridCol w:w="1360"/>
        <w:gridCol w:w="1364"/>
        <w:gridCol w:w="411"/>
        <w:gridCol w:w="411"/>
        <w:gridCol w:w="411"/>
        <w:gridCol w:w="411"/>
        <w:gridCol w:w="411"/>
        <w:gridCol w:w="411"/>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857" w:type="dxa"/>
        <w:jc w:val="center"/>
        <w:tblInd w:w="0" w:type="dxa"/>
        <w:tblLayout w:type="fixed"/>
        <w:tblCellMar>
          <w:top w:w="28" w:type="dxa"/>
          <w:left w:w="28" w:type="dxa"/>
          <w:bottom w:w="28" w:type="dxa"/>
          <w:right w:w="28" w:type="dxa"/>
        </w:tblCellMar>
      </w:tblPr>
      <w:tblGrid>
        <w:gridCol w:w="200"/>
        <w:gridCol w:w="177"/>
        <w:gridCol w:w="178"/>
        <w:gridCol w:w="559"/>
        <w:gridCol w:w="559"/>
        <w:gridCol w:w="561"/>
        <w:gridCol w:w="109"/>
        <w:gridCol w:w="109"/>
        <w:gridCol w:w="109"/>
        <w:gridCol w:w="277"/>
        <w:gridCol w:w="277"/>
        <w:gridCol w:w="277"/>
        <w:gridCol w:w="1002"/>
        <w:gridCol w:w="1002"/>
        <w:gridCol w:w="1002"/>
        <w:gridCol w:w="1002"/>
        <w:gridCol w:w="1002"/>
        <w:gridCol w:w="145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256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COMCAST CORPORATION</w:t>
            </w:r>
          </w:p>
        </w:tc>
      </w:tr>
      <w:tr>
        <w:trPr/>
        <w:tc>
          <w:tcPr>
            <w:tcW w:w="22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465"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Elizabeth Wideman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46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Elizabeth Wideman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4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Senior Deputy General Counsel and Assistant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4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850</Words>
  <Characters>4628</Characters>
  <CharactersWithSpaces>5396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