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12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580" w:type="dxa"/>
            <w:vAlign w:val="bottom"/>
            <w:vMerge w:val="restart"/>
          </w:tcPr>
          <w:p>
            <w:pPr>
              <w:ind w:left="240"/>
              <w:spacing w:after="0" w:line="130" w:lineRule="exact"/>
              <w:rPr>
                <w:sz w:val="20"/>
                <w:szCs w:val="20"/>
                <w:color w:val="auto"/>
              </w:rPr>
            </w:pPr>
            <w:r>
              <w:rPr>
                <w:rFonts w:ascii="Arial" w:cs="Arial" w:eastAsia="Arial" w:hAnsi="Arial"/>
                <w:sz w:val="14"/>
                <w:szCs w:val="14"/>
                <w:b w:val="1"/>
                <w:bCs w:val="1"/>
                <w:color w:val="auto"/>
                <w:w w:val="97"/>
              </w:rPr>
              <w:t>Proposed Maximum</w:t>
            </w: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8120" w:type="dxa"/>
            <w:vAlign w:val="bottom"/>
            <w:tcBorders>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1700" w:type="dxa"/>
            <w:vAlign w:val="bottom"/>
            <w:tcBorders>
              <w:lef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tcBorders>
              <w:right w:val="single" w:sz="8" w:color="auto"/>
            </w:tcBorders>
          </w:tcPr>
          <w:p>
            <w:pPr>
              <w:spacing w:after="0"/>
              <w:rPr>
                <w:sz w:val="12"/>
                <w:szCs w:val="12"/>
                <w:color w:val="auto"/>
              </w:rPr>
            </w:pPr>
          </w:p>
        </w:tc>
        <w:tc>
          <w:tcPr>
            <w:tcW w:w="158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Aggregate</w:t>
            </w:r>
          </w:p>
        </w:tc>
        <w:tc>
          <w:tcPr>
            <w:tcW w:w="1700" w:type="dxa"/>
            <w:vAlign w:val="bottom"/>
            <w:tcBorders>
              <w:left w:val="single" w:sz="8" w:color="auto"/>
            </w:tcBorders>
          </w:tcPr>
          <w:p>
            <w:pPr>
              <w:jc w:val="right"/>
              <w:ind w:right="399"/>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20" w:type="dxa"/>
            <w:vAlign w:val="bottom"/>
            <w:tcBorders>
              <w:bottom w:val="single" w:sz="8" w:color="auto"/>
              <w:right w:val="single" w:sz="8" w:color="auto"/>
            </w:tcBorders>
          </w:tcPr>
          <w:p>
            <w:pPr>
              <w:ind w:left="264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5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Offering Price</w:t>
            </w:r>
          </w:p>
        </w:tc>
        <w:tc>
          <w:tcPr>
            <w:tcW w:w="1700" w:type="dxa"/>
            <w:vAlign w:val="bottom"/>
            <w:tcBorders>
              <w:left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Registration Fee (1)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8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3.550% Notes due 2028</w:t>
            </w:r>
          </w:p>
        </w:tc>
        <w:tc>
          <w:tcPr>
            <w:tcW w:w="15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7"/>
              </w:rPr>
              <w:t>$1,000,000,000</w:t>
            </w:r>
          </w:p>
        </w:tc>
        <w:tc>
          <w:tcPr>
            <w:tcW w:w="17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$ 124,500</w:t>
            </w:r>
          </w:p>
        </w:tc>
        <w:tc>
          <w:tcPr>
            <w:tcW w:w="0" w:type="dxa"/>
            <w:vAlign w:val="bottom"/>
          </w:tcPr>
          <w:p>
            <w:pPr>
              <w:spacing w:after="0"/>
              <w:rPr>
                <w:sz w:val="1"/>
                <w:szCs w:val="1"/>
                <w:color w:val="auto"/>
              </w:rPr>
            </w:pPr>
          </w:p>
        </w:tc>
      </w:tr>
      <w:tr>
        <w:trPr>
          <w:trHeight w:val="210"/>
        </w:trPr>
        <w:tc>
          <w:tcPr>
            <w:tcW w:w="8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3.900% Notes due 2038</w:t>
            </w:r>
          </w:p>
        </w:tc>
        <w:tc>
          <w:tcPr>
            <w:tcW w:w="15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7"/>
              </w:rPr>
              <w:t>$1,200,000,000</w:t>
            </w:r>
          </w:p>
        </w:tc>
        <w:tc>
          <w:tcPr>
            <w:tcW w:w="17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$ 149,400</w:t>
            </w:r>
          </w:p>
        </w:tc>
        <w:tc>
          <w:tcPr>
            <w:tcW w:w="0" w:type="dxa"/>
            <w:vAlign w:val="bottom"/>
          </w:tcPr>
          <w:p>
            <w:pPr>
              <w:spacing w:after="0"/>
              <w:rPr>
                <w:sz w:val="1"/>
                <w:szCs w:val="1"/>
                <w:color w:val="auto"/>
              </w:rPr>
            </w:pPr>
          </w:p>
        </w:tc>
      </w:tr>
      <w:tr>
        <w:trPr>
          <w:trHeight w:val="210"/>
        </w:trPr>
        <w:tc>
          <w:tcPr>
            <w:tcW w:w="8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4.000% Notes due 2048</w:t>
            </w:r>
          </w:p>
        </w:tc>
        <w:tc>
          <w:tcPr>
            <w:tcW w:w="15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7"/>
              </w:rPr>
              <w:t>$1,000,000,000</w:t>
            </w:r>
          </w:p>
        </w:tc>
        <w:tc>
          <w:tcPr>
            <w:tcW w:w="17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$ 124,500</w:t>
            </w:r>
          </w:p>
        </w:tc>
        <w:tc>
          <w:tcPr>
            <w:tcW w:w="0" w:type="dxa"/>
            <w:vAlign w:val="bottom"/>
          </w:tcPr>
          <w:p>
            <w:pPr>
              <w:spacing w:after="0"/>
              <w:rPr>
                <w:sz w:val="1"/>
                <w:szCs w:val="1"/>
                <w:color w:val="auto"/>
              </w:rPr>
            </w:pPr>
          </w:p>
        </w:tc>
      </w:tr>
      <w:tr>
        <w:trPr>
          <w:trHeight w:val="210"/>
        </w:trPr>
        <w:tc>
          <w:tcPr>
            <w:tcW w:w="8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7"/>
              </w:rPr>
              <w:t>$3,200,000,000</w:t>
            </w:r>
          </w:p>
        </w:tc>
        <w:tc>
          <w:tcPr>
            <w:tcW w:w="17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$ 398,400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40" w:type="dxa"/>
            <w:vAlign w:val="bottom"/>
            <w:gridSpan w:val="2"/>
          </w:tcPr>
          <w:p>
            <w:pPr>
              <w:spacing w:after="0"/>
              <w:rPr>
                <w:sz w:val="20"/>
                <w:szCs w:val="20"/>
                <w:color w:val="auto"/>
              </w:rPr>
            </w:pPr>
            <w:r>
              <w:rPr>
                <w:rFonts w:ascii="Arial" w:cs="Arial" w:eastAsia="Arial" w:hAnsi="Arial"/>
                <w:sz w:val="18"/>
                <w:szCs w:val="18"/>
                <w:color w:val="auto"/>
              </w:rPr>
              <w:t>(1)   Calculated in accordance with Rule 457(r) under the Securities Act of 1933, as amended.</w:t>
            </w:r>
          </w:p>
        </w:tc>
        <w:tc>
          <w:tcPr>
            <w:tcW w:w="1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333-212719</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auto"/>
        </w:rPr>
        <w:t>PROSPECTUS SUPPLEMENT</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(To prospectus dated July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75565</wp:posOffset>
            </wp:positionV>
            <wp:extent cx="1397635"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960"/>
        <w:spacing w:after="0"/>
        <w:tabs>
          <w:tab w:leader="none" w:pos="5480" w:val="left"/>
        </w:tabs>
        <w:rPr>
          <w:sz w:val="20"/>
          <w:szCs w:val="20"/>
          <w:color w:val="auto"/>
        </w:rPr>
      </w:pPr>
      <w:r>
        <w:rPr>
          <w:rFonts w:ascii="Arial" w:cs="Arial" w:eastAsia="Arial" w:hAnsi="Arial"/>
          <w:sz w:val="20"/>
          <w:szCs w:val="20"/>
          <w:b w:val="1"/>
          <w:bCs w:val="1"/>
          <w:color w:val="auto"/>
        </w:rPr>
        <w:t>$1,000,000,000</w:t>
      </w:r>
      <w:r>
        <w:rPr>
          <w:sz w:val="20"/>
          <w:szCs w:val="20"/>
          <w:color w:val="auto"/>
        </w:rPr>
        <w:tab/>
      </w:r>
      <w:r>
        <w:rPr>
          <w:rFonts w:ascii="Arial" w:cs="Arial" w:eastAsia="Arial" w:hAnsi="Arial"/>
          <w:sz w:val="16"/>
          <w:szCs w:val="16"/>
          <w:b w:val="1"/>
          <w:bCs w:val="1"/>
          <w:color w:val="auto"/>
        </w:rPr>
        <w:t>3.550% Notes due 2028</w:t>
      </w:r>
    </w:p>
    <w:p>
      <w:pPr>
        <w:spacing w:after="0" w:line="94" w:lineRule="exact"/>
        <w:rPr>
          <w:sz w:val="20"/>
          <w:szCs w:val="20"/>
          <w:color w:val="auto"/>
        </w:rPr>
      </w:pPr>
    </w:p>
    <w:p>
      <w:pPr>
        <w:ind w:left="3960"/>
        <w:spacing w:after="0"/>
        <w:tabs>
          <w:tab w:leader="none" w:pos="5480" w:val="left"/>
        </w:tabs>
        <w:rPr>
          <w:sz w:val="20"/>
          <w:szCs w:val="20"/>
          <w:color w:val="auto"/>
        </w:rPr>
      </w:pPr>
      <w:r>
        <w:rPr>
          <w:rFonts w:ascii="Arial" w:cs="Arial" w:eastAsia="Arial" w:hAnsi="Arial"/>
          <w:sz w:val="20"/>
          <w:szCs w:val="20"/>
          <w:b w:val="1"/>
          <w:bCs w:val="1"/>
          <w:color w:val="auto"/>
        </w:rPr>
        <w:t>$1,200,000,000</w:t>
      </w:r>
      <w:r>
        <w:rPr>
          <w:sz w:val="20"/>
          <w:szCs w:val="20"/>
          <w:color w:val="auto"/>
        </w:rPr>
        <w:tab/>
      </w:r>
      <w:r>
        <w:rPr>
          <w:rFonts w:ascii="Arial" w:cs="Arial" w:eastAsia="Arial" w:hAnsi="Arial"/>
          <w:sz w:val="16"/>
          <w:szCs w:val="16"/>
          <w:b w:val="1"/>
          <w:bCs w:val="1"/>
          <w:color w:val="auto"/>
        </w:rPr>
        <w:t>3.900% Notes due 2038</w:t>
      </w:r>
    </w:p>
    <w:p>
      <w:pPr>
        <w:spacing w:after="0" w:line="81" w:lineRule="exact"/>
        <w:rPr>
          <w:sz w:val="20"/>
          <w:szCs w:val="20"/>
          <w:color w:val="auto"/>
        </w:rPr>
      </w:pPr>
    </w:p>
    <w:p>
      <w:pPr>
        <w:ind w:left="3960"/>
        <w:spacing w:after="0"/>
        <w:tabs>
          <w:tab w:leader="none" w:pos="5480" w:val="left"/>
        </w:tabs>
        <w:rPr>
          <w:sz w:val="20"/>
          <w:szCs w:val="20"/>
          <w:color w:val="auto"/>
        </w:rPr>
      </w:pPr>
      <w:r>
        <w:rPr>
          <w:rFonts w:ascii="Arial" w:cs="Arial" w:eastAsia="Arial" w:hAnsi="Arial"/>
          <w:sz w:val="20"/>
          <w:szCs w:val="20"/>
          <w:b w:val="1"/>
          <w:bCs w:val="1"/>
          <w:color w:val="auto"/>
        </w:rPr>
        <w:t>$1,000,000,000</w:t>
      </w:r>
      <w:r>
        <w:rPr>
          <w:sz w:val="20"/>
          <w:szCs w:val="20"/>
          <w:color w:val="auto"/>
        </w:rPr>
        <w:tab/>
      </w:r>
      <w:r>
        <w:rPr>
          <w:rFonts w:ascii="Arial" w:cs="Arial" w:eastAsia="Arial" w:hAnsi="Arial"/>
          <w:sz w:val="16"/>
          <w:szCs w:val="16"/>
          <w:b w:val="1"/>
          <w:bCs w:val="1"/>
          <w:color w:val="auto"/>
        </w:rPr>
        <w:t>4.000% Notes due 2048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151765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3" w:lineRule="exact"/>
        <w:rPr>
          <w:sz w:val="20"/>
          <w:szCs w:val="20"/>
          <w:color w:val="auto"/>
        </w:rPr>
      </w:pPr>
    </w:p>
    <w:p>
      <w:pPr>
        <w:ind w:left="200" w:right="100" w:firstLine="331"/>
        <w:spacing w:after="0" w:line="318" w:lineRule="auto"/>
        <w:rPr>
          <w:sz w:val="20"/>
          <w:szCs w:val="20"/>
          <w:color w:val="auto"/>
        </w:rPr>
      </w:pPr>
      <w:r>
        <w:rPr>
          <w:rFonts w:ascii="Arial" w:cs="Arial" w:eastAsia="Arial" w:hAnsi="Arial"/>
          <w:sz w:val="14"/>
          <w:szCs w:val="14"/>
          <w:color w:val="auto"/>
        </w:rPr>
        <w:t>The Notes due 2028 will bear interest at a rate of 3.550% per year and will mature on May 1, 2028, the Notes due 2038 will bear interest at a rate of 3.900% per year and will mature on March 1, 2038 and the Notes due 2048 will bear interest at a rate of 4.000% per year and will mature on March 1, 2048. We refer to the Notes due 2028, the Notes due 2038 and the Notes due 2048 collectively as the “notes.” We will pay interest on the Notes due 2028 on May 1 and November 1 of each year, beginning on May 1, 2018 and on the Notes due 2038 and the Notes due 2048 on March 1 and September 1 of each year, beginning September 1, 2018. We may redeem any of the notes at any time by paying the applicable Redemption Price described under the heading “Description of the Notes—Optional Redemption.”</w:t>
      </w:r>
    </w:p>
    <w:p>
      <w:pPr>
        <w:spacing w:after="0" w:line="41" w:lineRule="exact"/>
        <w:rPr>
          <w:sz w:val="20"/>
          <w:szCs w:val="20"/>
          <w:color w:val="auto"/>
        </w:rPr>
      </w:pPr>
    </w:p>
    <w:p>
      <w:pPr>
        <w:ind w:left="200" w:right="460" w:firstLine="331"/>
        <w:spacing w:after="0" w:line="293" w:lineRule="auto"/>
        <w:rPr>
          <w:sz w:val="20"/>
          <w:szCs w:val="20"/>
          <w:color w:val="auto"/>
        </w:rPr>
      </w:pPr>
      <w:r>
        <w:rPr>
          <w:rFonts w:ascii="Arial" w:cs="Arial" w:eastAsia="Arial" w:hAnsi="Arial"/>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106680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8" w:lineRule="exact"/>
        <w:rPr>
          <w:sz w:val="20"/>
          <w:szCs w:val="20"/>
          <w:color w:val="auto"/>
        </w:rPr>
      </w:pPr>
    </w:p>
    <w:p>
      <w:pPr>
        <w:ind w:left="200" w:right="740" w:firstLine="441"/>
        <w:spacing w:after="0" w:line="340"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20 of Comcast Corporation’s (“Comcast”) Annual Report on Form 10-K for the year ended December 31, 2017, which is incorporated by reference herein.</w:t>
      </w:r>
    </w:p>
    <w:tbl>
      <w:tblPr>
        <w:tblLayout w:type="fixed"/>
        <w:tblInd w:w="1080" w:type="dxa"/>
        <w:tblCellMar>
          <w:top w:w="0" w:type="dxa"/>
          <w:left w:w="0" w:type="dxa"/>
          <w:bottom w:w="0" w:type="dxa"/>
          <w:right w:w="0" w:type="dxa"/>
        </w:tblCellMar>
      </w:tblPr>
      <w:tr>
        <w:trPr>
          <w:trHeight w:val="150"/>
        </w:trPr>
        <w:tc>
          <w:tcPr>
            <w:tcW w:w="2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Price to</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Underwriters’</w:t>
            </w:r>
          </w:p>
        </w:tc>
        <w:tc>
          <w:tcPr>
            <w:tcW w:w="280" w:type="dxa"/>
            <w:vAlign w:val="bottom"/>
          </w:tcPr>
          <w:p>
            <w:pPr>
              <w:spacing w:after="0"/>
              <w:rPr>
                <w:sz w:val="13"/>
                <w:szCs w:val="13"/>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Proceeds to Us Before</w:t>
            </w:r>
          </w:p>
        </w:tc>
      </w:tr>
      <w:tr>
        <w:trPr>
          <w:trHeight w:val="171"/>
        </w:trPr>
        <w:tc>
          <w:tcPr>
            <w:tcW w:w="292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Investors</w:t>
            </w: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Discount</w:t>
            </w:r>
          </w:p>
        </w:tc>
        <w:tc>
          <w:tcPr>
            <w:tcW w:w="4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Expenses</w:t>
            </w:r>
          </w:p>
        </w:tc>
        <w:tc>
          <w:tcPr>
            <w:tcW w:w="180" w:type="dxa"/>
            <w:vAlign w:val="bottom"/>
            <w:tcBorders>
              <w:bottom w:val="single" w:sz="8" w:color="CCEEFF"/>
            </w:tcBorders>
          </w:tcPr>
          <w:p>
            <w:pPr>
              <w:spacing w:after="0"/>
              <w:rPr>
                <w:sz w:val="14"/>
                <w:szCs w:val="14"/>
                <w:color w:val="auto"/>
              </w:rPr>
            </w:pPr>
          </w:p>
        </w:tc>
      </w:tr>
      <w:tr>
        <w:trPr>
          <w:trHeight w:val="196"/>
        </w:trPr>
        <w:tc>
          <w:tcPr>
            <w:tcW w:w="292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Per note due 2028 </w:t>
            </w:r>
            <w:r>
              <w:rPr>
                <w:rFonts w:ascii="Arial" w:cs="Arial" w:eastAsia="Arial" w:hAnsi="Arial"/>
                <w:sz w:val="22"/>
                <w:szCs w:val="22"/>
                <w:color w:val="auto"/>
                <w:vertAlign w:val="superscript"/>
              </w:rPr>
              <w:t>(1)</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99.647%</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0.400%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99.247%</w:t>
            </w: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Total</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6"/>
                <w:szCs w:val="16"/>
                <w:color w:val="auto"/>
              </w:rPr>
              <w:t>996,470,000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4,000,000</w:t>
            </w:r>
          </w:p>
        </w:tc>
        <w:tc>
          <w:tcPr>
            <w:tcW w:w="420" w:type="dxa"/>
            <w:vAlign w:val="bottom"/>
          </w:tcPr>
          <w:p>
            <w:pPr>
              <w:spacing w:after="0"/>
              <w:rPr>
                <w:sz w:val="17"/>
                <w:szCs w:val="17"/>
                <w:color w:val="auto"/>
              </w:rPr>
            </w:pPr>
          </w:p>
        </w:tc>
        <w:tc>
          <w:tcPr>
            <w:tcW w:w="5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992,470,000</w:t>
            </w:r>
          </w:p>
        </w:tc>
      </w:tr>
      <w:tr>
        <w:trPr>
          <w:trHeight w:val="203"/>
        </w:trPr>
        <w:tc>
          <w:tcPr>
            <w:tcW w:w="29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Per note due 2038 </w:t>
            </w:r>
            <w:r>
              <w:rPr>
                <w:rFonts w:ascii="Arial" w:cs="Arial" w:eastAsia="Arial" w:hAnsi="Arial"/>
                <w:sz w:val="23"/>
                <w:szCs w:val="23"/>
                <w:color w:val="auto"/>
                <w:vertAlign w:val="superscript"/>
              </w:rPr>
              <w:t>(1)</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99.515%</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0.600%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98.915%</w:t>
            </w: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Total</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6"/>
                <w:szCs w:val="16"/>
                <w:color w:val="auto"/>
                <w:w w:val="87"/>
              </w:rPr>
              <w:t>1,194,180,000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7,200,000</w:t>
            </w:r>
          </w:p>
        </w:tc>
        <w:tc>
          <w:tcPr>
            <w:tcW w:w="420" w:type="dxa"/>
            <w:vAlign w:val="bottom"/>
          </w:tcPr>
          <w:p>
            <w:pPr>
              <w:spacing w:after="0"/>
              <w:rPr>
                <w:sz w:val="17"/>
                <w:szCs w:val="17"/>
                <w:color w:val="auto"/>
              </w:rPr>
            </w:pPr>
          </w:p>
        </w:tc>
        <w:tc>
          <w:tcPr>
            <w:tcW w:w="5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1,186,980,000</w:t>
            </w:r>
          </w:p>
        </w:tc>
      </w:tr>
      <w:tr>
        <w:trPr>
          <w:trHeight w:val="203"/>
        </w:trPr>
        <w:tc>
          <w:tcPr>
            <w:tcW w:w="29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Per note due 2048 </w:t>
            </w:r>
            <w:r>
              <w:rPr>
                <w:rFonts w:ascii="Arial" w:cs="Arial" w:eastAsia="Arial" w:hAnsi="Arial"/>
                <w:sz w:val="23"/>
                <w:szCs w:val="23"/>
                <w:color w:val="auto"/>
                <w:vertAlign w:val="superscript"/>
              </w:rPr>
              <w:t>(1)</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98.193%</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0.750%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97.443%</w:t>
            </w:r>
          </w:p>
        </w:tc>
      </w:tr>
      <w:tr>
        <w:trPr>
          <w:trHeight w:val="206"/>
        </w:trPr>
        <w:tc>
          <w:tcPr>
            <w:tcW w:w="2920" w:type="dxa"/>
            <w:vAlign w:val="bottom"/>
          </w:tcPr>
          <w:p>
            <w:pPr>
              <w:spacing w:after="0"/>
              <w:rPr>
                <w:sz w:val="20"/>
                <w:szCs w:val="20"/>
                <w:color w:val="auto"/>
              </w:rPr>
            </w:pPr>
            <w:r>
              <w:rPr>
                <w:rFonts w:ascii="Arial" w:cs="Arial" w:eastAsia="Arial" w:hAnsi="Arial"/>
                <w:sz w:val="16"/>
                <w:szCs w:val="16"/>
                <w:color w:val="auto"/>
              </w:rPr>
              <w:t>Total</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6"/>
                <w:szCs w:val="16"/>
                <w:color w:val="auto"/>
              </w:rPr>
              <w:t>981,930,000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7,500,000</w:t>
            </w:r>
          </w:p>
        </w:tc>
        <w:tc>
          <w:tcPr>
            <w:tcW w:w="420" w:type="dxa"/>
            <w:vAlign w:val="bottom"/>
          </w:tcPr>
          <w:p>
            <w:pPr>
              <w:spacing w:after="0"/>
              <w:rPr>
                <w:sz w:val="17"/>
                <w:szCs w:val="17"/>
                <w:color w:val="auto"/>
              </w:rPr>
            </w:pPr>
          </w:p>
        </w:tc>
        <w:tc>
          <w:tcPr>
            <w:tcW w:w="5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974,430,000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694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Plus accrued interest, if any, from February 8, 2018, if settlement occurs after that date.</w:t>
      </w:r>
    </w:p>
    <w:p>
      <w:pPr>
        <w:spacing w:after="0" w:line="96" w:lineRule="exact"/>
        <w:rPr>
          <w:sz w:val="20"/>
          <w:szCs w:val="20"/>
          <w:color w:val="auto"/>
        </w:rPr>
      </w:pPr>
    </w:p>
    <w:p>
      <w:pPr>
        <w:ind w:left="200" w:right="40" w:firstLine="331"/>
        <w:spacing w:after="0" w:line="375"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 w:lineRule="exact"/>
        <w:rPr>
          <w:sz w:val="20"/>
          <w:szCs w:val="20"/>
          <w:color w:val="auto"/>
        </w:rPr>
      </w:pPr>
    </w:p>
    <w:p>
      <w:pPr>
        <w:ind w:left="200" w:right="220" w:firstLine="331"/>
        <w:spacing w:after="0" w:line="278" w:lineRule="auto"/>
        <w:rPr>
          <w:sz w:val="20"/>
          <w:szCs w:val="20"/>
          <w:color w:val="auto"/>
        </w:rPr>
      </w:pPr>
      <w:r>
        <w:rPr>
          <w:rFonts w:ascii="Arial" w:cs="Arial" w:eastAsia="Arial" w:hAnsi="Arial"/>
          <w:sz w:val="16"/>
          <w:szCs w:val="16"/>
          <w:color w:val="auto"/>
        </w:rPr>
        <w:t>The notes will be ready for delivery only through The Depository Trust Company and its participants, including Euroclear SA/NV (“Euroclear”) and Clearstream Banking SA (“Clearstream”), in book-entry form on or about February 8, 2018, which is the fifth business day following the date of this prospectus supplement.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114935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i w:val="1"/>
          <w:iCs w:val="1"/>
          <w:color w:val="auto"/>
        </w:rPr>
        <w:t>Joint Book-Running Managers</w:t>
      </w:r>
    </w:p>
    <w:p>
      <w:pPr>
        <w:spacing w:after="0" w:line="127"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24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1120" w:type="dxa"/>
            <w:vAlign w:val="bottom"/>
          </w:tcPr>
          <w:p>
            <w:pPr>
              <w:spacing w:after="0"/>
              <w:rPr>
                <w:sz w:val="24"/>
                <w:szCs w:val="24"/>
                <w:color w:val="auto"/>
              </w:rPr>
            </w:pPr>
          </w:p>
        </w:tc>
        <w:tc>
          <w:tcPr>
            <w:tcW w:w="3520" w:type="dxa"/>
            <w:vAlign w:val="bottom"/>
            <w:gridSpan w:val="2"/>
          </w:tcPr>
          <w:p>
            <w:pPr>
              <w:jc w:val="center"/>
              <w:ind w:right="780"/>
              <w:spacing w:after="0"/>
              <w:rPr>
                <w:sz w:val="20"/>
                <w:szCs w:val="20"/>
                <w:color w:val="auto"/>
              </w:rPr>
            </w:pPr>
            <w:r>
              <w:rPr>
                <w:rFonts w:ascii="Arial" w:cs="Arial" w:eastAsia="Arial" w:hAnsi="Arial"/>
                <w:sz w:val="25"/>
                <w:szCs w:val="25"/>
                <w:b w:val="1"/>
                <w:bCs w:val="1"/>
                <w:color w:val="auto"/>
                <w:w w:val="91"/>
              </w:rPr>
              <w:t>TD Securities</w:t>
            </w:r>
          </w:p>
        </w:tc>
        <w:tc>
          <w:tcPr>
            <w:tcW w:w="3140" w:type="dxa"/>
            <w:vAlign w:val="bottom"/>
          </w:tcPr>
          <w:p>
            <w:pPr>
              <w:jc w:val="right"/>
              <w:spacing w:after="0"/>
              <w:rPr>
                <w:sz w:val="20"/>
                <w:szCs w:val="20"/>
                <w:color w:val="auto"/>
              </w:rPr>
            </w:pPr>
            <w:r>
              <w:rPr>
                <w:rFonts w:ascii="Arial" w:cs="Arial" w:eastAsia="Arial" w:hAnsi="Arial"/>
                <w:sz w:val="25"/>
                <w:szCs w:val="25"/>
                <w:b w:val="1"/>
                <w:bCs w:val="1"/>
                <w:color w:val="auto"/>
              </w:rPr>
              <w:t>Wells Fargo Securities</w:t>
            </w:r>
          </w:p>
        </w:tc>
      </w:tr>
      <w:tr>
        <w:trPr>
          <w:trHeight w:val="329"/>
        </w:trPr>
        <w:tc>
          <w:tcPr>
            <w:tcW w:w="3240" w:type="dxa"/>
            <w:vAlign w:val="bottom"/>
          </w:tcPr>
          <w:p>
            <w:pPr>
              <w:spacing w:after="0"/>
              <w:rPr>
                <w:sz w:val="20"/>
                <w:szCs w:val="20"/>
                <w:color w:val="auto"/>
              </w:rPr>
            </w:pPr>
            <w:r>
              <w:rPr>
                <w:rFonts w:ascii="Arial" w:cs="Arial" w:eastAsia="Arial" w:hAnsi="Arial"/>
                <w:sz w:val="25"/>
                <w:szCs w:val="25"/>
                <w:b w:val="1"/>
                <w:bCs w:val="1"/>
                <w:color w:val="auto"/>
              </w:rPr>
              <w:t>BofA Merrill Lynch</w:t>
            </w:r>
          </w:p>
        </w:tc>
        <w:tc>
          <w:tcPr>
            <w:tcW w:w="1120" w:type="dxa"/>
            <w:vAlign w:val="bottom"/>
          </w:tcPr>
          <w:p>
            <w:pPr>
              <w:spacing w:after="0"/>
              <w:rPr>
                <w:sz w:val="24"/>
                <w:szCs w:val="24"/>
                <w:color w:val="auto"/>
              </w:rPr>
            </w:pPr>
          </w:p>
        </w:tc>
        <w:tc>
          <w:tcPr>
            <w:tcW w:w="3520" w:type="dxa"/>
            <w:vAlign w:val="bottom"/>
            <w:gridSpan w:val="2"/>
          </w:tcPr>
          <w:p>
            <w:pPr>
              <w:jc w:val="center"/>
              <w:ind w:right="800"/>
              <w:spacing w:after="0"/>
              <w:rPr>
                <w:sz w:val="20"/>
                <w:szCs w:val="20"/>
                <w:color w:val="auto"/>
              </w:rPr>
            </w:pPr>
            <w:r>
              <w:rPr>
                <w:rFonts w:ascii="Arial" w:cs="Arial" w:eastAsia="Arial" w:hAnsi="Arial"/>
                <w:sz w:val="25"/>
                <w:szCs w:val="25"/>
                <w:b w:val="1"/>
                <w:bCs w:val="1"/>
                <w:color w:val="auto"/>
                <w:w w:val="95"/>
              </w:rPr>
              <w:t>RBC Capital Markets</w:t>
            </w:r>
          </w:p>
        </w:tc>
        <w:tc>
          <w:tcPr>
            <w:tcW w:w="3140" w:type="dxa"/>
            <w:vAlign w:val="bottom"/>
          </w:tcPr>
          <w:p>
            <w:pPr>
              <w:jc w:val="right"/>
              <w:spacing w:after="0"/>
              <w:rPr>
                <w:sz w:val="20"/>
                <w:szCs w:val="20"/>
                <w:color w:val="auto"/>
              </w:rPr>
            </w:pPr>
            <w:r>
              <w:rPr>
                <w:rFonts w:ascii="Arial" w:cs="Arial" w:eastAsia="Arial" w:hAnsi="Arial"/>
                <w:sz w:val="25"/>
                <w:szCs w:val="25"/>
                <w:b w:val="1"/>
                <w:bCs w:val="1"/>
                <w:color w:val="auto"/>
              </w:rPr>
              <w:t>SMBC Nikko</w:t>
            </w:r>
          </w:p>
        </w:tc>
      </w:tr>
      <w:tr>
        <w:trPr>
          <w:trHeight w:val="221"/>
        </w:trPr>
        <w:tc>
          <w:tcPr>
            <w:tcW w:w="3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98"/>
        </w:trPr>
        <w:tc>
          <w:tcPr>
            <w:tcW w:w="3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20" w:type="dxa"/>
            <w:vAlign w:val="bottom"/>
            <w:gridSpan w:val="2"/>
          </w:tcPr>
          <w:p>
            <w:pPr>
              <w:jc w:val="center"/>
              <w:ind w:right="1200"/>
              <w:spacing w:after="0"/>
              <w:rPr>
                <w:sz w:val="20"/>
                <w:szCs w:val="20"/>
                <w:color w:val="auto"/>
              </w:rPr>
            </w:pPr>
            <w:r>
              <w:rPr>
                <w:rFonts w:ascii="Arial" w:cs="Arial" w:eastAsia="Arial" w:hAnsi="Arial"/>
                <w:sz w:val="16"/>
                <w:szCs w:val="16"/>
                <w:b w:val="1"/>
                <w:bCs w:val="1"/>
                <w:i w:val="1"/>
                <w:iCs w:val="1"/>
                <w:color w:val="auto"/>
                <w:w w:val="90"/>
              </w:rPr>
              <w:t>Co-Managers</w:t>
            </w:r>
          </w:p>
        </w:tc>
        <w:tc>
          <w:tcPr>
            <w:tcW w:w="3140" w:type="dxa"/>
            <w:vAlign w:val="bottom"/>
          </w:tcPr>
          <w:p>
            <w:pPr>
              <w:spacing w:after="0"/>
              <w:rPr>
                <w:sz w:val="24"/>
                <w:szCs w:val="24"/>
                <w:color w:val="auto"/>
              </w:rPr>
            </w:pPr>
          </w:p>
        </w:tc>
      </w:tr>
      <w:tr>
        <w:trPr>
          <w:trHeight w:val="334"/>
        </w:trPr>
        <w:tc>
          <w:tcPr>
            <w:tcW w:w="3240" w:type="dxa"/>
            <w:vAlign w:val="bottom"/>
          </w:tcPr>
          <w:p>
            <w:pPr>
              <w:spacing w:after="0"/>
              <w:rPr>
                <w:sz w:val="20"/>
                <w:szCs w:val="20"/>
                <w:color w:val="auto"/>
              </w:rPr>
            </w:pPr>
            <w:r>
              <w:rPr>
                <w:rFonts w:ascii="Arial" w:cs="Arial" w:eastAsia="Arial" w:hAnsi="Arial"/>
                <w:sz w:val="20"/>
                <w:szCs w:val="20"/>
                <w:b w:val="1"/>
                <w:bCs w:val="1"/>
                <w:color w:val="auto"/>
              </w:rPr>
              <w:t>BNP PARIBAS</w:t>
            </w:r>
          </w:p>
        </w:tc>
        <w:tc>
          <w:tcPr>
            <w:tcW w:w="1120" w:type="dxa"/>
            <w:vAlign w:val="bottom"/>
          </w:tcPr>
          <w:p>
            <w:pPr>
              <w:spacing w:after="0"/>
              <w:rPr>
                <w:sz w:val="24"/>
                <w:szCs w:val="24"/>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20"/>
                <w:szCs w:val="20"/>
                <w:b w:val="1"/>
                <w:bCs w:val="1"/>
                <w:color w:val="auto"/>
                <w:w w:val="92"/>
              </w:rPr>
              <w:t>Citigroup</w:t>
            </w:r>
          </w:p>
        </w:tc>
        <w:tc>
          <w:tcPr>
            <w:tcW w:w="3140" w:type="dxa"/>
            <w:vAlign w:val="bottom"/>
          </w:tcPr>
          <w:p>
            <w:pPr>
              <w:jc w:val="right"/>
              <w:spacing w:after="0"/>
              <w:rPr>
                <w:sz w:val="20"/>
                <w:szCs w:val="20"/>
                <w:color w:val="auto"/>
              </w:rPr>
            </w:pPr>
            <w:r>
              <w:rPr>
                <w:rFonts w:ascii="Arial" w:cs="Arial" w:eastAsia="Arial" w:hAnsi="Arial"/>
                <w:sz w:val="20"/>
                <w:szCs w:val="20"/>
                <w:b w:val="1"/>
                <w:bCs w:val="1"/>
                <w:color w:val="auto"/>
              </w:rPr>
              <w:t>Credit Suisse</w:t>
            </w:r>
          </w:p>
        </w:tc>
      </w:tr>
      <w:tr>
        <w:trPr>
          <w:trHeight w:val="230"/>
        </w:trPr>
        <w:tc>
          <w:tcPr>
            <w:tcW w:w="3240" w:type="dxa"/>
            <w:vAlign w:val="bottom"/>
          </w:tcPr>
          <w:p>
            <w:pPr>
              <w:spacing w:after="0"/>
              <w:rPr>
                <w:sz w:val="20"/>
                <w:szCs w:val="20"/>
                <w:color w:val="auto"/>
              </w:rPr>
            </w:pPr>
            <w:r>
              <w:rPr>
                <w:rFonts w:ascii="Arial" w:cs="Arial" w:eastAsia="Arial" w:hAnsi="Arial"/>
                <w:sz w:val="20"/>
                <w:szCs w:val="20"/>
                <w:b w:val="1"/>
                <w:bCs w:val="1"/>
                <w:color w:val="auto"/>
              </w:rPr>
              <w:t>Deutsche Bank Securities</w:t>
            </w:r>
          </w:p>
        </w:tc>
        <w:tc>
          <w:tcPr>
            <w:tcW w:w="1120" w:type="dxa"/>
            <w:vAlign w:val="bottom"/>
          </w:tcPr>
          <w:p>
            <w:pPr>
              <w:spacing w:after="0"/>
              <w:rPr>
                <w:sz w:val="19"/>
                <w:szCs w:val="19"/>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20"/>
                <w:szCs w:val="20"/>
                <w:b w:val="1"/>
                <w:bCs w:val="1"/>
                <w:color w:val="auto"/>
                <w:w w:val="92"/>
              </w:rPr>
              <w:t>Goldman Sachs &amp; Co. LLC</w:t>
            </w:r>
          </w:p>
        </w:tc>
        <w:tc>
          <w:tcPr>
            <w:tcW w:w="3140" w:type="dxa"/>
            <w:vAlign w:val="bottom"/>
          </w:tcPr>
          <w:p>
            <w:pPr>
              <w:jc w:val="right"/>
              <w:spacing w:after="0"/>
              <w:rPr>
                <w:sz w:val="20"/>
                <w:szCs w:val="20"/>
                <w:color w:val="auto"/>
              </w:rPr>
            </w:pPr>
            <w:r>
              <w:rPr>
                <w:rFonts w:ascii="Arial" w:cs="Arial" w:eastAsia="Arial" w:hAnsi="Arial"/>
                <w:sz w:val="20"/>
                <w:szCs w:val="20"/>
                <w:b w:val="1"/>
                <w:bCs w:val="1"/>
                <w:color w:val="auto"/>
              </w:rPr>
              <w:t>J.P. Morgan</w:t>
            </w:r>
          </w:p>
        </w:tc>
      </w:tr>
      <w:tr>
        <w:trPr>
          <w:trHeight w:val="230"/>
        </w:trPr>
        <w:tc>
          <w:tcPr>
            <w:tcW w:w="3240" w:type="dxa"/>
            <w:vAlign w:val="bottom"/>
          </w:tcPr>
          <w:p>
            <w:pPr>
              <w:spacing w:after="0"/>
              <w:rPr>
                <w:sz w:val="20"/>
                <w:szCs w:val="20"/>
                <w:color w:val="auto"/>
              </w:rPr>
            </w:pPr>
            <w:r>
              <w:rPr>
                <w:rFonts w:ascii="Arial" w:cs="Arial" w:eastAsia="Arial" w:hAnsi="Arial"/>
                <w:sz w:val="20"/>
                <w:szCs w:val="20"/>
                <w:b w:val="1"/>
                <w:bCs w:val="1"/>
                <w:color w:val="auto"/>
              </w:rPr>
              <w:t>Mizuho Securities</w:t>
            </w:r>
          </w:p>
        </w:tc>
        <w:tc>
          <w:tcPr>
            <w:tcW w:w="1120" w:type="dxa"/>
            <w:vAlign w:val="bottom"/>
          </w:tcPr>
          <w:p>
            <w:pPr>
              <w:spacing w:after="0"/>
              <w:rPr>
                <w:sz w:val="19"/>
                <w:szCs w:val="19"/>
                <w:color w:val="auto"/>
              </w:rPr>
            </w:pPr>
          </w:p>
        </w:tc>
        <w:tc>
          <w:tcPr>
            <w:tcW w:w="3520" w:type="dxa"/>
            <w:vAlign w:val="bottom"/>
            <w:gridSpan w:val="2"/>
          </w:tcPr>
          <w:p>
            <w:pPr>
              <w:jc w:val="center"/>
              <w:ind w:right="1080"/>
              <w:spacing w:after="0"/>
              <w:rPr>
                <w:sz w:val="20"/>
                <w:szCs w:val="20"/>
                <w:color w:val="auto"/>
              </w:rPr>
            </w:pPr>
            <w:r>
              <w:rPr>
                <w:rFonts w:ascii="Arial" w:cs="Arial" w:eastAsia="Arial" w:hAnsi="Arial"/>
                <w:sz w:val="20"/>
                <w:szCs w:val="20"/>
                <w:b w:val="1"/>
                <w:bCs w:val="1"/>
                <w:color w:val="auto"/>
                <w:w w:val="91"/>
              </w:rPr>
              <w:t>Morgan Stanley</w:t>
            </w:r>
          </w:p>
        </w:tc>
        <w:tc>
          <w:tcPr>
            <w:tcW w:w="3140" w:type="dxa"/>
            <w:vAlign w:val="bottom"/>
          </w:tcPr>
          <w:p>
            <w:pPr>
              <w:jc w:val="right"/>
              <w:spacing w:after="0"/>
              <w:rPr>
                <w:sz w:val="20"/>
                <w:szCs w:val="20"/>
                <w:color w:val="auto"/>
              </w:rPr>
            </w:pPr>
            <w:r>
              <w:rPr>
                <w:rFonts w:ascii="Arial" w:cs="Arial" w:eastAsia="Arial" w:hAnsi="Arial"/>
                <w:sz w:val="20"/>
                <w:szCs w:val="20"/>
                <w:b w:val="1"/>
                <w:bCs w:val="1"/>
                <w:color w:val="auto"/>
              </w:rPr>
              <w:t>COMMERZBANK</w:t>
            </w:r>
          </w:p>
        </w:tc>
      </w:tr>
      <w:tr>
        <w:trPr>
          <w:trHeight w:val="230"/>
        </w:trPr>
        <w:tc>
          <w:tcPr>
            <w:tcW w:w="3240" w:type="dxa"/>
            <w:vAlign w:val="bottom"/>
          </w:tcPr>
          <w:p>
            <w:pPr>
              <w:spacing w:after="0"/>
              <w:rPr>
                <w:sz w:val="20"/>
                <w:szCs w:val="20"/>
                <w:color w:val="auto"/>
              </w:rPr>
            </w:pPr>
            <w:r>
              <w:rPr>
                <w:rFonts w:ascii="Arial" w:cs="Arial" w:eastAsia="Arial" w:hAnsi="Arial"/>
                <w:sz w:val="20"/>
                <w:szCs w:val="20"/>
                <w:b w:val="1"/>
                <w:bCs w:val="1"/>
                <w:color w:val="auto"/>
              </w:rPr>
              <w:t>DNB Markets</w:t>
            </w:r>
          </w:p>
        </w:tc>
        <w:tc>
          <w:tcPr>
            <w:tcW w:w="1120" w:type="dxa"/>
            <w:vAlign w:val="bottom"/>
          </w:tcPr>
          <w:p>
            <w:pPr>
              <w:spacing w:after="0"/>
              <w:rPr>
                <w:sz w:val="19"/>
                <w:szCs w:val="19"/>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20"/>
                <w:szCs w:val="20"/>
                <w:b w:val="1"/>
                <w:bCs w:val="1"/>
                <w:color w:val="auto"/>
                <w:w w:val="95"/>
              </w:rPr>
              <w:t>PNC Capital Markets LLC</w:t>
            </w:r>
          </w:p>
        </w:tc>
        <w:tc>
          <w:tcPr>
            <w:tcW w:w="3140" w:type="dxa"/>
            <w:vAlign w:val="bottom"/>
          </w:tcPr>
          <w:p>
            <w:pPr>
              <w:jc w:val="right"/>
              <w:spacing w:after="0"/>
              <w:rPr>
                <w:sz w:val="20"/>
                <w:szCs w:val="20"/>
                <w:color w:val="auto"/>
              </w:rPr>
            </w:pPr>
            <w:r>
              <w:rPr>
                <w:rFonts w:ascii="Arial" w:cs="Arial" w:eastAsia="Arial" w:hAnsi="Arial"/>
                <w:sz w:val="20"/>
                <w:szCs w:val="20"/>
                <w:b w:val="1"/>
                <w:bCs w:val="1"/>
                <w:color w:val="auto"/>
              </w:rPr>
              <w:t>US Bancorp</w:t>
            </w:r>
          </w:p>
        </w:tc>
      </w:tr>
      <w:tr>
        <w:trPr>
          <w:trHeight w:val="230"/>
        </w:trPr>
        <w:tc>
          <w:tcPr>
            <w:tcW w:w="3240" w:type="dxa"/>
            <w:vAlign w:val="bottom"/>
          </w:tcPr>
          <w:p>
            <w:pPr>
              <w:spacing w:after="0"/>
              <w:rPr>
                <w:sz w:val="20"/>
                <w:szCs w:val="20"/>
                <w:color w:val="auto"/>
              </w:rPr>
            </w:pPr>
            <w:r>
              <w:rPr>
                <w:rFonts w:ascii="Arial" w:cs="Arial" w:eastAsia="Arial" w:hAnsi="Arial"/>
                <w:sz w:val="20"/>
                <w:szCs w:val="20"/>
                <w:b w:val="1"/>
                <w:bCs w:val="1"/>
                <w:color w:val="auto"/>
              </w:rPr>
              <w:t>BNY Mellon Capital Markets, LLC</w:t>
            </w:r>
          </w:p>
        </w:tc>
        <w:tc>
          <w:tcPr>
            <w:tcW w:w="1120" w:type="dxa"/>
            <w:vAlign w:val="bottom"/>
          </w:tcPr>
          <w:p>
            <w:pPr>
              <w:spacing w:after="0"/>
              <w:rPr>
                <w:sz w:val="19"/>
                <w:szCs w:val="19"/>
                <w:color w:val="auto"/>
              </w:rPr>
            </w:pPr>
          </w:p>
        </w:tc>
        <w:tc>
          <w:tcPr>
            <w:tcW w:w="3520" w:type="dxa"/>
            <w:vAlign w:val="bottom"/>
            <w:gridSpan w:val="2"/>
          </w:tcPr>
          <w:p>
            <w:pPr>
              <w:jc w:val="center"/>
              <w:ind w:right="1080"/>
              <w:spacing w:after="0"/>
              <w:rPr>
                <w:sz w:val="20"/>
                <w:szCs w:val="20"/>
                <w:color w:val="auto"/>
              </w:rPr>
            </w:pPr>
            <w:r>
              <w:rPr>
                <w:rFonts w:ascii="Arial" w:cs="Arial" w:eastAsia="Arial" w:hAnsi="Arial"/>
                <w:sz w:val="20"/>
                <w:szCs w:val="20"/>
                <w:b w:val="1"/>
                <w:bCs w:val="1"/>
                <w:color w:val="auto"/>
                <w:w w:val="94"/>
              </w:rPr>
              <w:t>ICBC Standard Bank</w:t>
            </w:r>
          </w:p>
        </w:tc>
        <w:tc>
          <w:tcPr>
            <w:tcW w:w="3140" w:type="dxa"/>
            <w:vAlign w:val="bottom"/>
          </w:tcPr>
          <w:p>
            <w:pPr>
              <w:jc w:val="right"/>
              <w:spacing w:after="0"/>
              <w:rPr>
                <w:sz w:val="20"/>
                <w:szCs w:val="20"/>
                <w:color w:val="auto"/>
              </w:rPr>
            </w:pPr>
            <w:r>
              <w:rPr>
                <w:rFonts w:ascii="Arial" w:cs="Arial" w:eastAsia="Arial" w:hAnsi="Arial"/>
                <w:sz w:val="20"/>
                <w:szCs w:val="20"/>
                <w:b w:val="1"/>
                <w:bCs w:val="1"/>
                <w:color w:val="auto"/>
              </w:rPr>
              <w:t>SOCIETE GENERALE</w:t>
            </w:r>
          </w:p>
        </w:tc>
      </w:tr>
      <w:tr>
        <w:trPr>
          <w:trHeight w:val="230"/>
        </w:trPr>
        <w:tc>
          <w:tcPr>
            <w:tcW w:w="3240" w:type="dxa"/>
            <w:vAlign w:val="bottom"/>
          </w:tcPr>
          <w:p>
            <w:pPr>
              <w:spacing w:after="0"/>
              <w:rPr>
                <w:sz w:val="20"/>
                <w:szCs w:val="20"/>
                <w:color w:val="auto"/>
              </w:rPr>
            </w:pPr>
            <w:r>
              <w:rPr>
                <w:rFonts w:ascii="Arial" w:cs="Arial" w:eastAsia="Arial" w:hAnsi="Arial"/>
                <w:sz w:val="20"/>
                <w:szCs w:val="20"/>
                <w:b w:val="1"/>
                <w:bCs w:val="1"/>
                <w:color w:val="auto"/>
              </w:rPr>
              <w:t>Academy Securities</w:t>
            </w:r>
          </w:p>
        </w:tc>
        <w:tc>
          <w:tcPr>
            <w:tcW w:w="1120" w:type="dxa"/>
            <w:vAlign w:val="bottom"/>
          </w:tcPr>
          <w:p>
            <w:pPr>
              <w:spacing w:after="0"/>
              <w:rPr>
                <w:sz w:val="19"/>
                <w:szCs w:val="19"/>
                <w:color w:val="auto"/>
              </w:rPr>
            </w:pPr>
          </w:p>
        </w:tc>
        <w:tc>
          <w:tcPr>
            <w:tcW w:w="3520" w:type="dxa"/>
            <w:vAlign w:val="bottom"/>
            <w:gridSpan w:val="2"/>
          </w:tcPr>
          <w:p>
            <w:pPr>
              <w:jc w:val="center"/>
              <w:ind w:right="1080"/>
              <w:spacing w:after="0"/>
              <w:rPr>
                <w:sz w:val="20"/>
                <w:szCs w:val="20"/>
                <w:color w:val="auto"/>
              </w:rPr>
            </w:pPr>
            <w:r>
              <w:rPr>
                <w:rFonts w:ascii="Arial" w:cs="Arial" w:eastAsia="Arial" w:hAnsi="Arial"/>
                <w:sz w:val="20"/>
                <w:szCs w:val="20"/>
                <w:b w:val="1"/>
                <w:bCs w:val="1"/>
                <w:color w:val="auto"/>
                <w:w w:val="89"/>
              </w:rPr>
              <w:t>CastleOak Securities, L.P.</w:t>
            </w:r>
          </w:p>
        </w:tc>
        <w:tc>
          <w:tcPr>
            <w:tcW w:w="3140" w:type="dxa"/>
            <w:vAlign w:val="bottom"/>
          </w:tcPr>
          <w:p>
            <w:pPr>
              <w:jc w:val="right"/>
              <w:spacing w:after="0"/>
              <w:rPr>
                <w:sz w:val="20"/>
                <w:szCs w:val="20"/>
                <w:color w:val="auto"/>
              </w:rPr>
            </w:pPr>
            <w:r>
              <w:rPr>
                <w:rFonts w:ascii="Arial" w:cs="Arial" w:eastAsia="Arial" w:hAnsi="Arial"/>
                <w:sz w:val="20"/>
                <w:szCs w:val="20"/>
                <w:b w:val="1"/>
                <w:bCs w:val="1"/>
                <w:color w:val="auto"/>
              </w:rPr>
              <w:t>Mischler Financial Group, Inc.</w:t>
            </w:r>
          </w:p>
        </w:tc>
      </w:tr>
      <w:tr>
        <w:trPr>
          <w:trHeight w:val="256"/>
        </w:trPr>
        <w:tc>
          <w:tcPr>
            <w:tcW w:w="3240" w:type="dxa"/>
            <w:vAlign w:val="bottom"/>
          </w:tcPr>
          <w:p>
            <w:pPr>
              <w:spacing w:after="0"/>
              <w:rPr>
                <w:sz w:val="20"/>
                <w:szCs w:val="20"/>
                <w:color w:val="auto"/>
              </w:rPr>
            </w:pPr>
            <w:r>
              <w:rPr>
                <w:rFonts w:ascii="Arial" w:cs="Arial" w:eastAsia="Arial" w:hAnsi="Arial"/>
                <w:sz w:val="20"/>
                <w:szCs w:val="20"/>
                <w:b w:val="1"/>
                <w:bCs w:val="1"/>
                <w:color w:val="auto"/>
              </w:rPr>
              <w:t>Ramirez &amp; Co., Inc.</w:t>
            </w:r>
          </w:p>
        </w:tc>
        <w:tc>
          <w:tcPr>
            <w:tcW w:w="4640" w:type="dxa"/>
            <w:vAlign w:val="bottom"/>
            <w:gridSpan w:val="3"/>
          </w:tcPr>
          <w:p>
            <w:pPr>
              <w:jc w:val="center"/>
              <w:spacing w:after="0"/>
              <w:rPr>
                <w:sz w:val="20"/>
                <w:szCs w:val="20"/>
                <w:color w:val="auto"/>
              </w:rPr>
            </w:pPr>
            <w:r>
              <w:rPr>
                <w:rFonts w:ascii="Arial" w:cs="Arial" w:eastAsia="Arial" w:hAnsi="Arial"/>
                <w:sz w:val="20"/>
                <w:szCs w:val="20"/>
                <w:b w:val="1"/>
                <w:bCs w:val="1"/>
                <w:color w:val="auto"/>
                <w:w w:val="91"/>
              </w:rPr>
              <w:t>Siebert Cisneros Shank &amp; Co., L.L.C.</w:t>
            </w:r>
          </w:p>
        </w:tc>
        <w:tc>
          <w:tcPr>
            <w:tcW w:w="3140" w:type="dxa"/>
            <w:vAlign w:val="bottom"/>
          </w:tcPr>
          <w:p>
            <w:pPr>
              <w:jc w:val="right"/>
              <w:spacing w:after="0"/>
              <w:rPr>
                <w:sz w:val="20"/>
                <w:szCs w:val="20"/>
                <w:color w:val="auto"/>
              </w:rPr>
            </w:pPr>
            <w:r>
              <w:rPr>
                <w:rFonts w:ascii="Arial" w:cs="Arial" w:eastAsia="Arial" w:hAnsi="Arial"/>
                <w:sz w:val="20"/>
                <w:szCs w:val="20"/>
                <w:b w:val="1"/>
                <w:bCs w:val="1"/>
                <w:color w:val="auto"/>
              </w:rPr>
              <w:t>The Williams Capital Group, L.P.</w:t>
            </w:r>
          </w:p>
        </w:tc>
      </w:tr>
      <w:tr>
        <w:trPr>
          <w:trHeight w:val="287"/>
        </w:trPr>
        <w:tc>
          <w:tcPr>
            <w:tcW w:w="3240" w:type="dxa"/>
            <w:vAlign w:val="bottom"/>
          </w:tcPr>
          <w:p>
            <w:pPr>
              <w:spacing w:after="0"/>
              <w:rPr>
                <w:sz w:val="24"/>
                <w:szCs w:val="24"/>
                <w:color w:val="auto"/>
              </w:rPr>
            </w:pPr>
          </w:p>
        </w:tc>
        <w:tc>
          <w:tcPr>
            <w:tcW w:w="46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The date of this prospectus supplement is February 1, 2018.</w:t>
            </w:r>
          </w:p>
        </w:tc>
        <w:tc>
          <w:tcPr>
            <w:tcW w:w="314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80" w:type="dxa"/>
            <w:vAlign w:val="bottom"/>
            <w:gridSpan w:val="12"/>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Where You Can Find More Information</w:t>
              </w:r>
            </w:hyperlink>
          </w:p>
        </w:tc>
        <w:tc>
          <w:tcPr>
            <w:tcW w:w="7700" w:type="dxa"/>
            <w:vAlign w:val="bottom"/>
            <w:gridSpan w:val="5"/>
            <w:vMerge w:val="restart"/>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1"/>
        </w:trPr>
        <w:tc>
          <w:tcPr>
            <w:tcW w:w="2880" w:type="dxa"/>
            <w:vAlign w:val="bottom"/>
            <w:tcBorders>
              <w:bottom w:val="single" w:sz="8" w:color="0000EE"/>
            </w:tcBorders>
            <w:gridSpan w:val="12"/>
            <w:vMerge w:val="continue"/>
          </w:tcPr>
          <w:p>
            <w:pPr>
              <w:spacing w:after="0"/>
              <w:rPr>
                <w:sz w:val="13"/>
                <w:szCs w:val="13"/>
                <w:color w:val="auto"/>
              </w:rPr>
            </w:pPr>
          </w:p>
        </w:tc>
        <w:tc>
          <w:tcPr>
            <w:tcW w:w="7700" w:type="dxa"/>
            <w:vAlign w:val="bottom"/>
            <w:gridSpan w:val="5"/>
            <w:vMerge w:val="continue"/>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6"/>
                <w:szCs w:val="16"/>
                <w:color w:val="auto"/>
              </w:rPr>
              <w:t>ii</w:t>
            </w:r>
          </w:p>
        </w:tc>
        <w:tc>
          <w:tcPr>
            <w:tcW w:w="0" w:type="dxa"/>
            <w:vAlign w:val="bottom"/>
          </w:tcPr>
          <w:p>
            <w:pPr>
              <w:spacing w:after="0"/>
              <w:rPr>
                <w:sz w:val="1"/>
                <w:szCs w:val="1"/>
                <w:color w:val="auto"/>
              </w:rPr>
            </w:pPr>
          </w:p>
        </w:tc>
      </w:tr>
      <w:tr>
        <w:trPr>
          <w:trHeight w:val="210"/>
        </w:trPr>
        <w:tc>
          <w:tcPr>
            <w:tcW w:w="24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Supplement Summary</w:t>
              </w:r>
            </w:hyperlink>
          </w:p>
        </w:tc>
        <w:tc>
          <w:tcPr>
            <w:tcW w:w="8140" w:type="dxa"/>
            <w:vAlign w:val="bottom"/>
            <w:gridSpan w:val="6"/>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Use of Proceeds</w:t>
              </w:r>
            </w:hyperlink>
          </w:p>
        </w:tc>
        <w:tc>
          <w:tcPr>
            <w:tcW w:w="940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Ratios of Earnings to Fixed Charges and of Earnings to Combined Fixed Charges and Preferred Dividends</w:t>
              </w:r>
            </w:hyperlink>
          </w:p>
        </w:tc>
        <w:tc>
          <w:tcPr>
            <w:tcW w:w="2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0580" w:type="dxa"/>
            <w:vAlign w:val="bottom"/>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the Notes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Material U.S. Federal Income Tax Consequences for Non-U.S. Holders</w:t>
              </w:r>
            </w:hyperlink>
          </w:p>
        </w:tc>
        <w:tc>
          <w:tcPr>
            <w:tcW w:w="54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Underwriting</w:t>
              </w:r>
            </w:hyperlink>
          </w:p>
        </w:tc>
        <w:tc>
          <w:tcPr>
            <w:tcW w:w="960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058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S-22</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958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S-22</w:t>
            </w:r>
          </w:p>
        </w:tc>
        <w:tc>
          <w:tcPr>
            <w:tcW w:w="0" w:type="dxa"/>
            <w:vAlign w:val="bottom"/>
          </w:tcPr>
          <w:p>
            <w:pPr>
              <w:spacing w:after="0"/>
              <w:rPr>
                <w:sz w:val="1"/>
                <w:szCs w:val="1"/>
                <w:color w:val="auto"/>
              </w:rPr>
            </w:pPr>
          </w:p>
        </w:tc>
      </w:tr>
      <w:tr>
        <w:trPr>
          <w:trHeight w:val="453"/>
        </w:trPr>
        <w:tc>
          <w:tcPr>
            <w:tcW w:w="5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3"/>
          </w:tcPr>
          <w:p>
            <w:pPr>
              <w:ind w:left="1480"/>
              <w:spacing w:after="0"/>
              <w:rPr>
                <w:sz w:val="20"/>
                <w:szCs w:val="20"/>
                <w:color w:val="auto"/>
              </w:rPr>
            </w:pPr>
            <w:r>
              <w:rPr>
                <w:rFonts w:ascii="Arial" w:cs="Arial" w:eastAsia="Arial" w:hAnsi="Arial"/>
                <w:sz w:val="18"/>
                <w:szCs w:val="18"/>
                <w:b w:val="1"/>
                <w:bCs w:val="1"/>
                <w:color w:val="auto"/>
              </w:rPr>
              <w:t>Prospectus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The Companies</w:t>
              </w:r>
            </w:hyperlink>
          </w:p>
        </w:tc>
        <w:tc>
          <w:tcPr>
            <w:tcW w:w="944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Caution Concerning Forward-Looking Statements</w:t>
              </w:r>
            </w:hyperlink>
          </w:p>
        </w:tc>
        <w:tc>
          <w:tcPr>
            <w:tcW w:w="696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Use of Proceeds</w:t>
              </w:r>
            </w:hyperlink>
          </w:p>
        </w:tc>
        <w:tc>
          <w:tcPr>
            <w:tcW w:w="940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Dividend Policy</w:t>
              </w:r>
            </w:hyperlink>
          </w:p>
        </w:tc>
        <w:tc>
          <w:tcPr>
            <w:tcW w:w="940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Ratios of Earnings to Fixed Charges and of Earnings to Combined Fixed Charges and Preferred Dividends</w:t>
              </w:r>
            </w:hyperlink>
          </w:p>
        </w:tc>
        <w:tc>
          <w:tcPr>
            <w:tcW w:w="2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580" w:type="dxa"/>
            <w:vAlign w:val="bottom"/>
            <w:gridSpan w:val="1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Debt Securities and Guarantees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Global Securities</w:t>
              </w:r>
            </w:hyperlink>
          </w:p>
        </w:tc>
        <w:tc>
          <w:tcPr>
            <w:tcW w:w="72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Description of Capital Stock</w:t>
              </w:r>
            </w:hyperlink>
          </w:p>
        </w:tc>
        <w:tc>
          <w:tcPr>
            <w:tcW w:w="852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Plan of Distribution</w:t>
              </w:r>
            </w:hyperlink>
          </w:p>
        </w:tc>
        <w:tc>
          <w:tcPr>
            <w:tcW w:w="914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580" w:type="dxa"/>
            <w:vAlign w:val="bottom"/>
            <w:gridSpan w:val="1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Legal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Experts</w:t>
              </w:r>
            </w:hyperlink>
          </w:p>
        </w:tc>
        <w:tc>
          <w:tcPr>
            <w:tcW w:w="440" w:type="dxa"/>
            <w:vAlign w:val="bottom"/>
            <w:tcBorders>
              <w:top w:val="single" w:sz="8" w:color="0000EE"/>
            </w:tcBorders>
            <w:gridSpan w:val="2"/>
          </w:tcPr>
          <w:p>
            <w:pPr>
              <w:spacing w:after="0"/>
              <w:rPr>
                <w:sz w:val="17"/>
                <w:szCs w:val="17"/>
                <w:color w:val="auto"/>
              </w:rPr>
            </w:pPr>
          </w:p>
        </w:tc>
        <w:tc>
          <w:tcPr>
            <w:tcW w:w="958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Available Information</w:t>
              </w:r>
            </w:hyperlink>
          </w:p>
        </w:tc>
        <w:tc>
          <w:tcPr>
            <w:tcW w:w="898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Incorporation of Certain Documents by Reference</w:t>
              </w:r>
            </w:hyperlink>
          </w:p>
        </w:tc>
        <w:tc>
          <w:tcPr>
            <w:tcW w:w="696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Media, LLC (“NBCUniversal”) set forth below that we or NBCUniversal have previously filed with the SEC:</w:t>
      </w:r>
    </w:p>
    <w:p>
      <w:pPr>
        <w:spacing w:after="0" w:line="76" w:lineRule="exact"/>
        <w:rPr>
          <w:sz w:val="20"/>
          <w:szCs w:val="20"/>
          <w:color w:val="auto"/>
        </w:rPr>
      </w:pPr>
    </w:p>
    <w:p>
      <w:pPr>
        <w:ind w:left="1060" w:hanging="424"/>
        <w:spacing w:after="0"/>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2017, filed on January 31, 2018.</w:t>
      </w:r>
    </w:p>
    <w:p>
      <w:pPr>
        <w:spacing w:after="0" w:line="24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24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0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6504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SUPPLEMENT SUMMARY</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left="380" w:right="100" w:firstLine="426"/>
        <w:spacing w:after="0" w:line="264"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83" w:lineRule="exact"/>
        <w:rPr>
          <w:sz w:val="20"/>
          <w:szCs w:val="20"/>
          <w:color w:val="auto"/>
        </w:rPr>
      </w:pPr>
    </w:p>
    <w:p>
      <w:pPr>
        <w:ind w:left="1220" w:right="140" w:hanging="415"/>
        <w:spacing w:after="0" w:line="266"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 Internet, voice, and security and automation services to residential customers under the Xfinity brand; we also provide these and other services to business customers and sell advertising.</w:t>
      </w:r>
    </w:p>
    <w:p>
      <w:pPr>
        <w:spacing w:after="0" w:line="81" w:lineRule="exact"/>
        <w:rPr>
          <w:rFonts w:ascii="Arial" w:cs="Arial" w:eastAsia="Arial" w:hAnsi="Arial"/>
          <w:sz w:val="18"/>
          <w:szCs w:val="18"/>
          <w:color w:val="auto"/>
        </w:rPr>
      </w:pPr>
    </w:p>
    <w:p>
      <w:pPr>
        <w:ind w:left="1220" w:right="120" w:hanging="415"/>
        <w:spacing w:after="0" w:line="266"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sports content, our regional sports and news networks, our international cable networks, our cable television studio production operations, and various digital properties.</w:t>
      </w:r>
    </w:p>
    <w:p>
      <w:pPr>
        <w:spacing w:after="0" w:line="81" w:lineRule="exact"/>
        <w:rPr>
          <w:rFonts w:ascii="Arial" w:cs="Arial" w:eastAsia="Arial" w:hAnsi="Arial"/>
          <w:sz w:val="18"/>
          <w:szCs w:val="18"/>
          <w:color w:val="auto"/>
        </w:rPr>
      </w:pPr>
    </w:p>
    <w:p>
      <w:pPr>
        <w:ind w:left="1220" w:right="420" w:hanging="415"/>
        <w:spacing w:after="0" w:line="266"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the NBC Universo national cable network, our broadcast television studio production operations, and various digital properties.</w:t>
      </w:r>
    </w:p>
    <w:p>
      <w:pPr>
        <w:spacing w:after="0" w:line="81" w:lineRule="exact"/>
        <w:rPr>
          <w:rFonts w:ascii="Arial" w:cs="Arial" w:eastAsia="Arial" w:hAnsi="Arial"/>
          <w:sz w:val="18"/>
          <w:szCs w:val="18"/>
          <w:color w:val="auto"/>
        </w:rPr>
      </w:pPr>
    </w:p>
    <w:p>
      <w:pPr>
        <w:ind w:left="1220" w:right="200" w:hanging="415"/>
        <w:spacing w:after="0" w:line="266"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 our films are also produced under the Illumination, DreamWorks Animation and Focus Features names.</w:t>
      </w:r>
    </w:p>
    <w:p>
      <w:pPr>
        <w:spacing w:after="0" w:line="81" w:lineRule="exact"/>
        <w:rPr>
          <w:rFonts w:ascii="Arial" w:cs="Arial" w:eastAsia="Arial" w:hAnsi="Arial"/>
          <w:sz w:val="18"/>
          <w:szCs w:val="18"/>
          <w:color w:val="auto"/>
        </w:rPr>
      </w:pPr>
    </w:p>
    <w:p>
      <w:pPr>
        <w:ind w:left="1220" w:hanging="415"/>
        <w:spacing w:after="0"/>
        <w:tabs>
          <w:tab w:leader="none" w:pos="12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Theme Parks: </w:t>
      </w:r>
      <w:r>
        <w:rPr>
          <w:rFonts w:ascii="Arial" w:cs="Arial" w:eastAsia="Arial" w:hAnsi="Arial"/>
          <w:sz w:val="17"/>
          <w:szCs w:val="17"/>
          <w:color w:val="auto"/>
        </w:rPr>
        <w:t>Consists primarily of our Universal theme parks in Orlando, Florida; Hollywood, California; and Osaka, Japan.</w:t>
      </w:r>
    </w:p>
    <w:p>
      <w:pPr>
        <w:spacing w:after="0" w:line="241"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70" w:lineRule="exact"/>
        <w:rPr>
          <w:sz w:val="20"/>
          <w:szCs w:val="20"/>
          <w:color w:val="auto"/>
        </w:rPr>
      </w:pPr>
    </w:p>
    <w:p>
      <w:pPr>
        <w:ind w:left="380" w:right="60" w:firstLine="426"/>
        <w:spacing w:after="0" w:line="342" w:lineRule="auto"/>
        <w:rPr>
          <w:sz w:val="20"/>
          <w:szCs w:val="20"/>
          <w:color w:val="auto"/>
        </w:rPr>
      </w:pPr>
      <w:r>
        <w:rPr>
          <w:rFonts w:ascii="Arial" w:cs="Arial" w:eastAsia="Arial" w:hAnsi="Arial"/>
          <w:sz w:val="16"/>
          <w:szCs w:val="16"/>
          <w:color w:val="auto"/>
        </w:rPr>
        <w:t>Our other business interests consist primarily of Comcast Spectacor, which owns the Philadelphia Flyers and the Wells Fargo Center arena in Philadelphia, Pennsylvania and operates arena management-related businesses, and our wireless phone service, which we launched in mid-2017.</w:t>
      </w:r>
    </w:p>
    <w:p>
      <w:pPr>
        <w:spacing w:after="0" w:line="124"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87" w:lineRule="exact"/>
        <w:rPr>
          <w:sz w:val="20"/>
          <w:szCs w:val="20"/>
          <w:color w:val="auto"/>
        </w:rPr>
      </w:pPr>
    </w:p>
    <w:p>
      <w:pPr>
        <w:ind w:left="380" w:right="140" w:firstLine="426"/>
        <w:spacing w:after="0" w:line="264" w:lineRule="auto"/>
        <w:rPr>
          <w:sz w:val="20"/>
          <w:szCs w:val="20"/>
          <w:color w:val="auto"/>
        </w:rPr>
      </w:pPr>
      <w:r>
        <w:rPr>
          <w:rFonts w:ascii="Arial" w:cs="Arial" w:eastAsia="Arial" w:hAnsi="Arial"/>
          <w:sz w:val="18"/>
          <w:szCs w:val="18"/>
          <w:color w:val="auto"/>
        </w:rPr>
        <w:t>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 supplement or the accompanying prospectus.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ind w:left="380" w:right="20" w:firstLine="426"/>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Communications”) and NBCUniversal. In this prospectus supplement, we refer to these guarantors as the guarantors and to these guarantees as the guarantees.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402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14020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1220" w:hanging="415"/>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Comcast Cable Communications’ principal place of business is One Comcast Center, Philadelphia, Pennsylvania 19103-2838.</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NBCUniversal’s principal executive offices are located at 30 Rockefeller Plaza, New York, New York 10112-0015.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860"/>
          </w:cols>
          <w:pgMar w:left="240" w:top="459" w:right="7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2980" w:type="dxa"/>
            <w:vAlign w:val="bottom"/>
            <w:tcBorders>
              <w:top w:val="single" w:sz="8" w:color="auto"/>
              <w:left w:val="single" w:sz="8" w:color="auto"/>
            </w:tcBorders>
          </w:tcPr>
          <w:p>
            <w:pPr>
              <w:spacing w:after="0"/>
              <w:rPr>
                <w:sz w:val="24"/>
                <w:szCs w:val="24"/>
                <w:color w:val="auto"/>
              </w:rPr>
            </w:pPr>
          </w:p>
        </w:tc>
        <w:tc>
          <w:tcPr>
            <w:tcW w:w="806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Comcast Corporation.</w:t>
            </w:r>
          </w:p>
        </w:tc>
      </w:tr>
      <w:tr>
        <w:trPr>
          <w:trHeight w:val="473"/>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Securities Offered</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$1,000,000,000 aggregate principal amount of 3.550% Notes due 2028.</w:t>
            </w:r>
          </w:p>
        </w:tc>
      </w:tr>
      <w:tr>
        <w:trPr>
          <w:trHeight w:val="473"/>
        </w:trPr>
        <w:tc>
          <w:tcPr>
            <w:tcW w:w="298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$1,200,000,000 aggregate principal amount of 3.900% Notes due 2038.</w:t>
            </w:r>
          </w:p>
        </w:tc>
      </w:tr>
      <w:tr>
        <w:trPr>
          <w:trHeight w:val="459"/>
        </w:trPr>
        <w:tc>
          <w:tcPr>
            <w:tcW w:w="298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$1,000,000,000 aggregate principal amount of 4.000% Notes due 2048.</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Maturity</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2028 will mature on May 1, 2028.</w:t>
            </w:r>
          </w:p>
        </w:tc>
      </w:tr>
      <w:tr>
        <w:trPr>
          <w:trHeight w:val="473"/>
        </w:trPr>
        <w:tc>
          <w:tcPr>
            <w:tcW w:w="298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2038 will mature on March 1, 2038.</w:t>
            </w:r>
          </w:p>
        </w:tc>
      </w:tr>
      <w:tr>
        <w:trPr>
          <w:trHeight w:val="459"/>
        </w:trPr>
        <w:tc>
          <w:tcPr>
            <w:tcW w:w="298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2048 will mature on March 1, 2048.</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2028 will accrue at the rate of 3.550% per year, payable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semiannually in cash in arrears on May 1 and November 1, beginning May 1, 2018.</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2038 will accrue at the rate of 3.900% per year, payable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semiannually in cash in arrears on March 1 and September 1, beginning September 1,</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2018. Interest on the Notes due 2048 will accrue at the rate of 4.000% per year, payable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semiannually in cash in arrears on March 1 and September 1, beginning September 1,</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2018.</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will be unsecured and will rank equally with all of our and the guarantors’</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unsecured and unsubordinated indebtedness.</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Guarantors</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Comcast Cable Communications and NBCUniversal.</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Guarantees</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The guarantors will fully and unconditionally guarantee the notes, including the payment of</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principal, premium, if any, and interest. The guarantees will rank equally with all other</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general unsecured and unsubordinated obligations of the guarantors.</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We may, at our option, redeem any series of notes, in whole or in part,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applicable Redemption Price determined as set forth under the heading “Description of the</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Notes—Optional Redemption.”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We intend to use the net proceeds from the offering, after deducting underwriters’ discount</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and expenses, together with the net proceeds from the concurrent offering described below,</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for working capital and general corporate purposes, which may include the repayment of a</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portion of our upcoming debt maturities, including the 5.875% notes due February 15,</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2018 ($900 million principal amount outstanding as of the date hereof) and the 5.700%</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notes due May 15, 2018 ($1 billion principal amount outstanding as of the date hereof), and</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repayment of a portion of our outstanding commercial paper. As of January 30, 2018, our</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commercial paper had a weighted average annual interest rate of approximately 1.726% %</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and a weighted average remaining maturity of approximately 5 days.</w:t>
            </w:r>
          </w:p>
        </w:tc>
      </w:tr>
      <w:tr>
        <w:trPr>
          <w:trHeight w:val="240"/>
        </w:trPr>
        <w:tc>
          <w:tcPr>
            <w:tcW w:w="2980" w:type="dxa"/>
            <w:vAlign w:val="bottom"/>
            <w:tcBorders>
              <w:left w:val="single" w:sz="8" w:color="auto"/>
              <w:bottom w:val="single" w:sz="8" w:color="auto"/>
            </w:tcBorders>
          </w:tcPr>
          <w:p>
            <w:pPr>
              <w:spacing w:after="0"/>
              <w:rPr>
                <w:sz w:val="20"/>
                <w:szCs w:val="20"/>
                <w:color w:val="auto"/>
              </w:rPr>
            </w:pPr>
          </w:p>
        </w:tc>
        <w:tc>
          <w:tcPr>
            <w:tcW w:w="8060" w:type="dxa"/>
            <w:vAlign w:val="bottom"/>
            <w:tcBorders>
              <w:bottom w:val="single" w:sz="8" w:color="auto"/>
              <w:right w:val="single" w:sz="8" w:color="auto"/>
            </w:tcBorders>
          </w:tcPr>
          <w:p>
            <w:pPr>
              <w:spacing w:after="0"/>
              <w:rPr>
                <w:sz w:val="20"/>
                <w:szCs w:val="20"/>
                <w:color w:val="auto"/>
              </w:rPr>
            </w:pPr>
          </w:p>
        </w:tc>
      </w:tr>
      <w:tr>
        <w:trPr>
          <w:trHeight w:val="604"/>
        </w:trPr>
        <w:tc>
          <w:tcPr>
            <w:tcW w:w="2980" w:type="dxa"/>
            <w:vAlign w:val="bottom"/>
          </w:tcPr>
          <w:p>
            <w:pPr>
              <w:spacing w:after="0"/>
              <w:rPr>
                <w:sz w:val="24"/>
                <w:szCs w:val="24"/>
                <w:color w:val="auto"/>
              </w:rPr>
            </w:pPr>
          </w:p>
        </w:tc>
        <w:tc>
          <w:tcPr>
            <w:tcW w:w="806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29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Book-Entry</w:t>
            </w:r>
          </w:p>
        </w:tc>
        <w:tc>
          <w:tcPr>
            <w:tcW w:w="8100" w:type="dxa"/>
            <w:vAlign w:val="bottom"/>
            <w:tcBorders>
              <w:top w:val="single" w:sz="8" w:color="auto"/>
              <w:right w:val="single" w:sz="8" w:color="auto"/>
            </w:tcBorders>
          </w:tcPr>
          <w:p>
            <w:pPr>
              <w:ind w:left="1280"/>
              <w:spacing w:after="0"/>
              <w:rPr>
                <w:sz w:val="20"/>
                <w:szCs w:val="20"/>
                <w:color w:val="auto"/>
              </w:rPr>
            </w:pPr>
            <w:r>
              <w:rPr>
                <w:rFonts w:ascii="Arial" w:cs="Arial" w:eastAsia="Arial" w:hAnsi="Arial"/>
                <w:sz w:val="18"/>
                <w:szCs w:val="18"/>
                <w:color w:val="auto"/>
              </w:rPr>
              <w:t>The notes will be issued in book-entry form and will be represented by global notes</w:t>
            </w:r>
          </w:p>
        </w:tc>
      </w:tr>
      <w:tr>
        <w:trPr>
          <w:trHeight w:val="216"/>
        </w:trPr>
        <w:tc>
          <w:tcPr>
            <w:tcW w:w="294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deposited with, or on behalf of, DTC and registered in the name of DTC or its nominees.</w:t>
            </w:r>
          </w:p>
        </w:tc>
      </w:tr>
      <w:tr>
        <w:trPr>
          <w:trHeight w:val="216"/>
        </w:trPr>
        <w:tc>
          <w:tcPr>
            <w:tcW w:w="294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4"/>
              </w:rPr>
              <w:t>Beneficial interests in any of the notes will be shown on, and transfers will be effected only</w:t>
            </w:r>
          </w:p>
        </w:tc>
      </w:tr>
      <w:tr>
        <w:trPr>
          <w:trHeight w:val="216"/>
        </w:trPr>
        <w:tc>
          <w:tcPr>
            <w:tcW w:w="294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4"/>
              </w:rPr>
              <w:t>through, records maintained by DTC or its nominee or indirectly through organizations that</w:t>
            </w:r>
          </w:p>
        </w:tc>
      </w:tr>
      <w:tr>
        <w:trPr>
          <w:trHeight w:val="216"/>
        </w:trPr>
        <w:tc>
          <w:tcPr>
            <w:tcW w:w="294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have accounts with DTC, including Euroclear and Clearstream, and these beneficial</w:t>
            </w:r>
          </w:p>
        </w:tc>
      </w:tr>
      <w:tr>
        <w:trPr>
          <w:trHeight w:val="216"/>
        </w:trPr>
        <w:tc>
          <w:tcPr>
            <w:tcW w:w="294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3"/>
              </w:rPr>
              <w:t>interests may not be exchanged for certificated notes, except in limited circumstances. See</w:t>
            </w:r>
          </w:p>
        </w:tc>
      </w:tr>
      <w:tr>
        <w:trPr>
          <w:trHeight w:val="230"/>
        </w:trPr>
        <w:tc>
          <w:tcPr>
            <w:tcW w:w="294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“Description of the Notes—Book-Entry System” in this prospectus supplement.</w:t>
            </w:r>
          </w:p>
        </w:tc>
      </w:tr>
      <w:tr>
        <w:trPr>
          <w:trHeight w:val="445"/>
        </w:trPr>
        <w:tc>
          <w:tcPr>
            <w:tcW w:w="2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Concurrent Offering</w:t>
            </w:r>
          </w:p>
        </w:tc>
        <w:tc>
          <w:tcPr>
            <w:tcW w:w="81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We are conducting a concurrent offering (the “</w:t>
            </w:r>
            <w:r>
              <w:rPr>
                <w:rFonts w:ascii="Arial" w:cs="Arial" w:eastAsia="Arial" w:hAnsi="Arial"/>
                <w:sz w:val="18"/>
                <w:szCs w:val="18"/>
                <w:b w:val="1"/>
                <w:bCs w:val="1"/>
                <w:color w:val="auto"/>
              </w:rPr>
              <w:t>concurrent offering</w:t>
            </w:r>
            <w:r>
              <w:rPr>
                <w:rFonts w:ascii="Arial" w:cs="Arial" w:eastAsia="Arial" w:hAnsi="Arial"/>
                <w:sz w:val="18"/>
                <w:szCs w:val="18"/>
                <w:color w:val="auto"/>
              </w:rPr>
              <w:t>”) pursuant to a</w:t>
            </w:r>
          </w:p>
        </w:tc>
      </w:tr>
      <w:tr>
        <w:trPr>
          <w:trHeight w:val="212"/>
        </w:trPr>
        <w:tc>
          <w:tcPr>
            <w:tcW w:w="294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3"/>
              </w:rPr>
              <w:t>separate prospectus supplement of $800,000,000 aggregate principal amount of notes (the</w:t>
            </w:r>
          </w:p>
        </w:tc>
      </w:tr>
      <w:tr>
        <w:trPr>
          <w:trHeight w:val="220"/>
        </w:trPr>
        <w:tc>
          <w:tcPr>
            <w:tcW w:w="2940" w:type="dxa"/>
            <w:vAlign w:val="bottom"/>
            <w:tcBorders>
              <w:left w:val="single" w:sz="8" w:color="auto"/>
            </w:tcBorders>
          </w:tcPr>
          <w:p>
            <w:pPr>
              <w:spacing w:after="0"/>
              <w:rPr>
                <w:sz w:val="19"/>
                <w:szCs w:val="19"/>
                <w:color w:val="auto"/>
              </w:rPr>
            </w:pPr>
          </w:p>
        </w:tc>
        <w:tc>
          <w:tcPr>
            <w:tcW w:w="81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concurrent offering notes</w:t>
            </w:r>
            <w:r>
              <w:rPr>
                <w:rFonts w:ascii="Arial" w:cs="Arial" w:eastAsia="Arial" w:hAnsi="Arial"/>
                <w:sz w:val="18"/>
                <w:szCs w:val="18"/>
                <w:color w:val="auto"/>
                <w:w w:val="94"/>
              </w:rPr>
              <w:t>”). The concurrent offering notes are being listed on the Taipei</w:t>
            </w:r>
          </w:p>
        </w:tc>
      </w:tr>
      <w:tr>
        <w:trPr>
          <w:trHeight w:val="216"/>
        </w:trPr>
        <w:tc>
          <w:tcPr>
            <w:tcW w:w="294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9"/>
              </w:rPr>
              <w:t>Exchange and are being offered solely to investors in Taiwan. The concurrent offering</w:t>
            </w:r>
          </w:p>
        </w:tc>
      </w:tr>
      <w:tr>
        <w:trPr>
          <w:trHeight w:val="216"/>
        </w:trPr>
        <w:tc>
          <w:tcPr>
            <w:tcW w:w="294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4"/>
              </w:rPr>
              <w:t>notes will be unsecured and will rank equally with all of our and our guarantors’ unsecured</w:t>
            </w:r>
          </w:p>
        </w:tc>
      </w:tr>
      <w:tr>
        <w:trPr>
          <w:trHeight w:val="216"/>
        </w:trPr>
        <w:tc>
          <w:tcPr>
            <w:tcW w:w="294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and unsubordinated indebtedness. The concurrent offering notes will be fully and</w:t>
            </w:r>
          </w:p>
        </w:tc>
      </w:tr>
      <w:tr>
        <w:trPr>
          <w:trHeight w:val="216"/>
        </w:trPr>
        <w:tc>
          <w:tcPr>
            <w:tcW w:w="294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2"/>
              </w:rPr>
              <w:t>unconditionally guaranteed by the guarantors of the notes. The offer and sale of the notes is</w:t>
            </w:r>
          </w:p>
        </w:tc>
      </w:tr>
      <w:tr>
        <w:trPr>
          <w:trHeight w:val="216"/>
        </w:trPr>
        <w:tc>
          <w:tcPr>
            <w:tcW w:w="294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not conditioned on the concurrent offering, and the concurrent offering is not conditioned</w:t>
            </w:r>
          </w:p>
        </w:tc>
      </w:tr>
      <w:tr>
        <w:trPr>
          <w:trHeight w:val="230"/>
        </w:trPr>
        <w:tc>
          <w:tcPr>
            <w:tcW w:w="294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on the offer and sale of the notes.</w:t>
            </w:r>
          </w:p>
        </w:tc>
      </w:tr>
      <w:tr>
        <w:trPr>
          <w:trHeight w:val="240"/>
        </w:trPr>
        <w:tc>
          <w:tcPr>
            <w:tcW w:w="2940" w:type="dxa"/>
            <w:vAlign w:val="bottom"/>
            <w:tcBorders>
              <w:left w:val="single" w:sz="8" w:color="auto"/>
              <w:bottom w:val="single" w:sz="8" w:color="auto"/>
            </w:tcBorders>
          </w:tcPr>
          <w:p>
            <w:pPr>
              <w:spacing w:after="0"/>
              <w:rPr>
                <w:sz w:val="20"/>
                <w:szCs w:val="20"/>
                <w:color w:val="auto"/>
              </w:rPr>
            </w:pPr>
          </w:p>
        </w:tc>
        <w:tc>
          <w:tcPr>
            <w:tcW w:w="8100" w:type="dxa"/>
            <w:vAlign w:val="bottom"/>
            <w:tcBorders>
              <w:bottom w:val="single" w:sz="8" w:color="auto"/>
              <w:right w:val="single" w:sz="8" w:color="auto"/>
            </w:tcBorders>
          </w:tcPr>
          <w:p>
            <w:pPr>
              <w:spacing w:after="0"/>
              <w:rPr>
                <w:sz w:val="20"/>
                <w:szCs w:val="20"/>
                <w:color w:val="auto"/>
              </w:rPr>
            </w:pPr>
          </w:p>
        </w:tc>
      </w:tr>
      <w:tr>
        <w:trPr>
          <w:trHeight w:val="604"/>
        </w:trPr>
        <w:tc>
          <w:tcPr>
            <w:tcW w:w="2940" w:type="dxa"/>
            <w:vAlign w:val="bottom"/>
          </w:tcPr>
          <w:p>
            <w:pPr>
              <w:spacing w:after="0"/>
              <w:rPr>
                <w:sz w:val="24"/>
                <w:szCs w:val="24"/>
                <w:color w:val="auto"/>
              </w:rPr>
            </w:pPr>
          </w:p>
        </w:tc>
        <w:tc>
          <w:tcPr>
            <w:tcW w:w="8100" w:type="dxa"/>
            <w:vAlign w:val="bottom"/>
          </w:tcPr>
          <w:p>
            <w:pPr>
              <w:ind w:left="244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intend to use the net proceeds from the offering, after deducting underwriters’ discount and expenses, together with the net proceeds from the concurrent offering, for working capital and general corporate purposes, which may include the repayment of a portion of our upcoming debt maturities, including the 5.875% notes due February 15, 2018 ($900 million principal amount outstanding as of the date hereof) and the 5.700% notes due May 15, 2018 ($1 billion principal amount outstanding as of the date hereof), and repayment of a portion of our outstanding commercial paper. As of January 30, 2018, our commercial paper had a weighted average annual interest rate of approximately 1.726% % and a weighted average remaining maturity of approximately 5 days.</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211"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185"/>
        </w:trPr>
        <w:tc>
          <w:tcPr>
            <w:tcW w:w="13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224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3600" w:type="dxa"/>
            <w:vAlign w:val="bottom"/>
            <w:gridSpan w:val="5"/>
          </w:tcPr>
          <w:p>
            <w:pPr>
              <w:spacing w:after="0"/>
              <w:rPr>
                <w:sz w:val="20"/>
                <w:szCs w:val="20"/>
                <w:color w:val="auto"/>
              </w:rPr>
            </w:pPr>
            <w:r>
              <w:rPr>
                <w:rFonts w:ascii="Arial" w:cs="Arial" w:eastAsia="Arial" w:hAnsi="Arial"/>
                <w:sz w:val="14"/>
                <w:szCs w:val="14"/>
                <w:b w:val="1"/>
                <w:bCs w:val="1"/>
                <w:color w:val="auto"/>
              </w:rPr>
              <w:t>For the Years Ended December 31,</w:t>
            </w:r>
          </w:p>
        </w:tc>
        <w:tc>
          <w:tcPr>
            <w:tcW w:w="52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1520" w:type="dxa"/>
            <w:vAlign w:val="bottom"/>
          </w:tcPr>
          <w:p>
            <w:pPr>
              <w:spacing w:after="0"/>
              <w:rPr>
                <w:sz w:val="16"/>
                <w:szCs w:val="16"/>
                <w:color w:val="auto"/>
              </w:rPr>
            </w:pPr>
          </w:p>
        </w:tc>
        <w:tc>
          <w:tcPr>
            <w:tcW w:w="5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35"/>
        </w:trPr>
        <w:tc>
          <w:tcPr>
            <w:tcW w:w="1300" w:type="dxa"/>
            <w:vAlign w:val="bottom"/>
            <w:tcBorders>
              <w:bottom w:val="single" w:sz="8" w:color="CCEEFF"/>
            </w:tcBorders>
            <w:gridSpan w:val="2"/>
            <w:vMerge w:val="continue"/>
          </w:tcPr>
          <w:p>
            <w:pPr>
              <w:spacing w:after="0"/>
              <w:rPr>
                <w:sz w:val="11"/>
                <w:szCs w:val="11"/>
                <w:color w:val="auto"/>
              </w:rPr>
            </w:pPr>
          </w:p>
        </w:tc>
        <w:tc>
          <w:tcPr>
            <w:tcW w:w="22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52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42"/>
              <w:spacing w:after="0" w:line="115" w:lineRule="exact"/>
              <w:rPr>
                <w:sz w:val="20"/>
                <w:szCs w:val="20"/>
                <w:color w:val="auto"/>
              </w:rPr>
            </w:pPr>
            <w:r>
              <w:rPr>
                <w:rFonts w:ascii="Arial" w:cs="Arial" w:eastAsia="Arial" w:hAnsi="Arial"/>
                <w:sz w:val="13"/>
                <w:szCs w:val="13"/>
                <w:b w:val="1"/>
                <w:bCs w:val="1"/>
                <w:color w:val="auto"/>
              </w:rPr>
              <w:t>2015</w:t>
            </w:r>
          </w:p>
        </w:tc>
        <w:tc>
          <w:tcPr>
            <w:tcW w:w="40" w:type="dxa"/>
            <w:vAlign w:val="bottom"/>
            <w:tcBorders>
              <w:top w:val="single" w:sz="8" w:color="auto"/>
              <w:bottom w:val="single" w:sz="8" w:color="CCEEFF"/>
            </w:tcBorders>
          </w:tcPr>
          <w:p>
            <w:pPr>
              <w:spacing w:after="0"/>
              <w:rPr>
                <w:sz w:val="11"/>
                <w:szCs w:val="11"/>
                <w:color w:val="auto"/>
              </w:rPr>
            </w:pPr>
          </w:p>
        </w:tc>
        <w:tc>
          <w:tcPr>
            <w:tcW w:w="146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5.45x</w:t>
            </w:r>
          </w:p>
        </w:tc>
        <w:tc>
          <w:tcPr>
            <w:tcW w:w="2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gridSpan w:val="2"/>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5.26x</w:t>
            </w:r>
          </w:p>
        </w:tc>
        <w:tc>
          <w:tcPr>
            <w:tcW w:w="15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5.48x</w:t>
            </w:r>
          </w:p>
        </w:tc>
        <w:tc>
          <w:tcPr>
            <w:tcW w:w="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5.22x</w:t>
            </w:r>
          </w:p>
        </w:tc>
        <w:tc>
          <w:tcPr>
            <w:tcW w:w="15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4.85x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We are offering $1,000,000,000 aggregate principal amount of our 3.550% Notes due 2028, $1,200,000,000 aggregate principal amount of our 3.900% Notes due 2038 and $1,000,000,000 aggregate principal amount of our 4.000% Notes due 2048. The Notes due 2028, the Notes due 2038 and the Notes due 2048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additional notes are not fungible with the notes of the applicable series offered hereby for U.S. federal income tax purposes, such additional notes will have one or more separate CUSIP numbers. Copies of the indenture and the form of notes are available from us upon request.</w:t>
      </w:r>
    </w:p>
    <w:p>
      <w:pPr>
        <w:spacing w:after="0" w:line="16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Basic Terms of the Notes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060" w:right="34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guarantees described below;</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$3,200,000,000 comprised as follows:</w:t>
      </w:r>
    </w:p>
    <w:p>
      <w:pPr>
        <w:spacing w:after="0" w:line="130" w:lineRule="exact"/>
        <w:rPr>
          <w:rFonts w:ascii="Arial" w:cs="Arial" w:eastAsia="Arial" w:hAnsi="Arial"/>
          <w:sz w:val="18"/>
          <w:szCs w:val="18"/>
          <w:color w:val="auto"/>
        </w:rPr>
      </w:pPr>
    </w:p>
    <w:p>
      <w:pPr>
        <w:ind w:left="1620" w:right="480" w:hanging="538"/>
        <w:spacing w:after="0" w:line="264"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$1,000,000,000 initial aggregate principal amount of 3.550% Notes due 2028, maturing on May 1, 2028, with interest payable semiannually on each May 1 and November 1, beginning May 1, 2018, to holders of record on the preceding April 15 and October 15;</w:t>
      </w:r>
    </w:p>
    <w:p>
      <w:pPr>
        <w:spacing w:after="0" w:line="86" w:lineRule="exact"/>
        <w:rPr>
          <w:rFonts w:ascii="Arial" w:cs="Arial" w:eastAsia="Arial" w:hAnsi="Arial"/>
          <w:sz w:val="18"/>
          <w:szCs w:val="18"/>
          <w:color w:val="auto"/>
        </w:rPr>
      </w:pPr>
    </w:p>
    <w:p>
      <w:pPr>
        <w:ind w:left="1620" w:right="240" w:hanging="538"/>
        <w:spacing w:after="0" w:line="264"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$1,200,000,000 initial aggregate principal amount of 3.900% Notes due 2038, maturing on March 1, 2038, with interest payable semiannually on each March 1 and September 1, beginning September 1, 2018, to holders of record on the preceding February 15 and August 15;</w:t>
      </w:r>
    </w:p>
    <w:p>
      <w:pPr>
        <w:spacing w:after="0" w:line="86" w:lineRule="exact"/>
        <w:rPr>
          <w:rFonts w:ascii="Arial" w:cs="Arial" w:eastAsia="Arial" w:hAnsi="Arial"/>
          <w:sz w:val="18"/>
          <w:szCs w:val="18"/>
          <w:color w:val="auto"/>
        </w:rPr>
      </w:pPr>
    </w:p>
    <w:p>
      <w:pPr>
        <w:ind w:left="1620" w:right="240" w:hanging="538"/>
        <w:spacing w:after="0" w:line="264"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$1,000,000,000 initial aggregate principal amount of 4.000% Notes due 2048, maturing on March 1, 2048, with interest payable semiannually on each March 1 and September 1, beginning September 1, 2018, to holders of record on the preceding February 15 and August 15; and</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Interest on the notes will be computed on the basis of a 360-day year consisting of twelve 30-day months. Interest on the notes will accrue from</w:t>
      </w:r>
    </w:p>
    <w:p>
      <w:pPr>
        <w:spacing w:after="0" w:line="46" w:lineRule="exact"/>
        <w:rPr>
          <w:sz w:val="20"/>
          <w:szCs w:val="20"/>
          <w:color w:val="auto"/>
        </w:rPr>
      </w:pPr>
    </w:p>
    <w:p>
      <w:pPr>
        <w:ind w:left="200" w:firstLine="4"/>
        <w:spacing w:after="0" w:line="261"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earlier of February 8, 2018 and the date of original issuance or (ii) from the most recent interest payment date to which interest has been paid, and will be payable semiannually on interest payment dates described for each year.</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We will have the right at our option to redeem any of the notes of each series in whole or in part, at any time or from time to time prior to their maturity, on at least 15 days, but not more than 30 days, prior notice delivered electronically or mailed to the registered address of each holder of notes, at the applicable Redemption Price. We will calculate the Redemption Price in connection with any redemption hereunder.</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“Redemption Price” means:</w:t>
      </w:r>
    </w:p>
    <w:p>
      <w:pPr>
        <w:spacing w:after="0" w:line="117" w:lineRule="exact"/>
        <w:rPr>
          <w:sz w:val="20"/>
          <w:szCs w:val="20"/>
          <w:color w:val="auto"/>
        </w:rPr>
      </w:pPr>
    </w:p>
    <w:p>
      <w:pPr>
        <w:ind w:left="200" w:firstLine="444"/>
        <w:spacing w:after="0" w:line="255" w:lineRule="auto"/>
        <w:tabs>
          <w:tab w:leader="none" w:pos="885"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the Notes due 2028, at any time prior to February 1, 2028 (3 months prior to the maturity of the Notes due 2028) (the “2028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2028 Par Call Date, in each case discounted to the redemption date on a semiannual basis (assuming a 360-day year consisting of twelve 30-day months) at the Treasury Rate plus 15 basis points; provided that, if the Notes due 2028 are redeemed on or after the 2028 Par Call Date, the Redemption Price will equal 100% of the principal amount of such notes;</w:t>
      </w:r>
    </w:p>
    <w:p>
      <w:pPr>
        <w:spacing w:after="0" w:line="193" w:lineRule="exact"/>
        <w:rPr>
          <w:rFonts w:ascii="Arial" w:cs="Arial" w:eastAsia="Arial" w:hAnsi="Arial"/>
          <w:sz w:val="18"/>
          <w:szCs w:val="18"/>
          <w:color w:val="auto"/>
        </w:rPr>
      </w:pPr>
    </w:p>
    <w:p>
      <w:pPr>
        <w:ind w:left="200" w:right="20" w:firstLine="444"/>
        <w:spacing w:after="0" w:line="255" w:lineRule="auto"/>
        <w:tabs>
          <w:tab w:leader="none" w:pos="896"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the Notes due 2038, at any time prior to September 1, 2037 (6 months prior to the maturity of the Notes due 2038) (the “2038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2038 Par Call Date, in each case discounted to the redemption date on a semiannual basis (assuming a 360-day year consisting of twelve 30-day months) at the Treasury Rate plus 15 basis points; provided that, if the Notes due 2038 are redeemed on or after the 2038 Par Call Date, the Redemption Price will equal 100% of the principal amount of such notes; and</w:t>
      </w:r>
    </w:p>
    <w:p>
      <w:pPr>
        <w:spacing w:after="0" w:line="193" w:lineRule="exact"/>
        <w:rPr>
          <w:rFonts w:ascii="Arial" w:cs="Arial" w:eastAsia="Arial" w:hAnsi="Arial"/>
          <w:sz w:val="18"/>
          <w:szCs w:val="18"/>
          <w:color w:val="auto"/>
        </w:rPr>
      </w:pPr>
    </w:p>
    <w:p>
      <w:pPr>
        <w:ind w:left="200" w:right="20" w:firstLine="444"/>
        <w:spacing w:after="0" w:line="255" w:lineRule="auto"/>
        <w:tabs>
          <w:tab w:leader="none" w:pos="885"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the Notes due 2048, at any time prior to September 1, 2047 (6 months prior to the maturity of the Notes due 2048) (the “2048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2048 Par Call Date, in each case discounted to the redemption date on a semiannual basis (assuming a 360-day year consisting of twelve 30-day months) at the Treasury Rate plus 20 basis points; provided that, if the Notes due 2048 are redeemed on or after the 2048 Par Call Date, the Redemption Price will equal 100% of the principal amount of such notes; and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“Comparable Treasury Issue” means the United States Treasury security or securities selected by an Independent Investment Banker as having an actual or interpolated maturity comparable to the remaining term of the notes to be redeemed calculated as if the maturity date of such series of notes were the applicable Par Call Date (the “Remaining Life”) that would be utilized, at the time of selection and in accordance with customary financial practice, in pricing new issues of corporate debt securities of comparable maturity to the Remaining Life of such notes.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“Reference Treasury Dealer” means each of Barclays Capital Inc., TD Securities (USA) LLC and Wells Fargo Securities,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8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8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 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Debt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We will initially issue the notes in the form of one or more global notes (the “Global Notes”). The Global Notes will be deposited with, or on behalf of, The Depository Trust Company (“DTC”) and registered in the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60"/>
          </w:cols>
          <w:pgMar w:left="24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79"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6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14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95"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76" w:lineRule="exact"/>
        <w:rPr>
          <w:sz w:val="20"/>
          <w:szCs w:val="20"/>
          <w:color w:val="auto"/>
        </w:rPr>
      </w:pPr>
    </w:p>
    <w:p>
      <w:pPr>
        <w:ind w:left="106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22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40"/>
          </w:cols>
          <w:pgMar w:left="24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76" w:lineRule="exact"/>
        <w:rPr>
          <w:sz w:val="20"/>
          <w:szCs w:val="20"/>
          <w:color w:val="auto"/>
        </w:rPr>
      </w:pPr>
    </w:p>
    <w:p>
      <w:pPr>
        <w:ind w:left="1060" w:right="260" w:hanging="424"/>
        <w:spacing w:after="0" w:line="286"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applicable series of notes is sold for money;</w:t>
      </w:r>
    </w:p>
    <w:p>
      <w:pPr>
        <w:spacing w:after="0" w:line="70" w:lineRule="exact"/>
        <w:rPr>
          <w:rFonts w:ascii="Arial" w:cs="Arial" w:eastAsia="Arial" w:hAnsi="Arial"/>
          <w:sz w:val="17"/>
          <w:szCs w:val="17"/>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76" w:lineRule="exact"/>
        <w:rPr>
          <w:sz w:val="20"/>
          <w:szCs w:val="20"/>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with respect to the notes to their financial statements under Section 451 of the United States Internal Revenue Code of 1986, as amended (the “Code”).</w:t>
      </w:r>
    </w:p>
    <w:p>
      <w:pPr>
        <w:spacing w:after="0" w:line="170"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her or its tax advisor.</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or a former citizen or former resident of the United States. Such a holder is urged to consult his or her tax advisor regarding the U.S. federal income tax consequences of the sale, exchange or other disposition of a note.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a Note</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7" w:lineRule="exact"/>
        <w:rPr>
          <w:sz w:val="20"/>
          <w:szCs w:val="20"/>
          <w:color w:val="auto"/>
        </w:rPr>
      </w:pPr>
    </w:p>
    <w:p>
      <w:pPr>
        <w:ind w:left="1060" w:right="20" w:hanging="42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181"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312" w:lineRule="auto"/>
        <w:rPr>
          <w:sz w:val="20"/>
          <w:szCs w:val="20"/>
          <w:color w:val="auto"/>
        </w:rPr>
      </w:pPr>
      <w:r>
        <w:rPr>
          <w:rFonts w:ascii="Arial" w:cs="Arial" w:eastAsia="Arial" w:hAnsi="Arial"/>
          <w:sz w:val="16"/>
          <w:szCs w:val="16"/>
          <w:color w:val="auto"/>
        </w:rPr>
        <w:t>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Provisions commonly referred to as “FATCA” impose withholding of 30% on payments of U.S.-source interest and, for dispositions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will not pay additional amounts with respect to any withholding taxes imposed under FATCA.</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60"/>
          </w:cols>
          <w:pgMar w:left="24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jc w:val="center"/>
              <w:ind w:right="12"/>
              <w:spacing w:after="0"/>
              <w:rPr>
                <w:sz w:val="20"/>
                <w:szCs w:val="20"/>
                <w:color w:val="auto"/>
              </w:rPr>
            </w:pPr>
            <w:r>
              <w:rPr>
                <w:rFonts w:ascii="Arial" w:cs="Arial" w:eastAsia="Arial" w:hAnsi="Arial"/>
                <w:sz w:val="14"/>
                <w:szCs w:val="14"/>
                <w:b w:val="1"/>
                <w:bCs w:val="1"/>
                <w:color w:val="auto"/>
                <w:w w:val="97"/>
              </w:rPr>
              <w:t>Principal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Principal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4"/>
              </w:rPr>
              <w:t>Amount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4"/>
              </w:rPr>
              <w:t>Amount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Notes Due 2028</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Notes Due 2038</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Notes Due 2048</w:t>
            </w:r>
          </w:p>
        </w:tc>
        <w:tc>
          <w:tcPr>
            <w:tcW w:w="0" w:type="dxa"/>
            <w:vAlign w:val="bottom"/>
          </w:tcPr>
          <w:p>
            <w:pPr>
              <w:spacing w:after="0"/>
              <w:rPr>
                <w:sz w:val="1"/>
                <w:szCs w:val="1"/>
                <w:color w:val="auto"/>
              </w:rPr>
            </w:pPr>
          </w:p>
        </w:tc>
      </w:tr>
      <w:tr>
        <w:trPr>
          <w:trHeight w:val="191"/>
        </w:trPr>
        <w:tc>
          <w:tcPr>
            <w:tcW w:w="53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To Be Purchased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32"/>
              <w:spacing w:after="0"/>
              <w:rPr>
                <w:sz w:val="20"/>
                <w:szCs w:val="20"/>
                <w:color w:val="auto"/>
              </w:rPr>
            </w:pPr>
            <w:r>
              <w:rPr>
                <w:rFonts w:ascii="Arial" w:cs="Arial" w:eastAsia="Arial" w:hAnsi="Arial"/>
                <w:sz w:val="14"/>
                <w:szCs w:val="14"/>
                <w:b w:val="1"/>
                <w:bCs w:val="1"/>
                <w:color w:val="auto"/>
                <w:w w:val="90"/>
              </w:rPr>
              <w:t>To Be Purchased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 Be Purchased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Barclays</w:t>
            </w:r>
          </w:p>
        </w:tc>
        <w:tc>
          <w:tcPr>
            <w:tcW w:w="46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Capital Inc.</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122,000,000</w:t>
            </w: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146,400,000</w:t>
            </w: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122,000,000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122,000,000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146,400,000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122,000,000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Incorporated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98,400,000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82,000,000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98,400,000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Commerz Markets LLC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DNB Markets, Inc.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BNY Mellon Capital Markets, LLC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ICBC Standard Bank Plc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 Americas Securities, LLC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Academy Securities, Inc.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CastleOak Securities, L.P.</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Mischler Financial Group, Inc.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Siebert Cisneros Shank &amp; Co., L.L.C.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1,000,000,000</w:t>
            </w:r>
          </w:p>
        </w:tc>
        <w:tc>
          <w:tcPr>
            <w:tcW w:w="46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1,200,000,000</w:t>
            </w:r>
          </w:p>
        </w:tc>
        <w:tc>
          <w:tcPr>
            <w:tcW w:w="46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February 8,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preceding the settlement date will be required, by virtue of the fact that the notes initially will settle in T+5, to specify an alternative settlement cycle at the time of any such trade to prevent failed settlement and should consult their own advisors.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The underwriters have advised us that they propose initially to offer the notes to the public at the public offering price on the cover page of this prospectus supplement, and to dealers at that price less a concession not in excess of 0.250%, 0.350% and 0.450% of the principal amount of the Notes due 2028, the Notes due 2038 and the Notes due 2048, respectively. The underwriters may allow, and the dealers may reallow, a discount not in excess of 0.150%, 0.250% and 0.300% of the principal amount of the Notes due 2028, the Notes due 2038 and the Notes due 2048, respectively, to other dealers. After the initial public offering, the public offering prices, concessions and discounts may be changed.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expenses of the offering, not including the underwriting discount, are estimated to be $800,000 and are payable by us.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Each series of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78"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280" w:firstLine="441"/>
        <w:spacing w:after="0" w:line="29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 In particular, BNY Mellon Capital Markets, LLC, one of the underwriters, is an affiliate of the trustee under the indenture governing the notes.</w:t>
      </w:r>
    </w:p>
    <w:p>
      <w:pPr>
        <w:spacing w:after="0" w:line="15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the 5.875% notes due February 15, 2018, the 5.700% notes due May 15, 2018 and our outstanding commercial paper, and therefore, certain of the underwriters and/or their respective affiliates may indirectly receive a portion of the net proceeds from this offering.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defined in point (10) of Article 4(1) of MiFID II; or (iii) not a qualified investor as defined in Directive 2003/71/EC (as amended, the “Prospectus Directive”). Consequently no key information document required by Regulation (EU) No 1286/2014 (as amended, the “PRIIPs Regulation”) for offering or selling the notes or otherwise making them available to retail investors in the European Economic Area has been prepared and therefore offering or selling the notes or otherwise making them available to any retail investor in the European Economic Area may be unlawful under the PRIIPs Regulation. This Prospectus Supplement has been prepared on the basis that any offer of notes in any Member State of the EEA will be made pursuant to an exemption under the Prospectus Directive from the requirement to publish a prospectus for offers of notes. This Prospectus Supplement is not a prospectus for the purposes of the Prospectus Directive.</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5540" w:right="1600" w:hanging="4904"/>
        <w:spacing w:after="0" w:line="449" w:lineRule="auto"/>
        <w:tabs>
          <w:tab w:leader="none" w:pos="10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 S-19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 relevant person, or any person pursuant to Section 257(1A), and in accordance with the conditions, specified in Section 275 of the SFA;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117" w:lineRule="exact"/>
        <w:rPr>
          <w:sz w:val="20"/>
          <w:szCs w:val="20"/>
          <w:color w:val="auto"/>
        </w:rPr>
      </w:pPr>
    </w:p>
    <w:p>
      <w:pPr>
        <w:ind w:left="640" w:right="80" w:firstLine="428"/>
        <w:spacing w:after="0" w:line="277" w:lineRule="auto"/>
        <w:tabs>
          <w:tab w:leader="none" w:pos="13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62" w:lineRule="exact"/>
        <w:rPr>
          <w:rFonts w:ascii="Arial" w:cs="Arial" w:eastAsia="Arial" w:hAnsi="Arial"/>
          <w:sz w:val="18"/>
          <w:szCs w:val="18"/>
          <w:color w:val="auto"/>
        </w:rPr>
      </w:pPr>
    </w:p>
    <w:p>
      <w:pPr>
        <w:ind w:left="640" w:firstLine="428"/>
        <w:spacing w:after="0" w:line="276" w:lineRule="auto"/>
        <w:tabs>
          <w:tab w:leader="none" w:pos="1318"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prospectus supplement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and neither this prospectus supplement nor any other offering or marketing material relating to the notes may be publicly distributed or otherwise made publicly available in Switzerland.</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w:t>
      </w:r>
    </w:p>
    <w:p>
      <w:pPr>
        <w:spacing w:after="0" w:line="39" w:lineRule="exact"/>
        <w:rPr>
          <w:sz w:val="20"/>
          <w:szCs w:val="20"/>
          <w:color w:val="auto"/>
        </w:rPr>
      </w:pPr>
    </w:p>
    <w:p>
      <w:pPr>
        <w:ind w:left="640" w:right="720" w:firstLine="4"/>
        <w:spacing w:after="0" w:line="277" w:lineRule="auto"/>
        <w:tabs>
          <w:tab w:leader="none" w:pos="8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who meet the criteria of a “Qualified Investor” as defined in the SCA Board of Directors Decision No. 3 R.M. of 2017 (but excluding subparagraph 1(d) in the “Qualified Investor” definition relating to natural persons);</w:t>
      </w:r>
    </w:p>
    <w:p>
      <w:pPr>
        <w:spacing w:after="0" w:line="62" w:lineRule="exact"/>
        <w:rPr>
          <w:rFonts w:ascii="Arial" w:cs="Arial" w:eastAsia="Arial" w:hAnsi="Arial"/>
          <w:sz w:val="18"/>
          <w:szCs w:val="18"/>
          <w:color w:val="auto"/>
        </w:rPr>
      </w:pPr>
    </w:p>
    <w:p>
      <w:pPr>
        <w:ind w:left="640" w:right="420" w:firstLine="4"/>
        <w:spacing w:after="0" w:line="308" w:lineRule="auto"/>
        <w:tabs>
          <w:tab w:leader="none" w:pos="8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38" w:lineRule="exact"/>
        <w:rPr>
          <w:rFonts w:ascii="Arial" w:cs="Arial" w:eastAsia="Arial" w:hAnsi="Arial"/>
          <w:sz w:val="17"/>
          <w:szCs w:val="17"/>
          <w:color w:val="auto"/>
        </w:rPr>
      </w:pPr>
    </w:p>
    <w:p>
      <w:pPr>
        <w:ind w:left="640" w:right="620" w:firstLine="4"/>
        <w:spacing w:after="0" w:line="277" w:lineRule="auto"/>
        <w:tabs>
          <w:tab w:leader="none" w:pos="8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guarantors; and it has complied with and will comply with all applicable provisions of FSMA with respect to anything done by it in relation to the notes in, from or otherwise involving the United Kingdom.</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One or more of the underwriters may be restricted in its US securities dealings under the Bank Holding Company Act and not be U.S.-registered broker-dealer(s). All sales of securities in the U.S. will be made by or through U.S.-registered broker-dealers.</w:t>
      </w:r>
    </w:p>
    <w:p>
      <w:pPr>
        <w:spacing w:after="0" w:line="170"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ICBC Standard Bank Plc may not underwrite, subscribe, agree to purchase or procure purchasers to purchase Notes that are offered or sold in the United States. Notwithstanding anything to the contrary in this Agreement, ICBC Standard Bank shall not be obligated to, and shall not, underwrite, subscribe, agree to purchase or procure purchasers to purchase Notes that may be offered or sold by other underwriters in the United States. ICBC Standard Bank Plc shall offer and sell Notes constituting part of its allotment solely outside the United States.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Investors</w:t>
      </w:r>
    </w:p>
    <w:p>
      <w:pPr>
        <w:spacing w:after="0" w:line="121"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Each purchaser of the notes that is (1) an employee benefit plan subject to Title I of the Employee Retirement Income Security Act of 1974, as amended (“ERISA”), (2) a plan or account subject to Section 4975 of the Internal Revenue Code of 1986, as amended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77"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 a bank, an insurance carrier, a registered investment adviser, a registered broker-dealer or an independent fiduciary with at least</w:t>
      </w:r>
    </w:p>
    <w:p>
      <w:pPr>
        <w:spacing w:after="0" w:line="34" w:lineRule="exact"/>
        <w:rPr>
          <w:rFonts w:ascii="Arial" w:cs="Arial" w:eastAsia="Arial" w:hAnsi="Arial"/>
          <w:sz w:val="17"/>
          <w:szCs w:val="17"/>
          <w:color w:val="auto"/>
        </w:rPr>
      </w:pPr>
    </w:p>
    <w:p>
      <w:pPr>
        <w:ind w:left="1060" w:right="40"/>
        <w:spacing w:after="0" w:line="261" w:lineRule="auto"/>
        <w:rPr>
          <w:rFonts w:ascii="Arial" w:cs="Arial" w:eastAsia="Arial" w:hAnsi="Arial"/>
          <w:sz w:val="17"/>
          <w:szCs w:val="17"/>
          <w:color w:val="auto"/>
        </w:rPr>
      </w:pPr>
      <w:r>
        <w:rPr>
          <w:rFonts w:ascii="Arial" w:cs="Arial" w:eastAsia="Arial" w:hAnsi="Arial"/>
          <w:sz w:val="18"/>
          <w:szCs w:val="18"/>
          <w:color w:val="auto"/>
        </w:rPr>
        <w:t>$50 million of assets under management or control as specified in 29 CFR Section 2510.3-21(c)(1)(i) (excluding an IRA owner or a relative of an IRA owner if the purchaser is an IRA);</w:t>
      </w:r>
    </w:p>
    <w:p>
      <w:pPr>
        <w:spacing w:after="0" w:line="89" w:lineRule="exact"/>
        <w:rPr>
          <w:rFonts w:ascii="Arial" w:cs="Arial" w:eastAsia="Arial" w:hAnsi="Arial"/>
          <w:sz w:val="17"/>
          <w:szCs w:val="17"/>
          <w:color w:val="auto"/>
        </w:rPr>
      </w:pPr>
    </w:p>
    <w:p>
      <w:pPr>
        <w:ind w:left="1060" w:right="74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independent (for purposes of 29 CFR Section 2510.3-21(c)(1)) of the issuer, each underwriter and their respective affiliates (the “Transaction Parties”);</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75" w:lineRule="exact"/>
        <w:rPr>
          <w:rFonts w:ascii="Arial" w:cs="Arial" w:eastAsia="Arial" w:hAnsi="Arial"/>
          <w:sz w:val="18"/>
          <w:szCs w:val="18"/>
          <w:color w:val="auto"/>
        </w:rPr>
      </w:pPr>
    </w:p>
    <w:p>
      <w:pPr>
        <w:jc w:val="both"/>
        <w:ind w:left="1060" w:hanging="424"/>
        <w:spacing w:after="0" w:line="342"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29" w:lineRule="exact"/>
        <w:rPr>
          <w:rFonts w:ascii="Arial" w:cs="Arial" w:eastAsia="Arial" w:hAnsi="Arial"/>
          <w:sz w:val="16"/>
          <w:szCs w:val="16"/>
          <w:color w:val="auto"/>
        </w:rPr>
      </w:pPr>
    </w:p>
    <w:p>
      <w:pPr>
        <w:ind w:left="1060" w:right="460" w:hanging="424"/>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86" w:lineRule="exact"/>
        <w:rPr>
          <w:rFonts w:ascii="Arial" w:cs="Arial" w:eastAsia="Arial" w:hAnsi="Arial"/>
          <w:sz w:val="18"/>
          <w:szCs w:val="18"/>
          <w:color w:val="auto"/>
        </w:rPr>
      </w:pPr>
    </w:p>
    <w:p>
      <w:pPr>
        <w:ind w:left="1060" w:right="40" w:hanging="424"/>
        <w:spacing w:after="0" w:line="273"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Understands and acknowledges the existence and nature of the underwriting discounts,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Executive Vice President, General Counsel and Secretary of Comcast Corporation, Francis M. Buono, Esquire, Senior Vice President, Legal Regulatory Affairs and Senior Deputy General Counsel of Comcast Corporation, and by Davis Polk &amp; Wardwell LLP, Menlo Park, California. Cahill Gordon &amp; Reindel </w:t>
      </w:r>
      <w:r>
        <w:rPr>
          <w:rFonts w:ascii="Arial" w:cs="Arial" w:eastAsia="Arial" w:hAnsi="Arial"/>
          <w:sz w:val="15"/>
          <w:szCs w:val="15"/>
          <w:color w:val="auto"/>
        </w:rPr>
        <w:t>LLP</w:t>
      </w:r>
      <w:r>
        <w:rPr>
          <w:rFonts w:ascii="Arial" w:cs="Arial" w:eastAsia="Arial" w:hAnsi="Arial"/>
          <w:sz w:val="18"/>
          <w:szCs w:val="18"/>
          <w:color w:val="auto"/>
        </w:rPr>
        <w:t>, New York, New York, is representing the underwriters.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Comcast Corporation and subsidiaries, incorporated herein by reference from Comcast Corporation’s Annual Report on Form 10-K for the year ended December 31, 2017,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9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2017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923925</wp:posOffset>
            </wp:positionV>
            <wp:extent cx="14662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254"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Purchase contracts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w w:val="87"/>
              </w:rPr>
              <w:t>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Units</w:t>
            </w: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37" w:lineRule="exact"/>
        <w:rPr>
          <w:sz w:val="20"/>
          <w:szCs w:val="20"/>
          <w:color w:val="auto"/>
        </w:rPr>
      </w:pPr>
    </w:p>
    <w:p>
      <w:pPr>
        <w:ind w:left="200" w:right="440" w:firstLine="441"/>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213"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27, 2016, the reported last sale price on the Nasdaq Global Select Market for our Class A common stock was $67.92.</w:t>
      </w:r>
    </w:p>
    <w:p>
      <w:pPr>
        <w:spacing w:after="0" w:line="213"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254"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Maturity</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Dividends</w:t>
            </w:r>
          </w:p>
        </w:tc>
        <w:tc>
          <w:tcPr>
            <w:tcW w:w="2980" w:type="dxa"/>
            <w:vAlign w:val="bottom"/>
            <w:gridSpan w:val="2"/>
          </w:tcPr>
          <w:p>
            <w:pPr>
              <w:ind w:left="680"/>
              <w:spacing w:after="0"/>
              <w:rPr>
                <w:sz w:val="20"/>
                <w:szCs w:val="20"/>
                <w:color w:val="auto"/>
              </w:rPr>
            </w:pPr>
            <w:r>
              <w:rPr>
                <w:rFonts w:ascii="Arial" w:cs="Arial" w:eastAsia="Arial" w:hAnsi="Arial"/>
                <w:sz w:val="18"/>
                <w:szCs w:val="18"/>
                <w:color w:val="auto"/>
                <w:w w:val="89"/>
              </w:rPr>
              <w:t>• 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Subsidiary guarantees</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Currency of payments</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40"/>
              <w:spacing w:after="0"/>
              <w:rPr>
                <w:sz w:val="20"/>
                <w:szCs w:val="20"/>
                <w:color w:val="auto"/>
              </w:rPr>
            </w:pPr>
            <w:r>
              <w:rPr>
                <w:rFonts w:ascii="Arial" w:cs="Arial" w:eastAsia="Arial" w:hAnsi="Arial"/>
                <w:sz w:val="18"/>
                <w:szCs w:val="18"/>
                <w:color w:val="auto"/>
              </w:rPr>
              <w:t>Amount payable at maturity</w:t>
            </w: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233045</wp:posOffset>
            </wp:positionV>
            <wp:extent cx="14662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200" w:right="380" w:firstLine="441"/>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25 of Comcast’s and NBCUniversal’s combined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184785</wp:posOffset>
            </wp:positionV>
            <wp:extent cx="14662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0" w:right="20" w:firstLine="441"/>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222250</wp:posOffset>
            </wp:positionV>
            <wp:extent cx="14662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July 28, 2016</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6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The Companies</w:t>
              </w:r>
            </w:hyperlink>
          </w:p>
        </w:tc>
        <w:tc>
          <w:tcPr>
            <w:tcW w:w="7960" w:type="dxa"/>
            <w:vAlign w:val="bottom"/>
            <w:gridSpan w:val="10"/>
            <w:vMerge w:val="restart"/>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7960" w:type="dxa"/>
            <w:vAlign w:val="bottom"/>
            <w:gridSpan w:val="10"/>
            <w:vMerge w:val="continue"/>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908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Caution Concerning Forward-Looking Statements</w:t>
              </w:r>
            </w:hyperlink>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5560" w:type="dxa"/>
            <w:vAlign w:val="bottom"/>
            <w:gridSpan w:val="2"/>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Dividend Policy</w:t>
              </w:r>
            </w:hyperlink>
          </w:p>
        </w:tc>
        <w:tc>
          <w:tcPr>
            <w:tcW w:w="7920" w:type="dxa"/>
            <w:vAlign w:val="bottom"/>
            <w:gridSpan w:val="8"/>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080" w:type="dxa"/>
            <w:vAlign w:val="bottom"/>
            <w:gridSpan w:val="1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Ratios of Earnings to Fixed Charges and of Earnings to Combined Fixed Charges and Preferred Dividends</w:t>
              </w:r>
            </w:hyperlink>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Debt Securities and Guarantees</w:t>
              </w:r>
            </w:hyperlink>
          </w:p>
        </w:tc>
        <w:tc>
          <w:tcPr>
            <w:tcW w:w="1600" w:type="dxa"/>
            <w:vAlign w:val="bottom"/>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Global Securities</w:t>
              </w:r>
            </w:hyperlink>
          </w:p>
        </w:tc>
        <w:tc>
          <w:tcPr>
            <w:tcW w:w="2040" w:type="dxa"/>
            <w:vAlign w:val="bottom"/>
            <w:tcBorders>
              <w:top w:val="single" w:sz="8" w:color="0000EE"/>
            </w:tcBorders>
            <w:gridSpan w:val="4"/>
          </w:tcPr>
          <w:p>
            <w:pPr>
              <w:spacing w:after="0"/>
              <w:rPr>
                <w:sz w:val="17"/>
                <w:szCs w:val="17"/>
                <w:color w:val="auto"/>
              </w:rPr>
            </w:pPr>
          </w:p>
        </w:tc>
        <w:tc>
          <w:tcPr>
            <w:tcW w:w="5820" w:type="dxa"/>
            <w:vAlign w:val="bottom"/>
            <w:gridSpan w:val="3"/>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080" w:type="dxa"/>
            <w:vAlign w:val="bottom"/>
            <w:gridSpan w:val="1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Capital Stock</w:t>
              </w:r>
            </w:hyperlink>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Plan of Distribution</w:t>
              </w:r>
            </w:hyperlink>
          </w:p>
        </w:tc>
        <w:tc>
          <w:tcPr>
            <w:tcW w:w="600" w:type="dxa"/>
            <w:vAlign w:val="bottom"/>
            <w:tcBorders>
              <w:top w:val="single" w:sz="8" w:color="0000EE"/>
            </w:tcBorders>
            <w:gridSpan w:val="2"/>
          </w:tcPr>
          <w:p>
            <w:pPr>
              <w:spacing w:after="0"/>
              <w:rPr>
                <w:sz w:val="17"/>
                <w:szCs w:val="17"/>
                <w:color w:val="auto"/>
              </w:rPr>
            </w:pPr>
          </w:p>
        </w:tc>
        <w:tc>
          <w:tcPr>
            <w:tcW w:w="7080" w:type="dxa"/>
            <w:vAlign w:val="bottom"/>
            <w:gridSpan w:val="4"/>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080" w:type="dxa"/>
            <w:vAlign w:val="bottom"/>
            <w:gridSpan w:val="1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Legal Matters</w:t>
              </w:r>
            </w:hyperlink>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Experts</w:t>
              </w:r>
            </w:hyperlink>
          </w:p>
        </w:tc>
        <w:tc>
          <w:tcPr>
            <w:tcW w:w="8100" w:type="dxa"/>
            <w:vAlign w:val="bottom"/>
            <w:gridSpan w:val="11"/>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Available Information</w:t>
              </w:r>
            </w:hyperlink>
          </w:p>
        </w:tc>
        <w:tc>
          <w:tcPr>
            <w:tcW w:w="7520" w:type="dxa"/>
            <w:vAlign w:val="bottom"/>
            <w:gridSpan w:val="5"/>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080" w:type="dxa"/>
            <w:vAlign w:val="bottom"/>
            <w:gridSpan w:val="1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Incorporation of Certain Documents by Reference</w:t>
              </w:r>
            </w:hyperlink>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We have not authorized anyone to provide you any information other than that contained or incorporated by reference in this prospectus. We do not take any responsibility for, nor can we provide any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13" w:lineRule="exact"/>
        <w:rPr>
          <w:sz w:val="20"/>
          <w:szCs w:val="20"/>
          <w:color w:val="auto"/>
        </w:rPr>
      </w:pPr>
    </w:p>
    <w:p>
      <w:pPr>
        <w:ind w:left="200" w:right="20" w:firstLine="441"/>
        <w:spacing w:after="0" w:line="306" w:lineRule="auto"/>
        <w:rPr>
          <w:sz w:val="20"/>
          <w:szCs w:val="20"/>
          <w:color w:val="auto"/>
        </w:rPr>
      </w:pPr>
      <w:r>
        <w:rPr>
          <w:rFonts w:ascii="Arial" w:cs="Arial" w:eastAsia="Arial" w:hAnsi="Arial"/>
          <w:sz w:val="16"/>
          <w:szCs w:val="16"/>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53" w:lineRule="exact"/>
        <w:rPr>
          <w:sz w:val="20"/>
          <w:szCs w:val="20"/>
          <w:color w:val="auto"/>
        </w:rPr>
      </w:pPr>
    </w:p>
    <w:p>
      <w:pPr>
        <w:ind w:left="1060" w:right="420" w:hanging="316"/>
        <w:spacing w:after="0" w:line="262"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and we also provide these and other services to business customers and sell advertising.</w:t>
      </w:r>
    </w:p>
    <w:p>
      <w:pPr>
        <w:spacing w:after="0" w:line="51" w:lineRule="exact"/>
        <w:rPr>
          <w:rFonts w:ascii="Arial" w:cs="Arial" w:eastAsia="Arial" w:hAnsi="Arial"/>
          <w:sz w:val="18"/>
          <w:szCs w:val="18"/>
          <w:color w:val="auto"/>
        </w:rPr>
      </w:pPr>
    </w:p>
    <w:p>
      <w:pPr>
        <w:ind w:left="1060" w:right="200" w:hanging="316"/>
        <w:spacing w:after="0" w:line="275"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studio production operations.</w:t>
      </w:r>
    </w:p>
    <w:p>
      <w:pPr>
        <w:spacing w:after="0" w:line="38" w:lineRule="exact"/>
        <w:rPr>
          <w:rFonts w:ascii="Arial" w:cs="Arial" w:eastAsia="Arial" w:hAnsi="Arial"/>
          <w:sz w:val="18"/>
          <w:szCs w:val="18"/>
          <w:color w:val="auto"/>
        </w:rPr>
      </w:pPr>
    </w:p>
    <w:p>
      <w:pPr>
        <w:ind w:left="1060" w:right="620" w:hanging="316"/>
        <w:spacing w:after="0" w:line="275"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10 NBC and 17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our broadcast television studio production operations.</w:t>
      </w:r>
    </w:p>
    <w:p>
      <w:pPr>
        <w:spacing w:after="0" w:line="38" w:lineRule="exact"/>
        <w:rPr>
          <w:rFonts w:ascii="Arial" w:cs="Arial" w:eastAsia="Arial" w:hAnsi="Arial"/>
          <w:sz w:val="18"/>
          <w:szCs w:val="18"/>
          <w:color w:val="auto"/>
        </w:rPr>
      </w:pPr>
    </w:p>
    <w:p>
      <w:pPr>
        <w:ind w:left="1060" w:right="240" w:hanging="316"/>
        <w:spacing w:after="0" w:line="275"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1060" w:right="880" w:hanging="316"/>
        <w:spacing w:after="0" w:line="339"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Theme Parks</w:t>
      </w:r>
      <w:r>
        <w:rPr>
          <w:rFonts w:ascii="Arial" w:cs="Arial" w:eastAsia="Arial" w:hAnsi="Arial"/>
          <w:sz w:val="16"/>
          <w:szCs w:val="16"/>
          <w:color w:val="auto"/>
        </w:rPr>
        <w:t>: Consists primarily of our Universal theme parks in Orlando, Florida and Hollywood, California. In November 2015,</w:t>
      </w:r>
      <w:r>
        <w:rPr>
          <w:rFonts w:ascii="Arial" w:cs="Arial" w:eastAsia="Arial" w:hAnsi="Arial"/>
          <w:sz w:val="16"/>
          <w:szCs w:val="16"/>
          <w:b w:val="1"/>
          <w:bCs w:val="1"/>
          <w:color w:val="auto"/>
        </w:rPr>
        <w:t xml:space="preserve"> </w:t>
      </w:r>
      <w:r>
        <w:rPr>
          <w:rFonts w:ascii="Arial" w:cs="Arial" w:eastAsia="Arial" w:hAnsi="Arial"/>
          <w:sz w:val="16"/>
          <w:szCs w:val="16"/>
          <w:color w:val="auto"/>
        </w:rPr>
        <w:t>NBCUniversal acquired a 51% interest in the Universal Studios theme park located in Osaka, Japan.</w:t>
      </w:r>
    </w:p>
    <w:p>
      <w:pPr>
        <w:spacing w:after="0" w:line="80" w:lineRule="exact"/>
        <w:rPr>
          <w:sz w:val="20"/>
          <w:szCs w:val="20"/>
          <w:color w:val="auto"/>
        </w:rPr>
      </w:pPr>
    </w:p>
    <w:p>
      <w:pPr>
        <w:ind w:left="200" w:right="800" w:firstLine="441"/>
        <w:spacing w:after="0" w:line="268"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32" w:lineRule="exact"/>
        <w:rPr>
          <w:sz w:val="20"/>
          <w:szCs w:val="20"/>
          <w:color w:val="auto"/>
        </w:rPr>
      </w:pPr>
    </w:p>
    <w:p>
      <w:pPr>
        <w:ind w:left="200" w:right="20" w:firstLine="441"/>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60" w:right="160" w:hanging="316"/>
        <w:spacing w:after="0" w:line="268"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left="200" w:right="380" w:firstLine="441"/>
        <w:spacing w:after="0" w:line="332" w:lineRule="auto"/>
        <w:rPr>
          <w:sz w:val="20"/>
          <w:szCs w:val="20"/>
          <w:color w:val="auto"/>
        </w:rPr>
      </w:pPr>
      <w:r>
        <w:rPr>
          <w:rFonts w:ascii="Arial" w:cs="Arial" w:eastAsia="Arial" w:hAnsi="Arial"/>
          <w:sz w:val="16"/>
          <w:szCs w:val="16"/>
          <w:color w:val="auto"/>
        </w:rPr>
        <w:t>NBCUniversal is one of the world’s leading media and entertainment companies that develops, produces and distributes entertainment, news and information, sports, and other content for global audiences, as well as owns and operates several theme parks worldwide.</w:t>
      </w:r>
    </w:p>
    <w:p>
      <w:pPr>
        <w:spacing w:after="0" w:line="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97790</wp:posOffset>
            </wp:positionV>
            <wp:extent cx="1466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0"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240" w:top="459" w:right="5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2015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1060" w:right="80" w:hanging="316"/>
        <w:spacing w:after="0" w:line="26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1060" w:right="280" w:hanging="316"/>
        <w:spacing w:after="0" w:line="26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consumer behavior driven by alternative methods for viewing content may adversely affect our businesses and challenge existing business models;</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1060" w:right="820" w:hanging="316"/>
        <w:spacing w:after="0" w:line="26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subject to regulation by federal, state, local and foreign authorities, which may impose additional costs and restrictions on our businesses;</w:t>
      </w:r>
    </w:p>
    <w:p>
      <w:pPr>
        <w:spacing w:after="0" w:line="50" w:lineRule="exact"/>
        <w:rPr>
          <w:rFonts w:ascii="Arial" w:cs="Arial" w:eastAsia="Arial" w:hAnsi="Arial"/>
          <w:sz w:val="18"/>
          <w:szCs w:val="18"/>
          <w:color w:val="auto"/>
        </w:rPr>
      </w:pPr>
    </w:p>
    <w:p>
      <w:pPr>
        <w:ind w:left="1060" w:right="740" w:hanging="316"/>
        <w:spacing w:after="0" w:line="26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existing statutes, rules, regulations, or interpretations thereof, or adoption of new ones, could have an adverse effect on our businesses;</w:t>
      </w:r>
    </w:p>
    <w:p>
      <w:pPr>
        <w:spacing w:after="0" w:line="50" w:lineRule="exact"/>
        <w:rPr>
          <w:rFonts w:ascii="Arial" w:cs="Arial" w:eastAsia="Arial" w:hAnsi="Arial"/>
          <w:sz w:val="18"/>
          <w:szCs w:val="18"/>
          <w:color w:val="auto"/>
        </w:rPr>
      </w:pPr>
    </w:p>
    <w:p>
      <w:pPr>
        <w:ind w:left="1060" w:right="660" w:hanging="316"/>
        <w:spacing w:after="0" w:line="26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Cable Communications segment’s video business;</w:t>
      </w:r>
    </w:p>
    <w:p>
      <w:pPr>
        <w:spacing w:after="0" w:line="50" w:lineRule="exact"/>
        <w:rPr>
          <w:rFonts w:ascii="Arial" w:cs="Arial" w:eastAsia="Arial" w:hAnsi="Arial"/>
          <w:sz w:val="18"/>
          <w:szCs w:val="18"/>
          <w:color w:val="auto"/>
        </w:rPr>
      </w:pPr>
    </w:p>
    <w:p>
      <w:pPr>
        <w:ind w:left="1060" w:right="420" w:hanging="316"/>
        <w:spacing w:after="0" w:line="26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1060" w:right="140" w:hanging="316"/>
        <w:spacing w:after="0" w:line="26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1060" w:right="680" w:hanging="316"/>
        <w:spacing w:after="0" w:line="26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1060" w:hanging="316"/>
        <w:spacing w:after="0"/>
        <w:tabs>
          <w:tab w:leader="none" w:pos="10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acquisitions and other strategic initiatives present many risks, and we may not realize the financial and strategic goals that we had contemplated;</w:t>
      </w:r>
    </w:p>
    <w:p>
      <w:pPr>
        <w:spacing w:after="0" w:line="124" w:lineRule="exact"/>
        <w:rPr>
          <w:rFonts w:ascii="Arial" w:cs="Arial" w:eastAsia="Arial" w:hAnsi="Arial"/>
          <w:sz w:val="15"/>
          <w:szCs w:val="15"/>
          <w:color w:val="auto"/>
        </w:rPr>
      </w:pPr>
    </w:p>
    <w:p>
      <w:pPr>
        <w:ind w:left="1060" w:hanging="316"/>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1060" w:hanging="316"/>
        <w:spacing w:after="0" w:line="332" w:lineRule="auto"/>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240" w:top="459" w:right="8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Our Board of Directors retains the right to change our dividend policy at any time.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RATIOS OF EARNINGS TO FIXED CHARGES AND OF EARNINGS TO COMBINED FIXED CHARGES AND PREFERRED DIVIDENDS</w:t>
      </w:r>
    </w:p>
    <w:p>
      <w:pPr>
        <w:spacing w:after="0" w:line="200"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2" w:lineRule="exact"/>
        <w:rPr>
          <w:sz w:val="20"/>
          <w:szCs w:val="20"/>
          <w:color w:val="auto"/>
        </w:rPr>
      </w:pPr>
    </w:p>
    <w:tbl>
      <w:tblPr>
        <w:tblLayout w:type="fixed"/>
        <w:tblInd w:w="420" w:type="dxa"/>
        <w:tblCellMar>
          <w:top w:w="0" w:type="dxa"/>
          <w:left w:w="0" w:type="dxa"/>
          <w:bottom w:w="0" w:type="dxa"/>
          <w:right w:w="0" w:type="dxa"/>
        </w:tblCellMar>
      </w:tblPr>
      <w:tr>
        <w:trPr>
          <w:trHeight w:val="181"/>
        </w:trPr>
        <w:tc>
          <w:tcPr>
            <w:tcW w:w="20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For the Six Months Ended</w:t>
            </w:r>
          </w:p>
        </w:tc>
        <w:tc>
          <w:tcPr>
            <w:tcW w:w="1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0"/>
              </w:rPr>
              <w:t>For the Years Ended December 31,</w:t>
            </w:r>
          </w:p>
        </w:tc>
        <w:tc>
          <w:tcPr>
            <w:tcW w:w="1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62"/>
        </w:trPr>
        <w:tc>
          <w:tcPr>
            <w:tcW w:w="380" w:type="dxa"/>
            <w:vAlign w:val="bottom"/>
          </w:tcPr>
          <w:p>
            <w:pPr>
              <w:spacing w:after="0"/>
              <w:rPr>
                <w:sz w:val="14"/>
                <w:szCs w:val="14"/>
                <w:color w:val="auto"/>
              </w:rPr>
            </w:pPr>
          </w:p>
        </w:tc>
        <w:tc>
          <w:tcPr>
            <w:tcW w:w="1620" w:type="dxa"/>
            <w:vAlign w:val="bottom"/>
            <w:gridSpan w:val="2"/>
          </w:tcPr>
          <w:p>
            <w:pPr>
              <w:jc w:val="center"/>
              <w:ind w:right="840"/>
              <w:spacing w:after="0" w:line="142" w:lineRule="exact"/>
              <w:rPr>
                <w:sz w:val="20"/>
                <w:szCs w:val="20"/>
                <w:color w:val="auto"/>
              </w:rPr>
            </w:pPr>
            <w:r>
              <w:rPr>
                <w:rFonts w:ascii="Arial" w:cs="Arial" w:eastAsia="Arial" w:hAnsi="Arial"/>
                <w:sz w:val="14"/>
                <w:szCs w:val="14"/>
                <w:b w:val="1"/>
                <w:bCs w:val="1"/>
                <w:color w:val="auto"/>
                <w:w w:val="85"/>
              </w:rPr>
              <w:t>June 30, 2016</w:t>
            </w:r>
          </w:p>
        </w:tc>
        <w:tc>
          <w:tcPr>
            <w:tcW w:w="1320" w:type="dxa"/>
            <w:vAlign w:val="bottom"/>
          </w:tcPr>
          <w:p>
            <w:pPr>
              <w:jc w:val="right"/>
              <w:ind w:right="462"/>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1340" w:type="dxa"/>
            <w:vAlign w:val="bottom"/>
          </w:tcPr>
          <w:p>
            <w:pPr>
              <w:jc w:val="right"/>
              <w:ind w:right="442"/>
              <w:spacing w:after="0" w:line="142" w:lineRule="exact"/>
              <w:rPr>
                <w:sz w:val="20"/>
                <w:szCs w:val="20"/>
                <w:color w:val="auto"/>
              </w:rPr>
            </w:pPr>
            <w:r>
              <w:rPr>
                <w:rFonts w:ascii="Arial" w:cs="Arial" w:eastAsia="Arial" w:hAnsi="Arial"/>
                <w:sz w:val="14"/>
                <w:szCs w:val="14"/>
                <w:b w:val="1"/>
                <w:bCs w:val="1"/>
                <w:color w:val="auto"/>
              </w:rPr>
              <w:t>2014</w:t>
            </w:r>
          </w:p>
        </w:tc>
        <w:tc>
          <w:tcPr>
            <w:tcW w:w="1820" w:type="dxa"/>
            <w:vAlign w:val="bottom"/>
            <w:gridSpan w:val="2"/>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1360" w:type="dxa"/>
            <w:vAlign w:val="bottom"/>
          </w:tcPr>
          <w:p>
            <w:pPr>
              <w:jc w:val="right"/>
              <w:ind w:right="462"/>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1340" w:type="dxa"/>
            <w:vAlign w:val="bottom"/>
          </w:tcPr>
          <w:p>
            <w:pPr>
              <w:jc w:val="right"/>
              <w:ind w:right="462"/>
              <w:spacing w:after="0" w:line="142" w:lineRule="exact"/>
              <w:rPr>
                <w:sz w:val="20"/>
                <w:szCs w:val="20"/>
                <w:color w:val="auto"/>
              </w:rPr>
            </w:pPr>
            <w:r>
              <w:rPr>
                <w:rFonts w:ascii="Arial" w:cs="Arial" w:eastAsia="Arial" w:hAnsi="Arial"/>
                <w:sz w:val="14"/>
                <w:szCs w:val="14"/>
                <w:b w:val="1"/>
                <w:bCs w:val="1"/>
                <w:color w:val="auto"/>
              </w:rPr>
              <w:t>2011</w:t>
            </w:r>
          </w:p>
        </w:tc>
      </w:tr>
      <w:tr>
        <w:trPr>
          <w:trHeight w:val="203"/>
        </w:trPr>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5.20x</w:t>
            </w:r>
          </w:p>
        </w:tc>
        <w:tc>
          <w:tcPr>
            <w:tcW w:w="8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5.48x</w:t>
            </w:r>
          </w:p>
        </w:tc>
        <w:tc>
          <w:tcPr>
            <w:tcW w:w="4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5.22x</w:t>
            </w:r>
          </w:p>
        </w:tc>
        <w:tc>
          <w:tcPr>
            <w:tcW w:w="4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4.85x</w:t>
            </w:r>
          </w:p>
        </w:tc>
        <w:tc>
          <w:tcPr>
            <w:tcW w:w="4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4.82x</w:t>
            </w:r>
          </w:p>
        </w:tc>
        <w:tc>
          <w:tcPr>
            <w:tcW w:w="4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4.04x</w:t>
            </w:r>
          </w:p>
        </w:tc>
      </w:tr>
    </w:tbl>
    <w:p>
      <w:pPr>
        <w:spacing w:after="0" w:line="154"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40"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1060" w:right="200" w:hanging="316"/>
        <w:spacing w:after="0" w:line="259"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60" w:hanging="316"/>
        <w:spacing w:after="0" w:line="268"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1060" w:right="340" w:hanging="316"/>
        <w:spacing w:after="0" w:line="268"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1060" w:hanging="316"/>
        <w:spacing w:after="0" w:line="268"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1060" w:right="20" w:hanging="316"/>
        <w:spacing w:after="0" w:line="268"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1060" w:right="420" w:hanging="316"/>
        <w:spacing w:after="0" w:line="268"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1060" w:right="260" w:hanging="316"/>
        <w:spacing w:after="0" w:line="268"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left="200" w:right="200" w:firstLine="444"/>
        <w:spacing w:after="0" w:line="268" w:lineRule="auto"/>
        <w:tabs>
          <w:tab w:leader="none" w:pos="8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20" w:firstLine="444"/>
        <w:spacing w:after="0" w:line="268" w:lineRule="auto"/>
        <w:tabs>
          <w:tab w:leader="none" w:pos="8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left="200" w:right="120" w:firstLine="444"/>
        <w:spacing w:after="0" w:line="268" w:lineRule="auto"/>
        <w:tabs>
          <w:tab w:leader="none" w:pos="8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left="200" w:right="420" w:firstLine="444"/>
        <w:spacing w:after="0" w:line="306" w:lineRule="auto"/>
        <w:tabs>
          <w:tab w:leader="none" w:pos="88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01" w:lineRule="exact"/>
        <w:rPr>
          <w:sz w:val="20"/>
          <w:szCs w:val="20"/>
          <w:color w:val="auto"/>
        </w:rPr>
      </w:pPr>
    </w:p>
    <w:p>
      <w:pPr>
        <w:ind w:left="200" w:right="20" w:firstLine="441"/>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left="200" w:right="600" w:firstLine="44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Worth</w:t>
      </w:r>
      <w:r>
        <w:rPr>
          <w:rFonts w:ascii="Arial" w:cs="Arial" w:eastAsia="Arial" w:hAnsi="Arial"/>
          <w:sz w:val="16"/>
          <w:szCs w:val="16"/>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74"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139"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Obligations</w:t>
      </w:r>
      <w:r>
        <w:rPr>
          <w:rFonts w:ascii="Arial" w:cs="Arial" w:eastAsia="Arial" w:hAnsi="Arial"/>
          <w:sz w:val="16"/>
          <w:szCs w:val="16"/>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13" w:lineRule="exact"/>
        <w:rPr>
          <w:sz w:val="20"/>
          <w:szCs w:val="20"/>
          <w:color w:val="auto"/>
        </w:rPr>
      </w:pPr>
    </w:p>
    <w:p>
      <w:pPr>
        <w:ind w:left="200" w:right="220" w:firstLine="44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left="200" w:right="300" w:firstLine="44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jc w:val="both"/>
        <w:ind w:left="200" w:right="180" w:firstLine="444"/>
        <w:spacing w:after="0" w:line="259" w:lineRule="auto"/>
        <w:tabs>
          <w:tab w:leader="none" w:pos="8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200" w:right="840" w:firstLine="444"/>
        <w:spacing w:after="0" w:line="268" w:lineRule="auto"/>
        <w:tabs>
          <w:tab w:leader="none" w:pos="879"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31" w:lineRule="exact"/>
        <w:rPr>
          <w:rFonts w:ascii="Arial" w:cs="Arial" w:eastAsia="Arial" w:hAnsi="Arial"/>
          <w:sz w:val="18"/>
          <w:szCs w:val="18"/>
          <w:color w:val="auto"/>
        </w:rPr>
      </w:pPr>
    </w:p>
    <w:p>
      <w:pPr>
        <w:ind w:left="200" w:right="460" w:firstLine="444"/>
        <w:spacing w:after="0" w:line="268" w:lineRule="auto"/>
        <w:tabs>
          <w:tab w:leader="none" w:pos="8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left="200" w:right="220" w:firstLine="444"/>
        <w:spacing w:after="0" w:line="268" w:lineRule="auto"/>
        <w:tabs>
          <w:tab w:leader="none" w:pos="879"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left="200" w:right="400" w:firstLine="444"/>
        <w:spacing w:after="0" w:line="306"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06" w:lineRule="exact"/>
        <w:rPr>
          <w:rFonts w:ascii="Arial" w:cs="Arial" w:eastAsia="Arial" w:hAnsi="Arial"/>
          <w:sz w:val="16"/>
          <w:szCs w:val="16"/>
          <w:color w:val="auto"/>
        </w:rPr>
      </w:pPr>
    </w:p>
    <w:p>
      <w:pPr>
        <w:ind w:left="900" w:hanging="25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jc w:val="both"/>
        <w:ind w:left="200" w:right="160" w:firstLine="444"/>
        <w:spacing w:after="0" w:line="259" w:lineRule="auto"/>
        <w:tabs>
          <w:tab w:leader="none" w:pos="8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left="200" w:right="120" w:firstLine="444"/>
        <w:spacing w:after="0" w:line="268" w:lineRule="auto"/>
        <w:tabs>
          <w:tab w:leader="none" w:pos="8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left="200" w:firstLine="444"/>
        <w:spacing w:after="0" w:line="268" w:lineRule="auto"/>
        <w:tabs>
          <w:tab w:leader="none" w:pos="8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left="200" w:right="40" w:firstLine="444"/>
        <w:spacing w:after="0" w:line="259" w:lineRule="auto"/>
        <w:tabs>
          <w:tab w:leader="none" w:pos="8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hanging="216"/>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71" w:lineRule="exact"/>
        <w:rPr>
          <w:rFonts w:ascii="Arial" w:cs="Arial" w:eastAsia="Arial" w:hAnsi="Arial"/>
          <w:sz w:val="18"/>
          <w:szCs w:val="18"/>
          <w:color w:val="auto"/>
        </w:rPr>
      </w:pPr>
    </w:p>
    <w:p>
      <w:pPr>
        <w:ind w:left="200" w:firstLine="444"/>
        <w:spacing w:after="0" w:line="268" w:lineRule="auto"/>
        <w:tabs>
          <w:tab w:leader="none" w:pos="9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900" w:hanging="25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left="200" w:right="140" w:firstLine="444"/>
        <w:spacing w:after="0" w:line="268" w:lineRule="auto"/>
        <w:tabs>
          <w:tab w:leader="none" w:pos="8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left="200" w:right="240" w:firstLine="444"/>
        <w:spacing w:after="0" w:line="268" w:lineRule="auto"/>
        <w:tabs>
          <w:tab w:leader="none" w:pos="8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left="200" w:right="180" w:firstLine="444"/>
        <w:spacing w:after="0" w:line="370" w:lineRule="auto"/>
        <w:tabs>
          <w:tab w:leader="none" w:pos="889" w:val="left"/>
        </w:tabs>
        <w:numPr>
          <w:ilvl w:val="0"/>
          <w:numId w:val="28"/>
        </w:numPr>
        <w:rPr>
          <w:rFonts w:ascii="Arial" w:cs="Arial" w:eastAsia="Arial" w:hAnsi="Arial"/>
          <w:sz w:val="15"/>
          <w:szCs w:val="15"/>
          <w:color w:val="auto"/>
        </w:rPr>
      </w:pPr>
      <w:r>
        <w:rPr>
          <w:rFonts w:ascii="Arial" w:cs="Arial" w:eastAsia="Arial" w:hAnsi="Arial"/>
          <w:sz w:val="15"/>
          <w:szCs w:val="15"/>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2" w:lineRule="exact"/>
        <w:rPr>
          <w:rFonts w:ascii="Arial" w:cs="Arial" w:eastAsia="Arial" w:hAnsi="Arial"/>
          <w:sz w:val="15"/>
          <w:szCs w:val="15"/>
          <w:color w:val="auto"/>
        </w:rPr>
      </w:pPr>
    </w:p>
    <w:p>
      <w:pPr>
        <w:ind w:left="200" w:right="200" w:firstLine="444"/>
        <w:spacing w:after="0" w:line="306"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06" w:lineRule="exact"/>
        <w:rPr>
          <w:rFonts w:ascii="Arial" w:cs="Arial" w:eastAsia="Arial" w:hAnsi="Arial"/>
          <w:sz w:val="16"/>
          <w:szCs w:val="16"/>
          <w:color w:val="auto"/>
        </w:rPr>
      </w:pPr>
    </w:p>
    <w:p>
      <w:pPr>
        <w:ind w:left="880" w:hanging="236"/>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left="200" w:right="940" w:firstLine="44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74" w:lineRule="exact"/>
        <w:rPr>
          <w:sz w:val="20"/>
          <w:szCs w:val="20"/>
          <w:color w:val="auto"/>
        </w:rPr>
      </w:pPr>
    </w:p>
    <w:p>
      <w:pPr>
        <w:ind w:left="200" w:right="320" w:firstLine="44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with respect to any Person any property or asset, whether real, personal or mixed, or tangible or intangible, including shares of capital stock.</w:t>
      </w:r>
    </w:p>
    <w:p>
      <w:pPr>
        <w:spacing w:after="0" w:line="120" w:lineRule="exact"/>
        <w:rPr>
          <w:sz w:val="20"/>
          <w:szCs w:val="20"/>
          <w:color w:val="auto"/>
        </w:rPr>
      </w:pPr>
    </w:p>
    <w:p>
      <w:pPr>
        <w:ind w:left="200" w:right="28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left="200" w:right="100" w:firstLine="441"/>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60" w:right="180" w:hanging="316"/>
        <w:spacing w:after="0" w:line="268"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r>
        <w:rPr>
          <w:rFonts w:ascii="Arial" w:cs="Arial" w:eastAsia="Arial" w:hAnsi="Arial"/>
          <w:sz w:val="18"/>
          <w:szCs w:val="18"/>
          <w:i w:val="1"/>
          <w:iCs w:val="1"/>
          <w:color w:val="auto"/>
        </w:rPr>
        <w:t>:</w:t>
      </w:r>
    </w:p>
    <w:p>
      <w:pPr>
        <w:spacing w:after="0" w:line="62"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1060" w:right="100" w:hanging="316"/>
        <w:spacing w:after="0" w:line="268"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1060" w:hanging="316"/>
        <w:spacing w:after="0" w:line="255"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61"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left="200" w:firstLine="441"/>
        <w:spacing w:after="0" w:line="312" w:lineRule="auto"/>
        <w:rPr>
          <w:sz w:val="20"/>
          <w:szCs w:val="20"/>
          <w:color w:val="auto"/>
        </w:rPr>
      </w:pPr>
      <w:r>
        <w:rPr>
          <w:rFonts w:ascii="Arial" w:cs="Arial" w:eastAsia="Arial" w:hAnsi="Arial"/>
          <w:sz w:val="15"/>
          <w:szCs w:val="15"/>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05"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060" w:right="40" w:hanging="316"/>
        <w:spacing w:after="0" w:line="259"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59" w:lineRule="exact"/>
        <w:rPr>
          <w:rFonts w:ascii="Arial" w:cs="Arial" w:eastAsia="Arial" w:hAnsi="Arial"/>
          <w:sz w:val="18"/>
          <w:szCs w:val="18"/>
          <w:color w:val="auto"/>
        </w:rPr>
      </w:pPr>
    </w:p>
    <w:p>
      <w:pPr>
        <w:ind w:left="1060" w:right="200" w:hanging="316"/>
        <w:spacing w:after="0" w:line="256"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left="200" w:right="380" w:firstLine="441"/>
        <w:spacing w:after="0" w:line="306"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We will not consolidate or combine with or merge with or into or, directly or indirectly, sell, assign,</w:t>
      </w:r>
      <w:r>
        <w:rPr>
          <w:rFonts w:ascii="Arial" w:cs="Arial" w:eastAsia="Arial" w:hAnsi="Arial"/>
          <w:sz w:val="16"/>
          <w:szCs w:val="16"/>
          <w:i w:val="1"/>
          <w:iCs w:val="1"/>
          <w:color w:val="auto"/>
        </w:rPr>
        <w:t xml:space="preserve"> </w:t>
      </w:r>
      <w:r>
        <w:rPr>
          <w:rFonts w:ascii="Arial" w:cs="Arial" w:eastAsia="Arial" w:hAnsi="Arial"/>
          <w:sz w:val="16"/>
          <w:szCs w:val="16"/>
          <w:color w:val="auto"/>
        </w:rPr>
        <w:t>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26" w:lineRule="exact"/>
        <w:rPr>
          <w:sz w:val="20"/>
          <w:szCs w:val="20"/>
          <w:color w:val="auto"/>
        </w:rPr>
      </w:pPr>
    </w:p>
    <w:p>
      <w:pPr>
        <w:ind w:left="1060" w:right="40" w:hanging="316"/>
        <w:spacing w:after="0" w:line="259"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1060" w:right="860" w:hanging="316"/>
        <w:spacing w:after="0" w:line="268"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1060" w:right="40" w:hanging="316"/>
        <w:spacing w:after="0" w:line="259"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1060" w:right="440" w:hanging="316"/>
        <w:spacing w:after="0" w:line="268"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20"/>
        <w:spacing w:after="0" w:line="332" w:lineRule="auto"/>
        <w:rPr>
          <w:sz w:val="20"/>
          <w:szCs w:val="20"/>
          <w:color w:val="auto"/>
        </w:rPr>
      </w:pPr>
      <w:r>
        <w:rPr>
          <w:rFonts w:ascii="Arial" w:cs="Arial" w:eastAsia="Arial" w:hAnsi="Arial"/>
          <w:sz w:val="16"/>
          <w:szCs w:val="16"/>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85" w:lineRule="exact"/>
        <w:rPr>
          <w:sz w:val="20"/>
          <w:szCs w:val="20"/>
          <w:color w:val="auto"/>
        </w:rPr>
      </w:pPr>
    </w:p>
    <w:p>
      <w:pPr>
        <w:ind w:left="200" w:right="100" w:firstLine="441"/>
        <w:spacing w:after="0" w:line="306" w:lineRule="auto"/>
        <w:rPr>
          <w:sz w:val="20"/>
          <w:szCs w:val="20"/>
          <w:color w:val="auto"/>
        </w:rPr>
      </w:pPr>
      <w:r>
        <w:rPr>
          <w:rFonts w:ascii="Arial" w:cs="Arial" w:eastAsia="Arial" w:hAnsi="Arial"/>
          <w:sz w:val="16"/>
          <w:szCs w:val="16"/>
          <w:i w:val="1"/>
          <w:iCs w:val="1"/>
          <w:color w:val="auto"/>
        </w:rPr>
        <w:t>Existence</w:t>
      </w:r>
      <w:r>
        <w:rPr>
          <w:rFonts w:ascii="Arial" w:cs="Arial" w:eastAsia="Arial" w:hAnsi="Arial"/>
          <w:sz w:val="16"/>
          <w:szCs w:val="16"/>
          <w:color w:val="auto"/>
        </w:rPr>
        <w:t>. Except as permitted under “—</w:t>
      </w: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the indenture requires us to do or cause to be done all things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0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i w:val="1"/>
          <w:iCs w:val="1"/>
          <w:color w:val="auto"/>
        </w:rPr>
        <w:t xml:space="preserve">Information. </w:t>
      </w:r>
      <w:r>
        <w:rPr>
          <w:rFonts w:ascii="Arial" w:cs="Arial" w:eastAsia="Arial" w:hAnsi="Arial"/>
          <w:sz w:val="16"/>
          <w:szCs w:val="16"/>
          <w:color w:val="auto"/>
        </w:rPr>
        <w:t>We will furnish to the trustee any document or report we are required to file with the SEC pursuant to Section 13 or Section 15(d)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default in paying interest on the senior debt securities of such series when it becomes due and the default continues for a period of 30 days or</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more;</w:t>
      </w:r>
    </w:p>
    <w:p>
      <w:pPr>
        <w:spacing w:after="0" w:line="165" w:lineRule="exact"/>
        <w:rPr>
          <w:sz w:val="20"/>
          <w:szCs w:val="20"/>
          <w:color w:val="auto"/>
        </w:rPr>
      </w:pPr>
    </w:p>
    <w:p>
      <w:pPr>
        <w:ind w:left="900" w:hanging="25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left="200" w:right="260" w:firstLine="444"/>
        <w:spacing w:after="0" w:line="298" w:lineRule="auto"/>
        <w:tabs>
          <w:tab w:leader="none" w:pos="879"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12" w:lineRule="exact"/>
        <w:rPr>
          <w:rFonts w:ascii="Arial" w:cs="Arial" w:eastAsia="Arial" w:hAnsi="Arial"/>
          <w:sz w:val="16"/>
          <w:szCs w:val="16"/>
          <w:color w:val="auto"/>
        </w:rPr>
      </w:pPr>
    </w:p>
    <w:p>
      <w:pPr>
        <w:ind w:left="900" w:hanging="25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880" w:hanging="236"/>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jc w:val="both"/>
        <w:ind w:left="200" w:right="180" w:firstLine="441"/>
        <w:spacing w:after="0" w:line="370" w:lineRule="auto"/>
        <w:rPr>
          <w:sz w:val="20"/>
          <w:szCs w:val="20"/>
          <w:color w:val="auto"/>
        </w:rPr>
      </w:pPr>
      <w:r>
        <w:rPr>
          <w:rFonts w:ascii="Arial" w:cs="Arial" w:eastAsia="Arial" w:hAnsi="Arial"/>
          <w:sz w:val="15"/>
          <w:szCs w:val="15"/>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62"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43" w:lineRule="exact"/>
        <w:rPr>
          <w:sz w:val="20"/>
          <w:szCs w:val="20"/>
          <w:color w:val="auto"/>
        </w:rPr>
      </w:pPr>
    </w:p>
    <w:p>
      <w:pPr>
        <w:ind w:left="200" w:right="440" w:firstLine="441"/>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jc w:val="both"/>
        <w:ind w:left="200" w:right="20" w:firstLine="441"/>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51"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620" w:right="120" w:hanging="430"/>
        <w:spacing w:after="0" w:line="268"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620" w:right="220" w:hanging="430"/>
        <w:spacing w:after="0" w:line="268"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the senior debt securities of such series issued that have not been canceled or delivered to the trustee for cancellation have become due and payable, are by their terms to become due and</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40"/>
        <w:spacing w:after="0" w:line="256" w:lineRule="auto"/>
        <w:rPr>
          <w:sz w:val="20"/>
          <w:szCs w:val="20"/>
          <w:color w:val="auto"/>
        </w:rPr>
      </w:pPr>
      <w:r>
        <w:rPr>
          <w:rFonts w:ascii="Arial" w:cs="Arial" w:eastAsia="Arial" w:hAnsi="Arial"/>
          <w:sz w:val="18"/>
          <w:szCs w:val="18"/>
          <w:color w:val="auto"/>
        </w:rPr>
        <w:t>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62" w:lineRule="exact"/>
        <w:rPr>
          <w:sz w:val="20"/>
          <w:szCs w:val="20"/>
          <w:color w:val="auto"/>
        </w:rPr>
      </w:pPr>
    </w:p>
    <w:p>
      <w:pPr>
        <w:ind w:left="1060" w:right="400" w:hanging="316"/>
        <w:spacing w:after="0" w:line="268"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1060" w:right="120" w:hanging="316"/>
        <w:spacing w:after="0" w:line="370" w:lineRule="auto"/>
        <w:tabs>
          <w:tab w:leader="none" w:pos="10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jc w:val="both"/>
        <w:ind w:left="200" w:right="60" w:firstLine="441"/>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1060" w:right="500" w:hanging="316"/>
        <w:spacing w:after="0" w:line="306" w:lineRule="auto"/>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25" w:lineRule="exact"/>
        <w:rPr>
          <w:rFonts w:ascii="Arial" w:cs="Arial" w:eastAsia="Arial" w:hAnsi="Arial"/>
          <w:sz w:val="16"/>
          <w:szCs w:val="16"/>
          <w:color w:val="auto"/>
        </w:rPr>
      </w:pPr>
    </w:p>
    <w:p>
      <w:pPr>
        <w:ind w:left="1060" w:right="220" w:hanging="316"/>
        <w:spacing w:after="0" w:line="268"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 xml:space="preserve">In addition, we may elect to have our and the Guarantors’ obligations released with respect to certain covenants in the indenture (“covenant defeasance”). In the event covenant defeasance occurs, certain events, not including nonpayment, bankruptcy and insolvency events, described under “— </w:t>
      </w:r>
      <w:r>
        <w:rPr>
          <w:rFonts w:ascii="Arial" w:cs="Arial" w:eastAsia="Arial" w:hAnsi="Arial"/>
          <w:sz w:val="18"/>
          <w:szCs w:val="18"/>
          <w:i w:val="1"/>
          <w:iCs w:val="1"/>
          <w:color w:val="auto"/>
        </w:rPr>
        <w:t>Events of Default</w:t>
      </w:r>
      <w:r>
        <w:rPr>
          <w:rFonts w:ascii="Arial" w:cs="Arial" w:eastAsia="Arial" w:hAnsi="Arial"/>
          <w:sz w:val="18"/>
          <w:szCs w:val="18"/>
          <w:color w:val="auto"/>
        </w:rPr>
        <w:t>” will no longer constitute an event of default for that series.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1060" w:right="80" w:hanging="316"/>
        <w:spacing w:after="0" w:line="332" w:lineRule="auto"/>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620" w:hanging="430"/>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620" w:hanging="430"/>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620" w:hanging="430"/>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jc w:val="both"/>
        <w:ind w:left="1080" w:right="18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1060" w:right="320" w:hanging="316"/>
        <w:spacing w:after="0" w:line="268"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legal defeasance, we have delivered to the trustee an opinion of counsel stating that, as a result of an Internal Revenue Service (“IRS”) ruling or a change in applicable federal income tax law,</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59" w:lineRule="exact"/>
        <w:rPr>
          <w:sz w:val="20"/>
          <w:szCs w:val="20"/>
          <w:color w:val="auto"/>
        </w:rPr>
      </w:pPr>
    </w:p>
    <w:p>
      <w:pPr>
        <w:ind w:left="1060" w:right="20" w:hanging="316"/>
        <w:spacing w:after="0" w:line="256"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62" w:lineRule="exact"/>
        <w:rPr>
          <w:rFonts w:ascii="Arial" w:cs="Arial" w:eastAsia="Arial" w:hAnsi="Arial"/>
          <w:sz w:val="18"/>
          <w:szCs w:val="18"/>
          <w:color w:val="auto"/>
        </w:rPr>
      </w:pPr>
    </w:p>
    <w:p>
      <w:pPr>
        <w:ind w:left="1060" w:hanging="316"/>
        <w:spacing w:after="0" w:line="255"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61" w:lineRule="exact"/>
        <w:rPr>
          <w:rFonts w:ascii="Arial" w:cs="Arial" w:eastAsia="Arial" w:hAnsi="Arial"/>
          <w:sz w:val="18"/>
          <w:szCs w:val="18"/>
          <w:color w:val="auto"/>
        </w:rPr>
      </w:pPr>
    </w:p>
    <w:p>
      <w:pPr>
        <w:ind w:left="1060" w:right="220" w:hanging="316"/>
        <w:spacing w:after="0" w:line="268"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1060" w:right="40" w:hanging="316"/>
        <w:spacing w:after="0" w:line="357" w:lineRule="auto"/>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1060" w:right="60" w:hanging="316"/>
        <w:spacing w:after="0" w:line="268"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200" w:right="480" w:firstLine="441"/>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1060" w:right="60" w:hanging="316"/>
        <w:spacing w:after="0" w:line="268"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1060" w:hanging="316"/>
        <w:spacing w:after="0" w:line="268"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7" w:lineRule="exact"/>
        <w:rPr>
          <w:sz w:val="20"/>
          <w:szCs w:val="20"/>
          <w:color w:val="auto"/>
        </w:rPr>
      </w:pPr>
    </w:p>
    <w:p>
      <w:pPr>
        <w:ind w:left="1060" w:right="60" w:hanging="316"/>
        <w:spacing w:after="0" w:line="268"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1060" w:right="120" w:hanging="316"/>
        <w:spacing w:after="0" w:line="268"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1060" w:right="40" w:hanging="316"/>
        <w:spacing w:after="0" w:line="268"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306" w:lineRule="auto"/>
        <w:rPr>
          <w:sz w:val="20"/>
          <w:szCs w:val="20"/>
          <w:color w:val="auto"/>
        </w:rPr>
      </w:pPr>
      <w:r>
        <w:rPr>
          <w:rFonts w:ascii="Arial" w:cs="Arial" w:eastAsia="Arial" w:hAnsi="Arial"/>
          <w:sz w:val="16"/>
          <w:szCs w:val="16"/>
          <w:color w:val="auto"/>
        </w:rPr>
        <w:t>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The senior indenture, including any Guarantee, and each senior debt security is governed by and construed in accordance with the laws of the State of New York.</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left="200" w:right="360" w:firstLine="441"/>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2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jc w:val="both"/>
        <w:ind w:left="200" w:right="60" w:firstLine="441"/>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left="200" w:right="140" w:firstLine="441"/>
        <w:spacing w:after="0" w:line="306" w:lineRule="auto"/>
        <w:rPr>
          <w:sz w:val="20"/>
          <w:szCs w:val="20"/>
          <w:color w:val="auto"/>
        </w:rPr>
      </w:pPr>
      <w:r>
        <w:rPr>
          <w:rFonts w:ascii="Arial" w:cs="Arial" w:eastAsia="Arial" w:hAnsi="Arial"/>
          <w:sz w:val="16"/>
          <w:szCs w:val="16"/>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3"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See “Dividend Policy” above.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 xml:space="preserve">As a general matter, on all matters submitted for a vote to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and holders of our Class B common stock in the aggregate hold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360"/>
        <w:spacing w:after="0" w:line="306" w:lineRule="auto"/>
        <w:rPr>
          <w:sz w:val="20"/>
          <w:szCs w:val="20"/>
          <w:color w:val="auto"/>
        </w:rPr>
      </w:pPr>
      <w:r>
        <w:rPr>
          <w:rFonts w:ascii="Arial" w:cs="Arial" w:eastAsia="Arial" w:hAnsi="Arial"/>
          <w:sz w:val="16"/>
          <w:szCs w:val="16"/>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2016, if Mr. Roberts were to convert the Class B common stock he beneficially owns into Class A common stock, Mr. Roberts would beneficially own 23,153,804 shares of Class A common stock, which is approximately 1% of the Class A common stock that would be outstanding after the conversion.</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Class B common stock is convertible share for share into Class A common stock.</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left="200" w:right="100" w:firstLine="441"/>
        <w:spacing w:after="0" w:line="294"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transfer agent and registrar for our Class A common stock is Wells Fargo Shareowner Services, P.O. Box 64874, St. Paul, Minnesota 55164-0874.</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Its telephone number is (888) 883-8903.</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44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right"/>
        <w:ind w:right="4400"/>
        <w:spacing w:after="0"/>
        <w:rPr>
          <w:sz w:val="20"/>
          <w:szCs w:val="20"/>
          <w:color w:val="auto"/>
        </w:rPr>
      </w:pPr>
      <w:r>
        <w:rPr>
          <w:rFonts w:ascii="Arial" w:cs="Arial" w:eastAsia="Arial" w:hAnsi="Arial"/>
          <w:sz w:val="16"/>
          <w:szCs w:val="16"/>
          <w:color w:val="auto"/>
        </w:rPr>
        <w:t>We or selling security holders may sell the securities being offered hereby in four ways:</w:t>
      </w:r>
    </w:p>
    <w:p>
      <w:pPr>
        <w:spacing w:after="0" w:line="113" w:lineRule="exact"/>
        <w:rPr>
          <w:sz w:val="20"/>
          <w:szCs w:val="20"/>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jc w:val="both"/>
        <w:ind w:left="200" w:right="260" w:firstLine="441"/>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4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jc w:val="both"/>
        <w:ind w:left="200" w:right="40" w:firstLine="441"/>
        <w:spacing w:after="0" w:line="284"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w:t>
      </w:r>
    </w:p>
    <w:p>
      <w:pPr>
        <w:spacing w:after="0" w:line="1"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09"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1060" w:hanging="316"/>
        <w:spacing w:after="0"/>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2015, filed on February 5, 2016.</w:t>
      </w:r>
    </w:p>
    <w:p>
      <w:pPr>
        <w:spacing w:after="0" w:line="113" w:lineRule="exact"/>
        <w:rPr>
          <w:rFonts w:ascii="Arial" w:cs="Arial" w:eastAsia="Arial" w:hAnsi="Arial"/>
          <w:sz w:val="16"/>
          <w:szCs w:val="16"/>
          <w:color w:val="auto"/>
        </w:rPr>
      </w:pPr>
    </w:p>
    <w:p>
      <w:pPr>
        <w:ind w:left="1060" w:right="140" w:hanging="316"/>
        <w:spacing w:after="0" w:line="268"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2016 and June 30, 2016, filed on April 27, 2016 and July 27, 2016, respectively.</w:t>
      </w:r>
    </w:p>
    <w:p>
      <w:pPr>
        <w:spacing w:after="0" w:line="50" w:lineRule="exact"/>
        <w:rPr>
          <w:rFonts w:ascii="Arial" w:cs="Arial" w:eastAsia="Arial" w:hAnsi="Arial"/>
          <w:sz w:val="18"/>
          <w:szCs w:val="18"/>
          <w:color w:val="auto"/>
        </w:rPr>
      </w:pPr>
    </w:p>
    <w:p>
      <w:pPr>
        <w:ind w:left="1060" w:right="200" w:hanging="316"/>
        <w:spacing w:after="0" w:line="268"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17, 2016, February 23, 2016, March 30, 2016, May 24, 2016, May 26, 2016, May 31, 2016 (other than Item 7.01 thereto), July 1, 2016, July 19, 2016 and July 28, 2016.</w:t>
      </w:r>
    </w:p>
    <w:p>
      <w:pPr>
        <w:spacing w:after="0" w:line="50" w:lineRule="exact"/>
        <w:rPr>
          <w:rFonts w:ascii="Arial" w:cs="Arial" w:eastAsia="Arial" w:hAnsi="Arial"/>
          <w:sz w:val="18"/>
          <w:szCs w:val="18"/>
          <w:color w:val="auto"/>
        </w:rPr>
      </w:pPr>
    </w:p>
    <w:p>
      <w:pPr>
        <w:ind w:left="1060" w:right="100" w:hanging="316"/>
        <w:spacing w:after="0" w:line="268"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2016 annual meeting of shareholders incorporated by reference in Comcast’s Annual Report on Form 10-K for the year ended December 31, 2015.</w:t>
      </w:r>
    </w:p>
    <w:p>
      <w:pPr>
        <w:spacing w:after="0" w:line="50" w:lineRule="exact"/>
        <w:rPr>
          <w:rFonts w:ascii="Arial" w:cs="Arial" w:eastAsia="Arial" w:hAnsi="Arial"/>
          <w:sz w:val="18"/>
          <w:szCs w:val="18"/>
          <w:color w:val="auto"/>
        </w:rPr>
      </w:pPr>
    </w:p>
    <w:p>
      <w:pPr>
        <w:ind w:left="1060" w:right="480" w:hanging="316"/>
        <w:spacing w:after="0" w:line="332" w:lineRule="auto"/>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description of our capital stock included in Item 3.02 under the caption “Amended and Restated Description of our Class A Common Stock” in Comcast’s Current Report on Form 8-K filed on December 15, 2015, as the same may be further amended from time to time.</w:t>
      </w:r>
    </w:p>
    <w:p>
      <w:pPr>
        <w:spacing w:after="0" w:line="8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1111885</wp:posOffset>
            </wp:positionV>
            <wp:extent cx="1397635" cy="4889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1220"/>
          </w:cols>
          <w:pgMar w:left="240" w:top="459" w:right="439" w:bottom="3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80"/>
        <w:spacing w:after="0"/>
        <w:tabs>
          <w:tab w:leader="none" w:pos="5420" w:val="left"/>
        </w:tabs>
        <w:rPr>
          <w:sz w:val="20"/>
          <w:szCs w:val="20"/>
          <w:color w:val="auto"/>
        </w:rPr>
      </w:pPr>
      <w:r>
        <w:rPr>
          <w:rFonts w:ascii="Arial" w:cs="Arial" w:eastAsia="Arial" w:hAnsi="Arial"/>
          <w:sz w:val="25"/>
          <w:szCs w:val="25"/>
          <w:b w:val="1"/>
          <w:bCs w:val="1"/>
          <w:color w:val="auto"/>
        </w:rPr>
        <w:t>$1,000,000,000</w:t>
      </w:r>
      <w:r>
        <w:rPr>
          <w:sz w:val="20"/>
          <w:szCs w:val="20"/>
          <w:color w:val="auto"/>
        </w:rPr>
        <w:tab/>
      </w:r>
      <w:r>
        <w:rPr>
          <w:rFonts w:ascii="Arial" w:cs="Arial" w:eastAsia="Arial" w:hAnsi="Arial"/>
          <w:sz w:val="22"/>
          <w:szCs w:val="22"/>
          <w:b w:val="1"/>
          <w:bCs w:val="1"/>
          <w:color w:val="auto"/>
        </w:rPr>
        <w:t>3.550% Notes due 2028</w:t>
      </w:r>
    </w:p>
    <w:p>
      <w:pPr>
        <w:spacing w:after="0" w:line="118" w:lineRule="exact"/>
        <w:rPr>
          <w:sz w:val="20"/>
          <w:szCs w:val="20"/>
          <w:color w:val="auto"/>
        </w:rPr>
      </w:pPr>
    </w:p>
    <w:p>
      <w:pPr>
        <w:ind w:left="3480"/>
        <w:spacing w:after="0"/>
        <w:tabs>
          <w:tab w:leader="none" w:pos="5420" w:val="left"/>
        </w:tabs>
        <w:rPr>
          <w:sz w:val="20"/>
          <w:szCs w:val="20"/>
          <w:color w:val="auto"/>
        </w:rPr>
      </w:pPr>
      <w:r>
        <w:rPr>
          <w:rFonts w:ascii="Arial" w:cs="Arial" w:eastAsia="Arial" w:hAnsi="Arial"/>
          <w:sz w:val="25"/>
          <w:szCs w:val="25"/>
          <w:b w:val="1"/>
          <w:bCs w:val="1"/>
          <w:color w:val="auto"/>
        </w:rPr>
        <w:t>$1,200,000,000</w:t>
      </w:r>
      <w:r>
        <w:rPr>
          <w:sz w:val="20"/>
          <w:szCs w:val="20"/>
          <w:color w:val="auto"/>
        </w:rPr>
        <w:tab/>
      </w:r>
      <w:r>
        <w:rPr>
          <w:rFonts w:ascii="Arial" w:cs="Arial" w:eastAsia="Arial" w:hAnsi="Arial"/>
          <w:sz w:val="22"/>
          <w:szCs w:val="22"/>
          <w:b w:val="1"/>
          <w:bCs w:val="1"/>
          <w:color w:val="auto"/>
        </w:rPr>
        <w:t>3.900% Notes due 2038</w:t>
      </w:r>
    </w:p>
    <w:p>
      <w:pPr>
        <w:spacing w:after="0" w:line="118" w:lineRule="exact"/>
        <w:rPr>
          <w:sz w:val="20"/>
          <w:szCs w:val="20"/>
          <w:color w:val="auto"/>
        </w:rPr>
      </w:pPr>
    </w:p>
    <w:p>
      <w:pPr>
        <w:ind w:left="3480"/>
        <w:spacing w:after="0"/>
        <w:tabs>
          <w:tab w:leader="none" w:pos="5420" w:val="left"/>
        </w:tabs>
        <w:rPr>
          <w:sz w:val="20"/>
          <w:szCs w:val="20"/>
          <w:color w:val="auto"/>
        </w:rPr>
      </w:pPr>
      <w:r>
        <w:rPr>
          <w:rFonts w:ascii="Arial" w:cs="Arial" w:eastAsia="Arial" w:hAnsi="Arial"/>
          <w:sz w:val="25"/>
          <w:szCs w:val="25"/>
          <w:b w:val="1"/>
          <w:bCs w:val="1"/>
          <w:color w:val="auto"/>
        </w:rPr>
        <w:t>$1,000,000,000</w:t>
      </w:r>
      <w:r>
        <w:rPr>
          <w:sz w:val="20"/>
          <w:szCs w:val="20"/>
          <w:color w:val="auto"/>
        </w:rPr>
        <w:tab/>
      </w:r>
      <w:r>
        <w:rPr>
          <w:rFonts w:ascii="Arial" w:cs="Arial" w:eastAsia="Arial" w:hAnsi="Arial"/>
          <w:sz w:val="22"/>
          <w:szCs w:val="22"/>
          <w:b w:val="1"/>
          <w:bCs w:val="1"/>
          <w:color w:val="auto"/>
        </w:rPr>
        <w:t>4.000% Notes due 2048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869950</wp:posOffset>
            </wp:positionV>
            <wp:extent cx="14662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110" w:lineRule="exact"/>
        <w:rPr>
          <w:sz w:val="20"/>
          <w:szCs w:val="20"/>
          <w:color w:val="auto"/>
        </w:rPr>
      </w:pPr>
    </w:p>
    <w:p>
      <w:pPr>
        <w:ind w:left="200"/>
        <w:spacing w:after="0"/>
        <w:tabs>
          <w:tab w:leader="none" w:pos="5180" w:val="left"/>
          <w:tab w:leader="none" w:pos="8800" w:val="left"/>
        </w:tabs>
        <w:rPr>
          <w:sz w:val="20"/>
          <w:szCs w:val="20"/>
          <w:color w:val="auto"/>
        </w:rPr>
      </w:pPr>
      <w:r>
        <w:rPr>
          <w:rFonts w:ascii="Arial" w:cs="Arial" w:eastAsia="Arial" w:hAnsi="Arial"/>
          <w:sz w:val="25"/>
          <w:szCs w:val="25"/>
          <w:b w:val="1"/>
          <w:bCs w:val="1"/>
          <w:color w:val="auto"/>
        </w:rPr>
        <w:t>Barclays</w:t>
      </w:r>
      <w:r>
        <w:rPr>
          <w:sz w:val="20"/>
          <w:szCs w:val="20"/>
          <w:color w:val="auto"/>
        </w:rPr>
        <w:tab/>
      </w:r>
      <w:r>
        <w:rPr>
          <w:rFonts w:ascii="Arial" w:cs="Arial" w:eastAsia="Arial" w:hAnsi="Arial"/>
          <w:sz w:val="25"/>
          <w:szCs w:val="25"/>
          <w:b w:val="1"/>
          <w:bCs w:val="1"/>
          <w:color w:val="auto"/>
        </w:rPr>
        <w:t>TD Securities</w:t>
      </w:r>
      <w:r>
        <w:rPr>
          <w:sz w:val="20"/>
          <w:szCs w:val="20"/>
          <w:color w:val="auto"/>
        </w:rPr>
        <w:tab/>
      </w:r>
      <w:r>
        <w:rPr>
          <w:rFonts w:ascii="Arial" w:cs="Arial" w:eastAsia="Arial" w:hAnsi="Arial"/>
          <w:sz w:val="22"/>
          <w:szCs w:val="22"/>
          <w:b w:val="1"/>
          <w:bCs w:val="1"/>
          <w:color w:val="auto"/>
        </w:rPr>
        <w:t>Wells Fargo Securities</w:t>
      </w:r>
    </w:p>
    <w:p>
      <w:pPr>
        <w:spacing w:after="0" w:line="118" w:lineRule="exact"/>
        <w:rPr>
          <w:sz w:val="20"/>
          <w:szCs w:val="20"/>
          <w:color w:val="auto"/>
        </w:rPr>
      </w:pPr>
    </w:p>
    <w:p>
      <w:pPr>
        <w:ind w:left="200"/>
        <w:spacing w:after="0"/>
        <w:tabs>
          <w:tab w:leader="none" w:pos="4720" w:val="left"/>
          <w:tab w:leader="none" w:pos="9760" w:val="left"/>
        </w:tabs>
        <w:rPr>
          <w:sz w:val="20"/>
          <w:szCs w:val="20"/>
          <w:color w:val="auto"/>
        </w:rPr>
      </w:pPr>
      <w:r>
        <w:rPr>
          <w:rFonts w:ascii="Arial" w:cs="Arial" w:eastAsia="Arial" w:hAnsi="Arial"/>
          <w:sz w:val="25"/>
          <w:szCs w:val="25"/>
          <w:b w:val="1"/>
          <w:bCs w:val="1"/>
          <w:color w:val="auto"/>
        </w:rPr>
        <w:t>BofA Merrill Lynch</w:t>
      </w:r>
      <w:r>
        <w:rPr>
          <w:sz w:val="20"/>
          <w:szCs w:val="20"/>
          <w:color w:val="auto"/>
        </w:rPr>
        <w:tab/>
      </w:r>
      <w:r>
        <w:rPr>
          <w:rFonts w:ascii="Arial" w:cs="Arial" w:eastAsia="Arial" w:hAnsi="Arial"/>
          <w:sz w:val="25"/>
          <w:szCs w:val="25"/>
          <w:b w:val="1"/>
          <w:bCs w:val="1"/>
          <w:color w:val="auto"/>
        </w:rPr>
        <w:t>RBC Capital Markets</w:t>
      </w:r>
      <w:r>
        <w:rPr>
          <w:sz w:val="20"/>
          <w:szCs w:val="20"/>
          <w:color w:val="auto"/>
        </w:rPr>
        <w:tab/>
      </w:r>
      <w:r>
        <w:rPr>
          <w:rFonts w:ascii="Arial" w:cs="Arial" w:eastAsia="Arial" w:hAnsi="Arial"/>
          <w:sz w:val="24"/>
          <w:szCs w:val="24"/>
          <w:b w:val="1"/>
          <w:bCs w:val="1"/>
          <w:color w:val="auto"/>
        </w:rPr>
        <w:t>SMBC Nikko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878205</wp:posOffset>
            </wp:positionV>
            <wp:extent cx="14662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i w:val="1"/>
          <w:iCs w:val="1"/>
          <w:color w:val="auto"/>
        </w:rPr>
        <w:t>Co-Managers</w:t>
      </w:r>
    </w:p>
    <w:p>
      <w:pPr>
        <w:spacing w:after="0" w:line="110" w:lineRule="exact"/>
        <w:rPr>
          <w:sz w:val="20"/>
          <w:szCs w:val="20"/>
          <w:color w:val="auto"/>
        </w:rPr>
      </w:pPr>
    </w:p>
    <w:tbl>
      <w:tblPr>
        <w:tblLayout w:type="fixed"/>
        <w:tblInd w:w="200" w:type="dxa"/>
        <w:tblCellMar>
          <w:top w:w="0" w:type="dxa"/>
          <w:left w:w="0" w:type="dxa"/>
          <w:bottom w:w="0" w:type="dxa"/>
          <w:right w:w="0" w:type="dxa"/>
        </w:tblCellMar>
      </w:tblPr>
      <w:tr>
        <w:trPr>
          <w:trHeight w:val="256"/>
        </w:trPr>
        <w:tc>
          <w:tcPr>
            <w:tcW w:w="3460" w:type="dxa"/>
            <w:vAlign w:val="bottom"/>
          </w:tcPr>
          <w:p>
            <w:pPr>
              <w:spacing w:after="0"/>
              <w:rPr>
                <w:sz w:val="20"/>
                <w:szCs w:val="20"/>
                <w:color w:val="auto"/>
              </w:rPr>
            </w:pPr>
            <w:r>
              <w:rPr>
                <w:rFonts w:ascii="Arial" w:cs="Arial" w:eastAsia="Arial" w:hAnsi="Arial"/>
                <w:sz w:val="20"/>
                <w:szCs w:val="20"/>
                <w:b w:val="1"/>
                <w:bCs w:val="1"/>
                <w:color w:val="auto"/>
              </w:rPr>
              <w:t>BNP PARIBAS</w:t>
            </w:r>
          </w:p>
        </w:tc>
        <w:tc>
          <w:tcPr>
            <w:tcW w:w="4180" w:type="dxa"/>
            <w:vAlign w:val="bottom"/>
          </w:tcPr>
          <w:p>
            <w:pPr>
              <w:jc w:val="center"/>
              <w:spacing w:after="0"/>
              <w:rPr>
                <w:sz w:val="20"/>
                <w:szCs w:val="20"/>
                <w:color w:val="auto"/>
              </w:rPr>
            </w:pPr>
            <w:r>
              <w:rPr>
                <w:rFonts w:ascii="Arial" w:cs="Arial" w:eastAsia="Arial" w:hAnsi="Arial"/>
                <w:sz w:val="20"/>
                <w:szCs w:val="20"/>
                <w:b w:val="1"/>
                <w:bCs w:val="1"/>
                <w:color w:val="auto"/>
                <w:w w:val="92"/>
              </w:rPr>
              <w:t>Citigroup</w:t>
            </w:r>
          </w:p>
        </w:tc>
        <w:tc>
          <w:tcPr>
            <w:tcW w:w="3380" w:type="dxa"/>
            <w:vAlign w:val="bottom"/>
          </w:tcPr>
          <w:p>
            <w:pPr>
              <w:jc w:val="right"/>
              <w:spacing w:after="0"/>
              <w:rPr>
                <w:sz w:val="20"/>
                <w:szCs w:val="20"/>
                <w:color w:val="auto"/>
              </w:rPr>
            </w:pPr>
            <w:r>
              <w:rPr>
                <w:rFonts w:ascii="Arial" w:cs="Arial" w:eastAsia="Arial" w:hAnsi="Arial"/>
                <w:sz w:val="20"/>
                <w:szCs w:val="20"/>
                <w:b w:val="1"/>
                <w:bCs w:val="1"/>
                <w:color w:val="auto"/>
              </w:rPr>
              <w:t>Credit Suisse</w:t>
            </w:r>
          </w:p>
        </w:tc>
      </w:tr>
      <w:tr>
        <w:trPr>
          <w:trHeight w:val="338"/>
        </w:trPr>
        <w:tc>
          <w:tcPr>
            <w:tcW w:w="3460" w:type="dxa"/>
            <w:vAlign w:val="bottom"/>
          </w:tcPr>
          <w:p>
            <w:pPr>
              <w:spacing w:after="0"/>
              <w:rPr>
                <w:sz w:val="20"/>
                <w:szCs w:val="20"/>
                <w:color w:val="auto"/>
              </w:rPr>
            </w:pPr>
            <w:r>
              <w:rPr>
                <w:rFonts w:ascii="Arial" w:cs="Arial" w:eastAsia="Arial" w:hAnsi="Arial"/>
                <w:sz w:val="20"/>
                <w:szCs w:val="20"/>
                <w:b w:val="1"/>
                <w:bCs w:val="1"/>
                <w:color w:val="auto"/>
              </w:rPr>
              <w:t>Deutsche Bank Securities</w:t>
            </w:r>
          </w:p>
        </w:tc>
        <w:tc>
          <w:tcPr>
            <w:tcW w:w="4180" w:type="dxa"/>
            <w:vAlign w:val="bottom"/>
          </w:tcPr>
          <w:p>
            <w:pPr>
              <w:jc w:val="center"/>
              <w:spacing w:after="0"/>
              <w:rPr>
                <w:sz w:val="20"/>
                <w:szCs w:val="20"/>
                <w:color w:val="auto"/>
              </w:rPr>
            </w:pPr>
            <w:r>
              <w:rPr>
                <w:rFonts w:ascii="Arial" w:cs="Arial" w:eastAsia="Arial" w:hAnsi="Arial"/>
                <w:sz w:val="20"/>
                <w:szCs w:val="20"/>
                <w:b w:val="1"/>
                <w:bCs w:val="1"/>
                <w:color w:val="auto"/>
                <w:w w:val="91"/>
              </w:rPr>
              <w:t>Goldman Sachs &amp; Co. LLC</w:t>
            </w:r>
          </w:p>
        </w:tc>
        <w:tc>
          <w:tcPr>
            <w:tcW w:w="3380" w:type="dxa"/>
            <w:vAlign w:val="bottom"/>
          </w:tcPr>
          <w:p>
            <w:pPr>
              <w:jc w:val="right"/>
              <w:spacing w:after="0"/>
              <w:rPr>
                <w:sz w:val="20"/>
                <w:szCs w:val="20"/>
                <w:color w:val="auto"/>
              </w:rPr>
            </w:pPr>
            <w:r>
              <w:rPr>
                <w:rFonts w:ascii="Arial" w:cs="Arial" w:eastAsia="Arial" w:hAnsi="Arial"/>
                <w:sz w:val="20"/>
                <w:szCs w:val="20"/>
                <w:b w:val="1"/>
                <w:bCs w:val="1"/>
                <w:color w:val="auto"/>
              </w:rPr>
              <w:t>J.P. Morgan</w:t>
            </w:r>
          </w:p>
        </w:tc>
      </w:tr>
      <w:tr>
        <w:trPr>
          <w:trHeight w:val="338"/>
        </w:trPr>
        <w:tc>
          <w:tcPr>
            <w:tcW w:w="3460" w:type="dxa"/>
            <w:vAlign w:val="bottom"/>
          </w:tcPr>
          <w:p>
            <w:pPr>
              <w:spacing w:after="0"/>
              <w:rPr>
                <w:sz w:val="20"/>
                <w:szCs w:val="20"/>
                <w:color w:val="auto"/>
              </w:rPr>
            </w:pPr>
            <w:r>
              <w:rPr>
                <w:rFonts w:ascii="Arial" w:cs="Arial" w:eastAsia="Arial" w:hAnsi="Arial"/>
                <w:sz w:val="20"/>
                <w:szCs w:val="20"/>
                <w:b w:val="1"/>
                <w:bCs w:val="1"/>
                <w:color w:val="auto"/>
              </w:rPr>
              <w:t>Mizuho Securities</w:t>
            </w:r>
          </w:p>
        </w:tc>
        <w:tc>
          <w:tcPr>
            <w:tcW w:w="4180" w:type="dxa"/>
            <w:vAlign w:val="bottom"/>
          </w:tcPr>
          <w:p>
            <w:pPr>
              <w:jc w:val="center"/>
              <w:spacing w:after="0"/>
              <w:rPr>
                <w:sz w:val="20"/>
                <w:szCs w:val="20"/>
                <w:color w:val="auto"/>
              </w:rPr>
            </w:pPr>
            <w:r>
              <w:rPr>
                <w:rFonts w:ascii="Arial" w:cs="Arial" w:eastAsia="Arial" w:hAnsi="Arial"/>
                <w:sz w:val="20"/>
                <w:szCs w:val="20"/>
                <w:b w:val="1"/>
                <w:bCs w:val="1"/>
                <w:color w:val="auto"/>
                <w:w w:val="91"/>
              </w:rPr>
              <w:t>Morgan Stanley</w:t>
            </w:r>
          </w:p>
        </w:tc>
        <w:tc>
          <w:tcPr>
            <w:tcW w:w="3380" w:type="dxa"/>
            <w:vAlign w:val="bottom"/>
          </w:tcPr>
          <w:p>
            <w:pPr>
              <w:jc w:val="right"/>
              <w:spacing w:after="0"/>
              <w:rPr>
                <w:sz w:val="20"/>
                <w:szCs w:val="20"/>
                <w:color w:val="auto"/>
              </w:rPr>
            </w:pPr>
            <w:r>
              <w:rPr>
                <w:rFonts w:ascii="Arial" w:cs="Arial" w:eastAsia="Arial" w:hAnsi="Arial"/>
                <w:sz w:val="20"/>
                <w:szCs w:val="20"/>
                <w:b w:val="1"/>
                <w:bCs w:val="1"/>
                <w:color w:val="auto"/>
              </w:rPr>
              <w:t>COMMERZBANK</w:t>
            </w:r>
          </w:p>
        </w:tc>
      </w:tr>
      <w:tr>
        <w:trPr>
          <w:trHeight w:val="338"/>
        </w:trPr>
        <w:tc>
          <w:tcPr>
            <w:tcW w:w="3460" w:type="dxa"/>
            <w:vAlign w:val="bottom"/>
          </w:tcPr>
          <w:p>
            <w:pPr>
              <w:spacing w:after="0"/>
              <w:rPr>
                <w:sz w:val="20"/>
                <w:szCs w:val="20"/>
                <w:color w:val="auto"/>
              </w:rPr>
            </w:pPr>
            <w:r>
              <w:rPr>
                <w:rFonts w:ascii="Arial" w:cs="Arial" w:eastAsia="Arial" w:hAnsi="Arial"/>
                <w:sz w:val="20"/>
                <w:szCs w:val="20"/>
                <w:b w:val="1"/>
                <w:bCs w:val="1"/>
                <w:color w:val="auto"/>
              </w:rPr>
              <w:t>DNB Markets</w:t>
            </w:r>
          </w:p>
        </w:tc>
        <w:tc>
          <w:tcPr>
            <w:tcW w:w="4180" w:type="dxa"/>
            <w:vAlign w:val="bottom"/>
          </w:tcPr>
          <w:p>
            <w:pPr>
              <w:jc w:val="center"/>
              <w:spacing w:after="0"/>
              <w:rPr>
                <w:sz w:val="20"/>
                <w:szCs w:val="20"/>
                <w:color w:val="auto"/>
              </w:rPr>
            </w:pPr>
            <w:r>
              <w:rPr>
                <w:rFonts w:ascii="Arial" w:cs="Arial" w:eastAsia="Arial" w:hAnsi="Arial"/>
                <w:sz w:val="20"/>
                <w:szCs w:val="20"/>
                <w:b w:val="1"/>
                <w:bCs w:val="1"/>
                <w:color w:val="auto"/>
                <w:w w:val="96"/>
              </w:rPr>
              <w:t>PNC Capital Markets LLC</w:t>
            </w:r>
          </w:p>
        </w:tc>
        <w:tc>
          <w:tcPr>
            <w:tcW w:w="3380" w:type="dxa"/>
            <w:vAlign w:val="bottom"/>
          </w:tcPr>
          <w:p>
            <w:pPr>
              <w:jc w:val="right"/>
              <w:spacing w:after="0"/>
              <w:rPr>
                <w:sz w:val="20"/>
                <w:szCs w:val="20"/>
                <w:color w:val="auto"/>
              </w:rPr>
            </w:pPr>
            <w:r>
              <w:rPr>
                <w:rFonts w:ascii="Arial" w:cs="Arial" w:eastAsia="Arial" w:hAnsi="Arial"/>
                <w:sz w:val="20"/>
                <w:szCs w:val="20"/>
                <w:b w:val="1"/>
                <w:bCs w:val="1"/>
                <w:color w:val="auto"/>
              </w:rPr>
              <w:t>US Bancorp</w:t>
            </w:r>
          </w:p>
        </w:tc>
      </w:tr>
      <w:tr>
        <w:trPr>
          <w:trHeight w:val="338"/>
        </w:trPr>
        <w:tc>
          <w:tcPr>
            <w:tcW w:w="3460" w:type="dxa"/>
            <w:vAlign w:val="bottom"/>
          </w:tcPr>
          <w:p>
            <w:pPr>
              <w:spacing w:after="0"/>
              <w:rPr>
                <w:sz w:val="20"/>
                <w:szCs w:val="20"/>
                <w:color w:val="auto"/>
              </w:rPr>
            </w:pPr>
            <w:r>
              <w:rPr>
                <w:rFonts w:ascii="Arial" w:cs="Arial" w:eastAsia="Arial" w:hAnsi="Arial"/>
                <w:sz w:val="20"/>
                <w:szCs w:val="20"/>
                <w:b w:val="1"/>
                <w:bCs w:val="1"/>
                <w:color w:val="auto"/>
              </w:rPr>
              <w:t>BNY Mellon Capital Markets, LLC</w:t>
            </w:r>
          </w:p>
        </w:tc>
        <w:tc>
          <w:tcPr>
            <w:tcW w:w="4180" w:type="dxa"/>
            <w:vAlign w:val="bottom"/>
          </w:tcPr>
          <w:p>
            <w:pPr>
              <w:jc w:val="center"/>
              <w:spacing w:after="0"/>
              <w:rPr>
                <w:sz w:val="20"/>
                <w:szCs w:val="20"/>
                <w:color w:val="auto"/>
              </w:rPr>
            </w:pPr>
            <w:r>
              <w:rPr>
                <w:rFonts w:ascii="Arial" w:cs="Arial" w:eastAsia="Arial" w:hAnsi="Arial"/>
                <w:sz w:val="20"/>
                <w:szCs w:val="20"/>
                <w:b w:val="1"/>
                <w:bCs w:val="1"/>
                <w:color w:val="auto"/>
                <w:w w:val="94"/>
              </w:rPr>
              <w:t>ICBC Standard Bank</w:t>
            </w:r>
          </w:p>
        </w:tc>
        <w:tc>
          <w:tcPr>
            <w:tcW w:w="3380" w:type="dxa"/>
            <w:vAlign w:val="bottom"/>
          </w:tcPr>
          <w:p>
            <w:pPr>
              <w:jc w:val="right"/>
              <w:spacing w:after="0"/>
              <w:rPr>
                <w:sz w:val="20"/>
                <w:szCs w:val="20"/>
                <w:color w:val="auto"/>
              </w:rPr>
            </w:pPr>
            <w:r>
              <w:rPr>
                <w:rFonts w:ascii="Arial" w:cs="Arial" w:eastAsia="Arial" w:hAnsi="Arial"/>
                <w:sz w:val="20"/>
                <w:szCs w:val="20"/>
                <w:b w:val="1"/>
                <w:bCs w:val="1"/>
                <w:color w:val="auto"/>
              </w:rPr>
              <w:t>SOCIETE GENERALE</w:t>
            </w:r>
          </w:p>
        </w:tc>
      </w:tr>
      <w:tr>
        <w:trPr>
          <w:trHeight w:val="338"/>
        </w:trPr>
        <w:tc>
          <w:tcPr>
            <w:tcW w:w="3460" w:type="dxa"/>
            <w:vAlign w:val="bottom"/>
          </w:tcPr>
          <w:p>
            <w:pPr>
              <w:spacing w:after="0"/>
              <w:rPr>
                <w:sz w:val="20"/>
                <w:szCs w:val="20"/>
                <w:color w:val="auto"/>
              </w:rPr>
            </w:pPr>
            <w:r>
              <w:rPr>
                <w:rFonts w:ascii="Arial" w:cs="Arial" w:eastAsia="Arial" w:hAnsi="Arial"/>
                <w:sz w:val="20"/>
                <w:szCs w:val="20"/>
                <w:b w:val="1"/>
                <w:bCs w:val="1"/>
                <w:color w:val="auto"/>
              </w:rPr>
              <w:t>Academy Securities</w:t>
            </w:r>
          </w:p>
        </w:tc>
        <w:tc>
          <w:tcPr>
            <w:tcW w:w="4180" w:type="dxa"/>
            <w:vAlign w:val="bottom"/>
          </w:tcPr>
          <w:p>
            <w:pPr>
              <w:jc w:val="center"/>
              <w:spacing w:after="0"/>
              <w:rPr>
                <w:sz w:val="20"/>
                <w:szCs w:val="20"/>
                <w:color w:val="auto"/>
              </w:rPr>
            </w:pPr>
            <w:r>
              <w:rPr>
                <w:rFonts w:ascii="Arial" w:cs="Arial" w:eastAsia="Arial" w:hAnsi="Arial"/>
                <w:sz w:val="20"/>
                <w:szCs w:val="20"/>
                <w:b w:val="1"/>
                <w:bCs w:val="1"/>
                <w:color w:val="auto"/>
                <w:w w:val="89"/>
              </w:rPr>
              <w:t>CastleOak Securities, L.P.</w:t>
            </w:r>
          </w:p>
        </w:tc>
        <w:tc>
          <w:tcPr>
            <w:tcW w:w="3380" w:type="dxa"/>
            <w:vAlign w:val="bottom"/>
          </w:tcPr>
          <w:p>
            <w:pPr>
              <w:jc w:val="right"/>
              <w:spacing w:after="0"/>
              <w:rPr>
                <w:sz w:val="20"/>
                <w:szCs w:val="20"/>
                <w:color w:val="auto"/>
              </w:rPr>
            </w:pPr>
            <w:r>
              <w:rPr>
                <w:rFonts w:ascii="Arial" w:cs="Arial" w:eastAsia="Arial" w:hAnsi="Arial"/>
                <w:sz w:val="20"/>
                <w:szCs w:val="20"/>
                <w:b w:val="1"/>
                <w:bCs w:val="1"/>
                <w:color w:val="auto"/>
              </w:rPr>
              <w:t>Mischler Financial Group, Inc.</w:t>
            </w:r>
          </w:p>
        </w:tc>
      </w:tr>
      <w:tr>
        <w:trPr>
          <w:trHeight w:val="338"/>
        </w:trPr>
        <w:tc>
          <w:tcPr>
            <w:tcW w:w="3460" w:type="dxa"/>
            <w:vAlign w:val="bottom"/>
          </w:tcPr>
          <w:p>
            <w:pPr>
              <w:spacing w:after="0"/>
              <w:rPr>
                <w:sz w:val="20"/>
                <w:szCs w:val="20"/>
                <w:color w:val="auto"/>
              </w:rPr>
            </w:pPr>
            <w:r>
              <w:rPr>
                <w:rFonts w:ascii="Arial" w:cs="Arial" w:eastAsia="Arial" w:hAnsi="Arial"/>
                <w:sz w:val="20"/>
                <w:szCs w:val="20"/>
                <w:b w:val="1"/>
                <w:bCs w:val="1"/>
                <w:color w:val="auto"/>
              </w:rPr>
              <w:t>Ramirez &amp; Co., Inc.</w:t>
            </w:r>
          </w:p>
        </w:tc>
        <w:tc>
          <w:tcPr>
            <w:tcW w:w="4180" w:type="dxa"/>
            <w:vAlign w:val="bottom"/>
          </w:tcPr>
          <w:p>
            <w:pPr>
              <w:jc w:val="center"/>
              <w:spacing w:after="0"/>
              <w:rPr>
                <w:sz w:val="20"/>
                <w:szCs w:val="20"/>
                <w:color w:val="auto"/>
              </w:rPr>
            </w:pPr>
            <w:r>
              <w:rPr>
                <w:rFonts w:ascii="Arial" w:cs="Arial" w:eastAsia="Arial" w:hAnsi="Arial"/>
                <w:sz w:val="20"/>
                <w:szCs w:val="20"/>
                <w:b w:val="1"/>
                <w:bCs w:val="1"/>
                <w:color w:val="auto"/>
                <w:w w:val="91"/>
              </w:rPr>
              <w:t>Siebert Cisneros Shank &amp; Co., L.L.C.</w:t>
            </w:r>
          </w:p>
        </w:tc>
        <w:tc>
          <w:tcPr>
            <w:tcW w:w="3380" w:type="dxa"/>
            <w:vAlign w:val="bottom"/>
          </w:tcPr>
          <w:p>
            <w:pPr>
              <w:jc w:val="right"/>
              <w:spacing w:after="0"/>
              <w:rPr>
                <w:sz w:val="20"/>
                <w:szCs w:val="20"/>
                <w:color w:val="auto"/>
              </w:rPr>
            </w:pPr>
            <w:r>
              <w:rPr>
                <w:rFonts w:ascii="Arial" w:cs="Arial" w:eastAsia="Arial" w:hAnsi="Arial"/>
                <w:sz w:val="20"/>
                <w:szCs w:val="20"/>
                <w:b w:val="1"/>
                <w:bCs w:val="1"/>
                <w:color w:val="auto"/>
              </w:rPr>
              <w:t>The Williams Capital Group, 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383540</wp:posOffset>
            </wp:positionV>
            <wp:extent cx="14662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459" w:right="439" w:bottom="31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February 1, 2018</w:t>
      </w:r>
    </w:p>
    <w:p>
      <w:pPr>
        <w:sectPr>
          <w:pgSz w:w="11900" w:h="16838" w:orient="portrait"/>
          <w:cols w:equalWidth="0" w:num="1">
            <w:col w:w="11220"/>
          </w:cols>
          <w:pgMar w:left="240" w:top="459" w:right="439" w:bottom="316" w:gutter="0" w:footer="0" w:header="0"/>
          <w:type w:val="continuous"/>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749300</wp:posOffset>
            </wp:positionV>
            <wp:extent cx="6997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808990</wp:posOffset>
            </wp:positionV>
            <wp:extent cx="699770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lvl w:ilvl="1">
      <w:lvlJc w:val="left"/>
      <w:lvlText w:val="•"/>
      <w:numFmt w:val="bullet"/>
      <w:start w:val="1"/>
    </w:lvl>
  </w:abstractNum>
  <w:abstractNum w:abstractNumId="4">
    <w:nsid w:val="4353D0CD"/>
    <w:multiLevelType w:val="hybridMultilevel"/>
    <w:lvl w:ilvl="0">
      <w:lvlJc w:val="left"/>
      <w:lvlText w:val="(%1)"/>
      <w:numFmt w:val="lowerRoman"/>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lowerRoman"/>
      <w:start w:val="1"/>
    </w:lvl>
  </w:abstractNum>
  <w:abstractNum w:abstractNumId="12">
    <w:nsid w:val="3A95F874"/>
    <w:multiLevelType w:val="hybridMultilevel"/>
    <w:lvl w:ilvl="0">
      <w:lvlJc w:val="left"/>
      <w:lvlText w:val="(%1)"/>
      <w:numFmt w:val="lowerRoman"/>
      <w:start w:val="2"/>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Roman"/>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1)"/>
      <w:numFmt w:val="lowerLetter"/>
      <w:start w:val="2"/>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lowerLetter"/>
      <w:start w:val="3"/>
    </w:lvl>
  </w:abstractNum>
  <w:abstractNum w:abstractNumId="27">
    <w:nsid w:val="77465F01"/>
    <w:multiLevelType w:val="hybridMultilevel"/>
    <w:lvl w:ilvl="0">
      <w:lvlJc w:val="left"/>
      <w:lvlText w:val="(%1)"/>
      <w:numFmt w:val="lowerLetter"/>
      <w:start w:val="12"/>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lowerLetter"/>
      <w:start w:val="2"/>
    </w:lvl>
  </w:abstractNum>
  <w:abstractNum w:abstractNumId="35">
    <w:nsid w:val="153EA438"/>
    <w:multiLevelType w:val="hybridMultilevel"/>
    <w:lvl w:ilvl="0">
      <w:lvlJc w:val="left"/>
      <w:lvlText w:val="•"/>
      <w:numFmt w:val="bullet"/>
      <w:start w:val="1"/>
    </w:lvl>
    <w:lvl w:ilvl="1">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lvl w:ilvl="1">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2019-12-06T19:21:59Z</dcterms:created>
  <dcterms:modified xsi:type="dcterms:W3CDTF">2019-12-06T19:21:59Z</dcterms:modified>
</cp:coreProperties>
</file>